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1100455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43"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131E29"/>
        </w:rPr>
        <w:t>(Mark One)</w:t>
      </w:r>
    </w:p>
    <w:p>
      <w:pPr>
        <w:spacing w:after="0" w:line="41"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131E29"/>
        </w:rPr>
      </w:pPr>
      <w:r>
        <w:rPr>
          <w:rFonts w:ascii="Arial" w:cs="Arial" w:eastAsia="Arial" w:hAnsi="Arial"/>
          <w:sz w:val="18"/>
          <w:szCs w:val="18"/>
          <w:b w:val="1"/>
          <w:bCs w:val="1"/>
          <w:color w:val="131E29"/>
        </w:rPr>
        <w:t>QUARTERLY REPORT 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For the Quarterly Period ended September 30, 2022</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OR</w:t>
      </w:r>
    </w:p>
    <w:p>
      <w:pPr>
        <w:spacing w:after="0" w:line="225"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131E29"/>
        </w:rPr>
      </w:pPr>
      <w:r>
        <w:rPr>
          <w:rFonts w:ascii="Arial" w:cs="Arial" w:eastAsia="Arial" w:hAnsi="Arial"/>
          <w:sz w:val="18"/>
          <w:szCs w:val="18"/>
          <w:b w:val="1"/>
          <w:bCs w:val="1"/>
          <w:color w:val="131E29"/>
        </w:rPr>
        <w:t>TRANSITION REPORT 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131E29"/>
        </w:rPr>
        <w:t>For the transition period from ________ to ________</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Commission file number 001-40798</w:t>
      </w:r>
    </w:p>
    <w:p>
      <w:pPr>
        <w:spacing w:after="0" w:line="31"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6350</wp:posOffset>
            </wp:positionV>
            <wp:extent cx="136271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131E29"/>
        </w:rPr>
        <w:t>DUTCH BROS INC.</w:t>
      </w:r>
    </w:p>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(Exact name of Registrant as specified in its charter)</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03" w:lineRule="exact"/>
        <w:rPr>
          <w:sz w:val="24"/>
          <w:szCs w:val="24"/>
          <w:color w:val="auto"/>
        </w:rPr>
      </w:pPr>
    </w:p>
    <w:tbl>
      <w:tblPr>
        <w:tblLayout w:type="fixed"/>
        <w:tblInd w:w="10" w:type="dxa"/>
        <w:tblCellMar>
          <w:top w:w="0" w:type="dxa"/>
          <w:left w:w="0" w:type="dxa"/>
          <w:bottom w:w="0" w:type="dxa"/>
          <w:right w:w="0" w:type="dxa"/>
        </w:tblCellMar>
      </w:tblPr>
      <w:tr>
        <w:trPr>
          <w:trHeight w:val="239"/>
        </w:trPr>
        <w:tc>
          <w:tcPr>
            <w:tcW w:w="4800" w:type="dxa"/>
            <w:vAlign w:val="bottom"/>
            <w:gridSpan w:val="2"/>
          </w:tcPr>
          <w:p>
            <w:pPr>
              <w:jc w:val="center"/>
              <w:ind w:left="2535"/>
              <w:spacing w:after="0"/>
              <w:rPr>
                <w:sz w:val="20"/>
                <w:szCs w:val="20"/>
                <w:color w:val="auto"/>
              </w:rPr>
            </w:pPr>
            <w:r>
              <w:rPr>
                <w:rFonts w:ascii="Arial" w:cs="Arial" w:eastAsia="Arial" w:hAnsi="Arial"/>
                <w:sz w:val="18"/>
                <w:szCs w:val="18"/>
                <w:b w:val="1"/>
                <w:bCs w:val="1"/>
                <w:color w:val="131E29"/>
                <w:w w:val="98"/>
              </w:rPr>
              <w:t>Delaware</w:t>
            </w:r>
          </w:p>
        </w:tc>
        <w:tc>
          <w:tcPr>
            <w:tcW w:w="1840" w:type="dxa"/>
            <w:vAlign w:val="bottom"/>
          </w:tcPr>
          <w:p>
            <w:pPr>
              <w:spacing w:after="0"/>
              <w:rPr>
                <w:sz w:val="20"/>
                <w:szCs w:val="20"/>
                <w:color w:val="auto"/>
              </w:rPr>
            </w:pPr>
          </w:p>
        </w:tc>
        <w:tc>
          <w:tcPr>
            <w:tcW w:w="4620" w:type="dxa"/>
            <w:vAlign w:val="bottom"/>
            <w:gridSpan w:val="2"/>
            <w:vMerge w:val="restart"/>
          </w:tcPr>
          <w:p>
            <w:pPr>
              <w:jc w:val="right"/>
              <w:ind w:right="2596"/>
              <w:spacing w:after="0"/>
              <w:rPr>
                <w:sz w:val="20"/>
                <w:szCs w:val="20"/>
                <w:color w:val="auto"/>
              </w:rPr>
            </w:pPr>
            <w:r>
              <w:rPr>
                <w:rFonts w:ascii="Arial" w:cs="Arial" w:eastAsia="Arial" w:hAnsi="Arial"/>
                <w:sz w:val="18"/>
                <w:szCs w:val="18"/>
                <w:b w:val="1"/>
                <w:bCs w:val="1"/>
                <w:color w:val="131E29"/>
              </w:rPr>
              <w:t>87-1041305</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800" w:type="dxa"/>
            <w:vAlign w:val="bottom"/>
            <w:gridSpan w:val="2"/>
          </w:tcPr>
          <w:p>
            <w:pPr>
              <w:jc w:val="center"/>
              <w:ind w:left="2555"/>
              <w:spacing w:after="0"/>
              <w:rPr>
                <w:sz w:val="20"/>
                <w:szCs w:val="20"/>
                <w:color w:val="auto"/>
              </w:rPr>
            </w:pPr>
            <w:r>
              <w:rPr>
                <w:rFonts w:ascii="Arial" w:cs="Arial" w:eastAsia="Arial" w:hAnsi="Arial"/>
                <w:sz w:val="14"/>
                <w:szCs w:val="14"/>
                <w:color w:val="131E29"/>
              </w:rPr>
              <w:t>(State or other jurisdiction of</w:t>
            </w:r>
          </w:p>
        </w:tc>
        <w:tc>
          <w:tcPr>
            <w:tcW w:w="1840" w:type="dxa"/>
            <w:vAlign w:val="bottom"/>
          </w:tcPr>
          <w:p>
            <w:pPr>
              <w:spacing w:after="0"/>
              <w:rPr>
                <w:sz w:val="20"/>
                <w:szCs w:val="20"/>
                <w:color w:val="auto"/>
              </w:rPr>
            </w:pPr>
          </w:p>
        </w:tc>
        <w:tc>
          <w:tcPr>
            <w:tcW w:w="4620" w:type="dxa"/>
            <w:vAlign w:val="bottom"/>
            <w:gridSpan w:val="2"/>
          </w:tcPr>
          <w:p>
            <w:pPr>
              <w:jc w:val="center"/>
              <w:ind w:right="1636"/>
              <w:spacing w:after="0"/>
              <w:rPr>
                <w:sz w:val="20"/>
                <w:szCs w:val="20"/>
                <w:color w:val="auto"/>
              </w:rPr>
            </w:pPr>
            <w:r>
              <w:rPr>
                <w:rFonts w:ascii="Arial" w:cs="Arial" w:eastAsia="Arial" w:hAnsi="Arial"/>
                <w:sz w:val="14"/>
                <w:szCs w:val="14"/>
                <w:color w:val="131E29"/>
              </w:rPr>
              <w:t>(I.R.S. Employer Identification No.)</w:t>
            </w:r>
          </w:p>
        </w:tc>
        <w:tc>
          <w:tcPr>
            <w:tcW w:w="0" w:type="dxa"/>
            <w:vAlign w:val="bottom"/>
          </w:tcPr>
          <w:p>
            <w:pPr>
              <w:spacing w:after="0"/>
              <w:rPr>
                <w:sz w:val="1"/>
                <w:szCs w:val="1"/>
                <w:color w:val="auto"/>
              </w:rPr>
            </w:pPr>
          </w:p>
        </w:tc>
      </w:tr>
      <w:tr>
        <w:trPr>
          <w:trHeight w:val="175"/>
        </w:trPr>
        <w:tc>
          <w:tcPr>
            <w:tcW w:w="4800" w:type="dxa"/>
            <w:vAlign w:val="bottom"/>
            <w:gridSpan w:val="2"/>
          </w:tcPr>
          <w:p>
            <w:pPr>
              <w:jc w:val="center"/>
              <w:ind w:left="2535"/>
              <w:spacing w:after="0"/>
              <w:rPr>
                <w:sz w:val="20"/>
                <w:szCs w:val="20"/>
                <w:color w:val="auto"/>
              </w:rPr>
            </w:pPr>
            <w:r>
              <w:rPr>
                <w:rFonts w:ascii="Arial" w:cs="Arial" w:eastAsia="Arial" w:hAnsi="Arial"/>
                <w:sz w:val="14"/>
                <w:szCs w:val="14"/>
                <w:color w:val="131E29"/>
              </w:rPr>
              <w:t>incorporation or organization)</w:t>
            </w:r>
          </w:p>
        </w:tc>
        <w:tc>
          <w:tcPr>
            <w:tcW w:w="1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4800" w:type="dxa"/>
            <w:vAlign w:val="bottom"/>
            <w:gridSpan w:val="2"/>
          </w:tcPr>
          <w:p>
            <w:pPr>
              <w:jc w:val="center"/>
              <w:ind w:left="2555"/>
              <w:spacing w:after="0"/>
              <w:rPr>
                <w:sz w:val="20"/>
                <w:szCs w:val="20"/>
                <w:color w:val="auto"/>
              </w:rPr>
            </w:pPr>
            <w:r>
              <w:rPr>
                <w:rFonts w:ascii="Arial" w:cs="Arial" w:eastAsia="Arial" w:hAnsi="Arial"/>
                <w:sz w:val="18"/>
                <w:szCs w:val="18"/>
                <w:b w:val="1"/>
                <w:bCs w:val="1"/>
                <w:color w:val="131E29"/>
                <w:w w:val="99"/>
              </w:rPr>
              <w:t>110 SW 4th Street</w:t>
            </w:r>
          </w:p>
        </w:tc>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00" w:type="dxa"/>
            <w:vAlign w:val="bottom"/>
            <w:gridSpan w:val="2"/>
          </w:tcPr>
          <w:p>
            <w:pPr>
              <w:ind w:left="2720"/>
              <w:spacing w:after="0"/>
              <w:rPr>
                <w:sz w:val="20"/>
                <w:szCs w:val="20"/>
                <w:color w:val="auto"/>
              </w:rPr>
            </w:pPr>
            <w:r>
              <w:rPr>
                <w:rFonts w:ascii="Arial" w:cs="Arial" w:eastAsia="Arial" w:hAnsi="Arial"/>
                <w:sz w:val="18"/>
                <w:szCs w:val="18"/>
                <w:b w:val="1"/>
                <w:bCs w:val="1"/>
                <w:color w:val="131E29"/>
              </w:rPr>
              <w:t>Grants Pass, Oregon</w:t>
            </w:r>
          </w:p>
        </w:tc>
        <w:tc>
          <w:tcPr>
            <w:tcW w:w="1840" w:type="dxa"/>
            <w:vAlign w:val="bottom"/>
          </w:tcPr>
          <w:p>
            <w:pPr>
              <w:spacing w:after="0"/>
              <w:rPr>
                <w:sz w:val="24"/>
                <w:szCs w:val="24"/>
                <w:color w:val="auto"/>
              </w:rPr>
            </w:pPr>
          </w:p>
        </w:tc>
        <w:tc>
          <w:tcPr>
            <w:tcW w:w="4620" w:type="dxa"/>
            <w:vAlign w:val="bottom"/>
            <w:gridSpan w:val="2"/>
          </w:tcPr>
          <w:p>
            <w:pPr>
              <w:jc w:val="right"/>
              <w:ind w:right="2836"/>
              <w:spacing w:after="0"/>
              <w:rPr>
                <w:sz w:val="20"/>
                <w:szCs w:val="20"/>
                <w:color w:val="auto"/>
              </w:rPr>
            </w:pPr>
            <w:r>
              <w:rPr>
                <w:rFonts w:ascii="Arial" w:cs="Arial" w:eastAsia="Arial" w:hAnsi="Arial"/>
                <w:sz w:val="18"/>
                <w:szCs w:val="18"/>
                <w:b w:val="1"/>
                <w:bCs w:val="1"/>
                <w:color w:val="131E29"/>
              </w:rPr>
              <w:t>97526</w:t>
            </w:r>
          </w:p>
        </w:tc>
        <w:tc>
          <w:tcPr>
            <w:tcW w:w="0" w:type="dxa"/>
            <w:vAlign w:val="bottom"/>
          </w:tcPr>
          <w:p>
            <w:pPr>
              <w:spacing w:after="0"/>
              <w:rPr>
                <w:sz w:val="1"/>
                <w:szCs w:val="1"/>
                <w:color w:val="auto"/>
              </w:rPr>
            </w:pPr>
          </w:p>
        </w:tc>
      </w:tr>
      <w:tr>
        <w:trPr>
          <w:trHeight w:val="231"/>
        </w:trPr>
        <w:tc>
          <w:tcPr>
            <w:tcW w:w="6640" w:type="dxa"/>
            <w:vAlign w:val="bottom"/>
            <w:gridSpan w:val="3"/>
          </w:tcPr>
          <w:p>
            <w:pPr>
              <w:jc w:val="center"/>
              <w:ind w:left="715"/>
              <w:spacing w:after="0"/>
              <w:rPr>
                <w:sz w:val="20"/>
                <w:szCs w:val="20"/>
                <w:color w:val="auto"/>
              </w:rPr>
            </w:pPr>
            <w:r>
              <w:rPr>
                <w:rFonts w:ascii="Arial" w:cs="Arial" w:eastAsia="Arial" w:hAnsi="Arial"/>
                <w:sz w:val="14"/>
                <w:szCs w:val="14"/>
                <w:color w:val="131E29"/>
              </w:rPr>
              <w:t>(Address of Principal Executive Offices)</w:t>
            </w:r>
          </w:p>
        </w:tc>
        <w:tc>
          <w:tcPr>
            <w:tcW w:w="860" w:type="dxa"/>
            <w:vAlign w:val="bottom"/>
          </w:tcPr>
          <w:p>
            <w:pPr>
              <w:spacing w:after="0"/>
              <w:rPr>
                <w:sz w:val="20"/>
                <w:szCs w:val="20"/>
                <w:color w:val="auto"/>
              </w:rPr>
            </w:pPr>
          </w:p>
        </w:tc>
        <w:tc>
          <w:tcPr>
            <w:tcW w:w="3760" w:type="dxa"/>
            <w:vAlign w:val="bottom"/>
          </w:tcPr>
          <w:p>
            <w:pPr>
              <w:jc w:val="center"/>
              <w:ind w:right="2476"/>
              <w:spacing w:after="0"/>
              <w:rPr>
                <w:sz w:val="20"/>
                <w:szCs w:val="20"/>
                <w:color w:val="auto"/>
              </w:rPr>
            </w:pPr>
            <w:r>
              <w:rPr>
                <w:rFonts w:ascii="Arial" w:cs="Arial" w:eastAsia="Arial" w:hAnsi="Arial"/>
                <w:sz w:val="14"/>
                <w:szCs w:val="14"/>
                <w:color w:val="131E29"/>
              </w:rPr>
              <w:t>(Zip Code)</w:t>
            </w:r>
          </w:p>
        </w:tc>
        <w:tc>
          <w:tcPr>
            <w:tcW w:w="0" w:type="dxa"/>
            <w:vAlign w:val="bottom"/>
          </w:tcPr>
          <w:p>
            <w:pPr>
              <w:spacing w:after="0"/>
              <w:rPr>
                <w:sz w:val="1"/>
                <w:szCs w:val="1"/>
                <w:color w:val="auto"/>
              </w:rPr>
            </w:pPr>
          </w:p>
        </w:tc>
      </w:tr>
      <w:tr>
        <w:trPr>
          <w:trHeight w:val="498"/>
        </w:trPr>
        <w:tc>
          <w:tcPr>
            <w:tcW w:w="3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tcPr>
          <w:p>
            <w:pPr>
              <w:jc w:val="right"/>
              <w:ind w:right="310"/>
              <w:spacing w:after="0"/>
              <w:rPr>
                <w:sz w:val="20"/>
                <w:szCs w:val="20"/>
                <w:color w:val="auto"/>
              </w:rPr>
            </w:pPr>
            <w:r>
              <w:rPr>
                <w:rFonts w:ascii="Arial" w:cs="Arial" w:eastAsia="Arial" w:hAnsi="Arial"/>
                <w:sz w:val="18"/>
                <w:szCs w:val="18"/>
                <w:b w:val="1"/>
                <w:bCs w:val="1"/>
                <w:color w:val="131E29"/>
              </w:rPr>
              <w:t>(541) 955-4700</w:t>
            </w:r>
          </w:p>
        </w:tc>
        <w:tc>
          <w:tcPr>
            <w:tcW w:w="8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760" w:type="dxa"/>
            <w:vAlign w:val="bottom"/>
          </w:tcPr>
          <w:p>
            <w:pPr>
              <w:spacing w:after="0"/>
              <w:rPr>
                <w:sz w:val="13"/>
                <w:szCs w:val="13"/>
                <w:color w:val="auto"/>
              </w:rPr>
            </w:pPr>
          </w:p>
        </w:tc>
        <w:tc>
          <w:tcPr>
            <w:tcW w:w="7500" w:type="dxa"/>
            <w:vAlign w:val="bottom"/>
            <w:gridSpan w:val="4"/>
          </w:tcPr>
          <w:p>
            <w:pPr>
              <w:jc w:val="center"/>
              <w:ind w:right="3696"/>
              <w:spacing w:after="0" w:line="153" w:lineRule="exact"/>
              <w:rPr>
                <w:sz w:val="20"/>
                <w:szCs w:val="20"/>
                <w:color w:val="auto"/>
              </w:rPr>
            </w:pPr>
            <w:r>
              <w:rPr>
                <w:rFonts w:ascii="Arial" w:cs="Arial" w:eastAsia="Arial" w:hAnsi="Arial"/>
                <w:sz w:val="14"/>
                <w:szCs w:val="14"/>
                <w:color w:val="131E29"/>
              </w:rPr>
              <w:t>(Registrant's telephone number, including area code)</w:t>
            </w:r>
          </w:p>
        </w:tc>
        <w:tc>
          <w:tcPr>
            <w:tcW w:w="0" w:type="dxa"/>
            <w:vAlign w:val="bottom"/>
          </w:tcPr>
          <w:p>
            <w:pPr>
              <w:spacing w:after="0"/>
              <w:rPr>
                <w:sz w:val="1"/>
                <w:szCs w:val="1"/>
                <w:color w:val="auto"/>
              </w:rPr>
            </w:pPr>
          </w:p>
        </w:tc>
      </w:tr>
      <w:tr>
        <w:trPr>
          <w:trHeight w:val="239"/>
        </w:trPr>
        <w:tc>
          <w:tcPr>
            <w:tcW w:w="7500" w:type="dxa"/>
            <w:vAlign w:val="bottom"/>
            <w:gridSpan w:val="4"/>
          </w:tcPr>
          <w:p>
            <w:pPr>
              <w:jc w:val="right"/>
              <w:ind w:right="296"/>
              <w:spacing w:after="0"/>
              <w:rPr>
                <w:sz w:val="20"/>
                <w:szCs w:val="20"/>
                <w:color w:val="auto"/>
              </w:rPr>
            </w:pPr>
            <w:r>
              <w:rPr>
                <w:rFonts w:ascii="Arial" w:cs="Arial" w:eastAsia="Arial" w:hAnsi="Arial"/>
                <w:sz w:val="18"/>
                <w:szCs w:val="18"/>
                <w:b w:val="1"/>
                <w:bCs w:val="1"/>
                <w:color w:val="auto"/>
              </w:rPr>
              <w:t>______________________________</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640" w:type="dxa"/>
            <w:vAlign w:val="bottom"/>
            <w:gridSpan w:val="3"/>
          </w:tcPr>
          <w:p>
            <w:pPr>
              <w:spacing w:after="0"/>
              <w:rPr>
                <w:sz w:val="20"/>
                <w:szCs w:val="20"/>
                <w:color w:val="auto"/>
              </w:rPr>
            </w:pPr>
            <w:r>
              <w:rPr>
                <w:rFonts w:ascii="Arial" w:cs="Arial" w:eastAsia="Arial" w:hAnsi="Arial"/>
                <w:sz w:val="18"/>
                <w:szCs w:val="18"/>
                <w:b w:val="1"/>
                <w:bCs w:val="1"/>
                <w:color w:val="131E29"/>
              </w:rPr>
              <w:t>Securities registered pursuant to Section 12(b) of the Act:</w:t>
            </w:r>
          </w:p>
        </w:tc>
        <w:tc>
          <w:tcPr>
            <w:tcW w:w="8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131E29"/>
                <w:w w:val="99"/>
              </w:rPr>
              <w:t>Title of Each Class</w:t>
            </w:r>
          </w:p>
        </w:tc>
        <w:tc>
          <w:tcPr>
            <w:tcW w:w="1040" w:type="dxa"/>
            <w:vAlign w:val="bottom"/>
          </w:tcPr>
          <w:p>
            <w:pPr>
              <w:spacing w:after="0"/>
              <w:rPr>
                <w:sz w:val="20"/>
                <w:szCs w:val="20"/>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b w:val="1"/>
                <w:bCs w:val="1"/>
                <w:color w:val="131E29"/>
                <w:w w:val="99"/>
              </w:rPr>
              <w:t>Trading Symbol</w:t>
            </w:r>
          </w:p>
        </w:tc>
        <w:tc>
          <w:tcPr>
            <w:tcW w:w="86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131E29"/>
                <w:w w:val="99"/>
              </w:rPr>
              <w:t>Name of Exchange on which Registered</w:t>
            </w:r>
          </w:p>
        </w:tc>
        <w:tc>
          <w:tcPr>
            <w:tcW w:w="0" w:type="dxa"/>
            <w:vAlign w:val="bottom"/>
          </w:tcPr>
          <w:p>
            <w:pPr>
              <w:spacing w:after="0"/>
              <w:rPr>
                <w:sz w:val="1"/>
                <w:szCs w:val="1"/>
                <w:color w:val="auto"/>
              </w:rPr>
            </w:pP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Class A Common Stock,</w:t>
            </w:r>
          </w:p>
        </w:tc>
        <w:tc>
          <w:tcPr>
            <w:tcW w:w="10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par value $0.00001 per share</w:t>
            </w:r>
          </w:p>
        </w:tc>
        <w:tc>
          <w:tcPr>
            <w:tcW w:w="1040" w:type="dxa"/>
            <w:vAlign w:val="bottom"/>
          </w:tcPr>
          <w:p>
            <w:pPr>
              <w:spacing w:after="0"/>
              <w:rPr>
                <w:sz w:val="18"/>
                <w:szCs w:val="18"/>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color w:val="auto"/>
              </w:rPr>
              <w:t>BROS</w:t>
            </w:r>
          </w:p>
        </w:tc>
        <w:tc>
          <w:tcPr>
            <w:tcW w:w="86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131E29"/>
                <w:w w:val="98"/>
              </w:rPr>
              <w:t>The New York Stock Exchange</w:t>
            </w:r>
          </w:p>
        </w:tc>
        <w:tc>
          <w:tcPr>
            <w:tcW w:w="0" w:type="dxa"/>
            <w:vAlign w:val="bottom"/>
          </w:tcPr>
          <w:p>
            <w:pPr>
              <w:spacing w:after="0"/>
              <w:rPr>
                <w:sz w:val="1"/>
                <w:szCs w:val="1"/>
                <w:color w:val="auto"/>
              </w:rPr>
            </w:pP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4"/>
          <w:szCs w:val="24"/>
          <w:color w:val="auto"/>
        </w:rPr>
      </w:pPr>
    </w:p>
    <w:p>
      <w:pPr>
        <w:jc w:val="both"/>
        <w:ind w:right="20"/>
        <w:spacing w:after="0" w:line="256" w:lineRule="auto"/>
        <w:rPr>
          <w:sz w:val="20"/>
          <w:szCs w:val="20"/>
          <w:color w:val="auto"/>
        </w:rPr>
      </w:pPr>
      <w:r>
        <w:rPr>
          <w:rFonts w:ascii="Arial" w:cs="Arial" w:eastAsia="Arial" w:hAnsi="Arial"/>
          <w:sz w:val="18"/>
          <w:szCs w:val="18"/>
          <w:color w:val="131E2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91" w:lineRule="exact"/>
        <w:rPr>
          <w:sz w:val="24"/>
          <w:szCs w:val="24"/>
          <w:color w:val="auto"/>
        </w:rPr>
      </w:pPr>
    </w:p>
    <w:p>
      <w:pPr>
        <w:jc w:val="both"/>
        <w:ind w:right="20"/>
        <w:spacing w:after="0" w:line="256" w:lineRule="auto"/>
        <w:rPr>
          <w:sz w:val="20"/>
          <w:szCs w:val="20"/>
          <w:color w:val="auto"/>
        </w:rPr>
      </w:pPr>
      <w:r>
        <w:rPr>
          <w:rFonts w:ascii="Arial" w:cs="Arial" w:eastAsia="Arial" w:hAnsi="Arial"/>
          <w:sz w:val="18"/>
          <w:szCs w:val="18"/>
          <w:color w:val="131E2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48" w:lineRule="exact"/>
        <w:rPr>
          <w:sz w:val="24"/>
          <w:szCs w:val="24"/>
          <w:color w:val="auto"/>
        </w:rPr>
      </w:pPr>
    </w:p>
    <w:p>
      <w:pPr>
        <w:jc w:val="both"/>
        <w:ind w:right="20"/>
        <w:spacing w:after="0" w:line="256" w:lineRule="auto"/>
        <w:rPr>
          <w:sz w:val="20"/>
          <w:szCs w:val="20"/>
          <w:color w:val="auto"/>
        </w:rPr>
      </w:pPr>
      <w:r>
        <w:rPr>
          <w:rFonts w:ascii="Arial" w:cs="Arial" w:eastAsia="Arial" w:hAnsi="Arial"/>
          <w:sz w:val="18"/>
          <w:szCs w:val="18"/>
          <w:color w:val="131E2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440" w:right="319" w:bottom="96"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17"/>
        </w:trPr>
        <w:tc>
          <w:tcPr>
            <w:tcW w:w="2980" w:type="dxa"/>
            <w:vAlign w:val="bottom"/>
            <w:vMerge w:val="restart"/>
          </w:tcPr>
          <w:p>
            <w:pPr>
              <w:spacing w:after="0"/>
              <w:rPr>
                <w:sz w:val="20"/>
                <w:szCs w:val="20"/>
                <w:color w:val="auto"/>
              </w:rPr>
            </w:pPr>
            <w:r>
              <w:rPr>
                <w:rFonts w:ascii="Arial" w:cs="Arial" w:eastAsia="Arial" w:hAnsi="Arial"/>
                <w:sz w:val="18"/>
                <w:szCs w:val="18"/>
                <w:color w:val="131E29"/>
              </w:rPr>
              <w:t>Large accelerated filer</w:t>
            </w:r>
          </w:p>
        </w:tc>
        <w:tc>
          <w:tcPr>
            <w:tcW w:w="2420" w:type="dxa"/>
            <w:vAlign w:val="bottom"/>
          </w:tcPr>
          <w:p>
            <w:pPr>
              <w:ind w:left="1200"/>
              <w:spacing w:after="0"/>
              <w:rPr>
                <w:sz w:val="20"/>
                <w:szCs w:val="20"/>
                <w:color w:val="auto"/>
              </w:rPr>
            </w:pPr>
            <w:r>
              <w:rPr>
                <w:rFonts w:ascii="Arial" w:cs="Arial" w:eastAsia="Arial" w:hAnsi="Arial"/>
                <w:sz w:val="18"/>
                <w:szCs w:val="18"/>
                <w:color w:val="131E29"/>
              </w:rPr>
              <w:t>o</w:t>
            </w:r>
          </w:p>
        </w:tc>
        <w:tc>
          <w:tcPr>
            <w:tcW w:w="4300" w:type="dxa"/>
            <w:vAlign w:val="bottom"/>
          </w:tcPr>
          <w:p>
            <w:pPr>
              <w:ind w:left="1120"/>
              <w:spacing w:after="0"/>
              <w:rPr>
                <w:sz w:val="20"/>
                <w:szCs w:val="20"/>
                <w:color w:val="auto"/>
              </w:rPr>
            </w:pPr>
            <w:r>
              <w:rPr>
                <w:rFonts w:ascii="Arial" w:cs="Arial" w:eastAsia="Arial" w:hAnsi="Arial"/>
                <w:sz w:val="18"/>
                <w:szCs w:val="18"/>
                <w:color w:val="131E29"/>
              </w:rPr>
              <w:t>Accelerated filer</w:t>
            </w:r>
          </w:p>
        </w:tc>
        <w:tc>
          <w:tcPr>
            <w:tcW w:w="1120" w:type="dxa"/>
            <w:vAlign w:val="bottom"/>
          </w:tcPr>
          <w:p>
            <w:pPr>
              <w:ind w:left="1020"/>
              <w:spacing w:after="0"/>
              <w:rPr>
                <w:sz w:val="20"/>
                <w:szCs w:val="20"/>
                <w:color w:val="auto"/>
              </w:rPr>
            </w:pPr>
            <w:r>
              <w:rPr>
                <w:rFonts w:ascii="Arial" w:cs="Arial" w:eastAsia="Arial" w:hAnsi="Arial"/>
                <w:sz w:val="18"/>
                <w:szCs w:val="18"/>
                <w:color w:val="131E29"/>
                <w:w w:val="79"/>
              </w:rPr>
              <w:t>o</w:t>
            </w:r>
          </w:p>
        </w:tc>
        <w:tc>
          <w:tcPr>
            <w:tcW w:w="0" w:type="dxa"/>
            <w:vAlign w:val="bottom"/>
          </w:tcPr>
          <w:p>
            <w:pPr>
              <w:spacing w:after="0"/>
              <w:rPr>
                <w:sz w:val="1"/>
                <w:szCs w:val="1"/>
                <w:color w:val="auto"/>
              </w:rPr>
            </w:pPr>
          </w:p>
        </w:tc>
      </w:tr>
      <w:tr>
        <w:trPr>
          <w:trHeight w:val="162"/>
        </w:trPr>
        <w:tc>
          <w:tcPr>
            <w:tcW w:w="2980" w:type="dxa"/>
            <w:vAlign w:val="bottom"/>
            <w:vMerge w:val="continue"/>
          </w:tcPr>
          <w:p>
            <w:pPr>
              <w:spacing w:after="0"/>
              <w:rPr>
                <w:sz w:val="14"/>
                <w:szCs w:val="14"/>
                <w:color w:val="auto"/>
              </w:rPr>
            </w:pPr>
          </w:p>
        </w:tc>
        <w:tc>
          <w:tcPr>
            <w:tcW w:w="24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0"/>
                <w:szCs w:val="20"/>
                <w:color w:val="auto"/>
              </w:rPr>
            </w:pPr>
            <w:r>
              <w:rPr>
                <w:rFonts w:ascii="Arial" w:cs="Arial" w:eastAsia="Arial" w:hAnsi="Arial"/>
                <w:sz w:val="18"/>
                <w:szCs w:val="18"/>
                <w:color w:val="131E29"/>
              </w:rPr>
              <w:t>Non-accelerated filer</w:t>
            </w:r>
          </w:p>
        </w:tc>
        <w:tc>
          <w:tcPr>
            <w:tcW w:w="2420" w:type="dxa"/>
            <w:vAlign w:val="bottom"/>
          </w:tcPr>
          <w:p>
            <w:pPr>
              <w:ind w:left="1200"/>
              <w:spacing w:after="0"/>
              <w:rPr>
                <w:sz w:val="20"/>
                <w:szCs w:val="20"/>
                <w:color w:val="auto"/>
              </w:rPr>
            </w:pPr>
            <w:r>
              <w:rPr>
                <w:rFonts w:ascii="Arial" w:cs="Arial" w:eastAsia="Arial" w:hAnsi="Arial"/>
                <w:sz w:val="18"/>
                <w:szCs w:val="18"/>
                <w:color w:val="131E29"/>
              </w:rPr>
              <w:t>x</w:t>
            </w:r>
          </w:p>
        </w:tc>
        <w:tc>
          <w:tcPr>
            <w:tcW w:w="4300" w:type="dxa"/>
            <w:vAlign w:val="bottom"/>
          </w:tcPr>
          <w:p>
            <w:pPr>
              <w:ind w:left="1120"/>
              <w:spacing w:after="0"/>
              <w:rPr>
                <w:sz w:val="20"/>
                <w:szCs w:val="20"/>
                <w:color w:val="auto"/>
              </w:rPr>
            </w:pPr>
            <w:r>
              <w:rPr>
                <w:rFonts w:ascii="Arial" w:cs="Arial" w:eastAsia="Arial" w:hAnsi="Arial"/>
                <w:sz w:val="18"/>
                <w:szCs w:val="18"/>
                <w:color w:val="131E29"/>
              </w:rPr>
              <w:t>Smaller reporting company</w:t>
            </w:r>
          </w:p>
        </w:tc>
        <w:tc>
          <w:tcPr>
            <w:tcW w:w="1120" w:type="dxa"/>
            <w:vAlign w:val="bottom"/>
          </w:tcPr>
          <w:p>
            <w:pPr>
              <w:ind w:left="1020"/>
              <w:spacing w:after="0"/>
              <w:rPr>
                <w:sz w:val="20"/>
                <w:szCs w:val="20"/>
                <w:color w:val="auto"/>
              </w:rPr>
            </w:pPr>
            <w:r>
              <w:rPr>
                <w:rFonts w:ascii="Arial" w:cs="Arial" w:eastAsia="Arial" w:hAnsi="Arial"/>
                <w:sz w:val="18"/>
                <w:szCs w:val="18"/>
                <w:color w:val="131E29"/>
                <w:w w:val="79"/>
              </w:rPr>
              <w:t>o</w:t>
            </w:r>
          </w:p>
        </w:tc>
        <w:tc>
          <w:tcPr>
            <w:tcW w:w="0" w:type="dxa"/>
            <w:vAlign w:val="bottom"/>
          </w:tcPr>
          <w:p>
            <w:pPr>
              <w:spacing w:after="0"/>
              <w:rPr>
                <w:sz w:val="1"/>
                <w:szCs w:val="1"/>
                <w:color w:val="auto"/>
              </w:rPr>
            </w:pPr>
          </w:p>
        </w:tc>
      </w:tr>
      <w:tr>
        <w:trPr>
          <w:trHeight w:val="432"/>
        </w:trPr>
        <w:tc>
          <w:tcPr>
            <w:tcW w:w="29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tcPr>
          <w:p>
            <w:pPr>
              <w:ind w:left="1120"/>
              <w:spacing w:after="0"/>
              <w:rPr>
                <w:sz w:val="20"/>
                <w:szCs w:val="20"/>
                <w:color w:val="auto"/>
              </w:rPr>
            </w:pPr>
            <w:r>
              <w:rPr>
                <w:rFonts w:ascii="Arial" w:cs="Arial" w:eastAsia="Arial" w:hAnsi="Arial"/>
                <w:sz w:val="18"/>
                <w:szCs w:val="18"/>
                <w:color w:val="131E29"/>
              </w:rPr>
              <w:t>Emerging growth company</w:t>
            </w:r>
          </w:p>
        </w:tc>
        <w:tc>
          <w:tcPr>
            <w:tcW w:w="1120" w:type="dxa"/>
            <w:vAlign w:val="bottom"/>
          </w:tcPr>
          <w:p>
            <w:pPr>
              <w:ind w:left="1020"/>
              <w:spacing w:after="0"/>
              <w:rPr>
                <w:sz w:val="20"/>
                <w:szCs w:val="20"/>
                <w:color w:val="auto"/>
              </w:rPr>
            </w:pPr>
            <w:r>
              <w:rPr>
                <w:rFonts w:ascii="Arial" w:cs="Arial" w:eastAsia="Arial" w:hAnsi="Arial"/>
                <w:sz w:val="18"/>
                <w:szCs w:val="18"/>
                <w:color w:val="131E29"/>
                <w:w w:val="88"/>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131E29"/>
        </w:rPr>
        <w:t>Indicate by check mark whether the registrant is a shell company (as defined in Rule 12b-2 of the Act). Yes o No 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As of November 7, 2022, the registrant’s outstanding shares of common stock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20" w:type="dxa"/>
            <w:vAlign w:val="bottom"/>
          </w:tcPr>
          <w:p>
            <w:pPr>
              <w:spacing w:after="0"/>
              <w:rPr>
                <w:sz w:val="21"/>
                <w:szCs w:val="21"/>
                <w:color w:val="auto"/>
              </w:rPr>
            </w:pPr>
          </w:p>
        </w:tc>
        <w:tc>
          <w:tcPr>
            <w:tcW w:w="3240" w:type="dxa"/>
            <w:vAlign w:val="bottom"/>
            <w:tcBorders>
              <w:bottom w:val="single" w:sz="8" w:color="D2DCE5"/>
            </w:tcBorders>
            <w:shd w:val="clear" w:color="auto" w:fill="D2DCE5"/>
          </w:tcPr>
          <w:p>
            <w:pPr>
              <w:ind w:left="580"/>
              <w:spacing w:after="0"/>
              <w:rPr>
                <w:sz w:val="20"/>
                <w:szCs w:val="20"/>
                <w:color w:val="auto"/>
              </w:rPr>
            </w:pPr>
            <w:r>
              <w:rPr>
                <w:rFonts w:ascii="Arial" w:cs="Arial" w:eastAsia="Arial" w:hAnsi="Arial"/>
                <w:sz w:val="18"/>
                <w:szCs w:val="18"/>
                <w:color w:val="auto"/>
              </w:rPr>
              <w:t>Class A common stock</w:t>
            </w:r>
          </w:p>
        </w:tc>
        <w:tc>
          <w:tcPr>
            <w:tcW w:w="2780" w:type="dxa"/>
            <w:vAlign w:val="bottom"/>
            <w:tcBorders>
              <w:bottom w:val="single" w:sz="8" w:color="D2DCE5"/>
            </w:tcBorders>
            <w:shd w:val="clear" w:color="auto" w:fill="D2DCE5"/>
          </w:tcPr>
          <w:p>
            <w:pPr>
              <w:jc w:val="right"/>
              <w:ind w:right="970"/>
              <w:spacing w:after="0"/>
              <w:rPr>
                <w:sz w:val="20"/>
                <w:szCs w:val="20"/>
                <w:color w:val="auto"/>
              </w:rPr>
            </w:pPr>
            <w:r>
              <w:rPr>
                <w:rFonts w:ascii="Arial" w:cs="Arial" w:eastAsia="Arial" w:hAnsi="Arial"/>
                <w:sz w:val="18"/>
                <w:szCs w:val="18"/>
                <w:color w:val="auto"/>
              </w:rPr>
              <w:t>45,541,195</w:t>
            </w:r>
          </w:p>
        </w:tc>
        <w:tc>
          <w:tcPr>
            <w:tcW w:w="2600" w:type="dxa"/>
            <w:vAlign w:val="bottom"/>
          </w:tcPr>
          <w:p>
            <w:pPr>
              <w:spacing w:after="0"/>
              <w:rPr>
                <w:sz w:val="21"/>
                <w:szCs w:val="21"/>
                <w:color w:val="auto"/>
              </w:rPr>
            </w:pPr>
          </w:p>
        </w:tc>
      </w:tr>
      <w:tr>
        <w:trPr>
          <w:trHeight w:val="243"/>
        </w:trPr>
        <w:tc>
          <w:tcPr>
            <w:tcW w:w="2620" w:type="dxa"/>
            <w:vAlign w:val="bottom"/>
          </w:tcPr>
          <w:p>
            <w:pPr>
              <w:spacing w:after="0"/>
              <w:rPr>
                <w:sz w:val="21"/>
                <w:szCs w:val="21"/>
                <w:color w:val="auto"/>
              </w:rPr>
            </w:pPr>
          </w:p>
        </w:tc>
        <w:tc>
          <w:tcPr>
            <w:tcW w:w="3240" w:type="dxa"/>
            <w:vAlign w:val="bottom"/>
          </w:tcPr>
          <w:p>
            <w:pPr>
              <w:ind w:left="580"/>
              <w:spacing w:after="0"/>
              <w:rPr>
                <w:sz w:val="20"/>
                <w:szCs w:val="20"/>
                <w:color w:val="auto"/>
              </w:rPr>
            </w:pPr>
            <w:r>
              <w:rPr>
                <w:rFonts w:ascii="Arial" w:cs="Arial" w:eastAsia="Arial" w:hAnsi="Arial"/>
                <w:sz w:val="18"/>
                <w:szCs w:val="18"/>
                <w:color w:val="auto"/>
              </w:rPr>
              <w:t>Class B common stock</w:t>
            </w:r>
          </w:p>
        </w:tc>
        <w:tc>
          <w:tcPr>
            <w:tcW w:w="2780" w:type="dxa"/>
            <w:vAlign w:val="bottom"/>
          </w:tcPr>
          <w:p>
            <w:pPr>
              <w:jc w:val="right"/>
              <w:ind w:right="970"/>
              <w:spacing w:after="0"/>
              <w:rPr>
                <w:sz w:val="20"/>
                <w:szCs w:val="20"/>
                <w:color w:val="auto"/>
              </w:rPr>
            </w:pPr>
            <w:r>
              <w:rPr>
                <w:rFonts w:ascii="Arial" w:cs="Arial" w:eastAsia="Arial" w:hAnsi="Arial"/>
                <w:sz w:val="18"/>
                <w:szCs w:val="18"/>
                <w:color w:val="auto"/>
              </w:rPr>
              <w:t>64,699,136</w:t>
            </w:r>
          </w:p>
        </w:tc>
        <w:tc>
          <w:tcPr>
            <w:tcW w:w="2600" w:type="dxa"/>
            <w:vAlign w:val="bottom"/>
          </w:tcPr>
          <w:p>
            <w:pPr>
              <w:spacing w:after="0"/>
              <w:rPr>
                <w:sz w:val="21"/>
                <w:szCs w:val="21"/>
                <w:color w:val="auto"/>
              </w:rPr>
            </w:pPr>
          </w:p>
        </w:tc>
      </w:tr>
      <w:tr>
        <w:trPr>
          <w:trHeight w:val="27"/>
        </w:trPr>
        <w:tc>
          <w:tcPr>
            <w:tcW w:w="26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2620" w:type="dxa"/>
            <w:vAlign w:val="bottom"/>
          </w:tcPr>
          <w:p>
            <w:pPr>
              <w:spacing w:after="0"/>
              <w:rPr>
                <w:sz w:val="21"/>
                <w:szCs w:val="21"/>
                <w:color w:val="auto"/>
              </w:rPr>
            </w:pPr>
          </w:p>
        </w:tc>
        <w:tc>
          <w:tcPr>
            <w:tcW w:w="3240" w:type="dxa"/>
            <w:vAlign w:val="bottom"/>
            <w:tcBorders>
              <w:bottom w:val="single" w:sz="8" w:color="D2DCE5"/>
            </w:tcBorders>
            <w:shd w:val="clear" w:color="auto" w:fill="D2DCE5"/>
          </w:tcPr>
          <w:p>
            <w:pPr>
              <w:ind w:left="580"/>
              <w:spacing w:after="0"/>
              <w:rPr>
                <w:sz w:val="20"/>
                <w:szCs w:val="20"/>
                <w:color w:val="auto"/>
              </w:rPr>
            </w:pPr>
            <w:r>
              <w:rPr>
                <w:rFonts w:ascii="Arial" w:cs="Arial" w:eastAsia="Arial" w:hAnsi="Arial"/>
                <w:sz w:val="18"/>
                <w:szCs w:val="18"/>
                <w:color w:val="auto"/>
              </w:rPr>
              <w:t>Class C common stock</w:t>
            </w:r>
          </w:p>
        </w:tc>
        <w:tc>
          <w:tcPr>
            <w:tcW w:w="2780" w:type="dxa"/>
            <w:vAlign w:val="bottom"/>
            <w:tcBorders>
              <w:bottom w:val="single" w:sz="8" w:color="D2DCE5"/>
            </w:tcBorders>
            <w:shd w:val="clear" w:color="auto" w:fill="D2DCE5"/>
          </w:tcPr>
          <w:p>
            <w:pPr>
              <w:jc w:val="right"/>
              <w:ind w:right="970"/>
              <w:spacing w:after="0"/>
              <w:rPr>
                <w:sz w:val="20"/>
                <w:szCs w:val="20"/>
                <w:color w:val="auto"/>
              </w:rPr>
            </w:pPr>
            <w:r>
              <w:rPr>
                <w:rFonts w:ascii="Arial" w:cs="Arial" w:eastAsia="Arial" w:hAnsi="Arial"/>
                <w:sz w:val="18"/>
                <w:szCs w:val="18"/>
                <w:color w:val="auto"/>
              </w:rPr>
              <w:t>41,056,429</w:t>
            </w:r>
          </w:p>
        </w:tc>
        <w:tc>
          <w:tcPr>
            <w:tcW w:w="2600" w:type="dxa"/>
            <w:vAlign w:val="bottom"/>
          </w:tcPr>
          <w:p>
            <w:pPr>
              <w:spacing w:after="0"/>
              <w:rPr>
                <w:sz w:val="21"/>
                <w:szCs w:val="21"/>
                <w:color w:val="auto"/>
              </w:rPr>
            </w:pPr>
          </w:p>
        </w:tc>
      </w:tr>
      <w:tr>
        <w:trPr>
          <w:trHeight w:val="243"/>
        </w:trPr>
        <w:tc>
          <w:tcPr>
            <w:tcW w:w="2620" w:type="dxa"/>
            <w:vAlign w:val="bottom"/>
          </w:tcPr>
          <w:p>
            <w:pPr>
              <w:spacing w:after="0"/>
              <w:rPr>
                <w:sz w:val="21"/>
                <w:szCs w:val="21"/>
                <w:color w:val="auto"/>
              </w:rPr>
            </w:pPr>
          </w:p>
        </w:tc>
        <w:tc>
          <w:tcPr>
            <w:tcW w:w="3240" w:type="dxa"/>
            <w:vAlign w:val="bottom"/>
          </w:tcPr>
          <w:p>
            <w:pPr>
              <w:ind w:left="580"/>
              <w:spacing w:after="0"/>
              <w:rPr>
                <w:sz w:val="20"/>
                <w:szCs w:val="20"/>
                <w:color w:val="auto"/>
              </w:rPr>
            </w:pPr>
            <w:r>
              <w:rPr>
                <w:rFonts w:ascii="Arial" w:cs="Arial" w:eastAsia="Arial" w:hAnsi="Arial"/>
                <w:sz w:val="18"/>
                <w:szCs w:val="18"/>
                <w:color w:val="auto"/>
              </w:rPr>
              <w:t>Class D common stock</w:t>
            </w:r>
          </w:p>
        </w:tc>
        <w:tc>
          <w:tcPr>
            <w:tcW w:w="2780" w:type="dxa"/>
            <w:vAlign w:val="bottom"/>
          </w:tcPr>
          <w:p>
            <w:pPr>
              <w:jc w:val="right"/>
              <w:ind w:right="970"/>
              <w:spacing w:after="0"/>
              <w:rPr>
                <w:sz w:val="20"/>
                <w:szCs w:val="20"/>
                <w:color w:val="auto"/>
              </w:rPr>
            </w:pPr>
            <w:r>
              <w:rPr>
                <w:rFonts w:ascii="Arial" w:cs="Arial" w:eastAsia="Arial" w:hAnsi="Arial"/>
                <w:sz w:val="18"/>
                <w:szCs w:val="18"/>
                <w:color w:val="auto"/>
              </w:rPr>
              <w:t>12,411,419</w:t>
            </w:r>
          </w:p>
        </w:tc>
        <w:tc>
          <w:tcPr>
            <w:tcW w:w="2600" w:type="dxa"/>
            <w:vAlign w:val="bottom"/>
          </w:tcPr>
          <w:p>
            <w:pPr>
              <w:spacing w:after="0"/>
              <w:rPr>
                <w:sz w:val="21"/>
                <w:szCs w:val="21"/>
                <w:color w:val="auto"/>
              </w:rPr>
            </w:pPr>
          </w:p>
        </w:tc>
      </w:tr>
      <w:tr>
        <w:trPr>
          <w:trHeight w:val="297"/>
        </w:trPr>
        <w:tc>
          <w:tcPr>
            <w:tcW w:w="26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r>
        <w:trPr>
          <w:trHeight w:val="34"/>
        </w:trPr>
        <w:tc>
          <w:tcPr>
            <w:tcW w:w="26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1661"/>
        </w:trPr>
        <w:tc>
          <w:tcPr>
            <w:tcW w:w="26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3" w:right="339" w:bottom="1440" w:gutter="0" w:footer="0" w:header="0"/>
        </w:sectPr>
      </w:pPr>
    </w:p>
    <w:bookmarkStart w:id="2" w:name="page3"/>
    <w:bookmarkEnd w:id="2"/>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320" w:type="dxa"/>
            <w:vAlign w:val="bottom"/>
          </w:tcPr>
          <w:p>
            <w:pPr>
              <w:spacing w:after="0"/>
              <w:rPr>
                <w:sz w:val="24"/>
                <w:szCs w:val="24"/>
                <w:color w:val="auto"/>
              </w:rPr>
            </w:pPr>
          </w:p>
        </w:tc>
        <w:tc>
          <w:tcPr>
            <w:tcW w:w="7620" w:type="dxa"/>
            <w:vAlign w:val="bottom"/>
          </w:tcPr>
          <w:p>
            <w:pPr>
              <w:jc w:val="center"/>
              <w:ind w:left="908"/>
              <w:spacing w:after="0"/>
              <w:rPr>
                <w:sz w:val="20"/>
                <w:szCs w:val="20"/>
                <w:color w:val="auto"/>
              </w:rPr>
            </w:pPr>
            <w:r>
              <w:rPr>
                <w:rFonts w:ascii="Arial" w:cs="Arial" w:eastAsia="Arial" w:hAnsi="Arial"/>
                <w:sz w:val="25"/>
                <w:szCs w:val="25"/>
                <w:b w:val="1"/>
                <w:bCs w:val="1"/>
                <w:color w:val="00416B"/>
              </w:rPr>
              <w:t>DUTCH BROS INC.</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320" w:type="dxa"/>
            <w:vAlign w:val="bottom"/>
          </w:tcPr>
          <w:p>
            <w:pPr>
              <w:spacing w:after="0"/>
              <w:rPr>
                <w:sz w:val="22"/>
                <w:szCs w:val="22"/>
                <w:color w:val="auto"/>
              </w:rPr>
            </w:pPr>
          </w:p>
        </w:tc>
        <w:tc>
          <w:tcPr>
            <w:tcW w:w="7620" w:type="dxa"/>
            <w:vAlign w:val="bottom"/>
          </w:tcPr>
          <w:p>
            <w:pPr>
              <w:jc w:val="center"/>
              <w:ind w:left="888"/>
              <w:spacing w:after="0"/>
              <w:rPr>
                <w:sz w:val="20"/>
                <w:szCs w:val="20"/>
                <w:color w:val="auto"/>
              </w:rPr>
            </w:pPr>
            <w:r>
              <w:rPr>
                <w:rFonts w:ascii="Arial" w:cs="Arial" w:eastAsia="Arial" w:hAnsi="Arial"/>
                <w:sz w:val="18"/>
                <w:szCs w:val="18"/>
                <w:color w:val="131E29"/>
                <w:w w:val="99"/>
              </w:rPr>
              <w:t>QUARTERLY REPORT ON FORM 10-Q</w:t>
            </w: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4"/>
                <w:szCs w:val="24"/>
                <w:color w:val="auto"/>
              </w:rPr>
            </w:pPr>
          </w:p>
        </w:tc>
        <w:tc>
          <w:tcPr>
            <w:tcW w:w="7620" w:type="dxa"/>
            <w:vAlign w:val="bottom"/>
          </w:tcPr>
          <w:p>
            <w:pPr>
              <w:jc w:val="center"/>
              <w:ind w:left="908"/>
              <w:spacing w:after="0"/>
              <w:rPr>
                <w:sz w:val="20"/>
                <w:szCs w:val="20"/>
                <w:color w:val="auto"/>
              </w:rPr>
            </w:pPr>
            <w:r>
              <w:rPr>
                <w:rFonts w:ascii="Arial" w:cs="Arial" w:eastAsia="Arial" w:hAnsi="Arial"/>
                <w:sz w:val="18"/>
                <w:szCs w:val="18"/>
                <w:color w:val="131E29"/>
                <w:w w:val="99"/>
              </w:rPr>
              <w:t>TABLE OF CONTENTS</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300" w:type="dxa"/>
            <w:vAlign w:val="bottom"/>
          </w:tcPr>
          <w:p>
            <w:pPr>
              <w:ind w:left="1720"/>
              <w:spacing w:after="0"/>
              <w:rPr>
                <w:sz w:val="20"/>
                <w:szCs w:val="20"/>
                <w:color w:val="auto"/>
              </w:rPr>
            </w:pPr>
            <w:r>
              <w:rPr>
                <w:rFonts w:ascii="Arial" w:cs="Arial" w:eastAsia="Arial" w:hAnsi="Arial"/>
                <w:sz w:val="18"/>
                <w:szCs w:val="18"/>
                <w:b w:val="1"/>
                <w:bCs w:val="1"/>
                <w:color w:val="131E29"/>
              </w:rPr>
              <w:t>Page</w:t>
            </w:r>
          </w:p>
        </w:tc>
        <w:tc>
          <w:tcPr>
            <w:tcW w:w="0" w:type="dxa"/>
            <w:vAlign w:val="bottom"/>
          </w:tcPr>
          <w:p>
            <w:pPr>
              <w:spacing w:after="0"/>
              <w:rPr>
                <w:sz w:val="1"/>
                <w:szCs w:val="1"/>
                <w:color w:val="auto"/>
              </w:rPr>
            </w:pPr>
          </w:p>
        </w:tc>
      </w:tr>
      <w:tr>
        <w:trPr>
          <w:trHeight w:val="364"/>
        </w:trPr>
        <w:tc>
          <w:tcPr>
            <w:tcW w:w="1320" w:type="dxa"/>
            <w:vAlign w:val="bottom"/>
          </w:tcPr>
          <w:p>
            <w:pPr>
              <w:ind w:left="20"/>
              <w:spacing w:after="0"/>
              <w:rPr>
                <w:sz w:val="20"/>
                <w:szCs w:val="20"/>
                <w:color w:val="auto"/>
              </w:rPr>
            </w:pPr>
            <w:r>
              <w:rPr>
                <w:rFonts w:ascii="Arial" w:cs="Arial" w:eastAsia="Arial" w:hAnsi="Arial"/>
                <w:sz w:val="18"/>
                <w:szCs w:val="18"/>
                <w:color w:val="131E29"/>
              </w:rPr>
              <w:t>Glossary</w:t>
            </w:r>
          </w:p>
        </w:tc>
        <w:tc>
          <w:tcPr>
            <w:tcW w:w="7620" w:type="dxa"/>
            <w:vAlign w:val="bottom"/>
          </w:tcPr>
          <w:p>
            <w:pPr>
              <w:spacing w:after="0"/>
              <w:rPr>
                <w:sz w:val="24"/>
                <w:szCs w:val="24"/>
                <w:color w:val="auto"/>
              </w:rPr>
            </w:pP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1</w:t>
            </w:r>
          </w:p>
        </w:tc>
        <w:tc>
          <w:tcPr>
            <w:tcW w:w="0" w:type="dxa"/>
            <w:vAlign w:val="bottom"/>
          </w:tcPr>
          <w:p>
            <w:pPr>
              <w:spacing w:after="0"/>
              <w:rPr>
                <w:sz w:val="1"/>
                <w:szCs w:val="1"/>
                <w:color w:val="auto"/>
              </w:rPr>
            </w:pPr>
          </w:p>
        </w:tc>
      </w:tr>
      <w:tr>
        <w:trPr>
          <w:trHeight w:val="189"/>
        </w:trPr>
        <w:tc>
          <w:tcPr>
            <w:tcW w:w="8940" w:type="dxa"/>
            <w:vAlign w:val="bottom"/>
            <w:tcBorders>
              <w:bottom w:val="single" w:sz="8" w:color="D2DCE5"/>
            </w:tcBorders>
            <w:gridSpan w:val="2"/>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940" w:type="dxa"/>
            <w:vAlign w:val="bottom"/>
            <w:gridSpan w:val="2"/>
          </w:tcPr>
          <w:p>
            <w:pPr>
              <w:ind w:left="20"/>
              <w:spacing w:after="0"/>
              <w:rPr>
                <w:sz w:val="20"/>
                <w:szCs w:val="20"/>
                <w:color w:val="auto"/>
              </w:rPr>
            </w:pPr>
            <w:r>
              <w:rPr>
                <w:rFonts w:ascii="Arial" w:cs="Arial" w:eastAsia="Arial" w:hAnsi="Arial"/>
                <w:sz w:val="18"/>
                <w:szCs w:val="18"/>
                <w:color w:val="131E29"/>
              </w:rPr>
              <w:t>Forward-Looking Statements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2</w:t>
            </w:r>
          </w:p>
        </w:tc>
        <w:tc>
          <w:tcPr>
            <w:tcW w:w="0" w:type="dxa"/>
            <w:vAlign w:val="bottom"/>
          </w:tcPr>
          <w:p>
            <w:pPr>
              <w:spacing w:after="0"/>
              <w:rPr>
                <w:sz w:val="1"/>
                <w:szCs w:val="1"/>
                <w:color w:val="auto"/>
              </w:rPr>
            </w:pPr>
          </w:p>
        </w:tc>
      </w:tr>
      <w:tr>
        <w:trPr>
          <w:trHeight w:val="189"/>
        </w:trPr>
        <w:tc>
          <w:tcPr>
            <w:tcW w:w="1320" w:type="dxa"/>
            <w:vAlign w:val="bottom"/>
            <w:tcBorders>
              <w:bottom w:val="single" w:sz="8" w:color="D2DCE5"/>
            </w:tcBorders>
          </w:tcPr>
          <w:p>
            <w:pPr>
              <w:spacing w:after="0"/>
              <w:rPr>
                <w:sz w:val="16"/>
                <w:szCs w:val="16"/>
                <w:color w:val="auto"/>
              </w:rPr>
            </w:pPr>
          </w:p>
        </w:tc>
        <w:tc>
          <w:tcPr>
            <w:tcW w:w="762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320" w:type="dxa"/>
            <w:vAlign w:val="bottom"/>
            <w:vMerge w:val="restart"/>
          </w:tcPr>
          <w:p>
            <w:pPr>
              <w:ind w:left="20"/>
              <w:spacing w:after="0"/>
              <w:rPr>
                <w:sz w:val="20"/>
                <w:szCs w:val="20"/>
                <w:color w:val="auto"/>
              </w:rPr>
            </w:pPr>
            <w:r>
              <w:rPr>
                <w:rFonts w:ascii="Arial" w:cs="Arial" w:eastAsia="Arial" w:hAnsi="Arial"/>
                <w:sz w:val="18"/>
                <w:szCs w:val="18"/>
                <w:b w:val="1"/>
                <w:bCs w:val="1"/>
                <w:color w:val="006098"/>
              </w:rPr>
              <w:t>PART I</w:t>
            </w:r>
          </w:p>
        </w:tc>
        <w:tc>
          <w:tcPr>
            <w:tcW w:w="7620" w:type="dxa"/>
            <w:vAlign w:val="bottom"/>
          </w:tcPr>
          <w:p>
            <w:pPr>
              <w:ind w:left="20"/>
              <w:spacing w:after="0"/>
              <w:rPr>
                <w:sz w:val="20"/>
                <w:szCs w:val="20"/>
                <w:color w:val="auto"/>
              </w:rPr>
            </w:pPr>
            <w:r>
              <w:rPr>
                <w:rFonts w:ascii="Arial" w:cs="Arial" w:eastAsia="Arial" w:hAnsi="Arial"/>
                <w:sz w:val="18"/>
                <w:szCs w:val="18"/>
                <w:b w:val="1"/>
                <w:bCs w:val="1"/>
                <w:color w:val="006098"/>
              </w:rPr>
              <w:t>FINANCIAL INFORMATION</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3</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320" w:type="dxa"/>
            <w:vAlign w:val="bottom"/>
            <w:tcBorders>
              <w:bottom w:val="single" w:sz="8" w:color="FDE021"/>
            </w:tcBorders>
          </w:tcPr>
          <w:p>
            <w:pPr>
              <w:spacing w:after="0"/>
              <w:rPr>
                <w:sz w:val="14"/>
                <w:szCs w:val="14"/>
                <w:color w:val="auto"/>
              </w:rPr>
            </w:pPr>
          </w:p>
        </w:tc>
        <w:tc>
          <w:tcPr>
            <w:tcW w:w="7620" w:type="dxa"/>
            <w:vAlign w:val="bottom"/>
            <w:tcBorders>
              <w:bottom w:val="single" w:sz="8" w:color="FDE021"/>
            </w:tcBorders>
          </w:tcPr>
          <w:p>
            <w:pPr>
              <w:spacing w:after="0"/>
              <w:rPr>
                <w:sz w:val="14"/>
                <w:szCs w:val="14"/>
                <w:color w:val="auto"/>
              </w:rPr>
            </w:pPr>
          </w:p>
        </w:tc>
        <w:tc>
          <w:tcPr>
            <w:tcW w:w="2300" w:type="dxa"/>
            <w:vAlign w:val="bottom"/>
            <w:tcBorders>
              <w:bottom w:val="single" w:sz="8" w:color="FDE021"/>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320" w:type="dxa"/>
            <w:vAlign w:val="bottom"/>
            <w:tcBorders>
              <w:top w:val="single" w:sz="8" w:color="00416B"/>
            </w:tcBorders>
            <w:vMerge w:val="restart"/>
          </w:tcPr>
          <w:p>
            <w:pPr>
              <w:ind w:left="140"/>
              <w:spacing w:after="0"/>
              <w:rPr>
                <w:sz w:val="20"/>
                <w:szCs w:val="20"/>
                <w:color w:val="auto"/>
              </w:rPr>
            </w:pPr>
            <w:r>
              <w:rPr>
                <w:rFonts w:ascii="Arial" w:cs="Arial" w:eastAsia="Arial" w:hAnsi="Arial"/>
                <w:sz w:val="18"/>
                <w:szCs w:val="18"/>
                <w:color w:val="auto"/>
              </w:rPr>
              <w:t>ITEM 1.</w:t>
            </w:r>
          </w:p>
        </w:tc>
        <w:tc>
          <w:tcPr>
            <w:tcW w:w="7620" w:type="dxa"/>
            <w:vAlign w:val="bottom"/>
            <w:tcBorders>
              <w:top w:val="single" w:sz="8" w:color="00416B"/>
            </w:tcBorders>
          </w:tcPr>
          <w:p>
            <w:pPr>
              <w:ind w:left="20"/>
              <w:spacing w:after="0"/>
              <w:rPr>
                <w:sz w:val="20"/>
                <w:szCs w:val="20"/>
                <w:color w:val="auto"/>
              </w:rPr>
            </w:pPr>
            <w:r>
              <w:rPr>
                <w:rFonts w:ascii="Arial" w:cs="Arial" w:eastAsia="Arial" w:hAnsi="Arial"/>
                <w:sz w:val="18"/>
                <w:szCs w:val="18"/>
                <w:color w:val="131E29"/>
              </w:rPr>
              <w:t>Financial Statements</w:t>
            </w:r>
          </w:p>
        </w:tc>
        <w:tc>
          <w:tcPr>
            <w:tcW w:w="2300" w:type="dxa"/>
            <w:vAlign w:val="bottom"/>
            <w:tcBorders>
              <w:top w:val="single" w:sz="8" w:color="00416B"/>
            </w:tcBorders>
          </w:tcPr>
          <w:p>
            <w:pPr>
              <w:jc w:val="center"/>
              <w:ind w:left="1470"/>
              <w:spacing w:after="0"/>
              <w:rPr>
                <w:sz w:val="20"/>
                <w:szCs w:val="20"/>
                <w:color w:val="auto"/>
              </w:rPr>
            </w:pPr>
            <w:r>
              <w:rPr>
                <w:rFonts w:ascii="Arial" w:cs="Arial" w:eastAsia="Arial" w:hAnsi="Arial"/>
                <w:sz w:val="18"/>
                <w:szCs w:val="18"/>
                <w:color w:val="131E29"/>
                <w:w w:val="99"/>
              </w:rPr>
              <w:t>3</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131E29"/>
              </w:rPr>
              <w:t>Condensed Consolidated Balance Sheets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3</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762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131E29"/>
              </w:rPr>
              <w:t>Condensed Consolidated Statements of Operations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5</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762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131E29"/>
              </w:rPr>
              <w:t>Condensed Consolidated Statements of Comprehensive Income (Loss)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6</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762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131E29"/>
              </w:rPr>
              <w:t>Condensed Consolidated Statements of Stockholders’/Members’ Equity</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7</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762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131E29"/>
              </w:rPr>
              <w:t>Condensed Consolidated Statements of Cash Flows</w:t>
            </w:r>
          </w:p>
        </w:tc>
        <w:tc>
          <w:tcPr>
            <w:tcW w:w="2300" w:type="dxa"/>
            <w:vAlign w:val="bottom"/>
          </w:tcPr>
          <w:p>
            <w:pPr>
              <w:jc w:val="center"/>
              <w:ind w:left="1490"/>
              <w:spacing w:after="0"/>
              <w:rPr>
                <w:sz w:val="20"/>
                <w:szCs w:val="20"/>
                <w:color w:val="auto"/>
              </w:rPr>
            </w:pPr>
            <w:r>
              <w:rPr>
                <w:rFonts w:ascii="Arial" w:cs="Arial" w:eastAsia="Arial" w:hAnsi="Arial"/>
                <w:sz w:val="18"/>
                <w:szCs w:val="18"/>
                <w:color w:val="131E29"/>
                <w:w w:val="99"/>
              </w:rPr>
              <w:t>11</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762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131E29"/>
              </w:rPr>
              <w:t>Notes to Condensed Consolidated Financial Statements</w:t>
            </w:r>
          </w:p>
        </w:tc>
        <w:tc>
          <w:tcPr>
            <w:tcW w:w="2300" w:type="dxa"/>
            <w:vAlign w:val="bottom"/>
          </w:tcPr>
          <w:p>
            <w:pPr>
              <w:jc w:val="center"/>
              <w:ind w:left="1490"/>
              <w:spacing w:after="0"/>
              <w:rPr>
                <w:sz w:val="20"/>
                <w:szCs w:val="20"/>
                <w:color w:val="auto"/>
              </w:rPr>
            </w:pPr>
            <w:r>
              <w:rPr>
                <w:rFonts w:ascii="Arial" w:cs="Arial" w:eastAsia="Arial" w:hAnsi="Arial"/>
                <w:sz w:val="18"/>
                <w:szCs w:val="18"/>
                <w:color w:val="131E29"/>
                <w:w w:val="99"/>
              </w:rPr>
              <w:t>13</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762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2.</w:t>
            </w:r>
          </w:p>
        </w:tc>
        <w:tc>
          <w:tcPr>
            <w:tcW w:w="7620" w:type="dxa"/>
            <w:vAlign w:val="bottom"/>
          </w:tcPr>
          <w:p>
            <w:pPr>
              <w:ind w:left="20"/>
              <w:spacing w:after="0"/>
              <w:rPr>
                <w:sz w:val="20"/>
                <w:szCs w:val="20"/>
                <w:color w:val="auto"/>
              </w:rPr>
            </w:pPr>
            <w:r>
              <w:rPr>
                <w:rFonts w:ascii="Arial" w:cs="Arial" w:eastAsia="Arial" w:hAnsi="Arial"/>
                <w:sz w:val="18"/>
                <w:szCs w:val="18"/>
                <w:color w:val="131E29"/>
              </w:rPr>
              <w:t>Management’s Discussion and Analysis of Financial Condition and</w:t>
            </w:r>
          </w:p>
        </w:tc>
        <w:tc>
          <w:tcPr>
            <w:tcW w:w="2300" w:type="dxa"/>
            <w:vAlign w:val="bottom"/>
          </w:tcPr>
          <w:p>
            <w:pPr>
              <w:jc w:val="center"/>
              <w:ind w:left="1490"/>
              <w:spacing w:after="0"/>
              <w:rPr>
                <w:sz w:val="20"/>
                <w:szCs w:val="20"/>
                <w:color w:val="auto"/>
              </w:rPr>
            </w:pPr>
            <w:r>
              <w:rPr>
                <w:rFonts w:ascii="Arial" w:cs="Arial" w:eastAsia="Arial" w:hAnsi="Arial"/>
                <w:sz w:val="18"/>
                <w:szCs w:val="18"/>
                <w:color w:val="131E29"/>
                <w:w w:val="99"/>
              </w:rPr>
              <w:t>44</w:t>
            </w:r>
          </w:p>
        </w:tc>
        <w:tc>
          <w:tcPr>
            <w:tcW w:w="0" w:type="dxa"/>
            <w:vAlign w:val="bottom"/>
          </w:tcPr>
          <w:p>
            <w:pPr>
              <w:spacing w:after="0"/>
              <w:rPr>
                <w:sz w:val="1"/>
                <w:szCs w:val="1"/>
                <w:color w:val="auto"/>
              </w:rPr>
            </w:pPr>
          </w:p>
        </w:tc>
      </w:tr>
      <w:tr>
        <w:trPr>
          <w:trHeight w:val="217"/>
        </w:trPr>
        <w:tc>
          <w:tcPr>
            <w:tcW w:w="1320" w:type="dxa"/>
            <w:vAlign w:val="bottom"/>
            <w:vMerge w:val="continue"/>
          </w:tcPr>
          <w:p>
            <w:pPr>
              <w:spacing w:after="0"/>
              <w:rPr>
                <w:sz w:val="18"/>
                <w:szCs w:val="18"/>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131E29"/>
              </w:rPr>
              <w:t>Results of Operations</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3.</w:t>
            </w:r>
          </w:p>
        </w:tc>
        <w:tc>
          <w:tcPr>
            <w:tcW w:w="7620" w:type="dxa"/>
            <w:vAlign w:val="bottom"/>
          </w:tcPr>
          <w:p>
            <w:pPr>
              <w:ind w:left="20"/>
              <w:spacing w:after="0"/>
              <w:rPr>
                <w:sz w:val="20"/>
                <w:szCs w:val="20"/>
                <w:color w:val="auto"/>
              </w:rPr>
            </w:pPr>
            <w:r>
              <w:rPr>
                <w:rFonts w:ascii="Arial" w:cs="Arial" w:eastAsia="Arial" w:hAnsi="Arial"/>
                <w:sz w:val="18"/>
                <w:szCs w:val="18"/>
                <w:color w:val="131E29"/>
              </w:rPr>
              <w:t>Quantitative and Qualitative Disclosures About Market Risk</w:t>
            </w:r>
          </w:p>
        </w:tc>
        <w:tc>
          <w:tcPr>
            <w:tcW w:w="2300" w:type="dxa"/>
            <w:vAlign w:val="bottom"/>
          </w:tcPr>
          <w:p>
            <w:pPr>
              <w:jc w:val="center"/>
              <w:ind w:left="1490"/>
              <w:spacing w:after="0"/>
              <w:rPr>
                <w:sz w:val="20"/>
                <w:szCs w:val="20"/>
                <w:color w:val="auto"/>
              </w:rPr>
            </w:pPr>
            <w:r>
              <w:rPr>
                <w:rFonts w:ascii="Arial" w:cs="Arial" w:eastAsia="Arial" w:hAnsi="Arial"/>
                <w:sz w:val="18"/>
                <w:szCs w:val="18"/>
                <w:color w:val="131E29"/>
                <w:w w:val="99"/>
              </w:rPr>
              <w:t>63</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4.</w:t>
            </w:r>
          </w:p>
        </w:tc>
        <w:tc>
          <w:tcPr>
            <w:tcW w:w="7620" w:type="dxa"/>
            <w:vAlign w:val="bottom"/>
          </w:tcPr>
          <w:p>
            <w:pPr>
              <w:ind w:left="20"/>
              <w:spacing w:after="0"/>
              <w:rPr>
                <w:sz w:val="20"/>
                <w:szCs w:val="20"/>
                <w:color w:val="auto"/>
              </w:rPr>
            </w:pPr>
            <w:r>
              <w:rPr>
                <w:rFonts w:ascii="Arial" w:cs="Arial" w:eastAsia="Arial" w:hAnsi="Arial"/>
                <w:sz w:val="18"/>
                <w:szCs w:val="18"/>
                <w:color w:val="131E29"/>
              </w:rPr>
              <w:t>Controls and Procedures</w:t>
            </w:r>
          </w:p>
        </w:tc>
        <w:tc>
          <w:tcPr>
            <w:tcW w:w="2300" w:type="dxa"/>
            <w:vAlign w:val="bottom"/>
          </w:tcPr>
          <w:p>
            <w:pPr>
              <w:jc w:val="center"/>
              <w:ind w:left="1490"/>
              <w:spacing w:after="0"/>
              <w:rPr>
                <w:sz w:val="20"/>
                <w:szCs w:val="20"/>
                <w:color w:val="auto"/>
              </w:rPr>
            </w:pPr>
            <w:r>
              <w:rPr>
                <w:rFonts w:ascii="Arial" w:cs="Arial" w:eastAsia="Arial" w:hAnsi="Arial"/>
                <w:sz w:val="18"/>
                <w:szCs w:val="18"/>
                <w:color w:val="131E29"/>
                <w:w w:val="99"/>
              </w:rPr>
              <w:t>65</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320" w:type="dxa"/>
            <w:vAlign w:val="bottom"/>
            <w:vMerge w:val="restart"/>
          </w:tcPr>
          <w:p>
            <w:pPr>
              <w:ind w:left="20"/>
              <w:spacing w:after="0"/>
              <w:rPr>
                <w:sz w:val="20"/>
                <w:szCs w:val="20"/>
                <w:color w:val="auto"/>
              </w:rPr>
            </w:pPr>
            <w:r>
              <w:rPr>
                <w:rFonts w:ascii="Arial" w:cs="Arial" w:eastAsia="Arial" w:hAnsi="Arial"/>
                <w:sz w:val="18"/>
                <w:szCs w:val="18"/>
                <w:b w:val="1"/>
                <w:bCs w:val="1"/>
                <w:color w:val="006098"/>
              </w:rPr>
              <w:t>PART II</w:t>
            </w:r>
          </w:p>
        </w:tc>
        <w:tc>
          <w:tcPr>
            <w:tcW w:w="7620" w:type="dxa"/>
            <w:vAlign w:val="bottom"/>
          </w:tcPr>
          <w:p>
            <w:pPr>
              <w:ind w:left="20"/>
              <w:spacing w:after="0"/>
              <w:rPr>
                <w:sz w:val="20"/>
                <w:szCs w:val="20"/>
                <w:color w:val="auto"/>
              </w:rPr>
            </w:pPr>
            <w:r>
              <w:rPr>
                <w:rFonts w:ascii="Arial" w:cs="Arial" w:eastAsia="Arial" w:hAnsi="Arial"/>
                <w:sz w:val="18"/>
                <w:szCs w:val="18"/>
                <w:b w:val="1"/>
                <w:bCs w:val="1"/>
                <w:color w:val="006098"/>
              </w:rPr>
              <w:t>OTHER INFORMATION</w:t>
            </w:r>
          </w:p>
        </w:tc>
        <w:tc>
          <w:tcPr>
            <w:tcW w:w="2300" w:type="dxa"/>
            <w:vAlign w:val="bottom"/>
            <w:vMerge w:val="restart"/>
          </w:tcPr>
          <w:p>
            <w:pPr>
              <w:jc w:val="center"/>
              <w:ind w:left="1490"/>
              <w:spacing w:after="0"/>
              <w:rPr>
                <w:sz w:val="20"/>
                <w:szCs w:val="20"/>
                <w:color w:val="auto"/>
              </w:rPr>
            </w:pPr>
            <w:r>
              <w:rPr>
                <w:rFonts w:ascii="Arial" w:cs="Arial" w:eastAsia="Arial" w:hAnsi="Arial"/>
                <w:sz w:val="18"/>
                <w:szCs w:val="18"/>
                <w:color w:val="auto"/>
                <w:w w:val="99"/>
              </w:rPr>
              <w:t>66</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320" w:type="dxa"/>
            <w:vAlign w:val="bottom"/>
            <w:tcBorders>
              <w:bottom w:val="single" w:sz="8" w:color="FDE021"/>
            </w:tcBorders>
          </w:tcPr>
          <w:p>
            <w:pPr>
              <w:spacing w:after="0"/>
              <w:rPr>
                <w:sz w:val="14"/>
                <w:szCs w:val="14"/>
                <w:color w:val="auto"/>
              </w:rPr>
            </w:pPr>
          </w:p>
        </w:tc>
        <w:tc>
          <w:tcPr>
            <w:tcW w:w="7620" w:type="dxa"/>
            <w:vAlign w:val="bottom"/>
            <w:tcBorders>
              <w:bottom w:val="single" w:sz="8" w:color="FDE021"/>
            </w:tcBorders>
          </w:tcPr>
          <w:p>
            <w:pPr>
              <w:spacing w:after="0"/>
              <w:rPr>
                <w:sz w:val="14"/>
                <w:szCs w:val="14"/>
                <w:color w:val="auto"/>
              </w:rPr>
            </w:pPr>
          </w:p>
        </w:tc>
        <w:tc>
          <w:tcPr>
            <w:tcW w:w="2300" w:type="dxa"/>
            <w:vAlign w:val="bottom"/>
            <w:tcBorders>
              <w:bottom w:val="single" w:sz="8" w:color="FDE021"/>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320" w:type="dxa"/>
            <w:vAlign w:val="bottom"/>
            <w:tcBorders>
              <w:top w:val="single" w:sz="8" w:color="00416B"/>
            </w:tcBorders>
            <w:vMerge w:val="restart"/>
          </w:tcPr>
          <w:p>
            <w:pPr>
              <w:ind w:left="140"/>
              <w:spacing w:after="0"/>
              <w:rPr>
                <w:sz w:val="20"/>
                <w:szCs w:val="20"/>
                <w:color w:val="auto"/>
              </w:rPr>
            </w:pPr>
            <w:r>
              <w:rPr>
                <w:rFonts w:ascii="Arial" w:cs="Arial" w:eastAsia="Arial" w:hAnsi="Arial"/>
                <w:sz w:val="18"/>
                <w:szCs w:val="18"/>
                <w:color w:val="auto"/>
              </w:rPr>
              <w:t>ITEM 1.</w:t>
            </w:r>
          </w:p>
        </w:tc>
        <w:tc>
          <w:tcPr>
            <w:tcW w:w="7620" w:type="dxa"/>
            <w:vAlign w:val="bottom"/>
            <w:tcBorders>
              <w:top w:val="single" w:sz="8" w:color="00416B"/>
            </w:tcBorders>
          </w:tcPr>
          <w:p>
            <w:pPr>
              <w:ind w:left="20"/>
              <w:spacing w:after="0"/>
              <w:rPr>
                <w:sz w:val="20"/>
                <w:szCs w:val="20"/>
                <w:color w:val="auto"/>
              </w:rPr>
            </w:pPr>
            <w:r>
              <w:rPr>
                <w:rFonts w:ascii="Arial" w:cs="Arial" w:eastAsia="Arial" w:hAnsi="Arial"/>
                <w:sz w:val="18"/>
                <w:szCs w:val="18"/>
                <w:color w:val="131E29"/>
              </w:rPr>
              <w:t>Legal Proceedings</w:t>
            </w:r>
          </w:p>
        </w:tc>
        <w:tc>
          <w:tcPr>
            <w:tcW w:w="2300" w:type="dxa"/>
            <w:vAlign w:val="bottom"/>
            <w:tcBorders>
              <w:top w:val="single" w:sz="8" w:color="00416B"/>
            </w:tcBorders>
          </w:tcPr>
          <w:p>
            <w:pPr>
              <w:jc w:val="center"/>
              <w:ind w:left="1490"/>
              <w:spacing w:after="0"/>
              <w:rPr>
                <w:sz w:val="20"/>
                <w:szCs w:val="20"/>
                <w:color w:val="auto"/>
              </w:rPr>
            </w:pPr>
            <w:r>
              <w:rPr>
                <w:rFonts w:ascii="Arial" w:cs="Arial" w:eastAsia="Arial" w:hAnsi="Arial"/>
                <w:sz w:val="18"/>
                <w:szCs w:val="18"/>
                <w:color w:val="131E29"/>
                <w:w w:val="99"/>
              </w:rPr>
              <w:t>66</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1A.</w:t>
            </w:r>
          </w:p>
        </w:tc>
        <w:tc>
          <w:tcPr>
            <w:tcW w:w="7620" w:type="dxa"/>
            <w:vAlign w:val="bottom"/>
          </w:tcPr>
          <w:p>
            <w:pPr>
              <w:ind w:left="20"/>
              <w:spacing w:after="0"/>
              <w:rPr>
                <w:sz w:val="20"/>
                <w:szCs w:val="20"/>
                <w:color w:val="auto"/>
              </w:rPr>
            </w:pPr>
            <w:r>
              <w:rPr>
                <w:rFonts w:ascii="Arial" w:cs="Arial" w:eastAsia="Arial" w:hAnsi="Arial"/>
                <w:sz w:val="18"/>
                <w:szCs w:val="18"/>
                <w:color w:val="131E29"/>
              </w:rPr>
              <w:t>Risk Factors</w:t>
            </w:r>
          </w:p>
        </w:tc>
        <w:tc>
          <w:tcPr>
            <w:tcW w:w="2300" w:type="dxa"/>
            <w:vAlign w:val="bottom"/>
          </w:tcPr>
          <w:p>
            <w:pPr>
              <w:jc w:val="center"/>
              <w:ind w:left="1490"/>
              <w:spacing w:after="0"/>
              <w:rPr>
                <w:sz w:val="20"/>
                <w:szCs w:val="20"/>
                <w:color w:val="auto"/>
              </w:rPr>
            </w:pPr>
            <w:r>
              <w:rPr>
                <w:rFonts w:ascii="Arial" w:cs="Arial" w:eastAsia="Arial" w:hAnsi="Arial"/>
                <w:sz w:val="18"/>
                <w:szCs w:val="18"/>
                <w:color w:val="131E29"/>
                <w:w w:val="99"/>
              </w:rPr>
              <w:t>67</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2.</w:t>
            </w:r>
          </w:p>
        </w:tc>
        <w:tc>
          <w:tcPr>
            <w:tcW w:w="7620" w:type="dxa"/>
            <w:vAlign w:val="bottom"/>
          </w:tcPr>
          <w:p>
            <w:pPr>
              <w:ind w:left="20"/>
              <w:spacing w:after="0"/>
              <w:rPr>
                <w:sz w:val="20"/>
                <w:szCs w:val="20"/>
                <w:color w:val="auto"/>
              </w:rPr>
            </w:pPr>
            <w:r>
              <w:rPr>
                <w:rFonts w:ascii="Arial" w:cs="Arial" w:eastAsia="Arial" w:hAnsi="Arial"/>
                <w:sz w:val="18"/>
                <w:szCs w:val="18"/>
                <w:color w:val="131E29"/>
              </w:rPr>
              <w:t>Unregistered Sales of Equity Securities and Use of Proceeds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111</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3.</w:t>
            </w:r>
          </w:p>
        </w:tc>
        <w:tc>
          <w:tcPr>
            <w:tcW w:w="7620" w:type="dxa"/>
            <w:vAlign w:val="bottom"/>
          </w:tcPr>
          <w:p>
            <w:pPr>
              <w:ind w:left="20"/>
              <w:spacing w:after="0"/>
              <w:rPr>
                <w:sz w:val="20"/>
                <w:szCs w:val="20"/>
                <w:color w:val="auto"/>
              </w:rPr>
            </w:pPr>
            <w:r>
              <w:rPr>
                <w:rFonts w:ascii="Arial" w:cs="Arial" w:eastAsia="Arial" w:hAnsi="Arial"/>
                <w:sz w:val="18"/>
                <w:szCs w:val="18"/>
                <w:color w:val="131E29"/>
              </w:rPr>
              <w:t>Defaults Upon Senior Securities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111</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4.</w:t>
            </w:r>
          </w:p>
        </w:tc>
        <w:tc>
          <w:tcPr>
            <w:tcW w:w="7620" w:type="dxa"/>
            <w:vAlign w:val="bottom"/>
          </w:tcPr>
          <w:p>
            <w:pPr>
              <w:ind w:left="20"/>
              <w:spacing w:after="0"/>
              <w:rPr>
                <w:sz w:val="20"/>
                <w:szCs w:val="20"/>
                <w:color w:val="auto"/>
              </w:rPr>
            </w:pPr>
            <w:r>
              <w:rPr>
                <w:rFonts w:ascii="Arial" w:cs="Arial" w:eastAsia="Arial" w:hAnsi="Arial"/>
                <w:sz w:val="18"/>
                <w:szCs w:val="18"/>
                <w:color w:val="131E29"/>
              </w:rPr>
              <w:t>Mine Safety Disclosure</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112</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5.</w:t>
            </w:r>
          </w:p>
        </w:tc>
        <w:tc>
          <w:tcPr>
            <w:tcW w:w="7620" w:type="dxa"/>
            <w:vAlign w:val="bottom"/>
          </w:tcPr>
          <w:p>
            <w:pPr>
              <w:ind w:left="20"/>
              <w:spacing w:after="0"/>
              <w:rPr>
                <w:sz w:val="20"/>
                <w:szCs w:val="20"/>
                <w:color w:val="auto"/>
              </w:rPr>
            </w:pPr>
            <w:r>
              <w:rPr>
                <w:rFonts w:ascii="Arial" w:cs="Arial" w:eastAsia="Arial" w:hAnsi="Arial"/>
                <w:sz w:val="18"/>
                <w:szCs w:val="18"/>
                <w:color w:val="131E29"/>
              </w:rPr>
              <w:t>Other Information</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112</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6.</w:t>
            </w:r>
          </w:p>
        </w:tc>
        <w:tc>
          <w:tcPr>
            <w:tcW w:w="7620" w:type="dxa"/>
            <w:vAlign w:val="bottom"/>
          </w:tcPr>
          <w:p>
            <w:pPr>
              <w:ind w:left="20"/>
              <w:spacing w:after="0"/>
              <w:rPr>
                <w:sz w:val="20"/>
                <w:szCs w:val="20"/>
                <w:color w:val="auto"/>
              </w:rPr>
            </w:pPr>
            <w:r>
              <w:rPr>
                <w:rFonts w:ascii="Arial" w:cs="Arial" w:eastAsia="Arial" w:hAnsi="Arial"/>
                <w:sz w:val="18"/>
                <w:szCs w:val="18"/>
                <w:color w:val="131E29"/>
              </w:rPr>
              <w:t>Exhibits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113</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320" w:type="dxa"/>
            <w:vAlign w:val="bottom"/>
          </w:tcPr>
          <w:p>
            <w:pPr>
              <w:ind w:left="20"/>
              <w:spacing w:after="0"/>
              <w:rPr>
                <w:sz w:val="20"/>
                <w:szCs w:val="20"/>
                <w:color w:val="auto"/>
              </w:rPr>
            </w:pPr>
            <w:r>
              <w:rPr>
                <w:rFonts w:ascii="Arial" w:cs="Arial" w:eastAsia="Arial" w:hAnsi="Arial"/>
                <w:sz w:val="18"/>
                <w:szCs w:val="18"/>
                <w:b w:val="1"/>
                <w:bCs w:val="1"/>
                <w:color w:val="006098"/>
              </w:rPr>
              <w:t>SIGNATURES</w:t>
            </w:r>
          </w:p>
        </w:tc>
        <w:tc>
          <w:tcPr>
            <w:tcW w:w="7620" w:type="dxa"/>
            <w:vAlign w:val="bottom"/>
          </w:tcPr>
          <w:p>
            <w:pPr>
              <w:spacing w:after="0"/>
              <w:rPr>
                <w:sz w:val="24"/>
                <w:szCs w:val="24"/>
                <w:color w:val="auto"/>
              </w:rPr>
            </w:pP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114</w:t>
            </w:r>
          </w:p>
        </w:tc>
        <w:tc>
          <w:tcPr>
            <w:tcW w:w="0" w:type="dxa"/>
            <w:vAlign w:val="bottom"/>
          </w:tcPr>
          <w:p>
            <w:pPr>
              <w:spacing w:after="0"/>
              <w:rPr>
                <w:sz w:val="1"/>
                <w:szCs w:val="1"/>
                <w:color w:val="auto"/>
              </w:rPr>
            </w:pPr>
          </w:p>
        </w:tc>
      </w:tr>
      <w:tr>
        <w:trPr>
          <w:trHeight w:val="336"/>
        </w:trPr>
        <w:tc>
          <w:tcPr>
            <w:tcW w:w="1320" w:type="dxa"/>
            <w:vAlign w:val="bottom"/>
            <w:tcBorders>
              <w:bottom w:val="single" w:sz="8" w:color="FDE021"/>
            </w:tcBorders>
          </w:tcPr>
          <w:p>
            <w:pPr>
              <w:spacing w:after="0"/>
              <w:rPr>
                <w:sz w:val="24"/>
                <w:szCs w:val="24"/>
                <w:color w:val="auto"/>
              </w:rPr>
            </w:pPr>
          </w:p>
        </w:tc>
        <w:tc>
          <w:tcPr>
            <w:tcW w:w="7620" w:type="dxa"/>
            <w:vAlign w:val="bottom"/>
            <w:tcBorders>
              <w:bottom w:val="single" w:sz="8" w:color="FDE021"/>
            </w:tcBorders>
          </w:tcPr>
          <w:p>
            <w:pPr>
              <w:spacing w:after="0"/>
              <w:rPr>
                <w:sz w:val="24"/>
                <w:szCs w:val="24"/>
                <w:color w:val="auto"/>
              </w:rPr>
            </w:pPr>
          </w:p>
        </w:tc>
        <w:tc>
          <w:tcPr>
            <w:tcW w:w="2300" w:type="dxa"/>
            <w:vAlign w:val="bottom"/>
            <w:tcBorders>
              <w:bottom w:val="single" w:sz="8" w:color="FDE021"/>
            </w:tcBorders>
          </w:tcPr>
          <w:p>
            <w:pPr>
              <w:spacing w:after="0"/>
              <w:rPr>
                <w:sz w:val="24"/>
                <w:szCs w:val="24"/>
                <w:color w:val="auto"/>
              </w:rPr>
            </w:pPr>
          </w:p>
        </w:tc>
        <w:tc>
          <w:tcPr>
            <w:tcW w:w="0" w:type="dxa"/>
            <w:vAlign w:val="bottom"/>
          </w:tcPr>
          <w:p>
            <w:pPr>
              <w:spacing w:after="0"/>
              <w:rPr>
                <w:sz w:val="1"/>
                <w:szCs w:val="1"/>
                <w:color w:val="auto"/>
              </w:rPr>
            </w:pPr>
          </w:p>
        </w:tc>
      </w:tr>
      <w:tr>
        <w:trPr>
          <w:trHeight w:val="1667"/>
        </w:trPr>
        <w:tc>
          <w:tcPr>
            <w:tcW w:w="1320" w:type="dxa"/>
            <w:vAlign w:val="bottom"/>
            <w:tcBorders>
              <w:top w:val="single" w:sz="8" w:color="00416B"/>
              <w:bottom w:val="single" w:sz="8" w:color="9A9A9A"/>
            </w:tcBorders>
          </w:tcPr>
          <w:p>
            <w:pPr>
              <w:spacing w:after="0"/>
              <w:rPr>
                <w:sz w:val="24"/>
                <w:szCs w:val="24"/>
                <w:color w:val="auto"/>
              </w:rPr>
            </w:pPr>
          </w:p>
        </w:tc>
        <w:tc>
          <w:tcPr>
            <w:tcW w:w="7620" w:type="dxa"/>
            <w:vAlign w:val="bottom"/>
            <w:tcBorders>
              <w:top w:val="single" w:sz="8" w:color="00416B"/>
              <w:bottom w:val="single" w:sz="8" w:color="9A9A9A"/>
            </w:tcBorders>
          </w:tcPr>
          <w:p>
            <w:pPr>
              <w:spacing w:after="0"/>
              <w:rPr>
                <w:sz w:val="24"/>
                <w:szCs w:val="24"/>
                <w:color w:val="auto"/>
              </w:rPr>
            </w:pPr>
          </w:p>
        </w:tc>
        <w:tc>
          <w:tcPr>
            <w:tcW w:w="2300" w:type="dxa"/>
            <w:vAlign w:val="bottom"/>
            <w:tcBorders>
              <w:top w:val="single" w:sz="8" w:color="00416B"/>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00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00416B"/>
        </w:rPr>
        <w:t>GLOSSARY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As used in this Quarterly Report on Form 10-Q (this Form 10-Q), the terms identified below have the meanings specified below unless otherwise noted or the context requires otherwise. References in this Form 10-Q to “Dutch Bros,” the “Company,” “we,” “us” and “our” refer to Dutch Bros Inc. and its consolidated subsidiaries unless the context indicates otherwise.</w:t>
      </w:r>
    </w:p>
    <w:p>
      <w:pPr>
        <w:spacing w:after="0" w:line="126" w:lineRule="exact"/>
        <w:rPr>
          <w:sz w:val="20"/>
          <w:szCs w:val="20"/>
          <w:color w:val="auto"/>
        </w:rPr>
      </w:pPr>
    </w:p>
    <w:p>
      <w:pPr>
        <w:ind w:left="340" w:hanging="332"/>
        <w:spacing w:after="0" w:line="287" w:lineRule="auto"/>
        <w:tabs>
          <w:tab w:leader="none" w:pos="335"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Blocker Companies </w:t>
      </w:r>
      <w:r>
        <w:rPr>
          <w:rFonts w:ascii="Arial" w:cs="Arial" w:eastAsia="Arial" w:hAnsi="Arial"/>
          <w:sz w:val="18"/>
          <w:szCs w:val="18"/>
          <w:color w:val="131E29"/>
        </w:rPr>
        <w:t>refers to certain Dutch Bros OpCo unitholders prior to the Reorganization Transactions that were taxable as</w:t>
      </w:r>
      <w:r>
        <w:rPr>
          <w:rFonts w:ascii="Arial" w:cs="Arial" w:eastAsia="Arial" w:hAnsi="Arial"/>
          <w:sz w:val="18"/>
          <w:szCs w:val="18"/>
          <w:b w:val="1"/>
          <w:bCs w:val="1"/>
          <w:color w:val="131E29"/>
        </w:rPr>
        <w:t xml:space="preserve"> </w:t>
      </w:r>
      <w:r>
        <w:rPr>
          <w:rFonts w:ascii="Arial" w:cs="Arial" w:eastAsia="Arial" w:hAnsi="Arial"/>
          <w:sz w:val="18"/>
          <w:szCs w:val="18"/>
          <w:color w:val="131E29"/>
        </w:rPr>
        <w:t>corporations for U.S. federal income tax purposes.</w:t>
      </w:r>
    </w:p>
    <w:p>
      <w:pPr>
        <w:spacing w:after="0" w:line="44"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BPS or bps </w:t>
      </w:r>
      <w:r>
        <w:rPr>
          <w:rFonts w:ascii="Arial" w:cs="Arial" w:eastAsia="Arial" w:hAnsi="Arial"/>
          <w:sz w:val="18"/>
          <w:szCs w:val="18"/>
          <w:color w:val="131E29"/>
        </w:rPr>
        <w:t>refers to basis points which is used to express differences in rates. One basis point is the equivalent of 1/100 of one</w:t>
      </w:r>
      <w:r>
        <w:rPr>
          <w:rFonts w:ascii="Arial" w:cs="Arial" w:eastAsia="Arial" w:hAnsi="Arial"/>
          <w:sz w:val="18"/>
          <w:szCs w:val="18"/>
          <w:b w:val="1"/>
          <w:bCs w:val="1"/>
          <w:color w:val="131E29"/>
        </w:rPr>
        <w:t xml:space="preserve"> </w:t>
      </w:r>
      <w:r>
        <w:rPr>
          <w:rFonts w:ascii="Arial" w:cs="Arial" w:eastAsia="Arial" w:hAnsi="Arial"/>
          <w:sz w:val="18"/>
          <w:szCs w:val="18"/>
          <w:color w:val="131E29"/>
        </w:rPr>
        <w:t>percent.</w:t>
      </w:r>
    </w:p>
    <w:p>
      <w:pPr>
        <w:spacing w:after="0" w:line="98" w:lineRule="exact"/>
        <w:rPr>
          <w:rFonts w:ascii="Arial" w:cs="Arial" w:eastAsia="Arial" w:hAnsi="Arial"/>
          <w:sz w:val="18"/>
          <w:szCs w:val="18"/>
          <w:color w:val="131E29"/>
        </w:rPr>
      </w:pPr>
    </w:p>
    <w:p>
      <w:pPr>
        <w:ind w:left="320" w:hanging="312"/>
        <w:spacing w:after="0"/>
        <w:tabs>
          <w:tab w:leader="none" w:pos="320"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Co-Founder </w:t>
      </w:r>
      <w:r>
        <w:rPr>
          <w:rFonts w:ascii="Arial" w:cs="Arial" w:eastAsia="Arial" w:hAnsi="Arial"/>
          <w:sz w:val="18"/>
          <w:szCs w:val="18"/>
          <w:color w:val="131E29"/>
        </w:rPr>
        <w:t>refers to Travis Boersma and certain affiliated entities over which he maintains voting control.</w:t>
      </w:r>
    </w:p>
    <w:p>
      <w:pPr>
        <w:spacing w:after="0" w:line="117"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Common Units </w:t>
      </w:r>
      <w:r>
        <w:rPr>
          <w:rFonts w:ascii="Arial" w:cs="Arial" w:eastAsia="Arial" w:hAnsi="Arial"/>
          <w:sz w:val="18"/>
          <w:szCs w:val="18"/>
          <w:color w:val="131E29"/>
        </w:rPr>
        <w:t>refers to the Common Units of Dutch Bros OpCo, as defined in the Second LLC Agreement, issued and outstanding</w:t>
      </w:r>
      <w:r>
        <w:rPr>
          <w:rFonts w:ascii="Arial" w:cs="Arial" w:eastAsia="Arial" w:hAnsi="Arial"/>
          <w:sz w:val="18"/>
          <w:szCs w:val="18"/>
          <w:b w:val="1"/>
          <w:bCs w:val="1"/>
          <w:color w:val="131E29"/>
        </w:rPr>
        <w:t xml:space="preserve"> </w:t>
      </w:r>
      <w:r>
        <w:rPr>
          <w:rFonts w:ascii="Arial" w:cs="Arial" w:eastAsia="Arial" w:hAnsi="Arial"/>
          <w:sz w:val="18"/>
          <w:szCs w:val="18"/>
          <w:color w:val="131E29"/>
        </w:rPr>
        <w:t>immediately prior to recapitalization, as set forth in NOTE 1 — Organization and Background.</w:t>
      </w:r>
    </w:p>
    <w:p>
      <w:pPr>
        <w:spacing w:after="0" w:line="44" w:lineRule="exact"/>
        <w:rPr>
          <w:rFonts w:ascii="Arial" w:cs="Arial" w:eastAsia="Arial" w:hAnsi="Arial"/>
          <w:sz w:val="18"/>
          <w:szCs w:val="18"/>
          <w:color w:val="131E29"/>
        </w:rPr>
      </w:pPr>
    </w:p>
    <w:p>
      <w:pPr>
        <w:ind w:left="320" w:hanging="312"/>
        <w:spacing w:after="0"/>
        <w:tabs>
          <w:tab w:leader="none" w:pos="320"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Continuing Members </w:t>
      </w:r>
      <w:r>
        <w:rPr>
          <w:rFonts w:ascii="Arial" w:cs="Arial" w:eastAsia="Arial" w:hAnsi="Arial"/>
          <w:sz w:val="18"/>
          <w:szCs w:val="18"/>
          <w:color w:val="131E29"/>
        </w:rPr>
        <w:t>refers to the Co-Founder and the Sponsor.</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Dutch Bros OpCo </w:t>
      </w:r>
      <w:r>
        <w:rPr>
          <w:rFonts w:ascii="Arial" w:cs="Arial" w:eastAsia="Arial" w:hAnsi="Arial"/>
          <w:sz w:val="18"/>
          <w:szCs w:val="18"/>
          <w:color w:val="131E29"/>
        </w:rPr>
        <w:t>refers to Dutch Mafia, LLC, a Delaware limited liability company and direct subsidiary of Dutch Bros Inc.</w:t>
      </w:r>
    </w:p>
    <w:p>
      <w:pPr>
        <w:spacing w:after="0" w:line="117"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Dutch Bros PubCo </w:t>
      </w:r>
      <w:r>
        <w:rPr>
          <w:rFonts w:ascii="Arial" w:cs="Arial" w:eastAsia="Arial" w:hAnsi="Arial"/>
          <w:sz w:val="18"/>
          <w:szCs w:val="18"/>
          <w:color w:val="131E29"/>
        </w:rPr>
        <w:t>refers to Dutch Bros Inc., a Delaware corporation, of which its Class A common stock is publicly traded on the New</w:t>
      </w:r>
      <w:r>
        <w:rPr>
          <w:rFonts w:ascii="Arial" w:cs="Arial" w:eastAsia="Arial" w:hAnsi="Arial"/>
          <w:sz w:val="18"/>
          <w:szCs w:val="18"/>
          <w:b w:val="1"/>
          <w:bCs w:val="1"/>
          <w:color w:val="131E29"/>
        </w:rPr>
        <w:t xml:space="preserve"> </w:t>
      </w:r>
      <w:r>
        <w:rPr>
          <w:rFonts w:ascii="Arial" w:cs="Arial" w:eastAsia="Arial" w:hAnsi="Arial"/>
          <w:sz w:val="18"/>
          <w:szCs w:val="18"/>
          <w:color w:val="131E29"/>
        </w:rPr>
        <w:t>York Stock Exchange under the symbol “BROS”.</w:t>
      </w:r>
    </w:p>
    <w:p>
      <w:pPr>
        <w:spacing w:after="0" w:line="44" w:lineRule="exact"/>
        <w:rPr>
          <w:rFonts w:ascii="Arial" w:cs="Arial" w:eastAsia="Arial" w:hAnsi="Arial"/>
          <w:sz w:val="18"/>
          <w:szCs w:val="18"/>
          <w:color w:val="131E29"/>
        </w:rPr>
      </w:pPr>
    </w:p>
    <w:p>
      <w:pPr>
        <w:ind w:left="320" w:hanging="312"/>
        <w:spacing w:after="0"/>
        <w:tabs>
          <w:tab w:leader="none" w:pos="320"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IPO </w:t>
      </w:r>
      <w:r>
        <w:rPr>
          <w:rFonts w:ascii="Arial" w:cs="Arial" w:eastAsia="Arial" w:hAnsi="Arial"/>
          <w:sz w:val="18"/>
          <w:szCs w:val="18"/>
          <w:color w:val="131E29"/>
        </w:rPr>
        <w:t>refers to the Company’s initial public offering.</w:t>
      </w:r>
    </w:p>
    <w:p>
      <w:pPr>
        <w:spacing w:after="0" w:line="117" w:lineRule="exact"/>
        <w:rPr>
          <w:rFonts w:ascii="Arial" w:cs="Arial" w:eastAsia="Arial" w:hAnsi="Arial"/>
          <w:sz w:val="18"/>
          <w:szCs w:val="18"/>
          <w:color w:val="131E29"/>
        </w:rPr>
      </w:pPr>
    </w:p>
    <w:p>
      <w:pPr>
        <w:ind w:left="320" w:hanging="312"/>
        <w:spacing w:after="0"/>
        <w:tabs>
          <w:tab w:leader="none" w:pos="320"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N/M </w:t>
      </w:r>
      <w:r>
        <w:rPr>
          <w:rFonts w:ascii="Arial" w:cs="Arial" w:eastAsia="Arial" w:hAnsi="Arial"/>
          <w:sz w:val="18"/>
          <w:szCs w:val="18"/>
          <w:color w:val="131E29"/>
        </w:rPr>
        <w:t>refers to a not meaningful percentage.</w:t>
      </w:r>
    </w:p>
    <w:p>
      <w:pPr>
        <w:spacing w:after="0" w:line="171"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OpCo Units </w:t>
      </w:r>
      <w:r>
        <w:rPr>
          <w:rFonts w:ascii="Arial" w:cs="Arial" w:eastAsia="Arial" w:hAnsi="Arial"/>
          <w:sz w:val="18"/>
          <w:szCs w:val="18"/>
          <w:color w:val="131E29"/>
        </w:rPr>
        <w:t>refers to Class A common units, Class B voting units and Class C voting units of Dutch Bros OpCo, each as further defined</w:t>
      </w:r>
      <w:r>
        <w:rPr>
          <w:rFonts w:ascii="Arial" w:cs="Arial" w:eastAsia="Arial" w:hAnsi="Arial"/>
          <w:sz w:val="18"/>
          <w:szCs w:val="18"/>
          <w:b w:val="1"/>
          <w:bCs w:val="1"/>
          <w:color w:val="131E29"/>
        </w:rPr>
        <w:t xml:space="preserve"> </w:t>
      </w:r>
      <w:r>
        <w:rPr>
          <w:rFonts w:ascii="Arial" w:cs="Arial" w:eastAsia="Arial" w:hAnsi="Arial"/>
          <w:sz w:val="18"/>
          <w:szCs w:val="18"/>
          <w:color w:val="131E29"/>
        </w:rPr>
        <w:t>in the Third Amended and Restated Limited Liability Company Agreement of Dutch Bros OpCo, collectively.</w:t>
      </w:r>
    </w:p>
    <w:p>
      <w:pPr>
        <w:spacing w:after="0" w:line="44"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Pre-IPO Blocker Holders </w:t>
      </w:r>
      <w:r>
        <w:rPr>
          <w:rFonts w:ascii="Arial" w:cs="Arial" w:eastAsia="Arial" w:hAnsi="Arial"/>
          <w:sz w:val="18"/>
          <w:szCs w:val="18"/>
          <w:color w:val="131E29"/>
        </w:rPr>
        <w:t>refers to TSG7 A AIV VI Holdings-A, L.P. and DG Coinvestor Blocker Aggregator, L.P. or their assignees or</w:t>
      </w:r>
      <w:r>
        <w:rPr>
          <w:rFonts w:ascii="Arial" w:cs="Arial" w:eastAsia="Arial" w:hAnsi="Arial"/>
          <w:sz w:val="18"/>
          <w:szCs w:val="18"/>
          <w:b w:val="1"/>
          <w:bCs w:val="1"/>
          <w:color w:val="131E29"/>
        </w:rPr>
        <w:t xml:space="preserve"> </w:t>
      </w:r>
      <w:r>
        <w:rPr>
          <w:rFonts w:ascii="Arial" w:cs="Arial" w:eastAsia="Arial" w:hAnsi="Arial"/>
          <w:sz w:val="18"/>
          <w:szCs w:val="18"/>
          <w:color w:val="131E29"/>
        </w:rPr>
        <w:t>successors pursuant to the terms of the certain Reorganization Tax Receivable Agreement.</w:t>
      </w:r>
    </w:p>
    <w:p>
      <w:pPr>
        <w:spacing w:after="0" w:line="44" w:lineRule="exact"/>
        <w:rPr>
          <w:rFonts w:ascii="Arial" w:cs="Arial" w:eastAsia="Arial" w:hAnsi="Arial"/>
          <w:sz w:val="18"/>
          <w:szCs w:val="18"/>
          <w:color w:val="131E29"/>
        </w:rPr>
      </w:pPr>
    </w:p>
    <w:p>
      <w:pPr>
        <w:ind w:left="320" w:hanging="312"/>
        <w:spacing w:after="0"/>
        <w:tabs>
          <w:tab w:leader="none" w:pos="320"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QSR </w:t>
      </w:r>
      <w:r>
        <w:rPr>
          <w:rFonts w:ascii="Arial" w:cs="Arial" w:eastAsia="Arial" w:hAnsi="Arial"/>
          <w:sz w:val="18"/>
          <w:szCs w:val="18"/>
          <w:color w:val="131E29"/>
        </w:rPr>
        <w:t>refers to Quick Service Restaurant.</w:t>
      </w:r>
    </w:p>
    <w:p>
      <w:pPr>
        <w:spacing w:after="0" w:line="117"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Reorganization Transactions </w:t>
      </w:r>
      <w:r>
        <w:rPr>
          <w:rFonts w:ascii="Arial" w:cs="Arial" w:eastAsia="Arial" w:hAnsi="Arial"/>
          <w:sz w:val="18"/>
          <w:szCs w:val="18"/>
          <w:color w:val="131E29"/>
        </w:rPr>
        <w:t>has the meaning set forth in NOTE 1 — Organization and Background to the Condensed Consolidated</w:t>
      </w:r>
      <w:r>
        <w:rPr>
          <w:rFonts w:ascii="Arial" w:cs="Arial" w:eastAsia="Arial" w:hAnsi="Arial"/>
          <w:sz w:val="18"/>
          <w:szCs w:val="18"/>
          <w:b w:val="1"/>
          <w:bCs w:val="1"/>
          <w:color w:val="131E29"/>
        </w:rPr>
        <w:t xml:space="preserve"> </w:t>
      </w:r>
      <w:r>
        <w:rPr>
          <w:rFonts w:ascii="Arial" w:cs="Arial" w:eastAsia="Arial" w:hAnsi="Arial"/>
          <w:sz w:val="18"/>
          <w:szCs w:val="18"/>
          <w:color w:val="131E29"/>
        </w:rPr>
        <w:t>Financial Statements.</w:t>
      </w:r>
    </w:p>
    <w:p>
      <w:pPr>
        <w:spacing w:after="0" w:line="98" w:lineRule="exact"/>
        <w:rPr>
          <w:rFonts w:ascii="Arial" w:cs="Arial" w:eastAsia="Arial" w:hAnsi="Arial"/>
          <w:sz w:val="18"/>
          <w:szCs w:val="18"/>
          <w:color w:val="131E29"/>
        </w:rPr>
      </w:pPr>
    </w:p>
    <w:p>
      <w:pPr>
        <w:ind w:left="320" w:hanging="312"/>
        <w:spacing w:after="0"/>
        <w:tabs>
          <w:tab w:leader="none" w:pos="320"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RSA </w:t>
      </w:r>
      <w:r>
        <w:rPr>
          <w:rFonts w:ascii="Arial" w:cs="Arial" w:eastAsia="Arial" w:hAnsi="Arial"/>
          <w:sz w:val="18"/>
          <w:szCs w:val="18"/>
          <w:color w:val="131E29"/>
        </w:rPr>
        <w:t>refers to restricted stock awards.</w:t>
      </w:r>
    </w:p>
    <w:p>
      <w:pPr>
        <w:spacing w:after="0" w:line="117" w:lineRule="exact"/>
        <w:rPr>
          <w:rFonts w:ascii="Arial" w:cs="Arial" w:eastAsia="Arial" w:hAnsi="Arial"/>
          <w:sz w:val="18"/>
          <w:szCs w:val="18"/>
          <w:color w:val="131E29"/>
        </w:rPr>
      </w:pPr>
    </w:p>
    <w:p>
      <w:pPr>
        <w:ind w:left="320" w:hanging="312"/>
        <w:spacing w:after="0"/>
        <w:tabs>
          <w:tab w:leader="none" w:pos="320"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RSU </w:t>
      </w:r>
      <w:r>
        <w:rPr>
          <w:rFonts w:ascii="Arial" w:cs="Arial" w:eastAsia="Arial" w:hAnsi="Arial"/>
          <w:sz w:val="18"/>
          <w:szCs w:val="18"/>
          <w:color w:val="131E29"/>
        </w:rPr>
        <w:t>refers to restricted stock units.</w:t>
      </w:r>
    </w:p>
    <w:p>
      <w:pPr>
        <w:spacing w:after="0" w:line="117"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Secondary Offerings </w:t>
      </w:r>
      <w:r>
        <w:rPr>
          <w:rFonts w:ascii="Arial" w:cs="Arial" w:eastAsia="Arial" w:hAnsi="Arial"/>
          <w:sz w:val="18"/>
          <w:szCs w:val="18"/>
          <w:color w:val="131E29"/>
        </w:rPr>
        <w:t>refer to the offerings by certain selling stockholders, including entities affiliated with the Sponsor, of 5,000,000 and</w:t>
      </w:r>
      <w:r>
        <w:rPr>
          <w:rFonts w:ascii="Arial" w:cs="Arial" w:eastAsia="Arial" w:hAnsi="Arial"/>
          <w:sz w:val="18"/>
          <w:szCs w:val="18"/>
          <w:b w:val="1"/>
          <w:bCs w:val="1"/>
          <w:color w:val="131E29"/>
        </w:rPr>
        <w:t xml:space="preserve"> </w:t>
      </w:r>
      <w:r>
        <w:rPr>
          <w:rFonts w:ascii="Arial" w:cs="Arial" w:eastAsia="Arial" w:hAnsi="Arial"/>
          <w:sz w:val="18"/>
          <w:szCs w:val="18"/>
          <w:color w:val="131E29"/>
        </w:rPr>
        <w:t>5,979,605 shares of Class A common stock of Dutch Bros Inc. completed on March 10, 2022 and August 15, 2022, respectively.</w:t>
      </w:r>
    </w:p>
    <w:p>
      <w:pPr>
        <w:spacing w:after="0" w:line="98" w:lineRule="exact"/>
        <w:rPr>
          <w:rFonts w:ascii="Arial" w:cs="Arial" w:eastAsia="Arial" w:hAnsi="Arial"/>
          <w:sz w:val="18"/>
          <w:szCs w:val="18"/>
          <w:color w:val="131E29"/>
        </w:rPr>
      </w:pPr>
    </w:p>
    <w:p>
      <w:pPr>
        <w:ind w:left="320" w:hanging="312"/>
        <w:spacing w:after="0"/>
        <w:tabs>
          <w:tab w:leader="none" w:pos="320"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Sponsor </w:t>
      </w:r>
      <w:r>
        <w:rPr>
          <w:rFonts w:ascii="Arial" w:cs="Arial" w:eastAsia="Arial" w:hAnsi="Arial"/>
          <w:sz w:val="18"/>
          <w:szCs w:val="18"/>
          <w:color w:val="131E29"/>
        </w:rPr>
        <w:t>refers to TSG Consumer Partners, L.P. and certain of its affiliates.</w:t>
      </w:r>
    </w:p>
    <w:p>
      <w:pPr>
        <w:spacing w:after="0" w:line="171"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Tax Receivable Agreements and TRAs </w:t>
      </w:r>
      <w:r>
        <w:rPr>
          <w:rFonts w:ascii="Arial" w:cs="Arial" w:eastAsia="Arial" w:hAnsi="Arial"/>
          <w:sz w:val="18"/>
          <w:szCs w:val="18"/>
          <w:color w:val="131E29"/>
        </w:rPr>
        <w:t>shall each have the meaning set forth in NOTE 1 — Organization and Background to the</w:t>
      </w:r>
      <w:r>
        <w:rPr>
          <w:rFonts w:ascii="Arial" w:cs="Arial" w:eastAsia="Arial" w:hAnsi="Arial"/>
          <w:sz w:val="18"/>
          <w:szCs w:val="18"/>
          <w:b w:val="1"/>
          <w:bCs w:val="1"/>
          <w:color w:val="131E29"/>
        </w:rPr>
        <w:t xml:space="preserve"> </w:t>
      </w:r>
      <w:r>
        <w:rPr>
          <w:rFonts w:ascii="Arial" w:cs="Arial" w:eastAsia="Arial" w:hAnsi="Arial"/>
          <w:sz w:val="18"/>
          <w:szCs w:val="18"/>
          <w:color w:val="131E29"/>
        </w:rPr>
        <w:t>Condensed Consolidated Financial Statements.</w:t>
      </w:r>
    </w:p>
    <w:p>
      <w:pPr>
        <w:spacing w:after="0" w:line="68" w:lineRule="exact"/>
        <w:rPr>
          <w:sz w:val="20"/>
          <w:szCs w:val="20"/>
          <w:color w:val="auto"/>
        </w:rPr>
      </w:pPr>
    </w:p>
    <w:p>
      <w:pPr>
        <w:jc w:val="both"/>
        <w:spacing w:after="0" w:line="283" w:lineRule="auto"/>
        <w:rPr>
          <w:sz w:val="20"/>
          <w:szCs w:val="20"/>
          <w:color w:val="auto"/>
        </w:rPr>
      </w:pPr>
      <w:r>
        <w:rPr>
          <w:rFonts w:ascii="Arial" w:cs="Arial" w:eastAsia="Arial" w:hAnsi="Arial"/>
          <w:sz w:val="14"/>
          <w:szCs w:val="14"/>
          <w:i w:val="1"/>
          <w:iCs w:val="1"/>
          <w:color w:val="131E29"/>
        </w:rPr>
        <w:t>Dutch Bros</w:t>
      </w:r>
      <w:r>
        <w:rPr>
          <w:rFonts w:ascii="Arial" w:cs="Arial" w:eastAsia="Arial" w:hAnsi="Arial"/>
          <w:sz w:val="14"/>
          <w:szCs w:val="14"/>
          <w:color w:val="131E29"/>
        </w:rPr>
        <w:t>, our Windmill logo (</w:t>
      </w:r>
      <w:r>
        <w:rPr>
          <w:sz w:val="1"/>
          <w:szCs w:val="1"/>
          <w:color w:val="auto"/>
        </w:rPr>
        <w:drawing>
          <wp:inline distT="0" distB="0" distL="0" distR="0">
            <wp:extent cx="171450" cy="2400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 xml:space="preserve">), </w:t>
      </w:r>
      <w:r>
        <w:rPr>
          <w:rFonts w:ascii="Arial" w:cs="Arial" w:eastAsia="Arial" w:hAnsi="Arial"/>
          <w:sz w:val="14"/>
          <w:szCs w:val="14"/>
          <w:i w:val="1"/>
          <w:iCs w:val="1"/>
          <w:color w:val="131E29"/>
        </w:rPr>
        <w:t>Dutch Bros Blue Rebel</w:t>
      </w:r>
      <w:r>
        <w:rPr>
          <w:rFonts w:ascii="Arial" w:cs="Arial" w:eastAsia="Arial" w:hAnsi="Arial"/>
          <w:sz w:val="14"/>
          <w:szCs w:val="14"/>
          <w:color w:val="131E29"/>
        </w:rPr>
        <w:t>, and our other registered and common law trade names, trademarks and service marks are the property of Dutch Bros Inc. All other trademarks, trade names and service marks appearing in this Form 10-Q are the property of their respective owners. Solely for convenience, the trademarks and trade names in this Form 10-Q may be referred to without the ® and ™ symbols, but such references should not be construed as any indicator that their respective owners will not assert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FORWARD-LOOKING STATEMENTS</w:t>
      </w:r>
    </w:p>
    <w:p>
      <w:pPr>
        <w:spacing w:after="0" w:line="33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131E29"/>
        </w:rPr>
        <w:t>Certain statements in this Form 10-Q that are not historical facts, including those regarding the impact of inflation, increased minimum wages, COVID-19, the conflict between Russia and Ukraine on our results of operations, supply chain or liquidity, the potential impact of actions we have taken to mitigate the impact of unforeseen circumstances, taxes and tax rates, our expectations regarding the number of new shops we may open, anticipated future revenues and earnings, consumer demand, and our expectations to generate positive cash flow in the foreseeable future are forward-looking statements as defined in the Private Securities Litigation Reform Act of 1995. We use words such as “anticipate,” “believe,” “could,” “should,” “estimate,” “expect,” “intend,” “may,” “predict,” “project,” “target,” and similar terms and phrases, including references to assumptions, to identify forward-looking statements. These forward-looking statements are based on information available to us as of the date any such statements are made, and we assume no obligation to update these forward-looking statements. Our statements should not be read to indicate that we have conducted an exhaustive inquiry into, or review of, all relevant information. These statements are subject to risks and uncertainties that could cause actual results to differ materially from those described in the statements. You should not place undue reliance on forward-looking statements, which speak only as of the date of this Form 10-Q.</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You should read the following unaudited condensed consolidated financial statements and the related notes in this Form 10-Q together with our analysis and discussion of our financial condition and results of operations and other financial information included elsewhere in this Form 10-Q. You should also read our Annual Report on Form 10-K for the year ended December 31, 2021, filed with the Securities and Exchange Commission on March 11, 2022.</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While we believe that our assumptions are reasonable, we caution that it is very difficult to predict the impact of known factors, and it is impossible for us to anticipate all factors that could affect actual results. You should evaluate all forward-looking statements made in this report in the context of the factors that could cause outcomes to differ materially from expectations. These factors include, but are not limited to, those listed under the “Risk Factors” section of this Form 10-Q, as such risk factors may be amended, supplemented or superseded from time to time by other reports we file with the Securities and Exchange Commission.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Website Disclosure</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We use our website as a distribution channel of material company information. Financial and other important information regarding our company is routinely posted on and accessible through our website at https://investors.dutchbros.com. In addition, you may automatically receive email alerts and other information about our Company when you subscribe your email address by visiting the “Investor Email Alerts” section of our investor relations page at https://investors.dutchbros.com/resources. The information on our website is not incorporated herein or otherwise a part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098"/>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jc w:val="right"/>
              <w:ind w:right="490"/>
              <w:spacing w:after="0"/>
              <w:rPr>
                <w:sz w:val="20"/>
                <w:szCs w:val="20"/>
                <w:color w:val="auto"/>
              </w:rPr>
            </w:pPr>
            <w:r>
              <w:rPr>
                <w:rFonts w:ascii="Arial" w:cs="Arial" w:eastAsia="Arial" w:hAnsi="Arial"/>
                <w:sz w:val="18"/>
                <w:szCs w:val="18"/>
                <w:b w:val="1"/>
                <w:bCs w:val="1"/>
                <w:color w:val="131E29"/>
              </w:rPr>
              <w:t>December 31,</w:t>
            </w:r>
          </w:p>
        </w:tc>
        <w:tc>
          <w:tcPr>
            <w:tcW w:w="0" w:type="dxa"/>
            <w:vAlign w:val="bottom"/>
          </w:tcPr>
          <w:p>
            <w:pPr>
              <w:spacing w:after="0"/>
              <w:rPr>
                <w:sz w:val="1"/>
                <w:szCs w:val="1"/>
                <w:color w:val="auto"/>
              </w:rPr>
            </w:pPr>
          </w:p>
        </w:tc>
      </w:tr>
      <w:tr>
        <w:trPr>
          <w:trHeight w:val="240"/>
        </w:trPr>
        <w:tc>
          <w:tcPr>
            <w:tcW w:w="6520" w:type="dxa"/>
            <w:vAlign w:val="bottom"/>
            <w:gridSpan w:val="2"/>
          </w:tcPr>
          <w:p>
            <w:pPr>
              <w:ind w:left="20"/>
              <w:spacing w:after="0"/>
              <w:rPr>
                <w:sz w:val="20"/>
                <w:szCs w:val="20"/>
                <w:color w:val="auto"/>
              </w:rPr>
            </w:pPr>
            <w:r>
              <w:rPr>
                <w:rFonts w:ascii="Arial" w:cs="Arial" w:eastAsia="Arial" w:hAnsi="Arial"/>
                <w:sz w:val="14"/>
                <w:szCs w:val="14"/>
                <w:color w:val="131E29"/>
              </w:rPr>
              <w:t>(in thousands, except per share amounts; unaudited)</w:t>
            </w:r>
          </w:p>
        </w:tc>
        <w:tc>
          <w:tcPr>
            <w:tcW w:w="200" w:type="dxa"/>
            <w:vAlign w:val="bottom"/>
          </w:tcPr>
          <w:p>
            <w:pPr>
              <w:spacing w:after="0"/>
              <w:rPr>
                <w:sz w:val="20"/>
                <w:szCs w:val="20"/>
                <w:color w:val="auto"/>
              </w:rPr>
            </w:pPr>
          </w:p>
        </w:tc>
        <w:tc>
          <w:tcPr>
            <w:tcW w:w="2180" w:type="dxa"/>
            <w:vAlign w:val="bottom"/>
            <w:gridSpan w:val="2"/>
          </w:tcPr>
          <w:p>
            <w:pPr>
              <w:ind w:left="100"/>
              <w:spacing w:after="0"/>
              <w:rPr>
                <w:sz w:val="20"/>
                <w:szCs w:val="20"/>
                <w:color w:val="auto"/>
              </w:rPr>
            </w:pPr>
            <w:r>
              <w:rPr>
                <w:rFonts w:ascii="Arial" w:cs="Arial" w:eastAsia="Arial" w:hAnsi="Arial"/>
                <w:sz w:val="18"/>
                <w:szCs w:val="18"/>
                <w:b w:val="1"/>
                <w:bCs w:val="1"/>
                <w:color w:val="131E29"/>
              </w:rPr>
              <w:t>September 30, 2022</w:t>
            </w:r>
          </w:p>
        </w:tc>
        <w:tc>
          <w:tcPr>
            <w:tcW w:w="360" w:type="dxa"/>
            <w:vAlign w:val="bottom"/>
          </w:tcPr>
          <w:p>
            <w:pPr>
              <w:spacing w:after="0"/>
              <w:rPr>
                <w:sz w:val="20"/>
                <w:szCs w:val="20"/>
                <w:color w:val="auto"/>
              </w:rPr>
            </w:pPr>
          </w:p>
        </w:tc>
        <w:tc>
          <w:tcPr>
            <w:tcW w:w="1980" w:type="dxa"/>
            <w:vAlign w:val="bottom"/>
          </w:tcPr>
          <w:p>
            <w:pPr>
              <w:jc w:val="right"/>
              <w:ind w:right="870"/>
              <w:spacing w:after="0"/>
              <w:rPr>
                <w:sz w:val="20"/>
                <w:szCs w:val="20"/>
                <w:color w:val="auto"/>
              </w:rPr>
            </w:pPr>
            <w:r>
              <w:rPr>
                <w:rFonts w:ascii="Arial" w:cs="Arial" w:eastAsia="Arial" w:hAnsi="Arial"/>
                <w:sz w:val="18"/>
                <w:szCs w:val="18"/>
                <w:b w:val="1"/>
                <w:bCs w:val="1"/>
                <w:color w:val="131E29"/>
              </w:rPr>
              <w:t>2021</w:t>
            </w:r>
          </w:p>
        </w:tc>
        <w:tc>
          <w:tcPr>
            <w:tcW w:w="0" w:type="dxa"/>
            <w:vAlign w:val="bottom"/>
          </w:tcPr>
          <w:p>
            <w:pPr>
              <w:spacing w:after="0"/>
              <w:rPr>
                <w:sz w:val="1"/>
                <w:szCs w:val="1"/>
                <w:color w:val="auto"/>
              </w:rPr>
            </w:pPr>
          </w:p>
        </w:tc>
      </w:tr>
      <w:tr>
        <w:trPr>
          <w:trHeight w:val="26"/>
        </w:trPr>
        <w:tc>
          <w:tcPr>
            <w:tcW w:w="64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ASSETS</w:t>
            </w:r>
          </w:p>
        </w:tc>
        <w:tc>
          <w:tcPr>
            <w:tcW w:w="200" w:type="dxa"/>
            <w:vAlign w:val="bottom"/>
            <w:tcBorders>
              <w:bottom w:val="single" w:sz="8" w:color="D2DCE5"/>
            </w:tcBorders>
            <w:shd w:val="clear" w:color="auto" w:fill="D2DCE5"/>
          </w:tcPr>
          <w:p>
            <w:pPr>
              <w:spacing w:after="0"/>
              <w:rPr>
                <w:sz w:val="21"/>
                <w:szCs w:val="21"/>
                <w:color w:val="auto"/>
              </w:rPr>
            </w:pPr>
          </w:p>
        </w:tc>
        <w:tc>
          <w:tcPr>
            <w:tcW w:w="208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98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131E29"/>
              </w:rPr>
              <w:t>Current assets:</w:t>
            </w: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Cash and cash equivalents</w:t>
            </w:r>
          </w:p>
        </w:tc>
        <w:tc>
          <w:tcPr>
            <w:tcW w:w="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2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34,567</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131E29"/>
                <w:w w:val="99"/>
              </w:rPr>
              <w:t>$</w:t>
            </w: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18,506</w:t>
            </w: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131E29"/>
              </w:rPr>
              <w:t>Accounts receivable, net</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131E29"/>
              </w:rPr>
              <w:t>14,415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131E29"/>
              </w:rPr>
              <w:t>10,644</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Inventories, net</w:t>
            </w:r>
          </w:p>
        </w:tc>
        <w:tc>
          <w:tcPr>
            <w:tcW w:w="200" w:type="dxa"/>
            <w:vAlign w:val="bottom"/>
            <w:tcBorders>
              <w:bottom w:val="single" w:sz="8" w:color="D2DCE5"/>
            </w:tcBorders>
            <w:shd w:val="clear" w:color="auto" w:fill="D2DCE5"/>
          </w:tcPr>
          <w:p>
            <w:pPr>
              <w:spacing w:after="0"/>
              <w:rPr>
                <w:sz w:val="21"/>
                <w:szCs w:val="21"/>
                <w:color w:val="auto"/>
              </w:rPr>
            </w:pPr>
          </w:p>
        </w:tc>
        <w:tc>
          <w:tcPr>
            <w:tcW w:w="2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33,713</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23,345</w:t>
            </w: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131E29"/>
              </w:rPr>
              <w:t>Prepaid expenses and other current assets</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131E29"/>
              </w:rPr>
              <w:t>11,110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131E29"/>
              </w:rPr>
              <w:t>8,796</w:t>
            </w:r>
          </w:p>
        </w:tc>
        <w:tc>
          <w:tcPr>
            <w:tcW w:w="0" w:type="dxa"/>
            <w:vAlign w:val="bottom"/>
          </w:tcPr>
          <w:p>
            <w:pPr>
              <w:spacing w:after="0"/>
              <w:rPr>
                <w:sz w:val="1"/>
                <w:szCs w:val="1"/>
                <w:color w:val="auto"/>
              </w:rPr>
            </w:pPr>
          </w:p>
        </w:tc>
      </w:tr>
      <w:tr>
        <w:trPr>
          <w:trHeight w:val="27"/>
        </w:trPr>
        <w:tc>
          <w:tcPr>
            <w:tcW w:w="64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2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Total current assets</w:t>
            </w:r>
          </w:p>
        </w:tc>
        <w:tc>
          <w:tcPr>
            <w:tcW w:w="200" w:type="dxa"/>
            <w:vAlign w:val="bottom"/>
            <w:tcBorders>
              <w:bottom w:val="single" w:sz="8" w:color="D2DCE5"/>
            </w:tcBorders>
            <w:shd w:val="clear" w:color="auto" w:fill="D2DCE5"/>
          </w:tcPr>
          <w:p>
            <w:pPr>
              <w:spacing w:after="0"/>
              <w:rPr>
                <w:sz w:val="21"/>
                <w:szCs w:val="21"/>
                <w:color w:val="auto"/>
              </w:rPr>
            </w:pPr>
          </w:p>
        </w:tc>
        <w:tc>
          <w:tcPr>
            <w:tcW w:w="2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93,805</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61,291</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131E29"/>
              </w:rPr>
              <w:t>Property and equipment, net</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131E29"/>
              </w:rPr>
              <w:t>327,600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131E29"/>
              </w:rPr>
              <w:t>301,998</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Finance lease right-of-use assets, net</w:t>
            </w:r>
          </w:p>
        </w:tc>
        <w:tc>
          <w:tcPr>
            <w:tcW w:w="200" w:type="dxa"/>
            <w:vAlign w:val="bottom"/>
            <w:shd w:val="clear" w:color="auto" w:fill="D2DCE5"/>
          </w:tcPr>
          <w:p>
            <w:pPr>
              <w:spacing w:after="0"/>
              <w:rPr>
                <w:sz w:val="23"/>
                <w:szCs w:val="23"/>
                <w:color w:val="auto"/>
              </w:rPr>
            </w:pPr>
          </w:p>
        </w:tc>
        <w:tc>
          <w:tcPr>
            <w:tcW w:w="20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214,903</w:t>
            </w: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spacing w:after="0"/>
              <w:rPr>
                <w:sz w:val="23"/>
                <w:szCs w:val="23"/>
                <w:color w:val="auto"/>
              </w:rPr>
            </w:pPr>
          </w:p>
        </w:tc>
        <w:tc>
          <w:tcPr>
            <w:tcW w:w="19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131E29"/>
              </w:rPr>
              <w:t>Operating lease right-of-use assets, net</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131E29"/>
              </w:rPr>
              <w:t>165,682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Intangibles, net</w:t>
            </w:r>
          </w:p>
        </w:tc>
        <w:tc>
          <w:tcPr>
            <w:tcW w:w="200" w:type="dxa"/>
            <w:vAlign w:val="bottom"/>
            <w:tcBorders>
              <w:bottom w:val="single" w:sz="8" w:color="D2DCE5"/>
            </w:tcBorders>
            <w:shd w:val="clear" w:color="auto" w:fill="D2DCE5"/>
          </w:tcPr>
          <w:p>
            <w:pPr>
              <w:spacing w:after="0"/>
              <w:rPr>
                <w:sz w:val="21"/>
                <w:szCs w:val="21"/>
                <w:color w:val="auto"/>
              </w:rPr>
            </w:pPr>
          </w:p>
        </w:tc>
        <w:tc>
          <w:tcPr>
            <w:tcW w:w="2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9,826</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11,103</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131E29"/>
              </w:rPr>
              <w:t>Goodwill</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131E29"/>
              </w:rPr>
              <w:t>21,629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131E29"/>
              </w:rPr>
              <w:t>18,715</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Deferred income tax assets, net</w:t>
            </w:r>
          </w:p>
        </w:tc>
        <w:tc>
          <w:tcPr>
            <w:tcW w:w="200" w:type="dxa"/>
            <w:vAlign w:val="bottom"/>
            <w:tcBorders>
              <w:bottom w:val="single" w:sz="8" w:color="D2DCE5"/>
            </w:tcBorders>
            <w:shd w:val="clear" w:color="auto" w:fill="D2DCE5"/>
          </w:tcPr>
          <w:p>
            <w:pPr>
              <w:spacing w:after="0"/>
              <w:rPr>
                <w:sz w:val="21"/>
                <w:szCs w:val="21"/>
                <w:color w:val="auto"/>
              </w:rPr>
            </w:pPr>
          </w:p>
        </w:tc>
        <w:tc>
          <w:tcPr>
            <w:tcW w:w="2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293,108</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159,031</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131E29"/>
              </w:rPr>
              <w:t>Other long-term assets</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131E29"/>
              </w:rPr>
              <w:t>2,704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131E29"/>
              </w:rPr>
              <w:t>1,562</w:t>
            </w:r>
          </w:p>
        </w:tc>
        <w:tc>
          <w:tcPr>
            <w:tcW w:w="0" w:type="dxa"/>
            <w:vAlign w:val="bottom"/>
          </w:tcPr>
          <w:p>
            <w:pPr>
              <w:spacing w:after="0"/>
              <w:rPr>
                <w:sz w:val="1"/>
                <w:szCs w:val="1"/>
                <w:color w:val="auto"/>
              </w:rPr>
            </w:pPr>
          </w:p>
        </w:tc>
      </w:tr>
      <w:tr>
        <w:trPr>
          <w:trHeight w:val="27"/>
        </w:trPr>
        <w:tc>
          <w:tcPr>
            <w:tcW w:w="64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520" w:type="dxa"/>
            <w:vAlign w:val="bottom"/>
            <w:tcBorders>
              <w:bottom w:val="single" w:sz="8" w:color="D2DCE5"/>
            </w:tcBorders>
            <w:gridSpan w:val="2"/>
            <w:shd w:val="clear" w:color="auto" w:fill="D2DCE5"/>
          </w:tcPr>
          <w:p>
            <w:pPr>
              <w:ind w:left="520"/>
              <w:spacing w:after="0"/>
              <w:rPr>
                <w:sz w:val="20"/>
                <w:szCs w:val="20"/>
                <w:color w:val="auto"/>
              </w:rPr>
            </w:pPr>
            <w:r>
              <w:rPr>
                <w:rFonts w:ascii="Arial" w:cs="Arial" w:eastAsia="Arial" w:hAnsi="Arial"/>
                <w:sz w:val="18"/>
                <w:szCs w:val="18"/>
                <w:color w:val="131E29"/>
              </w:rPr>
              <w:t>Total assets</w:t>
            </w:r>
          </w:p>
        </w:tc>
        <w:tc>
          <w:tcPr>
            <w:tcW w:w="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2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1,129,257</w:t>
            </w:r>
          </w:p>
        </w:tc>
        <w:tc>
          <w:tcPr>
            <w:tcW w:w="100" w:type="dxa"/>
            <w:vAlign w:val="bottom"/>
            <w:tcBorders>
              <w:bottom w:val="single" w:sz="8" w:color="D2DCE5"/>
            </w:tcBorders>
            <w:shd w:val="clear" w:color="auto" w:fill="D2DCE5"/>
          </w:tcPr>
          <w:p>
            <w:pPr>
              <w:spacing w:after="0"/>
              <w:rPr>
                <w:sz w:val="24"/>
                <w:szCs w:val="24"/>
                <w:color w:val="auto"/>
              </w:rPr>
            </w:pP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color w:val="131E29"/>
                <w:w w:val="99"/>
              </w:rPr>
              <w:t>$</w:t>
            </w:r>
          </w:p>
        </w:tc>
        <w:tc>
          <w:tcPr>
            <w:tcW w:w="1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553,700</w:t>
            </w:r>
          </w:p>
        </w:tc>
        <w:tc>
          <w:tcPr>
            <w:tcW w:w="0" w:type="dxa"/>
            <w:vAlign w:val="bottom"/>
          </w:tcPr>
          <w:p>
            <w:pPr>
              <w:spacing w:after="0"/>
              <w:rPr>
                <w:sz w:val="1"/>
                <w:szCs w:val="1"/>
                <w:color w:val="auto"/>
              </w:rPr>
            </w:pPr>
          </w:p>
        </w:tc>
      </w:tr>
      <w:tr>
        <w:trPr>
          <w:trHeight w:val="20"/>
        </w:trPr>
        <w:tc>
          <w:tcPr>
            <w:tcW w:w="6520" w:type="dxa"/>
            <w:vAlign w:val="bottom"/>
            <w:tcBorders>
              <w:top w:val="single" w:sz="8" w:color="D2DCE5"/>
              <w:bottom w:val="single" w:sz="8" w:color="D2DCE5"/>
            </w:tcBorders>
            <w:gridSpan w:val="2"/>
            <w:vMerge w:val="restart"/>
          </w:tcPr>
          <w:p>
            <w:pPr>
              <w:ind w:left="20"/>
              <w:spacing w:after="0"/>
              <w:rPr>
                <w:sz w:val="20"/>
                <w:szCs w:val="20"/>
                <w:color w:val="auto"/>
              </w:rPr>
            </w:pPr>
            <w:r>
              <w:rPr>
                <w:rFonts w:ascii="Arial" w:cs="Arial" w:eastAsia="Arial" w:hAnsi="Arial"/>
                <w:sz w:val="18"/>
                <w:szCs w:val="18"/>
                <w:b w:val="1"/>
                <w:bCs w:val="1"/>
                <w:color w:val="131E29"/>
              </w:rPr>
              <w:t>LIABILITIES AND EQUITY</w:t>
            </w:r>
          </w:p>
        </w:tc>
        <w:tc>
          <w:tcPr>
            <w:tcW w:w="200" w:type="dxa"/>
            <w:vAlign w:val="bottom"/>
            <w:tcBorders>
              <w:top w:val="single" w:sz="8" w:color="D2DCE5"/>
              <w:bottom w:val="single" w:sz="8" w:color="auto"/>
            </w:tcBorders>
          </w:tcPr>
          <w:p>
            <w:pPr>
              <w:spacing w:after="0" w:line="20" w:lineRule="exact"/>
              <w:rPr>
                <w:sz w:val="1"/>
                <w:szCs w:val="1"/>
                <w:color w:val="auto"/>
              </w:rPr>
            </w:pPr>
          </w:p>
        </w:tc>
        <w:tc>
          <w:tcPr>
            <w:tcW w:w="20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98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Current liabilities:</w:t>
            </w:r>
          </w:p>
        </w:tc>
        <w:tc>
          <w:tcPr>
            <w:tcW w:w="200" w:type="dxa"/>
            <w:vAlign w:val="bottom"/>
            <w:tcBorders>
              <w:bottom w:val="single" w:sz="8" w:color="D2DCE5"/>
            </w:tcBorders>
            <w:shd w:val="clear" w:color="auto" w:fill="D2DCE5"/>
          </w:tcPr>
          <w:p>
            <w:pPr>
              <w:spacing w:after="0"/>
              <w:rPr>
                <w:sz w:val="21"/>
                <w:szCs w:val="21"/>
                <w:color w:val="auto"/>
              </w:rPr>
            </w:pPr>
          </w:p>
        </w:tc>
        <w:tc>
          <w:tcPr>
            <w:tcW w:w="208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98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131E29"/>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131E29"/>
              </w:rPr>
              <w:t>26,973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131E29"/>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131E29"/>
              </w:rPr>
              <w:t>20,440</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Accrued liabilities</w:t>
            </w:r>
          </w:p>
        </w:tc>
        <w:tc>
          <w:tcPr>
            <w:tcW w:w="200" w:type="dxa"/>
            <w:vAlign w:val="bottom"/>
            <w:tcBorders>
              <w:bottom w:val="single" w:sz="8" w:color="D2DCE5"/>
            </w:tcBorders>
            <w:shd w:val="clear" w:color="auto" w:fill="D2DCE5"/>
          </w:tcPr>
          <w:p>
            <w:pPr>
              <w:spacing w:after="0"/>
              <w:rPr>
                <w:sz w:val="21"/>
                <w:szCs w:val="21"/>
                <w:color w:val="auto"/>
              </w:rPr>
            </w:pPr>
          </w:p>
        </w:tc>
        <w:tc>
          <w:tcPr>
            <w:tcW w:w="2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22,850</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20,970</w:t>
            </w: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131E29"/>
              </w:rPr>
              <w:t>Other current liabilities</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131E29"/>
              </w:rPr>
              <w:t>6,446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131E29"/>
              </w:rPr>
              <w:t>6,471</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Deferred revenue</w:t>
            </w:r>
          </w:p>
        </w:tc>
        <w:tc>
          <w:tcPr>
            <w:tcW w:w="200" w:type="dxa"/>
            <w:vAlign w:val="bottom"/>
            <w:tcBorders>
              <w:bottom w:val="single" w:sz="8" w:color="D2DCE5"/>
            </w:tcBorders>
            <w:shd w:val="clear" w:color="auto" w:fill="D2DCE5"/>
          </w:tcPr>
          <w:p>
            <w:pPr>
              <w:spacing w:after="0"/>
              <w:rPr>
                <w:sz w:val="21"/>
                <w:szCs w:val="21"/>
                <w:color w:val="auto"/>
              </w:rPr>
            </w:pPr>
          </w:p>
        </w:tc>
        <w:tc>
          <w:tcPr>
            <w:tcW w:w="2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28,829</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22,807</w:t>
            </w: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131E29"/>
              </w:rPr>
              <w:t>Line of credit</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131E29"/>
              </w:rPr>
              <w:t>85,752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131E29"/>
              </w:rPr>
              <w:t>64,104</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Current portion of tax receivable agreements liability</w:t>
            </w:r>
          </w:p>
        </w:tc>
        <w:tc>
          <w:tcPr>
            <w:tcW w:w="200" w:type="dxa"/>
            <w:vAlign w:val="bottom"/>
            <w:tcBorders>
              <w:bottom w:val="single" w:sz="8" w:color="D2DCE5"/>
            </w:tcBorders>
            <w:shd w:val="clear" w:color="auto" w:fill="D2DCE5"/>
          </w:tcPr>
          <w:p>
            <w:pPr>
              <w:spacing w:after="0"/>
              <w:rPr>
                <w:sz w:val="21"/>
                <w:szCs w:val="21"/>
                <w:color w:val="auto"/>
              </w:rPr>
            </w:pPr>
          </w:p>
        </w:tc>
        <w:tc>
          <w:tcPr>
            <w:tcW w:w="2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450</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450</w:t>
            </w: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131E29"/>
              </w:rPr>
              <w:t>Current portion of finance lease obligations</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131E29"/>
              </w:rPr>
              <w:t>7,004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131E29"/>
              </w:rPr>
              <w:t>3,389</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Current portion of operating lease obligations</w:t>
            </w:r>
          </w:p>
        </w:tc>
        <w:tc>
          <w:tcPr>
            <w:tcW w:w="200" w:type="dxa"/>
            <w:vAlign w:val="bottom"/>
            <w:tcBorders>
              <w:bottom w:val="single" w:sz="8" w:color="D2DCE5"/>
            </w:tcBorders>
            <w:shd w:val="clear" w:color="auto" w:fill="D2DCE5"/>
          </w:tcPr>
          <w:p>
            <w:pPr>
              <w:spacing w:after="0"/>
              <w:rPr>
                <w:sz w:val="21"/>
                <w:szCs w:val="21"/>
                <w:color w:val="auto"/>
              </w:rPr>
            </w:pPr>
          </w:p>
        </w:tc>
        <w:tc>
          <w:tcPr>
            <w:tcW w:w="2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9,462</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131E29"/>
              </w:rPr>
              <w:t>Current portion of long-term debt</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131E29"/>
              </w:rPr>
              <w:t>2,608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131E29"/>
              </w:rPr>
              <w:t>103</w:t>
            </w:r>
          </w:p>
        </w:tc>
        <w:tc>
          <w:tcPr>
            <w:tcW w:w="0" w:type="dxa"/>
            <w:vAlign w:val="bottom"/>
          </w:tcPr>
          <w:p>
            <w:pPr>
              <w:spacing w:after="0"/>
              <w:rPr>
                <w:sz w:val="1"/>
                <w:szCs w:val="1"/>
                <w:color w:val="auto"/>
              </w:rPr>
            </w:pPr>
          </w:p>
        </w:tc>
      </w:tr>
      <w:tr>
        <w:trPr>
          <w:trHeight w:val="27"/>
        </w:trPr>
        <w:tc>
          <w:tcPr>
            <w:tcW w:w="64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2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Total current liabilities</w:t>
            </w:r>
          </w:p>
        </w:tc>
        <w:tc>
          <w:tcPr>
            <w:tcW w:w="200" w:type="dxa"/>
            <w:vAlign w:val="bottom"/>
            <w:tcBorders>
              <w:bottom w:val="single" w:sz="8" w:color="D2DCE5"/>
            </w:tcBorders>
            <w:shd w:val="clear" w:color="auto" w:fill="D2DCE5"/>
          </w:tcPr>
          <w:p>
            <w:pPr>
              <w:spacing w:after="0"/>
              <w:rPr>
                <w:sz w:val="21"/>
                <w:szCs w:val="21"/>
                <w:color w:val="auto"/>
              </w:rPr>
            </w:pPr>
          </w:p>
        </w:tc>
        <w:tc>
          <w:tcPr>
            <w:tcW w:w="2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190,374</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138,734</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131E29"/>
              </w:rPr>
              <w:t>Deferred revenue, net of current portion</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131E29"/>
              </w:rPr>
              <w:t>5,118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131E29"/>
              </w:rPr>
              <w:t>5,030</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Tax receivable agreements liability, net of current portion</w:t>
            </w:r>
          </w:p>
        </w:tc>
        <w:tc>
          <w:tcPr>
            <w:tcW w:w="200" w:type="dxa"/>
            <w:vAlign w:val="bottom"/>
            <w:tcBorders>
              <w:bottom w:val="single" w:sz="8" w:color="D2DCE5"/>
            </w:tcBorders>
            <w:shd w:val="clear" w:color="auto" w:fill="D2DCE5"/>
          </w:tcPr>
          <w:p>
            <w:pPr>
              <w:spacing w:after="0"/>
              <w:rPr>
                <w:sz w:val="21"/>
                <w:szCs w:val="21"/>
                <w:color w:val="auto"/>
              </w:rPr>
            </w:pPr>
          </w:p>
        </w:tc>
        <w:tc>
          <w:tcPr>
            <w:tcW w:w="2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225,849</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109,283</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131E29"/>
              </w:rPr>
              <w:t>Finance lease obligations, net of current portion</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131E29"/>
              </w:rPr>
              <w:t>209,257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131E29"/>
              </w:rPr>
              <w:t>79,588</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Operating lease obligations, net of current portion</w:t>
            </w:r>
          </w:p>
        </w:tc>
        <w:tc>
          <w:tcPr>
            <w:tcW w:w="200" w:type="dxa"/>
            <w:vAlign w:val="bottom"/>
            <w:tcBorders>
              <w:bottom w:val="single" w:sz="8" w:color="D2DCE5"/>
            </w:tcBorders>
            <w:shd w:val="clear" w:color="auto" w:fill="D2DCE5"/>
          </w:tcPr>
          <w:p>
            <w:pPr>
              <w:spacing w:after="0"/>
              <w:rPr>
                <w:sz w:val="21"/>
                <w:szCs w:val="21"/>
                <w:color w:val="auto"/>
              </w:rPr>
            </w:pPr>
          </w:p>
        </w:tc>
        <w:tc>
          <w:tcPr>
            <w:tcW w:w="2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157,319</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131E29"/>
              </w:rPr>
              <w:t>Long-term debt, net of current portion</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131E29"/>
              </w:rPr>
              <w:t>96,879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131E29"/>
              </w:rPr>
              <w:t>3,503</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Deferred rent</w:t>
            </w:r>
          </w:p>
        </w:tc>
        <w:tc>
          <w:tcPr>
            <w:tcW w:w="200" w:type="dxa"/>
            <w:vAlign w:val="bottom"/>
            <w:tcBorders>
              <w:bottom w:val="single" w:sz="8" w:color="D2DCE5"/>
            </w:tcBorders>
            <w:shd w:val="clear" w:color="auto" w:fill="D2DCE5"/>
          </w:tcPr>
          <w:p>
            <w:pPr>
              <w:spacing w:after="0"/>
              <w:rPr>
                <w:sz w:val="21"/>
                <w:szCs w:val="21"/>
                <w:color w:val="auto"/>
              </w:rPr>
            </w:pPr>
          </w:p>
        </w:tc>
        <w:tc>
          <w:tcPr>
            <w:tcW w:w="21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360" w:type="dxa"/>
            <w:vAlign w:val="bottom"/>
            <w:tcBorders>
              <w:bottom w:val="single" w:sz="8" w:color="D2DCE5"/>
            </w:tcBorders>
            <w:shd w:val="clear" w:color="auto" w:fill="D2DCE5"/>
          </w:tcPr>
          <w:p>
            <w:pPr>
              <w:spacing w:after="0"/>
              <w:rPr>
                <w:sz w:val="21"/>
                <w:szCs w:val="21"/>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3,153</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131E29"/>
              </w:rPr>
              <w:t>Other long-term liabilities</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131E29"/>
              </w:rPr>
              <w:t>659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131E29"/>
              </w:rPr>
              <w:t>680</w:t>
            </w:r>
          </w:p>
        </w:tc>
        <w:tc>
          <w:tcPr>
            <w:tcW w:w="0" w:type="dxa"/>
            <w:vAlign w:val="bottom"/>
          </w:tcPr>
          <w:p>
            <w:pPr>
              <w:spacing w:after="0"/>
              <w:rPr>
                <w:sz w:val="1"/>
                <w:szCs w:val="1"/>
                <w:color w:val="auto"/>
              </w:rPr>
            </w:pPr>
          </w:p>
        </w:tc>
      </w:tr>
      <w:tr>
        <w:trPr>
          <w:trHeight w:val="27"/>
        </w:trPr>
        <w:tc>
          <w:tcPr>
            <w:tcW w:w="64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2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Total liabilities</w:t>
            </w:r>
          </w:p>
        </w:tc>
        <w:tc>
          <w:tcPr>
            <w:tcW w:w="200" w:type="dxa"/>
            <w:vAlign w:val="bottom"/>
            <w:tcBorders>
              <w:bottom w:val="single" w:sz="8" w:color="D2DCE5"/>
            </w:tcBorders>
            <w:shd w:val="clear" w:color="auto" w:fill="D2DCE5"/>
          </w:tcPr>
          <w:p>
            <w:pPr>
              <w:spacing w:after="0"/>
              <w:rPr>
                <w:sz w:val="21"/>
                <w:szCs w:val="21"/>
                <w:color w:val="auto"/>
              </w:rPr>
            </w:pPr>
          </w:p>
        </w:tc>
        <w:tc>
          <w:tcPr>
            <w:tcW w:w="2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885,455</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339,971</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131E29"/>
              </w:rPr>
              <w:t>Commitments and contingencies (Note 16)</w:t>
            </w: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7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020"/>
        <w:spacing w:after="0"/>
        <w:rPr>
          <w:sz w:val="20"/>
          <w:szCs w:val="20"/>
          <w:color w:val="auto"/>
        </w:rPr>
      </w:pPr>
      <w:r>
        <w:rPr>
          <w:sz w:val="1"/>
          <w:szCs w:val="1"/>
          <w:color w:val="auto"/>
        </w:rPr>
        <w:drawing>
          <wp:inline distT="0" distB="0" distL="0" distR="0">
            <wp:extent cx="171450" cy="2400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795" w:gutter="0" w:footer="0" w:header="0"/>
          <w:type w:val="continuous"/>
        </w:sectPr>
      </w:pPr>
    </w:p>
    <w:bookmarkStart w:id="6" w:name="page7"/>
    <w:bookmarkEnd w:id="6"/>
    <w:p>
      <w:pPr>
        <w:ind w:left="340"/>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Balance Sheets (continued)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jc w:val="right"/>
              <w:ind w:right="530"/>
              <w:spacing w:after="0"/>
              <w:rPr>
                <w:sz w:val="20"/>
                <w:szCs w:val="20"/>
                <w:color w:val="auto"/>
              </w:rPr>
            </w:pPr>
            <w:r>
              <w:rPr>
                <w:rFonts w:ascii="Arial" w:cs="Arial" w:eastAsia="Arial" w:hAnsi="Arial"/>
                <w:sz w:val="18"/>
                <w:szCs w:val="18"/>
                <w:b w:val="1"/>
                <w:bCs w:val="1"/>
                <w:color w:val="131E29"/>
              </w:rPr>
              <w:t>December 31,</w:t>
            </w:r>
          </w:p>
        </w:tc>
        <w:tc>
          <w:tcPr>
            <w:tcW w:w="0" w:type="dxa"/>
            <w:vAlign w:val="bottom"/>
          </w:tcPr>
          <w:p>
            <w:pPr>
              <w:spacing w:after="0"/>
              <w:rPr>
                <w:sz w:val="1"/>
                <w:szCs w:val="1"/>
                <w:color w:val="auto"/>
              </w:rPr>
            </w:pPr>
          </w:p>
        </w:tc>
      </w:tr>
      <w:tr>
        <w:trPr>
          <w:trHeight w:val="240"/>
        </w:trPr>
        <w:tc>
          <w:tcPr>
            <w:tcW w:w="6560" w:type="dxa"/>
            <w:vAlign w:val="bottom"/>
            <w:gridSpan w:val="2"/>
          </w:tcPr>
          <w:p>
            <w:pPr>
              <w:ind w:left="20"/>
              <w:spacing w:after="0"/>
              <w:rPr>
                <w:sz w:val="20"/>
                <w:szCs w:val="20"/>
                <w:color w:val="auto"/>
              </w:rPr>
            </w:pPr>
            <w:r>
              <w:rPr>
                <w:rFonts w:ascii="Arial" w:cs="Arial" w:eastAsia="Arial" w:hAnsi="Arial"/>
                <w:sz w:val="14"/>
                <w:szCs w:val="14"/>
                <w:color w:val="131E29"/>
              </w:rPr>
              <w:t>(in thousands, except per share amounts; unaudited)</w:t>
            </w:r>
          </w:p>
        </w:tc>
        <w:tc>
          <w:tcPr>
            <w:tcW w:w="200" w:type="dxa"/>
            <w:vAlign w:val="bottom"/>
          </w:tcPr>
          <w:p>
            <w:pPr>
              <w:spacing w:after="0"/>
              <w:rPr>
                <w:sz w:val="20"/>
                <w:szCs w:val="20"/>
                <w:color w:val="auto"/>
              </w:rPr>
            </w:pPr>
          </w:p>
        </w:tc>
        <w:tc>
          <w:tcPr>
            <w:tcW w:w="2080" w:type="dxa"/>
            <w:vAlign w:val="bottom"/>
            <w:gridSpan w:val="2"/>
          </w:tcPr>
          <w:p>
            <w:pPr>
              <w:ind w:left="60"/>
              <w:spacing w:after="0"/>
              <w:rPr>
                <w:sz w:val="20"/>
                <w:szCs w:val="20"/>
                <w:color w:val="auto"/>
              </w:rPr>
            </w:pPr>
            <w:r>
              <w:rPr>
                <w:rFonts w:ascii="Arial" w:cs="Arial" w:eastAsia="Arial" w:hAnsi="Arial"/>
                <w:sz w:val="18"/>
                <w:szCs w:val="18"/>
                <w:b w:val="1"/>
                <w:bCs w:val="1"/>
                <w:color w:val="131E29"/>
              </w:rPr>
              <w:t>September 30, 2022</w:t>
            </w:r>
          </w:p>
        </w:tc>
        <w:tc>
          <w:tcPr>
            <w:tcW w:w="360" w:type="dxa"/>
            <w:vAlign w:val="bottom"/>
          </w:tcPr>
          <w:p>
            <w:pPr>
              <w:spacing w:after="0"/>
              <w:rPr>
                <w:sz w:val="20"/>
                <w:szCs w:val="20"/>
                <w:color w:val="auto"/>
              </w:rPr>
            </w:pPr>
          </w:p>
        </w:tc>
        <w:tc>
          <w:tcPr>
            <w:tcW w:w="2040" w:type="dxa"/>
            <w:vAlign w:val="bottom"/>
          </w:tcPr>
          <w:p>
            <w:pPr>
              <w:jc w:val="right"/>
              <w:ind w:right="910"/>
              <w:spacing w:after="0"/>
              <w:rPr>
                <w:sz w:val="20"/>
                <w:szCs w:val="20"/>
                <w:color w:val="auto"/>
              </w:rPr>
            </w:pPr>
            <w:r>
              <w:rPr>
                <w:rFonts w:ascii="Arial" w:cs="Arial" w:eastAsia="Arial" w:hAnsi="Arial"/>
                <w:sz w:val="18"/>
                <w:szCs w:val="18"/>
                <w:b w:val="1"/>
                <w:bCs w:val="1"/>
                <w:color w:val="131E29"/>
              </w:rPr>
              <w:t>2021</w:t>
            </w:r>
          </w:p>
        </w:tc>
        <w:tc>
          <w:tcPr>
            <w:tcW w:w="0" w:type="dxa"/>
            <w:vAlign w:val="bottom"/>
          </w:tcPr>
          <w:p>
            <w:pPr>
              <w:spacing w:after="0"/>
              <w:rPr>
                <w:sz w:val="1"/>
                <w:szCs w:val="1"/>
                <w:color w:val="auto"/>
              </w:rPr>
            </w:pPr>
          </w:p>
        </w:tc>
      </w:tr>
      <w:tr>
        <w:trPr>
          <w:trHeight w:val="26"/>
        </w:trPr>
        <w:tc>
          <w:tcPr>
            <w:tcW w:w="64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0" w:type="dxa"/>
            <w:vAlign w:val="bottom"/>
            <w:tcBorders>
              <w:bottom w:val="single" w:sz="8" w:color="131E29"/>
            </w:tcBorders>
          </w:tcPr>
          <w:p>
            <w:pPr>
              <w:spacing w:after="0"/>
              <w:rPr>
                <w:sz w:val="2"/>
                <w:szCs w:val="2"/>
                <w:color w:val="auto"/>
              </w:rPr>
            </w:pPr>
          </w:p>
        </w:tc>
        <w:tc>
          <w:tcPr>
            <w:tcW w:w="198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131E29"/>
            </w:tcBorders>
          </w:tcPr>
          <w:p>
            <w:pPr>
              <w:spacing w:after="0"/>
              <w:rPr>
                <w:sz w:val="2"/>
                <w:szCs w:val="2"/>
                <w:color w:val="auto"/>
              </w:rPr>
            </w:pPr>
          </w:p>
        </w:tc>
        <w:tc>
          <w:tcPr>
            <w:tcW w:w="204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5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Preferred stock, $0.00001 par value per share - 20,000 shares authorized;</w:t>
            </w:r>
          </w:p>
        </w:tc>
        <w:tc>
          <w:tcPr>
            <w:tcW w:w="200" w:type="dxa"/>
            <w:vAlign w:val="bottom"/>
            <w:shd w:val="clear" w:color="auto" w:fill="D2DCE5"/>
          </w:tcPr>
          <w:p>
            <w:pPr>
              <w:spacing w:after="0"/>
              <w:rPr>
                <w:sz w:val="20"/>
                <w:szCs w:val="20"/>
                <w:color w:val="auto"/>
              </w:rPr>
            </w:pPr>
          </w:p>
        </w:tc>
        <w:tc>
          <w:tcPr>
            <w:tcW w:w="198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60" w:type="dxa"/>
            <w:vAlign w:val="bottom"/>
            <w:shd w:val="clear" w:color="auto" w:fill="D2DCE5"/>
          </w:tcPr>
          <w:p>
            <w:pPr>
              <w:spacing w:after="0"/>
              <w:rPr>
                <w:sz w:val="20"/>
                <w:szCs w:val="20"/>
                <w:color w:val="auto"/>
              </w:rPr>
            </w:pPr>
          </w:p>
        </w:tc>
        <w:tc>
          <w:tcPr>
            <w:tcW w:w="2040" w:type="dxa"/>
            <w:vAlign w:val="bottom"/>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zero shares issued and outstanding as of September 30, 2022 and</w:t>
            </w:r>
          </w:p>
        </w:tc>
        <w:tc>
          <w:tcPr>
            <w:tcW w:w="200" w:type="dxa"/>
            <w:vAlign w:val="bottom"/>
            <w:shd w:val="clear" w:color="auto" w:fill="D2DCE5"/>
          </w:tcPr>
          <w:p>
            <w:pPr>
              <w:spacing w:after="0"/>
              <w:rPr>
                <w:sz w:val="18"/>
                <w:szCs w:val="18"/>
                <w:color w:val="auto"/>
              </w:rPr>
            </w:pPr>
          </w:p>
        </w:tc>
        <w:tc>
          <w:tcPr>
            <w:tcW w:w="19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20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5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December 31, 2021</w:t>
            </w:r>
          </w:p>
        </w:tc>
        <w:tc>
          <w:tcPr>
            <w:tcW w:w="200" w:type="dxa"/>
            <w:vAlign w:val="bottom"/>
            <w:tcBorders>
              <w:bottom w:val="single" w:sz="8" w:color="D2DCE5"/>
            </w:tcBorders>
            <w:shd w:val="clear" w:color="auto" w:fill="D2DCE5"/>
          </w:tcPr>
          <w:p>
            <w:pPr>
              <w:spacing w:after="0"/>
              <w:rPr>
                <w:sz w:val="19"/>
                <w:szCs w:val="19"/>
                <w:color w:val="auto"/>
              </w:rPr>
            </w:pPr>
          </w:p>
        </w:tc>
        <w:tc>
          <w:tcPr>
            <w:tcW w:w="208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360" w:type="dxa"/>
            <w:vAlign w:val="bottom"/>
            <w:tcBorders>
              <w:bottom w:val="single" w:sz="8" w:color="D2DCE5"/>
            </w:tcBorders>
            <w:shd w:val="clear" w:color="auto" w:fill="D2DCE5"/>
          </w:tcPr>
          <w:p>
            <w:pPr>
              <w:spacing w:after="0"/>
              <w:rPr>
                <w:sz w:val="19"/>
                <w:szCs w:val="19"/>
                <w:color w:val="auto"/>
              </w:rPr>
            </w:pPr>
          </w:p>
        </w:tc>
        <w:tc>
          <w:tcPr>
            <w:tcW w:w="2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42"/>
        </w:trPr>
        <w:tc>
          <w:tcPr>
            <w:tcW w:w="6560" w:type="dxa"/>
            <w:vAlign w:val="bottom"/>
            <w:gridSpan w:val="2"/>
          </w:tcPr>
          <w:p>
            <w:pPr>
              <w:ind w:left="180"/>
              <w:spacing w:after="0"/>
              <w:rPr>
                <w:sz w:val="20"/>
                <w:szCs w:val="20"/>
                <w:color w:val="auto"/>
              </w:rPr>
            </w:pPr>
            <w:r>
              <w:rPr>
                <w:rFonts w:ascii="Arial" w:cs="Arial" w:eastAsia="Arial" w:hAnsi="Arial"/>
                <w:sz w:val="18"/>
                <w:szCs w:val="18"/>
                <w:color w:val="131E29"/>
              </w:rPr>
              <w:t>Class A common stock, $0.00001 par value per share - 400,000 shares</w:t>
            </w: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180"/>
              <w:spacing w:after="0"/>
              <w:rPr>
                <w:sz w:val="20"/>
                <w:szCs w:val="20"/>
                <w:color w:val="auto"/>
              </w:rPr>
            </w:pPr>
            <w:r>
              <w:rPr>
                <w:rFonts w:ascii="Arial" w:cs="Arial" w:eastAsia="Arial" w:hAnsi="Arial"/>
                <w:sz w:val="18"/>
                <w:szCs w:val="18"/>
                <w:color w:val="131E29"/>
              </w:rPr>
              <w:t>authorized; 45,541 and 34,433 shares issued and outstanding as of</w:t>
            </w: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60" w:type="dxa"/>
            <w:vAlign w:val="bottom"/>
            <w:gridSpan w:val="2"/>
          </w:tcPr>
          <w:p>
            <w:pPr>
              <w:ind w:left="180"/>
              <w:spacing w:after="0"/>
              <w:rPr>
                <w:sz w:val="20"/>
                <w:szCs w:val="20"/>
                <w:color w:val="auto"/>
              </w:rPr>
            </w:pPr>
            <w:r>
              <w:rPr>
                <w:rFonts w:ascii="Arial" w:cs="Arial" w:eastAsia="Arial" w:hAnsi="Arial"/>
                <w:sz w:val="18"/>
                <w:szCs w:val="18"/>
                <w:color w:val="131E29"/>
              </w:rPr>
              <w:t>September 30, 2022 and December 31, 2021, respectively</w:t>
            </w:r>
          </w:p>
        </w:tc>
        <w:tc>
          <w:tcPr>
            <w:tcW w:w="200" w:type="dxa"/>
            <w:vAlign w:val="bottom"/>
          </w:tcPr>
          <w:p>
            <w:pPr>
              <w:spacing w:after="0"/>
              <w:rPr>
                <w:sz w:val="18"/>
                <w:szCs w:val="18"/>
                <w:color w:val="auto"/>
              </w:rPr>
            </w:pPr>
          </w:p>
        </w:tc>
        <w:tc>
          <w:tcPr>
            <w:tcW w:w="1980" w:type="dxa"/>
            <w:vAlign w:val="bottom"/>
            <w:vMerge w:val="restart"/>
          </w:tcPr>
          <w:p>
            <w:pPr>
              <w:jc w:val="right"/>
              <w:spacing w:after="0"/>
              <w:rPr>
                <w:sz w:val="20"/>
                <w:szCs w:val="20"/>
                <w:color w:val="auto"/>
              </w:rPr>
            </w:pPr>
            <w:r>
              <w:rPr>
                <w:rFonts w:ascii="Arial" w:cs="Arial" w:eastAsia="Arial" w:hAnsi="Arial"/>
                <w:sz w:val="18"/>
                <w:szCs w:val="18"/>
                <w:color w:val="131E29"/>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vMerge w:val="restart"/>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162"/>
        </w:trPr>
        <w:tc>
          <w:tcPr>
            <w:tcW w:w="6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5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Class B common stock, $0.00001 par value per share - 144,000 shares</w:t>
            </w:r>
          </w:p>
        </w:tc>
        <w:tc>
          <w:tcPr>
            <w:tcW w:w="200" w:type="dxa"/>
            <w:vAlign w:val="bottom"/>
            <w:shd w:val="clear" w:color="auto" w:fill="D2DCE5"/>
          </w:tcPr>
          <w:p>
            <w:pPr>
              <w:spacing w:after="0"/>
              <w:rPr>
                <w:sz w:val="21"/>
                <w:szCs w:val="21"/>
                <w:color w:val="auto"/>
              </w:rPr>
            </w:pPr>
          </w:p>
        </w:tc>
        <w:tc>
          <w:tcPr>
            <w:tcW w:w="19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60" w:type="dxa"/>
            <w:vAlign w:val="bottom"/>
            <w:shd w:val="clear" w:color="auto" w:fill="D2DCE5"/>
          </w:tcPr>
          <w:p>
            <w:pPr>
              <w:spacing w:after="0"/>
              <w:rPr>
                <w:sz w:val="21"/>
                <w:szCs w:val="21"/>
                <w:color w:val="auto"/>
              </w:rPr>
            </w:pPr>
          </w:p>
        </w:tc>
        <w:tc>
          <w:tcPr>
            <w:tcW w:w="204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authorized; 64,699 shares issued and outstanding as of September 30, 2022</w:t>
            </w:r>
          </w:p>
        </w:tc>
        <w:tc>
          <w:tcPr>
            <w:tcW w:w="200" w:type="dxa"/>
            <w:vAlign w:val="bottom"/>
            <w:shd w:val="clear" w:color="auto" w:fill="D2DCE5"/>
          </w:tcPr>
          <w:p>
            <w:pPr>
              <w:spacing w:after="0"/>
              <w:rPr>
                <w:sz w:val="18"/>
                <w:szCs w:val="18"/>
                <w:color w:val="auto"/>
              </w:rPr>
            </w:pPr>
          </w:p>
        </w:tc>
        <w:tc>
          <w:tcPr>
            <w:tcW w:w="19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20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and December 31, 2021</w:t>
            </w:r>
          </w:p>
        </w:tc>
        <w:tc>
          <w:tcPr>
            <w:tcW w:w="200" w:type="dxa"/>
            <w:vAlign w:val="bottom"/>
            <w:shd w:val="clear" w:color="auto" w:fill="D2DCE5"/>
          </w:tcPr>
          <w:p>
            <w:pPr>
              <w:spacing w:after="0"/>
              <w:rPr>
                <w:sz w:val="18"/>
                <w:szCs w:val="18"/>
                <w:color w:val="auto"/>
              </w:rPr>
            </w:pPr>
          </w:p>
        </w:tc>
        <w:tc>
          <w:tcPr>
            <w:tcW w:w="198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w:t>
            </w: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20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w:t>
            </w:r>
          </w:p>
        </w:tc>
        <w:tc>
          <w:tcPr>
            <w:tcW w:w="0" w:type="dxa"/>
            <w:vAlign w:val="bottom"/>
          </w:tcPr>
          <w:p>
            <w:pPr>
              <w:spacing w:after="0"/>
              <w:rPr>
                <w:sz w:val="1"/>
                <w:szCs w:val="1"/>
                <w:color w:val="auto"/>
              </w:rPr>
            </w:pPr>
          </w:p>
        </w:tc>
      </w:tr>
      <w:tr>
        <w:trPr>
          <w:trHeight w:val="169"/>
        </w:trPr>
        <w:tc>
          <w:tcPr>
            <w:tcW w:w="6480" w:type="dxa"/>
            <w:vAlign w:val="bottom"/>
            <w:tcBorders>
              <w:bottom w:val="single" w:sz="8" w:color="D2DCE5"/>
            </w:tcBorders>
            <w:shd w:val="clear" w:color="auto" w:fill="D2DCE5"/>
          </w:tcPr>
          <w:p>
            <w:pPr>
              <w:spacing w:after="0"/>
              <w:rPr>
                <w:sz w:val="14"/>
                <w:szCs w:val="14"/>
                <w:color w:val="auto"/>
              </w:rPr>
            </w:pPr>
          </w:p>
        </w:tc>
        <w:tc>
          <w:tcPr>
            <w:tcW w:w="80" w:type="dxa"/>
            <w:vAlign w:val="bottom"/>
            <w:tcBorders>
              <w:bottom w:val="single" w:sz="8" w:color="D2DCE5"/>
            </w:tcBorders>
            <w:shd w:val="clear" w:color="auto" w:fill="D2DCE5"/>
          </w:tcPr>
          <w:p>
            <w:pPr>
              <w:spacing w:after="0"/>
              <w:rPr>
                <w:sz w:val="14"/>
                <w:szCs w:val="14"/>
                <w:color w:val="auto"/>
              </w:rPr>
            </w:pPr>
          </w:p>
        </w:tc>
        <w:tc>
          <w:tcPr>
            <w:tcW w:w="200" w:type="dxa"/>
            <w:vAlign w:val="bottom"/>
            <w:tcBorders>
              <w:bottom w:val="single" w:sz="8" w:color="D2DCE5"/>
            </w:tcBorders>
            <w:shd w:val="clear" w:color="auto" w:fill="D2DCE5"/>
          </w:tcPr>
          <w:p>
            <w:pPr>
              <w:spacing w:after="0"/>
              <w:rPr>
                <w:sz w:val="14"/>
                <w:szCs w:val="14"/>
                <w:color w:val="auto"/>
              </w:rPr>
            </w:pPr>
          </w:p>
        </w:tc>
        <w:tc>
          <w:tcPr>
            <w:tcW w:w="1980" w:type="dxa"/>
            <w:vAlign w:val="bottom"/>
            <w:tcBorders>
              <w:bottom w:val="single" w:sz="8" w:color="D2DCE5"/>
            </w:tcBorders>
            <w:vMerge w:val="continue"/>
            <w:shd w:val="clear" w:color="auto" w:fill="D2DCE5"/>
          </w:tcPr>
          <w:p>
            <w:pPr>
              <w:spacing w:after="0"/>
              <w:rPr>
                <w:sz w:val="14"/>
                <w:szCs w:val="14"/>
                <w:color w:val="auto"/>
              </w:rPr>
            </w:pPr>
          </w:p>
        </w:tc>
        <w:tc>
          <w:tcPr>
            <w:tcW w:w="100" w:type="dxa"/>
            <w:vAlign w:val="bottom"/>
            <w:tcBorders>
              <w:bottom w:val="single" w:sz="8" w:color="D2DCE5"/>
            </w:tcBorders>
            <w:shd w:val="clear" w:color="auto" w:fill="D2DCE5"/>
          </w:tcPr>
          <w:p>
            <w:pPr>
              <w:spacing w:after="0"/>
              <w:rPr>
                <w:sz w:val="14"/>
                <w:szCs w:val="14"/>
                <w:color w:val="auto"/>
              </w:rPr>
            </w:pPr>
          </w:p>
        </w:tc>
        <w:tc>
          <w:tcPr>
            <w:tcW w:w="360" w:type="dxa"/>
            <w:vAlign w:val="bottom"/>
            <w:tcBorders>
              <w:bottom w:val="single" w:sz="8" w:color="D2DCE5"/>
            </w:tcBorders>
            <w:shd w:val="clear" w:color="auto" w:fill="D2DCE5"/>
          </w:tcPr>
          <w:p>
            <w:pPr>
              <w:spacing w:after="0"/>
              <w:rPr>
                <w:sz w:val="14"/>
                <w:szCs w:val="14"/>
                <w:color w:val="auto"/>
              </w:rPr>
            </w:pPr>
          </w:p>
        </w:tc>
        <w:tc>
          <w:tcPr>
            <w:tcW w:w="2040" w:type="dxa"/>
            <w:vAlign w:val="bottom"/>
            <w:tcBorders>
              <w:bottom w:val="single" w:sz="8" w:color="D2DCE5"/>
            </w:tcBorders>
            <w:vMerge w:val="continue"/>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560" w:type="dxa"/>
            <w:vAlign w:val="bottom"/>
            <w:gridSpan w:val="2"/>
          </w:tcPr>
          <w:p>
            <w:pPr>
              <w:ind w:left="180"/>
              <w:spacing w:after="0"/>
              <w:rPr>
                <w:sz w:val="20"/>
                <w:szCs w:val="20"/>
                <w:color w:val="auto"/>
              </w:rPr>
            </w:pPr>
            <w:r>
              <w:rPr>
                <w:rFonts w:ascii="Arial" w:cs="Arial" w:eastAsia="Arial" w:hAnsi="Arial"/>
                <w:sz w:val="18"/>
                <w:szCs w:val="18"/>
                <w:color w:val="131E29"/>
              </w:rPr>
              <w:t>Class C common stock, $0.00001 par value per share - 105,000 shares</w:t>
            </w: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180"/>
              <w:spacing w:after="0"/>
              <w:rPr>
                <w:sz w:val="20"/>
                <w:szCs w:val="20"/>
                <w:color w:val="auto"/>
              </w:rPr>
            </w:pPr>
            <w:r>
              <w:rPr>
                <w:rFonts w:ascii="Arial" w:cs="Arial" w:eastAsia="Arial" w:hAnsi="Arial"/>
                <w:sz w:val="18"/>
                <w:szCs w:val="18"/>
                <w:color w:val="131E29"/>
              </w:rPr>
              <w:t>authorized; 41,056 and 49,006 shares issued and outstanding as of</w:t>
            </w: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60" w:type="dxa"/>
            <w:vAlign w:val="bottom"/>
            <w:gridSpan w:val="2"/>
          </w:tcPr>
          <w:p>
            <w:pPr>
              <w:ind w:left="180"/>
              <w:spacing w:after="0"/>
              <w:rPr>
                <w:sz w:val="20"/>
                <w:szCs w:val="20"/>
                <w:color w:val="auto"/>
              </w:rPr>
            </w:pPr>
            <w:r>
              <w:rPr>
                <w:rFonts w:ascii="Arial" w:cs="Arial" w:eastAsia="Arial" w:hAnsi="Arial"/>
                <w:sz w:val="18"/>
                <w:szCs w:val="18"/>
                <w:color w:val="131E29"/>
              </w:rPr>
              <w:t>September 30, 2022 and December 31, 2021, respectively</w:t>
            </w:r>
          </w:p>
        </w:tc>
        <w:tc>
          <w:tcPr>
            <w:tcW w:w="200" w:type="dxa"/>
            <w:vAlign w:val="bottom"/>
          </w:tcPr>
          <w:p>
            <w:pPr>
              <w:spacing w:after="0"/>
              <w:rPr>
                <w:sz w:val="18"/>
                <w:szCs w:val="18"/>
                <w:color w:val="auto"/>
              </w:rPr>
            </w:pPr>
          </w:p>
        </w:tc>
        <w:tc>
          <w:tcPr>
            <w:tcW w:w="2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131E29"/>
              </w:rPr>
              <w:t>—</w:t>
            </w:r>
          </w:p>
        </w:tc>
        <w:tc>
          <w:tcPr>
            <w:tcW w:w="360" w:type="dxa"/>
            <w:vAlign w:val="bottom"/>
          </w:tcPr>
          <w:p>
            <w:pPr>
              <w:spacing w:after="0"/>
              <w:rPr>
                <w:sz w:val="18"/>
                <w:szCs w:val="18"/>
                <w:color w:val="auto"/>
              </w:rPr>
            </w:pPr>
          </w:p>
        </w:tc>
        <w:tc>
          <w:tcPr>
            <w:tcW w:w="2040" w:type="dxa"/>
            <w:vAlign w:val="bottom"/>
            <w:vMerge w:val="restart"/>
          </w:tcPr>
          <w:p>
            <w:pPr>
              <w:jc w:val="right"/>
              <w:spacing w:after="0"/>
              <w:rPr>
                <w:sz w:val="20"/>
                <w:szCs w:val="20"/>
                <w:color w:val="auto"/>
              </w:rPr>
            </w:pPr>
            <w:r>
              <w:rPr>
                <w:rFonts w:ascii="Arial" w:cs="Arial" w:eastAsia="Arial" w:hAnsi="Arial"/>
                <w:sz w:val="18"/>
                <w:szCs w:val="18"/>
                <w:color w:val="131E29"/>
              </w:rPr>
              <w:t>1</w:t>
            </w:r>
          </w:p>
        </w:tc>
        <w:tc>
          <w:tcPr>
            <w:tcW w:w="0" w:type="dxa"/>
            <w:vAlign w:val="bottom"/>
          </w:tcPr>
          <w:p>
            <w:pPr>
              <w:spacing w:after="0"/>
              <w:rPr>
                <w:sz w:val="1"/>
                <w:szCs w:val="1"/>
                <w:color w:val="auto"/>
              </w:rPr>
            </w:pPr>
          </w:p>
        </w:tc>
      </w:tr>
      <w:tr>
        <w:trPr>
          <w:trHeight w:val="162"/>
        </w:trPr>
        <w:tc>
          <w:tcPr>
            <w:tcW w:w="6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5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Class D common stock, $0.00001 par value per share - 42,000 shares</w:t>
            </w:r>
          </w:p>
        </w:tc>
        <w:tc>
          <w:tcPr>
            <w:tcW w:w="200" w:type="dxa"/>
            <w:vAlign w:val="bottom"/>
            <w:shd w:val="clear" w:color="auto" w:fill="D2DCE5"/>
          </w:tcPr>
          <w:p>
            <w:pPr>
              <w:spacing w:after="0"/>
              <w:rPr>
                <w:sz w:val="21"/>
                <w:szCs w:val="21"/>
                <w:color w:val="auto"/>
              </w:rPr>
            </w:pPr>
          </w:p>
        </w:tc>
        <w:tc>
          <w:tcPr>
            <w:tcW w:w="19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60" w:type="dxa"/>
            <w:vAlign w:val="bottom"/>
            <w:shd w:val="clear" w:color="auto" w:fill="D2DCE5"/>
          </w:tcPr>
          <w:p>
            <w:pPr>
              <w:spacing w:after="0"/>
              <w:rPr>
                <w:sz w:val="21"/>
                <w:szCs w:val="21"/>
                <w:color w:val="auto"/>
              </w:rPr>
            </w:pPr>
          </w:p>
        </w:tc>
        <w:tc>
          <w:tcPr>
            <w:tcW w:w="204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authorized; 12,411 and 15,441 shares issued and outstanding as of</w:t>
            </w:r>
          </w:p>
        </w:tc>
        <w:tc>
          <w:tcPr>
            <w:tcW w:w="200" w:type="dxa"/>
            <w:vAlign w:val="bottom"/>
            <w:shd w:val="clear" w:color="auto" w:fill="D2DCE5"/>
          </w:tcPr>
          <w:p>
            <w:pPr>
              <w:spacing w:after="0"/>
              <w:rPr>
                <w:sz w:val="18"/>
                <w:szCs w:val="18"/>
                <w:color w:val="auto"/>
              </w:rPr>
            </w:pPr>
          </w:p>
        </w:tc>
        <w:tc>
          <w:tcPr>
            <w:tcW w:w="19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20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September 30, 2022 and December 31, 2021, respectively</w:t>
            </w:r>
          </w:p>
        </w:tc>
        <w:tc>
          <w:tcPr>
            <w:tcW w:w="200" w:type="dxa"/>
            <w:vAlign w:val="bottom"/>
            <w:shd w:val="clear" w:color="auto" w:fill="D2DCE5"/>
          </w:tcPr>
          <w:p>
            <w:pPr>
              <w:spacing w:after="0"/>
              <w:rPr>
                <w:sz w:val="18"/>
                <w:szCs w:val="18"/>
                <w:color w:val="auto"/>
              </w:rPr>
            </w:pPr>
          </w:p>
        </w:tc>
        <w:tc>
          <w:tcPr>
            <w:tcW w:w="2080" w:type="dxa"/>
            <w:vAlign w:val="bottom"/>
            <w:gridSpan w:val="2"/>
            <w:vMerge w:val="restart"/>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360" w:type="dxa"/>
            <w:vAlign w:val="bottom"/>
            <w:shd w:val="clear" w:color="auto" w:fill="D2DCE5"/>
          </w:tcPr>
          <w:p>
            <w:pPr>
              <w:spacing w:after="0"/>
              <w:rPr>
                <w:sz w:val="18"/>
                <w:szCs w:val="18"/>
                <w:color w:val="auto"/>
              </w:rPr>
            </w:pPr>
          </w:p>
        </w:tc>
        <w:tc>
          <w:tcPr>
            <w:tcW w:w="20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169"/>
        </w:trPr>
        <w:tc>
          <w:tcPr>
            <w:tcW w:w="6480" w:type="dxa"/>
            <w:vAlign w:val="bottom"/>
            <w:tcBorders>
              <w:bottom w:val="single" w:sz="8" w:color="D2DCE5"/>
            </w:tcBorders>
            <w:shd w:val="clear" w:color="auto" w:fill="D2DCE5"/>
          </w:tcPr>
          <w:p>
            <w:pPr>
              <w:spacing w:after="0"/>
              <w:rPr>
                <w:sz w:val="14"/>
                <w:szCs w:val="14"/>
                <w:color w:val="auto"/>
              </w:rPr>
            </w:pPr>
          </w:p>
        </w:tc>
        <w:tc>
          <w:tcPr>
            <w:tcW w:w="80" w:type="dxa"/>
            <w:vAlign w:val="bottom"/>
            <w:tcBorders>
              <w:bottom w:val="single" w:sz="8" w:color="D2DCE5"/>
            </w:tcBorders>
            <w:shd w:val="clear" w:color="auto" w:fill="D2DCE5"/>
          </w:tcPr>
          <w:p>
            <w:pPr>
              <w:spacing w:after="0"/>
              <w:rPr>
                <w:sz w:val="14"/>
                <w:szCs w:val="14"/>
                <w:color w:val="auto"/>
              </w:rPr>
            </w:pPr>
          </w:p>
        </w:tc>
        <w:tc>
          <w:tcPr>
            <w:tcW w:w="200" w:type="dxa"/>
            <w:vAlign w:val="bottom"/>
            <w:tcBorders>
              <w:bottom w:val="single" w:sz="8" w:color="D2DCE5"/>
            </w:tcBorders>
            <w:shd w:val="clear" w:color="auto" w:fill="D2DCE5"/>
          </w:tcPr>
          <w:p>
            <w:pPr>
              <w:spacing w:after="0"/>
              <w:rPr>
                <w:sz w:val="14"/>
                <w:szCs w:val="14"/>
                <w:color w:val="auto"/>
              </w:rPr>
            </w:pPr>
          </w:p>
        </w:tc>
        <w:tc>
          <w:tcPr>
            <w:tcW w:w="2080" w:type="dxa"/>
            <w:vAlign w:val="bottom"/>
            <w:tcBorders>
              <w:bottom w:val="single" w:sz="8" w:color="D2DCE5"/>
            </w:tcBorders>
            <w:gridSpan w:val="2"/>
            <w:vMerge w:val="continue"/>
            <w:shd w:val="clear" w:color="auto" w:fill="D2DCE5"/>
          </w:tcPr>
          <w:p>
            <w:pPr>
              <w:spacing w:after="0"/>
              <w:rPr>
                <w:sz w:val="14"/>
                <w:szCs w:val="14"/>
                <w:color w:val="auto"/>
              </w:rPr>
            </w:pPr>
          </w:p>
        </w:tc>
        <w:tc>
          <w:tcPr>
            <w:tcW w:w="360" w:type="dxa"/>
            <w:vAlign w:val="bottom"/>
            <w:tcBorders>
              <w:bottom w:val="single" w:sz="8" w:color="D2DCE5"/>
            </w:tcBorders>
            <w:shd w:val="clear" w:color="auto" w:fill="D2DCE5"/>
          </w:tcPr>
          <w:p>
            <w:pPr>
              <w:spacing w:after="0"/>
              <w:rPr>
                <w:sz w:val="14"/>
                <w:szCs w:val="14"/>
                <w:color w:val="auto"/>
              </w:rPr>
            </w:pPr>
          </w:p>
        </w:tc>
        <w:tc>
          <w:tcPr>
            <w:tcW w:w="2040" w:type="dxa"/>
            <w:vAlign w:val="bottom"/>
            <w:tcBorders>
              <w:bottom w:val="single" w:sz="8" w:color="D2DCE5"/>
            </w:tcBorders>
            <w:vMerge w:val="continue"/>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560" w:type="dxa"/>
            <w:vAlign w:val="bottom"/>
            <w:gridSpan w:val="2"/>
          </w:tcPr>
          <w:p>
            <w:pPr>
              <w:ind w:left="180"/>
              <w:spacing w:after="0"/>
              <w:rPr>
                <w:sz w:val="20"/>
                <w:szCs w:val="20"/>
                <w:color w:val="auto"/>
              </w:rPr>
            </w:pPr>
            <w:r>
              <w:rPr>
                <w:rFonts w:ascii="Arial" w:cs="Arial" w:eastAsia="Arial" w:hAnsi="Arial"/>
                <w:sz w:val="18"/>
                <w:szCs w:val="18"/>
                <w:color w:val="131E29"/>
              </w:rPr>
              <w:t>Additional paid in capital</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131E29"/>
              </w:rPr>
              <w:t>141,480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131E29"/>
              </w:rPr>
              <w:t>107,193</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Accumulated other comprehensive income</w:t>
            </w:r>
          </w:p>
        </w:tc>
        <w:tc>
          <w:tcPr>
            <w:tcW w:w="200" w:type="dxa"/>
            <w:vAlign w:val="bottom"/>
            <w:tcBorders>
              <w:bottom w:val="single" w:sz="8" w:color="D2DCE5"/>
            </w:tcBorders>
            <w:shd w:val="clear" w:color="auto" w:fill="D2DCE5"/>
          </w:tcPr>
          <w:p>
            <w:pPr>
              <w:spacing w:after="0"/>
              <w:rPr>
                <w:sz w:val="21"/>
                <w:szCs w:val="21"/>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848</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2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43"/>
        </w:trPr>
        <w:tc>
          <w:tcPr>
            <w:tcW w:w="6560" w:type="dxa"/>
            <w:vAlign w:val="bottom"/>
            <w:gridSpan w:val="2"/>
          </w:tcPr>
          <w:p>
            <w:pPr>
              <w:ind w:left="180"/>
              <w:spacing w:after="0"/>
              <w:rPr>
                <w:sz w:val="20"/>
                <w:szCs w:val="20"/>
                <w:color w:val="auto"/>
              </w:rPr>
            </w:pPr>
            <w:r>
              <w:rPr>
                <w:rFonts w:ascii="Arial" w:cs="Arial" w:eastAsia="Arial" w:hAnsi="Arial"/>
                <w:sz w:val="18"/>
                <w:szCs w:val="18"/>
                <w:color w:val="131E29"/>
              </w:rPr>
              <w:t>Accumulated deficit</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131E29"/>
              </w:rPr>
              <w:t>(16,647)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131E29"/>
              </w:rPr>
              <w:t>(12,679)</w:t>
            </w:r>
          </w:p>
        </w:tc>
        <w:tc>
          <w:tcPr>
            <w:tcW w:w="0" w:type="dxa"/>
            <w:vAlign w:val="bottom"/>
          </w:tcPr>
          <w:p>
            <w:pPr>
              <w:spacing w:after="0"/>
              <w:rPr>
                <w:sz w:val="1"/>
                <w:szCs w:val="1"/>
                <w:color w:val="auto"/>
              </w:rPr>
            </w:pPr>
          </w:p>
        </w:tc>
      </w:tr>
      <w:tr>
        <w:trPr>
          <w:trHeight w:val="27"/>
        </w:trPr>
        <w:tc>
          <w:tcPr>
            <w:tcW w:w="648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6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Total stockholders' equity attributable to Dutch Bros Inc.</w:t>
            </w:r>
          </w:p>
        </w:tc>
        <w:tc>
          <w:tcPr>
            <w:tcW w:w="200" w:type="dxa"/>
            <w:vAlign w:val="bottom"/>
            <w:tcBorders>
              <w:bottom w:val="single" w:sz="8" w:color="D2DCE5"/>
            </w:tcBorders>
            <w:shd w:val="clear" w:color="auto" w:fill="D2DCE5"/>
          </w:tcPr>
          <w:p>
            <w:pPr>
              <w:spacing w:after="0"/>
              <w:rPr>
                <w:sz w:val="21"/>
                <w:szCs w:val="21"/>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125,683</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2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94,516</w:t>
            </w:r>
          </w:p>
        </w:tc>
        <w:tc>
          <w:tcPr>
            <w:tcW w:w="0" w:type="dxa"/>
            <w:vAlign w:val="bottom"/>
          </w:tcPr>
          <w:p>
            <w:pPr>
              <w:spacing w:after="0"/>
              <w:rPr>
                <w:sz w:val="1"/>
                <w:szCs w:val="1"/>
                <w:color w:val="auto"/>
              </w:rPr>
            </w:pPr>
          </w:p>
        </w:tc>
      </w:tr>
      <w:tr>
        <w:trPr>
          <w:trHeight w:val="243"/>
        </w:trPr>
        <w:tc>
          <w:tcPr>
            <w:tcW w:w="6560" w:type="dxa"/>
            <w:vAlign w:val="bottom"/>
            <w:gridSpan w:val="2"/>
          </w:tcPr>
          <w:p>
            <w:pPr>
              <w:ind w:left="20"/>
              <w:spacing w:after="0"/>
              <w:rPr>
                <w:sz w:val="20"/>
                <w:szCs w:val="20"/>
                <w:color w:val="auto"/>
              </w:rPr>
            </w:pPr>
            <w:r>
              <w:rPr>
                <w:rFonts w:ascii="Arial" w:cs="Arial" w:eastAsia="Arial" w:hAnsi="Arial"/>
                <w:sz w:val="18"/>
                <w:szCs w:val="18"/>
                <w:color w:val="131E29"/>
              </w:rPr>
              <w:t>Non-controlling interests</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131E29"/>
              </w:rPr>
              <w:t>118,119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131E29"/>
              </w:rPr>
              <w:t>119,213</w:t>
            </w:r>
          </w:p>
        </w:tc>
        <w:tc>
          <w:tcPr>
            <w:tcW w:w="0" w:type="dxa"/>
            <w:vAlign w:val="bottom"/>
          </w:tcPr>
          <w:p>
            <w:pPr>
              <w:spacing w:after="0"/>
              <w:rPr>
                <w:sz w:val="1"/>
                <w:szCs w:val="1"/>
                <w:color w:val="auto"/>
              </w:rPr>
            </w:pPr>
          </w:p>
        </w:tc>
      </w:tr>
      <w:tr>
        <w:trPr>
          <w:trHeight w:val="27"/>
        </w:trPr>
        <w:tc>
          <w:tcPr>
            <w:tcW w:w="648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Total equity</w:t>
            </w:r>
          </w:p>
        </w:tc>
        <w:tc>
          <w:tcPr>
            <w:tcW w:w="200" w:type="dxa"/>
            <w:vAlign w:val="bottom"/>
            <w:tcBorders>
              <w:bottom w:val="single" w:sz="8" w:color="D2DCE5"/>
            </w:tcBorders>
            <w:shd w:val="clear" w:color="auto" w:fill="D2DCE5"/>
          </w:tcPr>
          <w:p>
            <w:pPr>
              <w:spacing w:after="0"/>
              <w:rPr>
                <w:sz w:val="22"/>
                <w:szCs w:val="22"/>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243,802</w:t>
            </w:r>
          </w:p>
        </w:tc>
        <w:tc>
          <w:tcPr>
            <w:tcW w:w="100" w:type="dxa"/>
            <w:vAlign w:val="bottom"/>
            <w:tcBorders>
              <w:bottom w:val="single" w:sz="8" w:color="D2DCE5"/>
            </w:tcBorders>
            <w:shd w:val="clear" w:color="auto" w:fill="D2DCE5"/>
          </w:tcPr>
          <w:p>
            <w:pPr>
              <w:spacing w:after="0"/>
              <w:rPr>
                <w:sz w:val="22"/>
                <w:szCs w:val="22"/>
                <w:color w:val="auto"/>
              </w:rPr>
            </w:pPr>
          </w:p>
        </w:tc>
        <w:tc>
          <w:tcPr>
            <w:tcW w:w="360" w:type="dxa"/>
            <w:vAlign w:val="bottom"/>
            <w:tcBorders>
              <w:bottom w:val="single" w:sz="8" w:color="D2DCE5"/>
            </w:tcBorders>
            <w:shd w:val="clear" w:color="auto" w:fill="D2DCE5"/>
          </w:tcPr>
          <w:p>
            <w:pPr>
              <w:spacing w:after="0"/>
              <w:rPr>
                <w:sz w:val="22"/>
                <w:szCs w:val="22"/>
                <w:color w:val="auto"/>
              </w:rPr>
            </w:pPr>
          </w:p>
        </w:tc>
        <w:tc>
          <w:tcPr>
            <w:tcW w:w="2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213,729</w:t>
            </w:r>
          </w:p>
        </w:tc>
        <w:tc>
          <w:tcPr>
            <w:tcW w:w="0" w:type="dxa"/>
            <w:vAlign w:val="bottom"/>
          </w:tcPr>
          <w:p>
            <w:pPr>
              <w:spacing w:after="0"/>
              <w:rPr>
                <w:sz w:val="1"/>
                <w:szCs w:val="1"/>
                <w:color w:val="auto"/>
              </w:rPr>
            </w:pPr>
          </w:p>
        </w:tc>
      </w:tr>
      <w:tr>
        <w:trPr>
          <w:trHeight w:val="263"/>
        </w:trPr>
        <w:tc>
          <w:tcPr>
            <w:tcW w:w="6560" w:type="dxa"/>
            <w:vAlign w:val="bottom"/>
            <w:gridSpan w:val="2"/>
          </w:tcPr>
          <w:p>
            <w:pPr>
              <w:ind w:left="520"/>
              <w:spacing w:after="0"/>
              <w:rPr>
                <w:sz w:val="20"/>
                <w:szCs w:val="20"/>
                <w:color w:val="auto"/>
              </w:rPr>
            </w:pPr>
            <w:r>
              <w:rPr>
                <w:rFonts w:ascii="Arial" w:cs="Arial" w:eastAsia="Arial" w:hAnsi="Arial"/>
                <w:sz w:val="18"/>
                <w:szCs w:val="18"/>
                <w:color w:val="131E29"/>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1,129,257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131E29"/>
                <w:w w:val="99"/>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553,700</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131E29"/>
                <w:w w:val="99"/>
              </w:rPr>
              <w:t>Three Months Ended</w:t>
            </w:r>
          </w:p>
        </w:tc>
        <w:tc>
          <w:tcPr>
            <w:tcW w:w="2760" w:type="dxa"/>
            <w:vAlign w:val="bottom"/>
            <w:gridSpan w:val="5"/>
          </w:tcPr>
          <w:p>
            <w:pPr>
              <w:jc w:val="right"/>
              <w:spacing w:after="0"/>
              <w:rPr>
                <w:sz w:val="20"/>
                <w:szCs w:val="20"/>
                <w:color w:val="auto"/>
              </w:rPr>
            </w:pPr>
            <w:r>
              <w:rPr>
                <w:rFonts w:ascii="Arial" w:cs="Arial" w:eastAsia="Arial" w:hAnsi="Arial"/>
                <w:sz w:val="18"/>
                <w:szCs w:val="18"/>
                <w:b w:val="1"/>
                <w:bCs w:val="1"/>
                <w:color w:val="131E29"/>
              </w:rPr>
              <w:t>Nine Months Ended September</w:t>
            </w:r>
          </w:p>
        </w:tc>
        <w:tc>
          <w:tcPr>
            <w:tcW w:w="0" w:type="dxa"/>
            <w:vAlign w:val="bottom"/>
          </w:tcPr>
          <w:p>
            <w:pPr>
              <w:spacing w:after="0"/>
              <w:rPr>
                <w:sz w:val="1"/>
                <w:szCs w:val="1"/>
                <w:color w:val="auto"/>
              </w:rPr>
            </w:pPr>
          </w:p>
        </w:tc>
      </w:t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131E29"/>
              </w:rPr>
              <w:t>September 30,</w:t>
            </w:r>
          </w:p>
        </w:tc>
        <w:tc>
          <w:tcPr>
            <w:tcW w:w="300" w:type="dxa"/>
            <w:vAlign w:val="bottom"/>
          </w:tcPr>
          <w:p>
            <w:pPr>
              <w:spacing w:after="0"/>
              <w:rPr>
                <w:sz w:val="20"/>
                <w:szCs w:val="20"/>
                <w:color w:val="auto"/>
              </w:rPr>
            </w:pPr>
          </w:p>
        </w:tc>
        <w:tc>
          <w:tcPr>
            <w:tcW w:w="142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131E29"/>
              </w:rPr>
              <w:t>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6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 except per share amounts; unaudited)</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0" w:type="dxa"/>
            <w:vAlign w:val="bottom"/>
          </w:tcPr>
          <w:p>
            <w:pPr>
              <w:spacing w:after="0"/>
              <w:rPr>
                <w:sz w:val="1"/>
                <w:szCs w:val="1"/>
                <w:color w:val="auto"/>
              </w:rPr>
            </w:pPr>
          </w:p>
        </w:tc>
      </w:tr>
      <w:tr>
        <w:trPr>
          <w:trHeight w:val="26"/>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REVENUES</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jc w:val="right"/>
              <w:ind w:right="90"/>
              <w:spacing w:after="0"/>
              <w:rPr>
                <w:sz w:val="20"/>
                <w:szCs w:val="20"/>
                <w:color w:val="auto"/>
              </w:rPr>
            </w:pPr>
            <w:r>
              <w:rPr>
                <w:rFonts w:ascii="Arial" w:cs="Arial" w:eastAsia="Arial" w:hAnsi="Arial"/>
                <w:sz w:val="18"/>
                <w:szCs w:val="18"/>
                <w:color w:val="131E29"/>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173,501</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108,661</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464,200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289,548</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25,147</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21,142</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72,985</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68,248</w:t>
            </w:r>
          </w:p>
        </w:tc>
        <w:tc>
          <w:tcPr>
            <w:tcW w:w="0" w:type="dxa"/>
            <w:vAlign w:val="bottom"/>
          </w:tcPr>
          <w:p>
            <w:pPr>
              <w:spacing w:after="0"/>
              <w:rPr>
                <w:sz w:val="1"/>
                <w:szCs w:val="1"/>
                <w:color w:val="auto"/>
              </w:rPr>
            </w:pPr>
          </w:p>
        </w:tc>
      </w:tr>
      <w:tr>
        <w:trPr>
          <w:trHeight w:val="237"/>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revenues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198,648</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129,803</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537,185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357,796</w:t>
            </w:r>
          </w:p>
        </w:tc>
        <w:tc>
          <w:tcPr>
            <w:tcW w:w="0" w:type="dxa"/>
            <w:vAlign w:val="bottom"/>
          </w:tcPr>
          <w:p>
            <w:pPr>
              <w:spacing w:after="0"/>
              <w:rPr>
                <w:sz w:val="1"/>
                <w:szCs w:val="1"/>
                <w:color w:val="auto"/>
              </w:rPr>
            </w:pP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4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04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040" w:type="dxa"/>
            <w:vAlign w:val="bottom"/>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COSTS AND EXPENSES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Cost of sales</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148,092</w:t>
            </w: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90,779</w:t>
            </w: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410,629</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238,754</w:t>
            </w:r>
          </w:p>
        </w:tc>
        <w:tc>
          <w:tcPr>
            <w:tcW w:w="0" w:type="dxa"/>
            <w:vAlign w:val="bottom"/>
          </w:tcPr>
          <w:p>
            <w:pPr>
              <w:spacing w:after="0"/>
              <w:rPr>
                <w:sz w:val="1"/>
                <w:szCs w:val="1"/>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Selling, general and administrative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45,378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153,700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132,934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223,174</w:t>
            </w:r>
          </w:p>
        </w:tc>
        <w:tc>
          <w:tcPr>
            <w:tcW w:w="0" w:type="dxa"/>
            <w:vAlign w:val="bottom"/>
          </w:tcPr>
          <w:p>
            <w:pPr>
              <w:spacing w:after="0"/>
              <w:rPr>
                <w:sz w:val="1"/>
                <w:szCs w:val="1"/>
                <w:color w:val="auto"/>
              </w:rPr>
            </w:pP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6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Total costs and expenses</w:t>
            </w:r>
          </w:p>
        </w:tc>
        <w:tc>
          <w:tcPr>
            <w:tcW w:w="280" w:type="dxa"/>
            <w:vAlign w:val="bottom"/>
            <w:tcBorders>
              <w:bottom w:val="single" w:sz="8" w:color="D2DCE5"/>
            </w:tcBorders>
            <w:shd w:val="clear" w:color="auto" w:fill="D2DCE5"/>
          </w:tcPr>
          <w:p>
            <w:pPr>
              <w:spacing w:after="0"/>
              <w:rPr>
                <w:sz w:val="22"/>
                <w:szCs w:val="22"/>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193,470</w:t>
            </w:r>
          </w:p>
        </w:tc>
        <w:tc>
          <w:tcPr>
            <w:tcW w:w="80" w:type="dxa"/>
            <w:vAlign w:val="bottom"/>
            <w:tcBorders>
              <w:bottom w:val="single" w:sz="8" w:color="D2DCE5"/>
            </w:tcBorders>
            <w:shd w:val="clear" w:color="auto" w:fill="D2DCE5"/>
          </w:tcPr>
          <w:p>
            <w:pPr>
              <w:spacing w:after="0"/>
              <w:rPr>
                <w:sz w:val="22"/>
                <w:szCs w:val="22"/>
                <w:color w:val="auto"/>
              </w:rPr>
            </w:pPr>
          </w:p>
        </w:tc>
        <w:tc>
          <w:tcPr>
            <w:tcW w:w="300" w:type="dxa"/>
            <w:vAlign w:val="bottom"/>
            <w:tcBorders>
              <w:bottom w:val="single" w:sz="8" w:color="D2DCE5"/>
            </w:tcBorders>
            <w:shd w:val="clear" w:color="auto" w:fill="D2DCE5"/>
          </w:tcPr>
          <w:p>
            <w:pPr>
              <w:spacing w:after="0"/>
              <w:rPr>
                <w:sz w:val="22"/>
                <w:szCs w:val="22"/>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244,479</w:t>
            </w:r>
          </w:p>
        </w:tc>
        <w:tc>
          <w:tcPr>
            <w:tcW w:w="80" w:type="dxa"/>
            <w:vAlign w:val="bottom"/>
            <w:tcBorders>
              <w:bottom w:val="single" w:sz="8" w:color="D2DCE5"/>
            </w:tcBorders>
            <w:shd w:val="clear" w:color="auto" w:fill="D2DCE5"/>
          </w:tcPr>
          <w:p>
            <w:pPr>
              <w:spacing w:after="0"/>
              <w:rPr>
                <w:sz w:val="22"/>
                <w:szCs w:val="22"/>
                <w:color w:val="auto"/>
              </w:rPr>
            </w:pPr>
          </w:p>
        </w:tc>
        <w:tc>
          <w:tcPr>
            <w:tcW w:w="300" w:type="dxa"/>
            <w:vAlign w:val="bottom"/>
            <w:tcBorders>
              <w:bottom w:val="single" w:sz="8" w:color="D2DCE5"/>
            </w:tcBorders>
            <w:shd w:val="clear" w:color="auto" w:fill="D2DCE5"/>
          </w:tcPr>
          <w:p>
            <w:pPr>
              <w:spacing w:after="0"/>
              <w:rPr>
                <w:sz w:val="22"/>
                <w:szCs w:val="22"/>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543,563</w:t>
            </w:r>
          </w:p>
        </w:tc>
        <w:tc>
          <w:tcPr>
            <w:tcW w:w="100" w:type="dxa"/>
            <w:vAlign w:val="bottom"/>
            <w:tcBorders>
              <w:bottom w:val="single" w:sz="8" w:color="D2DCE5"/>
            </w:tcBorders>
            <w:shd w:val="clear" w:color="auto" w:fill="D2DCE5"/>
          </w:tcPr>
          <w:p>
            <w:pPr>
              <w:spacing w:after="0"/>
              <w:rPr>
                <w:sz w:val="22"/>
                <w:szCs w:val="22"/>
                <w:color w:val="auto"/>
              </w:rPr>
            </w:pPr>
          </w:p>
        </w:tc>
        <w:tc>
          <w:tcPr>
            <w:tcW w:w="300" w:type="dxa"/>
            <w:vAlign w:val="bottom"/>
            <w:tcBorders>
              <w:bottom w:val="single" w:sz="8" w:color="D2DCE5"/>
            </w:tcBorders>
            <w:shd w:val="clear" w:color="auto" w:fill="D2DCE5"/>
          </w:tcPr>
          <w:p>
            <w:pPr>
              <w:spacing w:after="0"/>
              <w:rPr>
                <w:sz w:val="22"/>
                <w:szCs w:val="22"/>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461,928</w:t>
            </w: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(LOSS) FROM OPERATIONS</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5,178</w:t>
            </w: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(114,676)</w:t>
            </w: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(6,378)</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(104,132)</w:t>
            </w:r>
          </w:p>
        </w:tc>
        <w:tc>
          <w:tcPr>
            <w:tcW w:w="0" w:type="dxa"/>
            <w:vAlign w:val="bottom"/>
          </w:tcPr>
          <w:p>
            <w:pPr>
              <w:spacing w:after="0"/>
              <w:rPr>
                <w:sz w:val="1"/>
                <w:szCs w:val="1"/>
                <w:color w:val="auto"/>
              </w:rPr>
            </w:pPr>
          </w:p>
        </w:tc>
      </w:tr>
      <w:tr>
        <w:trPr>
          <w:trHeight w:val="256"/>
        </w:trPr>
        <w:tc>
          <w:tcPr>
            <w:tcW w:w="5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OTHER EXPENSE</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Interest expense, net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(5,011)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(2,393)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(11,096)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(5,248)</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Other expense, net</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(1,944)</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(1,041)</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(1,662)</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(1,099)</w:t>
            </w:r>
          </w:p>
        </w:tc>
        <w:tc>
          <w:tcPr>
            <w:tcW w:w="0" w:type="dxa"/>
            <w:vAlign w:val="bottom"/>
          </w:tcPr>
          <w:p>
            <w:pPr>
              <w:spacing w:after="0"/>
              <w:rPr>
                <w:sz w:val="1"/>
                <w:szCs w:val="1"/>
                <w:color w:val="auto"/>
              </w:rPr>
            </w:pPr>
          </w:p>
        </w:tc>
      </w:tr>
      <w:tr>
        <w:trPr>
          <w:trHeight w:val="237"/>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other expense</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(6,955)</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(3,434)</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(12,758)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(6,347)</w:t>
            </w:r>
          </w:p>
        </w:tc>
        <w:tc>
          <w:tcPr>
            <w:tcW w:w="0" w:type="dxa"/>
            <w:vAlign w:val="bottom"/>
          </w:tcPr>
          <w:p>
            <w:pPr>
              <w:spacing w:after="0"/>
              <w:rPr>
                <w:sz w:val="1"/>
                <w:szCs w:val="1"/>
                <w:color w:val="auto"/>
              </w:rPr>
            </w:pP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4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04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040" w:type="dxa"/>
            <w:vAlign w:val="bottom"/>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LOSS BEFORE INCOME TAXES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(1,777)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(118,110)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(19,136)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(110,479)</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tax benefit</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(3,371)</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(1,280)</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(2,700)</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(716)</w:t>
            </w:r>
          </w:p>
        </w:tc>
        <w:tc>
          <w:tcPr>
            <w:tcW w:w="0" w:type="dxa"/>
            <w:vAlign w:val="bottom"/>
          </w:tcPr>
          <w:p>
            <w:pPr>
              <w:spacing w:after="0"/>
              <w:rPr>
                <w:sz w:val="1"/>
                <w:szCs w:val="1"/>
                <w:color w:val="auto"/>
              </w:rPr>
            </w:pPr>
          </w:p>
        </w:tc>
      </w:tr>
      <w:tr>
        <w:trPr>
          <w:trHeight w:val="237"/>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NET INCOME (LOSS)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131E29"/>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1,594</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(116,830)</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(16,436)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(109,763)</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660" w:type="dxa"/>
            <w:vAlign w:val="bottom"/>
            <w:gridSpan w:val="2"/>
            <w:shd w:val="clear" w:color="auto" w:fill="D2DCE5"/>
          </w:tcPr>
          <w:p>
            <w:pPr>
              <w:ind w:left="180"/>
              <w:spacing w:after="0"/>
              <w:rPr>
                <w:sz w:val="20"/>
                <w:szCs w:val="20"/>
                <w:color w:val="auto"/>
              </w:rPr>
            </w:pPr>
            <w:r>
              <w:rPr>
                <w:rFonts w:ascii="Arial" w:cs="Arial" w:eastAsia="Arial" w:hAnsi="Arial"/>
                <w:sz w:val="17"/>
                <w:szCs w:val="17"/>
                <w:color w:val="131E29"/>
              </w:rPr>
              <w:t>Less: Net loss attributable to Dutch Bros OpCo prior to the</w:t>
            </w:r>
          </w:p>
        </w:tc>
        <w:tc>
          <w:tcPr>
            <w:tcW w:w="280" w:type="dxa"/>
            <w:vAlign w:val="bottom"/>
            <w:shd w:val="clear" w:color="auto" w:fill="D2DCE5"/>
          </w:tcPr>
          <w:p>
            <w:pPr>
              <w:spacing w:after="0"/>
              <w:rPr>
                <w:sz w:val="19"/>
                <w:szCs w:val="19"/>
                <w:color w:val="auto"/>
              </w:rPr>
            </w:pPr>
          </w:p>
        </w:tc>
        <w:tc>
          <w:tcPr>
            <w:tcW w:w="112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300" w:type="dxa"/>
            <w:vAlign w:val="bottom"/>
            <w:shd w:val="clear" w:color="auto" w:fill="D2DCE5"/>
          </w:tcPr>
          <w:p>
            <w:pPr>
              <w:spacing w:after="0"/>
              <w:rPr>
                <w:sz w:val="19"/>
                <w:szCs w:val="19"/>
                <w:color w:val="auto"/>
              </w:rPr>
            </w:pP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(74,441)</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12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300" w:type="dxa"/>
            <w:vAlign w:val="bottom"/>
            <w:shd w:val="clear" w:color="auto" w:fill="D2DCE5"/>
          </w:tcPr>
          <w:p>
            <w:pPr>
              <w:spacing w:after="0"/>
              <w:rPr>
                <w:sz w:val="19"/>
                <w:szCs w:val="19"/>
                <w:color w:val="auto"/>
              </w:rPr>
            </w:pP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(67,374)</w:t>
            </w:r>
          </w:p>
        </w:tc>
        <w:tc>
          <w:tcPr>
            <w:tcW w:w="0" w:type="dxa"/>
            <w:vAlign w:val="bottom"/>
          </w:tcPr>
          <w:p>
            <w:pPr>
              <w:spacing w:after="0"/>
              <w:rPr>
                <w:sz w:val="1"/>
                <w:szCs w:val="1"/>
                <w:color w:val="auto"/>
              </w:rPr>
            </w:pPr>
          </w:p>
        </w:tc>
      </w:tr>
      <w:tr>
        <w:trPr>
          <w:trHeight w:val="233"/>
        </w:trPr>
        <w:tc>
          <w:tcPr>
            <w:tcW w:w="5660" w:type="dxa"/>
            <w:vAlign w:val="bottom"/>
            <w:gridSpan w:val="2"/>
            <w:shd w:val="clear" w:color="auto" w:fill="D2DCE5"/>
          </w:tcPr>
          <w:p>
            <w:pPr>
              <w:ind w:left="180"/>
              <w:spacing w:after="0"/>
              <w:rPr>
                <w:sz w:val="20"/>
                <w:szCs w:val="20"/>
                <w:color w:val="auto"/>
              </w:rPr>
            </w:pPr>
            <w:r>
              <w:rPr>
                <w:rFonts w:ascii="Arial" w:cs="Arial" w:eastAsia="Arial" w:hAnsi="Arial"/>
                <w:sz w:val="17"/>
                <w:szCs w:val="17"/>
                <w:color w:val="131E29"/>
              </w:rPr>
              <w:t>Reorganization Transactions</w:t>
            </w:r>
          </w:p>
        </w:tc>
        <w:tc>
          <w:tcPr>
            <w:tcW w:w="280" w:type="dxa"/>
            <w:vAlign w:val="bottom"/>
            <w:shd w:val="clear" w:color="auto" w:fill="D2DCE5"/>
          </w:tcPr>
          <w:p>
            <w:pPr>
              <w:spacing w:after="0"/>
              <w:rPr>
                <w:sz w:val="20"/>
                <w:szCs w:val="20"/>
                <w:color w:val="auto"/>
              </w:rPr>
            </w:pPr>
          </w:p>
        </w:tc>
        <w:tc>
          <w:tcPr>
            <w:tcW w:w="1120" w:type="dxa"/>
            <w:vAlign w:val="bottom"/>
            <w:gridSpan w:val="2"/>
            <w:vMerge w:val="continue"/>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040" w:type="dxa"/>
            <w:vAlign w:val="bottom"/>
            <w:vMerge w:val="continue"/>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120" w:type="dxa"/>
            <w:vAlign w:val="bottom"/>
            <w:gridSpan w:val="2"/>
            <w:vMerge w:val="continue"/>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040" w:type="dxa"/>
            <w:vAlign w:val="bottom"/>
            <w:vMerge w:val="continue"/>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660" w:type="dxa"/>
            <w:vAlign w:val="bottom"/>
            <w:gridSpan w:val="2"/>
          </w:tcPr>
          <w:p>
            <w:pPr>
              <w:ind w:left="180"/>
              <w:spacing w:after="0"/>
              <w:rPr>
                <w:sz w:val="20"/>
                <w:szCs w:val="20"/>
                <w:color w:val="auto"/>
              </w:rPr>
            </w:pPr>
            <w:r>
              <w:rPr>
                <w:rFonts w:ascii="Arial" w:cs="Arial" w:eastAsia="Arial" w:hAnsi="Arial"/>
                <w:sz w:val="17"/>
                <w:szCs w:val="17"/>
                <w:color w:val="131E29"/>
              </w:rPr>
              <w:t xml:space="preserve">Less: Net loss attributable to non-controlling interests </w:t>
            </w:r>
            <w:r>
              <w:rPr>
                <w:rFonts w:ascii="Arial" w:cs="Arial" w:eastAsia="Arial" w:hAnsi="Arial"/>
                <w:sz w:val="22"/>
                <w:szCs w:val="22"/>
                <w:color w:val="131E29"/>
                <w:vertAlign w:val="superscript"/>
              </w:rPr>
              <w:t>1</w:t>
            </w:r>
          </w:p>
        </w:tc>
        <w:tc>
          <w:tcPr>
            <w:tcW w:w="2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131E29"/>
              </w:rPr>
              <w:t>(169)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131E29"/>
              </w:rPr>
              <w:t>(31,312)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131E29"/>
              </w:rPr>
              <w:t>(12,346)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131E29"/>
              </w:rPr>
              <w:t>(31,312)</w:t>
            </w:r>
          </w:p>
        </w:tc>
        <w:tc>
          <w:tcPr>
            <w:tcW w:w="0" w:type="dxa"/>
            <w:vAlign w:val="bottom"/>
          </w:tcPr>
          <w:p>
            <w:pPr>
              <w:spacing w:after="0"/>
              <w:rPr>
                <w:sz w:val="1"/>
                <w:szCs w:val="1"/>
                <w:color w:val="auto"/>
              </w:rPr>
            </w:pPr>
          </w:p>
        </w:tc>
      </w:tr>
      <w:tr>
        <w:trPr>
          <w:trHeight w:val="87"/>
        </w:trPr>
        <w:tc>
          <w:tcPr>
            <w:tcW w:w="5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56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NET INCOME (LOSS) ATTRIBUTABLE TO DUTCH BROS INC. </w:t>
            </w:r>
            <w:r>
              <w:rPr>
                <w:rFonts w:ascii="Arial" w:cs="Arial" w:eastAsia="Arial" w:hAnsi="Arial"/>
                <w:sz w:val="23"/>
                <w:szCs w:val="23"/>
                <w:color w:val="131E29"/>
                <w:vertAlign w:val="superscript"/>
              </w:rPr>
              <w:t>1</w:t>
            </w:r>
          </w:p>
        </w:tc>
        <w:tc>
          <w:tcPr>
            <w:tcW w:w="280" w:type="dxa"/>
            <w:vAlign w:val="bottom"/>
            <w:vMerge w:val="restart"/>
            <w:shd w:val="clear" w:color="auto" w:fill="D2DCE5"/>
          </w:tcPr>
          <w:p>
            <w:pPr>
              <w:jc w:val="right"/>
              <w:ind w:right="90"/>
              <w:spacing w:after="0"/>
              <w:rPr>
                <w:sz w:val="20"/>
                <w:szCs w:val="20"/>
                <w:color w:val="auto"/>
              </w:rPr>
            </w:pPr>
            <w:r>
              <w:rPr>
                <w:rFonts w:ascii="Arial" w:cs="Arial" w:eastAsia="Arial" w:hAnsi="Arial"/>
                <w:sz w:val="18"/>
                <w:szCs w:val="18"/>
                <w:color w:val="131E29"/>
                <w:w w:val="79"/>
              </w:rPr>
              <w:t>$</w:t>
            </w: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1,763</w:t>
            </w:r>
          </w:p>
        </w:tc>
        <w:tc>
          <w:tcPr>
            <w:tcW w:w="80" w:type="dxa"/>
            <w:vAlign w:val="bottom"/>
            <w:shd w:val="clear" w:color="auto" w:fill="D2DCE5"/>
          </w:tcPr>
          <w:p>
            <w:pPr>
              <w:spacing w:after="0"/>
              <w:rPr>
                <w:sz w:val="24"/>
                <w:szCs w:val="24"/>
                <w:color w:val="auto"/>
              </w:rPr>
            </w:pPr>
          </w:p>
        </w:tc>
        <w:tc>
          <w:tcPr>
            <w:tcW w:w="300" w:type="dxa"/>
            <w:vAlign w:val="bottom"/>
            <w:vMerge w:val="restart"/>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(11,077)</w:t>
            </w:r>
          </w:p>
        </w:tc>
        <w:tc>
          <w:tcPr>
            <w:tcW w:w="80" w:type="dxa"/>
            <w:vAlign w:val="bottom"/>
            <w:shd w:val="clear" w:color="auto" w:fill="D2DCE5"/>
          </w:tcPr>
          <w:p>
            <w:pPr>
              <w:spacing w:after="0"/>
              <w:rPr>
                <w:sz w:val="24"/>
                <w:szCs w:val="24"/>
                <w:color w:val="auto"/>
              </w:rPr>
            </w:pPr>
          </w:p>
        </w:tc>
        <w:tc>
          <w:tcPr>
            <w:tcW w:w="300" w:type="dxa"/>
            <w:vAlign w:val="bottom"/>
            <w:vMerge w:val="restart"/>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(4,090)</w:t>
            </w:r>
          </w:p>
        </w:tc>
        <w:tc>
          <w:tcPr>
            <w:tcW w:w="100" w:type="dxa"/>
            <w:vAlign w:val="bottom"/>
            <w:shd w:val="clear" w:color="auto" w:fill="D2DCE5"/>
          </w:tcPr>
          <w:p>
            <w:pPr>
              <w:spacing w:after="0"/>
              <w:rPr>
                <w:sz w:val="24"/>
                <w:szCs w:val="24"/>
                <w:color w:val="auto"/>
              </w:rPr>
            </w:pPr>
          </w:p>
        </w:tc>
        <w:tc>
          <w:tcPr>
            <w:tcW w:w="300" w:type="dxa"/>
            <w:vAlign w:val="bottom"/>
            <w:vMerge w:val="restart"/>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(11,077)</w:t>
            </w:r>
          </w:p>
        </w:tc>
        <w:tc>
          <w:tcPr>
            <w:tcW w:w="0" w:type="dxa"/>
            <w:vAlign w:val="bottom"/>
          </w:tcPr>
          <w:p>
            <w:pPr>
              <w:spacing w:after="0"/>
              <w:rPr>
                <w:sz w:val="1"/>
                <w:szCs w:val="1"/>
                <w:color w:val="auto"/>
              </w:rPr>
            </w:pPr>
          </w:p>
        </w:tc>
      </w:tr>
      <w:tr>
        <w:trPr>
          <w:trHeight w:val="101"/>
        </w:trPr>
        <w:tc>
          <w:tcPr>
            <w:tcW w:w="5560" w:type="dxa"/>
            <w:vAlign w:val="bottom"/>
            <w:tcBorders>
              <w:bottom w:val="single" w:sz="8" w:color="D2DCE5"/>
            </w:tcBorders>
            <w:shd w:val="clear" w:color="auto" w:fill="D2DCE5"/>
          </w:tcPr>
          <w:p>
            <w:pPr>
              <w:spacing w:after="0"/>
              <w:rPr>
                <w:sz w:val="8"/>
                <w:szCs w:val="8"/>
                <w:color w:val="auto"/>
              </w:rPr>
            </w:pPr>
          </w:p>
        </w:tc>
        <w:tc>
          <w:tcPr>
            <w:tcW w:w="100" w:type="dxa"/>
            <w:vAlign w:val="bottom"/>
            <w:tcBorders>
              <w:bottom w:val="single" w:sz="8" w:color="D2DCE5"/>
            </w:tcBorders>
            <w:shd w:val="clear" w:color="auto" w:fill="D2DCE5"/>
          </w:tcPr>
          <w:p>
            <w:pPr>
              <w:spacing w:after="0"/>
              <w:rPr>
                <w:sz w:val="8"/>
                <w:szCs w:val="8"/>
                <w:color w:val="auto"/>
              </w:rPr>
            </w:pPr>
          </w:p>
        </w:tc>
        <w:tc>
          <w:tcPr>
            <w:tcW w:w="280" w:type="dxa"/>
            <w:vAlign w:val="bottom"/>
            <w:tcBorders>
              <w:bottom w:val="single" w:sz="8" w:color="D2DCE5"/>
            </w:tcBorders>
            <w:vMerge w:val="continue"/>
            <w:shd w:val="clear" w:color="auto" w:fill="D2DCE5"/>
          </w:tcPr>
          <w:p>
            <w:pPr>
              <w:spacing w:after="0"/>
              <w:rPr>
                <w:sz w:val="8"/>
                <w:szCs w:val="8"/>
                <w:color w:val="auto"/>
              </w:rPr>
            </w:pPr>
          </w:p>
        </w:tc>
        <w:tc>
          <w:tcPr>
            <w:tcW w:w="1040" w:type="dxa"/>
            <w:vAlign w:val="bottom"/>
            <w:tcBorders>
              <w:bottom w:val="single" w:sz="8" w:color="D2DCE5"/>
            </w:tcBorders>
            <w:vMerge w:val="continue"/>
            <w:shd w:val="clear" w:color="auto" w:fill="D2DCE5"/>
          </w:tcPr>
          <w:p>
            <w:pPr>
              <w:spacing w:after="0"/>
              <w:rPr>
                <w:sz w:val="8"/>
                <w:szCs w:val="8"/>
                <w:color w:val="auto"/>
              </w:rPr>
            </w:pPr>
          </w:p>
        </w:tc>
        <w:tc>
          <w:tcPr>
            <w:tcW w:w="80" w:type="dxa"/>
            <w:vAlign w:val="bottom"/>
            <w:tcBorders>
              <w:bottom w:val="single" w:sz="8" w:color="D2DCE5"/>
            </w:tcBorders>
            <w:shd w:val="clear" w:color="auto" w:fill="D2DCE5"/>
          </w:tcPr>
          <w:p>
            <w:pPr>
              <w:spacing w:after="0"/>
              <w:rPr>
                <w:sz w:val="8"/>
                <w:szCs w:val="8"/>
                <w:color w:val="auto"/>
              </w:rPr>
            </w:pPr>
          </w:p>
        </w:tc>
        <w:tc>
          <w:tcPr>
            <w:tcW w:w="300" w:type="dxa"/>
            <w:vAlign w:val="bottom"/>
            <w:tcBorders>
              <w:bottom w:val="single" w:sz="8" w:color="D2DCE5"/>
            </w:tcBorders>
            <w:vMerge w:val="continue"/>
            <w:shd w:val="clear" w:color="auto" w:fill="D2DCE5"/>
          </w:tcPr>
          <w:p>
            <w:pPr>
              <w:spacing w:after="0"/>
              <w:rPr>
                <w:sz w:val="8"/>
                <w:szCs w:val="8"/>
                <w:color w:val="auto"/>
              </w:rPr>
            </w:pPr>
          </w:p>
        </w:tc>
        <w:tc>
          <w:tcPr>
            <w:tcW w:w="1040" w:type="dxa"/>
            <w:vAlign w:val="bottom"/>
            <w:tcBorders>
              <w:bottom w:val="single" w:sz="8" w:color="D2DCE5"/>
            </w:tcBorders>
            <w:vMerge w:val="continue"/>
            <w:shd w:val="clear" w:color="auto" w:fill="D2DCE5"/>
          </w:tcPr>
          <w:p>
            <w:pPr>
              <w:spacing w:after="0"/>
              <w:rPr>
                <w:sz w:val="8"/>
                <w:szCs w:val="8"/>
                <w:color w:val="auto"/>
              </w:rPr>
            </w:pPr>
          </w:p>
        </w:tc>
        <w:tc>
          <w:tcPr>
            <w:tcW w:w="80" w:type="dxa"/>
            <w:vAlign w:val="bottom"/>
            <w:tcBorders>
              <w:bottom w:val="single" w:sz="8" w:color="D2DCE5"/>
            </w:tcBorders>
            <w:shd w:val="clear" w:color="auto" w:fill="D2DCE5"/>
          </w:tcPr>
          <w:p>
            <w:pPr>
              <w:spacing w:after="0"/>
              <w:rPr>
                <w:sz w:val="8"/>
                <w:szCs w:val="8"/>
                <w:color w:val="auto"/>
              </w:rPr>
            </w:pPr>
          </w:p>
        </w:tc>
        <w:tc>
          <w:tcPr>
            <w:tcW w:w="300" w:type="dxa"/>
            <w:vAlign w:val="bottom"/>
            <w:tcBorders>
              <w:bottom w:val="single" w:sz="8" w:color="D2DCE5"/>
            </w:tcBorders>
            <w:vMerge w:val="continue"/>
            <w:shd w:val="clear" w:color="auto" w:fill="D2DCE5"/>
          </w:tcPr>
          <w:p>
            <w:pPr>
              <w:spacing w:after="0"/>
              <w:rPr>
                <w:sz w:val="8"/>
                <w:szCs w:val="8"/>
                <w:color w:val="auto"/>
              </w:rPr>
            </w:pPr>
          </w:p>
        </w:tc>
        <w:tc>
          <w:tcPr>
            <w:tcW w:w="1020" w:type="dxa"/>
            <w:vAlign w:val="bottom"/>
            <w:tcBorders>
              <w:bottom w:val="single" w:sz="8" w:color="D2DCE5"/>
            </w:tcBorders>
            <w:vMerge w:val="continue"/>
            <w:shd w:val="clear" w:color="auto" w:fill="D2DCE5"/>
          </w:tcPr>
          <w:p>
            <w:pPr>
              <w:spacing w:after="0"/>
              <w:rPr>
                <w:sz w:val="8"/>
                <w:szCs w:val="8"/>
                <w:color w:val="auto"/>
              </w:rPr>
            </w:pPr>
          </w:p>
        </w:tc>
        <w:tc>
          <w:tcPr>
            <w:tcW w:w="100" w:type="dxa"/>
            <w:vAlign w:val="bottom"/>
            <w:tcBorders>
              <w:bottom w:val="single" w:sz="8" w:color="D2DCE5"/>
            </w:tcBorders>
            <w:shd w:val="clear" w:color="auto" w:fill="D2DCE5"/>
          </w:tcPr>
          <w:p>
            <w:pPr>
              <w:spacing w:after="0"/>
              <w:rPr>
                <w:sz w:val="8"/>
                <w:szCs w:val="8"/>
                <w:color w:val="auto"/>
              </w:rPr>
            </w:pPr>
          </w:p>
        </w:tc>
        <w:tc>
          <w:tcPr>
            <w:tcW w:w="300" w:type="dxa"/>
            <w:vAlign w:val="bottom"/>
            <w:tcBorders>
              <w:bottom w:val="single" w:sz="8" w:color="D2DCE5"/>
            </w:tcBorders>
            <w:vMerge w:val="continue"/>
            <w:shd w:val="clear" w:color="auto" w:fill="D2DCE5"/>
          </w:tcPr>
          <w:p>
            <w:pPr>
              <w:spacing w:after="0"/>
              <w:rPr>
                <w:sz w:val="8"/>
                <w:szCs w:val="8"/>
                <w:color w:val="auto"/>
              </w:rPr>
            </w:pPr>
          </w:p>
        </w:tc>
        <w:tc>
          <w:tcPr>
            <w:tcW w:w="1040" w:type="dxa"/>
            <w:vAlign w:val="bottom"/>
            <w:tcBorders>
              <w:bottom w:val="single" w:sz="8" w:color="D2DCE5"/>
            </w:tcBorders>
            <w:vMerge w:val="continue"/>
            <w:shd w:val="clear" w:color="auto" w:fill="D2DCE5"/>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D2DCE5"/>
              <w:bottom w:val="single" w:sz="8" w:color="D2DCE5"/>
            </w:tcBorders>
            <w:gridSpan w:val="2"/>
            <w:vMerge w:val="restart"/>
          </w:tcPr>
          <w:p>
            <w:pPr>
              <w:ind w:left="20"/>
              <w:spacing w:after="0"/>
              <w:rPr>
                <w:sz w:val="20"/>
                <w:szCs w:val="20"/>
                <w:color w:val="auto"/>
              </w:rPr>
            </w:pPr>
            <w:r>
              <w:rPr>
                <w:rFonts w:ascii="Arial" w:cs="Arial" w:eastAsia="Arial" w:hAnsi="Arial"/>
                <w:sz w:val="18"/>
                <w:szCs w:val="18"/>
                <w:color w:val="131E29"/>
              </w:rPr>
              <w:t>Net income (loss) per share of Class A and Class D common stock:</w:t>
            </w:r>
            <w:r>
              <w:rPr>
                <w:rFonts w:ascii="Arial" w:cs="Arial" w:eastAsia="Arial" w:hAnsi="Arial"/>
                <w:sz w:val="23"/>
                <w:szCs w:val="23"/>
                <w:color w:val="131E29"/>
                <w:vertAlign w:val="superscript"/>
              </w:rPr>
              <w:t>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660" w:type="dxa"/>
            <w:vAlign w:val="bottom"/>
            <w:gridSpan w:val="2"/>
            <w:vMerge w:val="continue"/>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5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Basic</w:t>
            </w:r>
          </w:p>
        </w:tc>
        <w:tc>
          <w:tcPr>
            <w:tcW w:w="28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7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0.03</w:t>
            </w:r>
          </w:p>
        </w:tc>
        <w:tc>
          <w:tcPr>
            <w:tcW w:w="8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(0.24)</w:t>
            </w:r>
          </w:p>
        </w:tc>
        <w:tc>
          <w:tcPr>
            <w:tcW w:w="8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(0.08)</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(0.24)</w:t>
            </w:r>
          </w:p>
        </w:tc>
        <w:tc>
          <w:tcPr>
            <w:tcW w:w="0" w:type="dxa"/>
            <w:vAlign w:val="bottom"/>
          </w:tcPr>
          <w:p>
            <w:pPr>
              <w:spacing w:after="0"/>
              <w:rPr>
                <w:sz w:val="1"/>
                <w:szCs w:val="1"/>
                <w:color w:val="auto"/>
              </w:rPr>
            </w:pP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Diluted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131E29"/>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0.03</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(0.24)</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(0.08)</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(0.24)</w:t>
            </w:r>
          </w:p>
        </w:tc>
        <w:tc>
          <w:tcPr>
            <w:tcW w:w="0" w:type="dxa"/>
            <w:vAlign w:val="bottom"/>
          </w:tcPr>
          <w:p>
            <w:pPr>
              <w:spacing w:after="0"/>
              <w:rPr>
                <w:sz w:val="1"/>
                <w:szCs w:val="1"/>
                <w:color w:val="auto"/>
              </w:rPr>
            </w:pPr>
          </w:p>
        </w:tc>
      </w:tr>
      <w:tr>
        <w:trPr>
          <w:trHeight w:val="20"/>
        </w:trPr>
        <w:tc>
          <w:tcPr>
            <w:tcW w:w="556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Weighted-average shares of Class A and Class D common stock</w:t>
            </w:r>
          </w:p>
        </w:tc>
        <w:tc>
          <w:tcPr>
            <w:tcW w:w="280" w:type="dxa"/>
            <w:vAlign w:val="bottom"/>
            <w:shd w:val="clear" w:color="auto" w:fill="D2DCE5"/>
          </w:tcPr>
          <w:p>
            <w:pPr>
              <w:spacing w:after="0"/>
              <w:rPr>
                <w:sz w:val="18"/>
                <w:szCs w:val="18"/>
                <w:color w:val="auto"/>
              </w:rPr>
            </w:pPr>
          </w:p>
        </w:tc>
        <w:tc>
          <w:tcPr>
            <w:tcW w:w="10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outstanding:</w:t>
            </w:r>
          </w:p>
        </w:tc>
        <w:tc>
          <w:tcPr>
            <w:tcW w:w="280" w:type="dxa"/>
            <w:vAlign w:val="bottom"/>
            <w:tcBorders>
              <w:bottom w:val="single" w:sz="8" w:color="D2DCE5"/>
            </w:tcBorders>
            <w:shd w:val="clear" w:color="auto" w:fill="D2DCE5"/>
          </w:tcPr>
          <w:p>
            <w:pPr>
              <w:spacing w:after="0"/>
              <w:rPr>
                <w:sz w:val="19"/>
                <w:szCs w:val="19"/>
                <w:color w:val="auto"/>
              </w:rPr>
            </w:pPr>
          </w:p>
        </w:tc>
        <w:tc>
          <w:tcPr>
            <w:tcW w:w="1040" w:type="dxa"/>
            <w:vAlign w:val="bottom"/>
            <w:tcBorders>
              <w:bottom w:val="single" w:sz="8" w:color="D2DCE5"/>
            </w:tcBorders>
            <w:shd w:val="clear" w:color="auto" w:fill="D2DCE5"/>
          </w:tcPr>
          <w:p>
            <w:pPr>
              <w:spacing w:after="0"/>
              <w:rPr>
                <w:sz w:val="19"/>
                <w:szCs w:val="19"/>
                <w:color w:val="auto"/>
              </w:rPr>
            </w:pPr>
          </w:p>
        </w:tc>
        <w:tc>
          <w:tcPr>
            <w:tcW w:w="80" w:type="dxa"/>
            <w:vAlign w:val="bottom"/>
            <w:tcBorders>
              <w:bottom w:val="single" w:sz="8" w:color="D2DCE5"/>
            </w:tcBorders>
            <w:shd w:val="clear" w:color="auto" w:fill="D2DCE5"/>
          </w:tcPr>
          <w:p>
            <w:pPr>
              <w:spacing w:after="0"/>
              <w:rPr>
                <w:sz w:val="19"/>
                <w:szCs w:val="19"/>
                <w:color w:val="auto"/>
              </w:rPr>
            </w:pPr>
          </w:p>
        </w:tc>
        <w:tc>
          <w:tcPr>
            <w:tcW w:w="300" w:type="dxa"/>
            <w:vAlign w:val="bottom"/>
            <w:tcBorders>
              <w:bottom w:val="single" w:sz="8" w:color="D2DCE5"/>
            </w:tcBorders>
            <w:shd w:val="clear" w:color="auto" w:fill="D2DCE5"/>
          </w:tcPr>
          <w:p>
            <w:pPr>
              <w:spacing w:after="0"/>
              <w:rPr>
                <w:sz w:val="19"/>
                <w:szCs w:val="19"/>
                <w:color w:val="auto"/>
              </w:rPr>
            </w:pPr>
          </w:p>
        </w:tc>
        <w:tc>
          <w:tcPr>
            <w:tcW w:w="1040" w:type="dxa"/>
            <w:vAlign w:val="bottom"/>
            <w:tcBorders>
              <w:bottom w:val="single" w:sz="8" w:color="D2DCE5"/>
            </w:tcBorders>
            <w:shd w:val="clear" w:color="auto" w:fill="D2DCE5"/>
          </w:tcPr>
          <w:p>
            <w:pPr>
              <w:spacing w:after="0"/>
              <w:rPr>
                <w:sz w:val="19"/>
                <w:szCs w:val="19"/>
                <w:color w:val="auto"/>
              </w:rPr>
            </w:pPr>
          </w:p>
        </w:tc>
        <w:tc>
          <w:tcPr>
            <w:tcW w:w="80" w:type="dxa"/>
            <w:vAlign w:val="bottom"/>
            <w:tcBorders>
              <w:bottom w:val="single" w:sz="8" w:color="D2DCE5"/>
            </w:tcBorders>
            <w:shd w:val="clear" w:color="auto" w:fill="D2DCE5"/>
          </w:tcPr>
          <w:p>
            <w:pPr>
              <w:spacing w:after="0"/>
              <w:rPr>
                <w:sz w:val="19"/>
                <w:szCs w:val="19"/>
                <w:color w:val="auto"/>
              </w:rPr>
            </w:pPr>
          </w:p>
        </w:tc>
        <w:tc>
          <w:tcPr>
            <w:tcW w:w="300" w:type="dxa"/>
            <w:vAlign w:val="bottom"/>
            <w:tcBorders>
              <w:bottom w:val="single" w:sz="8" w:color="D2DCE5"/>
            </w:tcBorders>
            <w:shd w:val="clear" w:color="auto" w:fill="D2DCE5"/>
          </w:tcPr>
          <w:p>
            <w:pPr>
              <w:spacing w:after="0"/>
              <w:rPr>
                <w:sz w:val="19"/>
                <w:szCs w:val="19"/>
                <w:color w:val="auto"/>
              </w:rPr>
            </w:pPr>
          </w:p>
        </w:tc>
        <w:tc>
          <w:tcPr>
            <w:tcW w:w="1020" w:type="dxa"/>
            <w:vAlign w:val="bottom"/>
            <w:tcBorders>
              <w:bottom w:val="single" w:sz="8" w:color="D2DCE5"/>
            </w:tcBorders>
            <w:shd w:val="clear" w:color="auto" w:fill="D2DCE5"/>
          </w:tcPr>
          <w:p>
            <w:pPr>
              <w:spacing w:after="0"/>
              <w:rPr>
                <w:sz w:val="19"/>
                <w:szCs w:val="19"/>
                <w:color w:val="auto"/>
              </w:rPr>
            </w:pPr>
          </w:p>
        </w:tc>
        <w:tc>
          <w:tcPr>
            <w:tcW w:w="100" w:type="dxa"/>
            <w:vAlign w:val="bottom"/>
            <w:tcBorders>
              <w:bottom w:val="single" w:sz="8" w:color="D2DCE5"/>
            </w:tcBorders>
            <w:shd w:val="clear" w:color="auto" w:fill="D2DCE5"/>
          </w:tcPr>
          <w:p>
            <w:pPr>
              <w:spacing w:after="0"/>
              <w:rPr>
                <w:sz w:val="19"/>
                <w:szCs w:val="19"/>
                <w:color w:val="auto"/>
              </w:rPr>
            </w:pPr>
          </w:p>
        </w:tc>
        <w:tc>
          <w:tcPr>
            <w:tcW w:w="300" w:type="dxa"/>
            <w:vAlign w:val="bottom"/>
            <w:tcBorders>
              <w:bottom w:val="single" w:sz="8" w:color="D2DCE5"/>
            </w:tcBorders>
            <w:shd w:val="clear" w:color="auto" w:fill="D2DCE5"/>
          </w:tcPr>
          <w:p>
            <w:pPr>
              <w:spacing w:after="0"/>
              <w:rPr>
                <w:sz w:val="19"/>
                <w:szCs w:val="19"/>
                <w:color w:val="auto"/>
              </w:rPr>
            </w:pPr>
          </w:p>
        </w:tc>
        <w:tc>
          <w:tcPr>
            <w:tcW w:w="1040" w:type="dxa"/>
            <w:vAlign w:val="bottom"/>
            <w:tcBorders>
              <w:bottom w:val="single" w:sz="8" w:color="D2DCE5"/>
            </w:tcBorders>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Basic</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53,118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45,807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50,719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45,807</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Diluted</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54,418</w:t>
            </w: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45,807</w:t>
            </w: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50,719</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45,807</w:t>
            </w:r>
          </w:p>
        </w:tc>
        <w:tc>
          <w:tcPr>
            <w:tcW w:w="0" w:type="dxa"/>
            <w:vAlign w:val="bottom"/>
          </w:tcPr>
          <w:p>
            <w:pPr>
              <w:spacing w:after="0"/>
              <w:rPr>
                <w:sz w:val="1"/>
                <w:szCs w:val="1"/>
                <w:color w:val="auto"/>
              </w:rPr>
            </w:pPr>
          </w:p>
        </w:tc>
      </w:tr>
      <w:tr>
        <w:trPr>
          <w:trHeight w:val="310"/>
        </w:trPr>
        <w:tc>
          <w:tcPr>
            <w:tcW w:w="5560" w:type="dxa"/>
            <w:vAlign w:val="bottom"/>
          </w:tcPr>
          <w:p>
            <w:pPr>
              <w:spacing w:after="0"/>
              <w:rPr>
                <w:sz w:val="20"/>
                <w:szCs w:val="20"/>
                <w:color w:val="auto"/>
              </w:rPr>
            </w:pPr>
            <w:r>
              <w:rPr>
                <w:rFonts w:ascii="Arial" w:cs="Arial" w:eastAsia="Arial" w:hAnsi="Arial"/>
                <w:sz w:val="18"/>
                <w:szCs w:val="18"/>
                <w:color w:val="131E29"/>
              </w:rPr>
              <w:t>_________________</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ind w:left="180" w:hanging="172"/>
        <w:spacing w:after="0" w:line="232" w:lineRule="auto"/>
        <w:tabs>
          <w:tab w:leader="none" w:pos="201"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2021 amounts and balances have been updated to reflect reclassifications based on updated timing and sequence of certain Reorganization Transactions and purchase of OpCo Class A common units in connection with the IPO from previously reported figures in the Company’s Form 10-Q for the period ended September 30, 2021, as filed with the SEC on November 12, 2021.</w:t>
      </w:r>
    </w:p>
    <w:p>
      <w:pPr>
        <w:spacing w:after="0" w:line="45" w:lineRule="exact"/>
        <w:rPr>
          <w:sz w:val="20"/>
          <w:szCs w:val="20"/>
          <w:color w:val="auto"/>
        </w:rPr>
      </w:pPr>
    </w:p>
    <w:p>
      <w:pPr>
        <w:ind w:left="180" w:hanging="172"/>
        <w:spacing w:after="0" w:line="278" w:lineRule="auto"/>
        <w:tabs>
          <w:tab w:leader="none" w:pos="228" w:val="left"/>
        </w:tabs>
        <w:numPr>
          <w:ilvl w:val="0"/>
          <w:numId w:val="5"/>
        </w:numPr>
        <w:rPr>
          <w:rFonts w:ascii="Arial" w:cs="Arial" w:eastAsia="Arial" w:hAnsi="Arial"/>
          <w:sz w:val="9"/>
          <w:szCs w:val="9"/>
          <w:color w:val="auto"/>
        </w:rPr>
      </w:pPr>
      <w:r>
        <w:rPr>
          <w:rFonts w:ascii="Arial" w:cs="Arial" w:eastAsia="Arial" w:hAnsi="Arial"/>
          <w:sz w:val="14"/>
          <w:szCs w:val="14"/>
          <w:color w:val="auto"/>
        </w:rPr>
        <w:t>Basic and diluted net loss per share of Class A and Class D common stock are applicable only for periods subsequent to September 14, 2021, the effective date of the Company’s Reorganization Transactions and IPO.</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020"/>
        <w:spacing w:after="0"/>
        <w:rPr>
          <w:sz w:val="20"/>
          <w:szCs w:val="20"/>
          <w:color w:val="auto"/>
        </w:rPr>
      </w:pPr>
      <w:r>
        <w:rPr>
          <w:sz w:val="1"/>
          <w:szCs w:val="1"/>
          <w:color w:val="auto"/>
        </w:rPr>
        <w:drawing>
          <wp:inline distT="0" distB="0" distL="0" distR="0">
            <wp:extent cx="171450" cy="24003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Comprehensive Income (Loss)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131E29"/>
                <w:w w:val="99"/>
              </w:rPr>
              <w:t>Three Months Ended</w:t>
            </w:r>
          </w:p>
        </w:tc>
        <w:tc>
          <w:tcPr>
            <w:tcW w:w="280" w:type="dxa"/>
            <w:vAlign w:val="bottom"/>
          </w:tcPr>
          <w:p>
            <w:pPr>
              <w:spacing w:after="0"/>
              <w:rPr>
                <w:sz w:val="18"/>
                <w:szCs w:val="18"/>
                <w:color w:val="auto"/>
              </w:rPr>
            </w:pPr>
          </w:p>
        </w:tc>
        <w:tc>
          <w:tcPr>
            <w:tcW w:w="22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131E29"/>
              </w:rPr>
              <w:t>Nine Months Ended</w:t>
            </w:r>
          </w:p>
        </w:tc>
        <w:tc>
          <w:tcPr>
            <w:tcW w:w="0" w:type="dxa"/>
            <w:vAlign w:val="bottom"/>
          </w:tcPr>
          <w:p>
            <w:pPr>
              <w:spacing w:after="0"/>
              <w:rPr>
                <w:sz w:val="1"/>
                <w:szCs w:val="1"/>
                <w:color w:val="auto"/>
              </w:rPr>
            </w:pPr>
          </w:p>
        </w:tc>
      </w:tr>
      <w:tr>
        <w:trPr>
          <w:trHeight w:val="239"/>
        </w:trPr>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131E29"/>
                <w:w w:val="99"/>
              </w:rPr>
              <w:t>September 30,</w:t>
            </w:r>
          </w:p>
        </w:tc>
        <w:tc>
          <w:tcPr>
            <w:tcW w:w="280" w:type="dxa"/>
            <w:vAlign w:val="bottom"/>
          </w:tcPr>
          <w:p>
            <w:pPr>
              <w:spacing w:after="0"/>
              <w:rPr>
                <w:sz w:val="20"/>
                <w:szCs w:val="20"/>
                <w:color w:val="auto"/>
              </w:rPr>
            </w:pPr>
          </w:p>
        </w:tc>
        <w:tc>
          <w:tcPr>
            <w:tcW w:w="22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131E29"/>
              </w:rPr>
              <w:t>September 30,</w:t>
            </w: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06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24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131E29"/>
              </w:rPr>
              <w:t>2021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131E29"/>
              </w:rPr>
              <w:t>2021</w:t>
            </w:r>
          </w:p>
        </w:tc>
        <w:tc>
          <w:tcPr>
            <w:tcW w:w="0" w:type="dxa"/>
            <w:vAlign w:val="bottom"/>
          </w:tcPr>
          <w:p>
            <w:pPr>
              <w:spacing w:after="0"/>
              <w:rPr>
                <w:sz w:val="1"/>
                <w:szCs w:val="1"/>
                <w:color w:val="auto"/>
              </w:rPr>
            </w:pPr>
          </w:p>
        </w:tc>
      </w:tr>
      <w:tr>
        <w:trPr>
          <w:trHeight w:val="26"/>
        </w:trPr>
        <w:tc>
          <w:tcPr>
            <w:tcW w:w="59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income (loss)</w:t>
            </w:r>
          </w:p>
        </w:tc>
        <w:tc>
          <w:tcPr>
            <w:tcW w:w="24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1,594</w:t>
            </w: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(116,830)</w:t>
            </w: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(16,436)</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7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(109,763)</w:t>
            </w:r>
          </w:p>
        </w:tc>
        <w:tc>
          <w:tcPr>
            <w:tcW w:w="0" w:type="dxa"/>
            <w:vAlign w:val="bottom"/>
          </w:tcPr>
          <w:p>
            <w:pPr>
              <w:spacing w:after="0"/>
              <w:rPr>
                <w:sz w:val="1"/>
                <w:szCs w:val="1"/>
                <w:color w:val="auto"/>
              </w:rPr>
            </w:pP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131E29"/>
              </w:rPr>
              <w:t>Other comprehensive income (loss):</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06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Unrealized gain on derivative securities, effective portion, net of income</w:t>
            </w:r>
          </w:p>
        </w:tc>
        <w:tc>
          <w:tcPr>
            <w:tcW w:w="240" w:type="dxa"/>
            <w:vAlign w:val="bottom"/>
            <w:shd w:val="clear" w:color="auto" w:fill="D2DCE5"/>
          </w:tcPr>
          <w:p>
            <w:pPr>
              <w:spacing w:after="0"/>
              <w:rPr>
                <w:sz w:val="21"/>
                <w:szCs w:val="21"/>
                <w:color w:val="auto"/>
              </w:rPr>
            </w:pPr>
          </w:p>
        </w:tc>
        <w:tc>
          <w:tcPr>
            <w:tcW w:w="9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06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tax expense of $244 and $294, respectively</w:t>
            </w:r>
          </w:p>
        </w:tc>
        <w:tc>
          <w:tcPr>
            <w:tcW w:w="240" w:type="dxa"/>
            <w:vAlign w:val="bottom"/>
            <w:shd w:val="clear" w:color="auto" w:fill="D2DCE5"/>
          </w:tcPr>
          <w:p>
            <w:pPr>
              <w:spacing w:after="0"/>
              <w:rPr>
                <w:sz w:val="18"/>
                <w:szCs w:val="18"/>
                <w:color w:val="auto"/>
              </w:rPr>
            </w:pPr>
          </w:p>
        </w:tc>
        <w:tc>
          <w:tcPr>
            <w:tcW w:w="98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2,484</w:t>
            </w: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1040" w:type="dxa"/>
            <w:vAlign w:val="bottom"/>
            <w:gridSpan w:val="2"/>
            <w:vMerge w:val="restart"/>
            <w:shd w:val="clear" w:color="auto" w:fill="D2DCE5"/>
          </w:tcPr>
          <w:p>
            <w:pPr>
              <w:ind w:left="700"/>
              <w:spacing w:after="0"/>
              <w:rPr>
                <w:sz w:val="20"/>
                <w:szCs w:val="20"/>
                <w:color w:val="auto"/>
              </w:rPr>
            </w:pPr>
            <w:r>
              <w:rPr>
                <w:rFonts w:ascii="Arial" w:cs="Arial" w:eastAsia="Arial" w:hAnsi="Arial"/>
                <w:sz w:val="18"/>
                <w:szCs w:val="18"/>
                <w:color w:val="131E29"/>
              </w:rPr>
              <w:t>—</w:t>
            </w:r>
          </w:p>
        </w:tc>
        <w:tc>
          <w:tcPr>
            <w:tcW w:w="280" w:type="dxa"/>
            <w:vAlign w:val="bottom"/>
            <w:shd w:val="clear" w:color="auto" w:fill="D2DCE5"/>
          </w:tcPr>
          <w:p>
            <w:pPr>
              <w:spacing w:after="0"/>
              <w:rPr>
                <w:sz w:val="18"/>
                <w:szCs w:val="18"/>
                <w:color w:val="auto"/>
              </w:rPr>
            </w:pPr>
          </w:p>
        </w:tc>
        <w:tc>
          <w:tcPr>
            <w:tcW w:w="9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3,050</w:t>
            </w: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9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189"/>
        </w:trPr>
        <w:tc>
          <w:tcPr>
            <w:tcW w:w="596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240" w:type="dxa"/>
            <w:vAlign w:val="bottom"/>
            <w:tcBorders>
              <w:bottom w:val="single" w:sz="8" w:color="D2DCE5"/>
            </w:tcBorders>
            <w:shd w:val="clear" w:color="auto" w:fill="D2DCE5"/>
          </w:tcPr>
          <w:p>
            <w:pPr>
              <w:spacing w:after="0"/>
              <w:rPr>
                <w:sz w:val="16"/>
                <w:szCs w:val="16"/>
                <w:color w:val="auto"/>
              </w:rPr>
            </w:pPr>
          </w:p>
        </w:tc>
        <w:tc>
          <w:tcPr>
            <w:tcW w:w="980" w:type="dxa"/>
            <w:vAlign w:val="bottom"/>
            <w:tcBorders>
              <w:bottom w:val="single" w:sz="8" w:color="D2DCE5"/>
            </w:tcBorders>
            <w:vMerge w:val="continue"/>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040" w:type="dxa"/>
            <w:vAlign w:val="bottom"/>
            <w:tcBorders>
              <w:bottom w:val="single" w:sz="8" w:color="D2DCE5"/>
            </w:tcBorders>
            <w:gridSpan w:val="2"/>
            <w:vMerge w:val="continue"/>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960" w:type="dxa"/>
            <w:vAlign w:val="bottom"/>
            <w:tcBorders>
              <w:bottom w:val="single" w:sz="8" w:color="D2DCE5"/>
            </w:tcBorders>
            <w:vMerge w:val="continue"/>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260" w:type="dxa"/>
            <w:vAlign w:val="bottom"/>
            <w:tcBorders>
              <w:bottom w:val="single" w:sz="8" w:color="D2DCE5"/>
            </w:tcBorders>
            <w:shd w:val="clear" w:color="auto" w:fill="D2DCE5"/>
          </w:tcPr>
          <w:p>
            <w:pPr>
              <w:spacing w:after="0"/>
              <w:rPr>
                <w:sz w:val="16"/>
                <w:szCs w:val="16"/>
                <w:color w:val="auto"/>
              </w:rPr>
            </w:pPr>
          </w:p>
        </w:tc>
        <w:tc>
          <w:tcPr>
            <w:tcW w:w="960" w:type="dxa"/>
            <w:vAlign w:val="bottom"/>
            <w:tcBorders>
              <w:bottom w:val="single" w:sz="8" w:color="D2DCE5"/>
            </w:tcBorders>
            <w:vMerge w:val="continue"/>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060" w:type="dxa"/>
            <w:vAlign w:val="bottom"/>
            <w:gridSpan w:val="2"/>
          </w:tcPr>
          <w:p>
            <w:pPr>
              <w:ind w:left="20"/>
              <w:spacing w:after="0"/>
              <w:rPr>
                <w:sz w:val="20"/>
                <w:szCs w:val="20"/>
                <w:color w:val="auto"/>
              </w:rPr>
            </w:pPr>
            <w:r>
              <w:rPr>
                <w:rFonts w:ascii="Arial" w:cs="Arial" w:eastAsia="Arial" w:hAnsi="Arial"/>
                <w:sz w:val="18"/>
                <w:szCs w:val="18"/>
                <w:color w:val="131E29"/>
              </w:rPr>
              <w:t>Comprehensive income (loss)</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4,078</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(116,830)</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(13,386)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(109,763)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0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Less: comprehensive loss attributable to Dutch Bros OpCo prior to the</w:t>
            </w:r>
          </w:p>
        </w:tc>
        <w:tc>
          <w:tcPr>
            <w:tcW w:w="240" w:type="dxa"/>
            <w:vAlign w:val="bottom"/>
            <w:shd w:val="clear" w:color="auto" w:fill="D2DCE5"/>
          </w:tcPr>
          <w:p>
            <w:pPr>
              <w:spacing w:after="0"/>
              <w:rPr>
                <w:sz w:val="21"/>
                <w:szCs w:val="21"/>
                <w:color w:val="auto"/>
              </w:rPr>
            </w:pPr>
          </w:p>
        </w:tc>
        <w:tc>
          <w:tcPr>
            <w:tcW w:w="9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0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Reorganization Transactions</w:t>
            </w:r>
          </w:p>
        </w:tc>
        <w:tc>
          <w:tcPr>
            <w:tcW w:w="240" w:type="dxa"/>
            <w:vAlign w:val="bottom"/>
            <w:tcBorders>
              <w:bottom w:val="single" w:sz="8" w:color="D2DCE5"/>
            </w:tcBorders>
            <w:shd w:val="clear" w:color="auto" w:fill="D2DCE5"/>
          </w:tcPr>
          <w:p>
            <w:pPr>
              <w:spacing w:after="0"/>
              <w:rPr>
                <w:sz w:val="19"/>
                <w:szCs w:val="19"/>
                <w:color w:val="auto"/>
              </w:rPr>
            </w:pPr>
          </w:p>
        </w:tc>
        <w:tc>
          <w:tcPr>
            <w:tcW w:w="10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280" w:type="dxa"/>
            <w:vAlign w:val="bottom"/>
            <w:tcBorders>
              <w:bottom w:val="single" w:sz="8" w:color="D2DCE5"/>
            </w:tcBorders>
            <w:shd w:val="clear" w:color="auto" w:fill="D2DCE5"/>
          </w:tcPr>
          <w:p>
            <w:pPr>
              <w:spacing w:after="0"/>
              <w:rPr>
                <w:sz w:val="19"/>
                <w:szCs w:val="19"/>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(74,441)</w:t>
            </w:r>
          </w:p>
        </w:tc>
        <w:tc>
          <w:tcPr>
            <w:tcW w:w="80" w:type="dxa"/>
            <w:vAlign w:val="bottom"/>
            <w:tcBorders>
              <w:bottom w:val="single" w:sz="8" w:color="D2DCE5"/>
            </w:tcBorders>
            <w:shd w:val="clear" w:color="auto" w:fill="D2DCE5"/>
          </w:tcPr>
          <w:p>
            <w:pPr>
              <w:spacing w:after="0"/>
              <w:rPr>
                <w:sz w:val="19"/>
                <w:szCs w:val="19"/>
                <w:color w:val="auto"/>
              </w:rPr>
            </w:pPr>
          </w:p>
        </w:tc>
        <w:tc>
          <w:tcPr>
            <w:tcW w:w="280" w:type="dxa"/>
            <w:vAlign w:val="bottom"/>
            <w:tcBorders>
              <w:bottom w:val="single" w:sz="8" w:color="D2DCE5"/>
            </w:tcBorders>
            <w:shd w:val="clear" w:color="auto" w:fill="D2DCE5"/>
          </w:tcPr>
          <w:p>
            <w:pPr>
              <w:spacing w:after="0"/>
              <w:rPr>
                <w:sz w:val="19"/>
                <w:szCs w:val="19"/>
                <w:color w:val="auto"/>
              </w:rPr>
            </w:pPr>
          </w:p>
        </w:tc>
        <w:tc>
          <w:tcPr>
            <w:tcW w:w="106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260" w:type="dxa"/>
            <w:vAlign w:val="bottom"/>
            <w:tcBorders>
              <w:bottom w:val="single" w:sz="8" w:color="D2DCE5"/>
            </w:tcBorders>
            <w:shd w:val="clear" w:color="auto" w:fill="D2DCE5"/>
          </w:tcPr>
          <w:p>
            <w:pPr>
              <w:spacing w:after="0"/>
              <w:rPr>
                <w:sz w:val="19"/>
                <w:szCs w:val="19"/>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(67,374)</w:t>
            </w:r>
          </w:p>
        </w:tc>
        <w:tc>
          <w:tcPr>
            <w:tcW w:w="0" w:type="dxa"/>
            <w:vAlign w:val="bottom"/>
          </w:tcPr>
          <w:p>
            <w:pPr>
              <w:spacing w:after="0"/>
              <w:rPr>
                <w:sz w:val="1"/>
                <w:szCs w:val="1"/>
                <w:color w:val="auto"/>
              </w:rPr>
            </w:pPr>
          </w:p>
        </w:tc>
      </w:tr>
      <w:tr>
        <w:trPr>
          <w:trHeight w:val="242"/>
        </w:trPr>
        <w:tc>
          <w:tcPr>
            <w:tcW w:w="6060" w:type="dxa"/>
            <w:vAlign w:val="bottom"/>
            <w:gridSpan w:val="2"/>
          </w:tcPr>
          <w:p>
            <w:pPr>
              <w:ind w:left="180"/>
              <w:spacing w:after="0"/>
              <w:rPr>
                <w:sz w:val="20"/>
                <w:szCs w:val="20"/>
                <w:color w:val="auto"/>
              </w:rPr>
            </w:pPr>
            <w:r>
              <w:rPr>
                <w:rFonts w:ascii="Arial" w:cs="Arial" w:eastAsia="Arial" w:hAnsi="Arial"/>
                <w:sz w:val="18"/>
                <w:szCs w:val="18"/>
                <w:color w:val="131E29"/>
              </w:rPr>
              <w:t>Less: comprehensive income (loss) attributable to non-controlling</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060" w:type="dxa"/>
            <w:vAlign w:val="bottom"/>
            <w:gridSpan w:val="2"/>
          </w:tcPr>
          <w:p>
            <w:pPr>
              <w:ind w:left="180"/>
              <w:spacing w:after="0"/>
              <w:rPr>
                <w:sz w:val="20"/>
                <w:szCs w:val="20"/>
                <w:color w:val="auto"/>
              </w:rPr>
            </w:pPr>
            <w:r>
              <w:rPr>
                <w:rFonts w:ascii="Arial" w:cs="Arial" w:eastAsia="Arial" w:hAnsi="Arial"/>
                <w:sz w:val="18"/>
                <w:szCs w:val="18"/>
                <w:color w:val="131E29"/>
              </w:rPr>
              <w:t>interests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131E29"/>
              </w:rPr>
              <w:t>1,612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(31,312)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(10,144)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(31,312)</w:t>
            </w:r>
          </w:p>
        </w:tc>
        <w:tc>
          <w:tcPr>
            <w:tcW w:w="0" w:type="dxa"/>
            <w:vAlign w:val="bottom"/>
          </w:tcPr>
          <w:p>
            <w:pPr>
              <w:spacing w:after="0"/>
              <w:rPr>
                <w:sz w:val="1"/>
                <w:szCs w:val="1"/>
                <w:color w:val="auto"/>
              </w:rPr>
            </w:pPr>
          </w:p>
        </w:tc>
      </w:tr>
      <w:tr>
        <w:trPr>
          <w:trHeight w:val="27"/>
        </w:trPr>
        <w:tc>
          <w:tcPr>
            <w:tcW w:w="59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0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Comprehensive income (loss) attributable to Dutch Bros Inc.</w:t>
            </w:r>
          </w:p>
        </w:tc>
        <w:tc>
          <w:tcPr>
            <w:tcW w:w="24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2,466</w:t>
            </w:r>
          </w:p>
        </w:tc>
        <w:tc>
          <w:tcPr>
            <w:tcW w:w="8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(11,077)</w:t>
            </w:r>
          </w:p>
        </w:tc>
        <w:tc>
          <w:tcPr>
            <w:tcW w:w="8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(3,242)</w:t>
            </w:r>
          </w:p>
        </w:tc>
        <w:tc>
          <w:tcPr>
            <w:tcW w:w="100" w:type="dxa"/>
            <w:vAlign w:val="bottom"/>
            <w:tcBorders>
              <w:bottom w:val="single" w:sz="8" w:color="D2DCE5"/>
            </w:tcBorders>
            <w:shd w:val="clear" w:color="auto" w:fill="D2DCE5"/>
          </w:tcPr>
          <w:p>
            <w:pPr>
              <w:spacing w:after="0"/>
              <w:rPr>
                <w:sz w:val="24"/>
                <w:szCs w:val="24"/>
                <w:color w:val="auto"/>
              </w:rPr>
            </w:pPr>
          </w:p>
        </w:tc>
        <w:tc>
          <w:tcPr>
            <w:tcW w:w="26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79"/>
              </w:rPr>
              <w:t>$</w:t>
            </w: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(11,077)</w:t>
            </w:r>
          </w:p>
        </w:tc>
        <w:tc>
          <w:tcPr>
            <w:tcW w:w="0" w:type="dxa"/>
            <w:vAlign w:val="bottom"/>
          </w:tcPr>
          <w:p>
            <w:pPr>
              <w:spacing w:after="0"/>
              <w:rPr>
                <w:sz w:val="1"/>
                <w:szCs w:val="1"/>
                <w:color w:val="auto"/>
              </w:rPr>
            </w:pPr>
          </w:p>
        </w:tc>
      </w:tr>
      <w:tr>
        <w:trPr>
          <w:trHeight w:val="20"/>
        </w:trPr>
        <w:tc>
          <w:tcPr>
            <w:tcW w:w="59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9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6098"/>
        </w:rPr>
        <w:t>Table of Contents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Stockholders’/Members’ Equity</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31E29"/>
        </w:rPr>
        <w:t>Three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2"/>
          </w:tcPr>
          <w:p>
            <w:pPr>
              <w:ind w:left="100"/>
              <w:spacing w:after="0"/>
              <w:rPr>
                <w:sz w:val="20"/>
                <w:szCs w:val="20"/>
                <w:color w:val="auto"/>
              </w:rPr>
            </w:pPr>
            <w:r>
              <w:rPr>
                <w:rFonts w:ascii="Arial" w:cs="Arial" w:eastAsia="Arial" w:hAnsi="Arial"/>
                <w:sz w:val="14"/>
                <w:szCs w:val="14"/>
                <w:b w:val="1"/>
                <w:bCs w:val="1"/>
                <w:color w:val="131E29"/>
              </w:rPr>
              <w:t>Dutch Bros. Inc. Stockholders’ Equity</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A</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B</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ind w:left="340"/>
              <w:spacing w:after="0"/>
              <w:rPr>
                <w:sz w:val="20"/>
                <w:szCs w:val="20"/>
                <w:color w:val="auto"/>
              </w:rPr>
            </w:pPr>
            <w:r>
              <w:rPr>
                <w:rFonts w:ascii="Arial" w:cs="Arial" w:eastAsia="Arial" w:hAnsi="Arial"/>
                <w:sz w:val="14"/>
                <w:szCs w:val="14"/>
                <w:b w:val="1"/>
                <w:bCs w:val="1"/>
                <w:color w:val="131E29"/>
              </w:rPr>
              <w:t>Class C</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D</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00" w:type="dxa"/>
            <w:vAlign w:val="bottom"/>
            <w:gridSpan w:val="5"/>
          </w:tcPr>
          <w:p>
            <w:pPr>
              <w:ind w:left="12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jc w:val="center"/>
              <w:ind w:right="100"/>
              <w:spacing w:after="0"/>
              <w:rPr>
                <w:sz w:val="20"/>
                <w:szCs w:val="20"/>
                <w:color w:val="auto"/>
              </w:rPr>
            </w:pPr>
            <w:r>
              <w:rPr>
                <w:rFonts w:ascii="Arial" w:cs="Arial" w:eastAsia="Arial" w:hAnsi="Arial"/>
                <w:sz w:val="14"/>
                <w:szCs w:val="14"/>
                <w:color w:val="131E29"/>
              </w:rPr>
              <w:t>Common Stock</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131E29"/>
              </w:rPr>
              <w:t>Accumulated</w:t>
            </w: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20" w:type="dxa"/>
            <w:vAlign w:val="bottom"/>
            <w:gridSpan w:val="2"/>
            <w:vMerge w:val="restart"/>
          </w:tcPr>
          <w:p>
            <w:pPr>
              <w:ind w:left="20"/>
              <w:spacing w:after="0"/>
              <w:rPr>
                <w:sz w:val="20"/>
                <w:szCs w:val="20"/>
                <w:color w:val="auto"/>
              </w:rPr>
            </w:pPr>
            <w:r>
              <w:rPr>
                <w:rFonts w:ascii="Arial" w:cs="Arial" w:eastAsia="Arial" w:hAnsi="Arial"/>
                <w:sz w:val="14"/>
                <w:szCs w:val="14"/>
                <w:color w:val="131E29"/>
              </w:rPr>
              <w:t>(in thousands;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131E29"/>
              </w:rPr>
              <w:t>Additional</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color w:val="131E29"/>
              </w:rPr>
              <w:t>Other</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color w:val="131E29"/>
              </w:rPr>
              <w:t>Accumulated</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131E29"/>
                <w:w w:val="98"/>
              </w:rPr>
              <w:t>Non-</w:t>
            </w: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131E29"/>
              </w:rPr>
              <w:t>Total</w:t>
            </w:r>
          </w:p>
        </w:tc>
        <w:tc>
          <w:tcPr>
            <w:tcW w:w="0" w:type="dxa"/>
            <w:vAlign w:val="bottom"/>
          </w:tcPr>
          <w:p>
            <w:pPr>
              <w:spacing w:after="0"/>
              <w:rPr>
                <w:sz w:val="1"/>
                <w:szCs w:val="1"/>
                <w:color w:val="auto"/>
              </w:rPr>
            </w:pPr>
          </w:p>
        </w:tc>
      </w:tr>
      <w:tr>
        <w:trPr>
          <w:trHeight w:val="165"/>
        </w:trPr>
        <w:tc>
          <w:tcPr>
            <w:tcW w:w="16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131E29"/>
              </w:rPr>
              <w:t>Paid-in-</w:t>
            </w:r>
          </w:p>
        </w:tc>
        <w:tc>
          <w:tcPr>
            <w:tcW w:w="1120" w:type="dxa"/>
            <w:vAlign w:val="bottom"/>
            <w:gridSpan w:val="3"/>
          </w:tcPr>
          <w:p>
            <w:pPr>
              <w:jc w:val="center"/>
              <w:ind w:right="80"/>
              <w:spacing w:after="0"/>
              <w:rPr>
                <w:sz w:val="20"/>
                <w:szCs w:val="20"/>
                <w:color w:val="auto"/>
              </w:rPr>
            </w:pPr>
            <w:r>
              <w:rPr>
                <w:rFonts w:ascii="Arial" w:cs="Arial" w:eastAsia="Arial" w:hAnsi="Arial"/>
                <w:sz w:val="14"/>
                <w:szCs w:val="14"/>
                <w:color w:val="131E29"/>
              </w:rPr>
              <w:t>Comprehensive</w:t>
            </w:r>
          </w:p>
        </w:tc>
        <w:tc>
          <w:tcPr>
            <w:tcW w:w="960" w:type="dxa"/>
            <w:vAlign w:val="bottom"/>
            <w:gridSpan w:val="3"/>
            <w:vMerge w:val="continue"/>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131E29"/>
              </w:rPr>
              <w:t>Controlling</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unaudited)</w:t>
            </w:r>
          </w:p>
        </w:tc>
        <w:tc>
          <w:tcPr>
            <w:tcW w:w="80" w:type="dxa"/>
            <w:vAlign w:val="bottom"/>
            <w:tcBorders>
              <w:bottom w:val="single" w:sz="8" w:color="D2DCE5"/>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100" w:type="dxa"/>
            <w:vAlign w:val="bottom"/>
            <w:tcBorders>
              <w:bottom w:val="single" w:sz="8" w:color="D2DCE5"/>
            </w:tcBorders>
          </w:tcPr>
          <w:p>
            <w:pPr>
              <w:spacing w:after="0"/>
              <w:rPr>
                <w:sz w:val="16"/>
                <w:szCs w:val="16"/>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rPr>
              <w:t>Capital</w:t>
            </w:r>
          </w:p>
        </w:tc>
        <w:tc>
          <w:tcPr>
            <w:tcW w:w="80" w:type="dxa"/>
            <w:vAlign w:val="bottom"/>
            <w:tcBorders>
              <w:bottom w:val="single" w:sz="8" w:color="D2DCE5"/>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131E29"/>
              </w:rPr>
              <w:t>Income</w:t>
            </w:r>
          </w:p>
        </w:tc>
        <w:tc>
          <w:tcPr>
            <w:tcW w:w="80" w:type="dxa"/>
            <w:vAlign w:val="bottom"/>
            <w:tcBorders>
              <w:bottom w:val="single" w:sz="8" w:color="D2DC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131E29"/>
              </w:rPr>
              <w:t>Deficit ¹</w:t>
            </w:r>
          </w:p>
        </w:tc>
        <w:tc>
          <w:tcPr>
            <w:tcW w:w="80" w:type="dxa"/>
            <w:vAlign w:val="bottom"/>
            <w:tcBorders>
              <w:bottom w:val="single" w:sz="8" w:color="D2DCE5"/>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rPr>
              <w:t>Interests ¹</w:t>
            </w:r>
          </w:p>
        </w:tc>
        <w:tc>
          <w:tcPr>
            <w:tcW w:w="80" w:type="dxa"/>
            <w:vAlign w:val="bottom"/>
            <w:tcBorders>
              <w:bottom w:val="single" w:sz="8" w:color="D2DCE5"/>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131E29"/>
              </w:rPr>
              <w:t>Equity</w:t>
            </w:r>
          </w:p>
        </w:tc>
        <w:tc>
          <w:tcPr>
            <w:tcW w:w="0" w:type="dxa"/>
            <w:vAlign w:val="bottom"/>
          </w:tcPr>
          <w:p>
            <w:pPr>
              <w:spacing w:after="0"/>
              <w:rPr>
                <w:sz w:val="1"/>
                <w:szCs w:val="1"/>
                <w:color w:val="auto"/>
              </w:rPr>
            </w:pPr>
          </w:p>
        </w:tc>
      </w:tr>
      <w:tr>
        <w:trPr>
          <w:trHeight w:val="189"/>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June 30,</w:t>
            </w: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60" w:type="dxa"/>
            <w:vAlign w:val="bottom"/>
            <w:shd w:val="clear" w:color="auto" w:fill="D2DCE5"/>
          </w:tcPr>
          <w:p>
            <w:pPr>
              <w:spacing w:after="0"/>
              <w:rPr>
                <w:sz w:val="16"/>
                <w:szCs w:val="16"/>
                <w:color w:val="auto"/>
              </w:rPr>
            </w:pPr>
          </w:p>
        </w:tc>
        <w:tc>
          <w:tcPr>
            <w:tcW w:w="7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shd w:val="clear" w:color="auto" w:fill="D2DCE5"/>
          </w:tcPr>
          <w:p>
            <w:pPr>
              <w:spacing w:after="0"/>
              <w:rPr>
                <w:sz w:val="17"/>
                <w:szCs w:val="17"/>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39,558</w:t>
            </w:r>
          </w:p>
        </w:tc>
        <w:tc>
          <w:tcPr>
            <w:tcW w:w="80" w:type="dxa"/>
            <w:vAlign w:val="bottom"/>
            <w:tcBorders>
              <w:bottom w:val="single" w:sz="8" w:color="D2DCE5"/>
            </w:tcBorders>
            <w:shd w:val="clear" w:color="auto" w:fill="D2DCE5"/>
          </w:tcPr>
          <w:p>
            <w:pPr>
              <w:spacing w:after="0"/>
              <w:rPr>
                <w:sz w:val="17"/>
                <w:szCs w:val="17"/>
                <w:color w:val="auto"/>
              </w:rPr>
            </w:pPr>
          </w:p>
        </w:tc>
        <w:tc>
          <w:tcPr>
            <w:tcW w:w="300" w:type="dxa"/>
            <w:vAlign w:val="bottom"/>
            <w:tcBorders>
              <w:bottom w:val="single" w:sz="8" w:color="D2DCE5"/>
            </w:tcBorders>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58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64,699</w:t>
            </w:r>
          </w:p>
        </w:tc>
        <w:tc>
          <w:tcPr>
            <w:tcW w:w="80" w:type="dxa"/>
            <w:vAlign w:val="bottom"/>
            <w:tcBorders>
              <w:bottom w:val="single" w:sz="8" w:color="D2DCE5"/>
            </w:tcBorders>
            <w:shd w:val="clear" w:color="auto" w:fill="D2DCE5"/>
          </w:tcPr>
          <w:p>
            <w:pPr>
              <w:spacing w:after="0"/>
              <w:rPr>
                <w:sz w:val="17"/>
                <w:szCs w:val="17"/>
                <w:color w:val="auto"/>
              </w:rPr>
            </w:pPr>
          </w:p>
        </w:tc>
        <w:tc>
          <w:tcPr>
            <w:tcW w:w="300" w:type="dxa"/>
            <w:vAlign w:val="bottom"/>
            <w:tcBorders>
              <w:bottom w:val="single" w:sz="8" w:color="D2DCE5"/>
            </w:tcBorders>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1</w:t>
            </w:r>
          </w:p>
        </w:tc>
        <w:tc>
          <w:tcPr>
            <w:tcW w:w="80" w:type="dxa"/>
            <w:vAlign w:val="bottom"/>
            <w:tcBorders>
              <w:bottom w:val="single" w:sz="8" w:color="D2DCE5"/>
            </w:tcBorders>
            <w:shd w:val="clear" w:color="auto" w:fill="D2DCE5"/>
          </w:tcPr>
          <w:p>
            <w:pPr>
              <w:spacing w:after="0"/>
              <w:rPr>
                <w:sz w:val="17"/>
                <w:szCs w:val="17"/>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45,386</w:t>
            </w:r>
          </w:p>
        </w:tc>
        <w:tc>
          <w:tcPr>
            <w:tcW w:w="80" w:type="dxa"/>
            <w:vAlign w:val="bottom"/>
            <w:tcBorders>
              <w:bottom w:val="single" w:sz="8" w:color="D2DCE5"/>
            </w:tcBorders>
            <w:shd w:val="clear" w:color="auto" w:fill="D2DCE5"/>
          </w:tcPr>
          <w:p>
            <w:pPr>
              <w:spacing w:after="0"/>
              <w:rPr>
                <w:sz w:val="17"/>
                <w:szCs w:val="17"/>
                <w:color w:val="auto"/>
              </w:rPr>
            </w:pPr>
          </w:p>
        </w:tc>
        <w:tc>
          <w:tcPr>
            <w:tcW w:w="300" w:type="dxa"/>
            <w:vAlign w:val="bottom"/>
            <w:tcBorders>
              <w:bottom w:val="single" w:sz="8" w:color="D2DCE5"/>
            </w:tcBorders>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80" w:type="dxa"/>
            <w:vAlign w:val="bottom"/>
            <w:tcBorders>
              <w:bottom w:val="single" w:sz="8" w:color="D2DCE5"/>
            </w:tcBorders>
            <w:shd w:val="clear" w:color="auto" w:fill="D2DCE5"/>
          </w:tcPr>
          <w:p>
            <w:pPr>
              <w:spacing w:after="0"/>
              <w:rPr>
                <w:sz w:val="17"/>
                <w:szCs w:val="17"/>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14,062</w:t>
            </w:r>
          </w:p>
        </w:tc>
        <w:tc>
          <w:tcPr>
            <w:tcW w:w="100" w:type="dxa"/>
            <w:vAlign w:val="bottom"/>
            <w:tcBorders>
              <w:bottom w:val="single" w:sz="8" w:color="D2DCE5"/>
            </w:tcBorders>
            <w:shd w:val="clear" w:color="auto" w:fill="D2DCE5"/>
          </w:tcPr>
          <w:p>
            <w:pPr>
              <w:spacing w:after="0"/>
              <w:rPr>
                <w:sz w:val="17"/>
                <w:szCs w:val="17"/>
                <w:color w:val="auto"/>
              </w:rPr>
            </w:pPr>
          </w:p>
        </w:tc>
        <w:tc>
          <w:tcPr>
            <w:tcW w:w="300" w:type="dxa"/>
            <w:vAlign w:val="bottom"/>
            <w:tcBorders>
              <w:bottom w:val="single" w:sz="8" w:color="D2DCE5"/>
            </w:tcBorders>
            <w:shd w:val="clear" w:color="auto" w:fill="D2DCE5"/>
          </w:tcPr>
          <w:p>
            <w:pPr>
              <w:jc w:val="right"/>
              <w:ind w:right="148"/>
              <w:spacing w:after="0"/>
              <w:rPr>
                <w:sz w:val="20"/>
                <w:szCs w:val="20"/>
                <w:color w:val="auto"/>
              </w:rPr>
            </w:pPr>
            <w:r>
              <w:rPr>
                <w:rFonts w:ascii="Arial" w:cs="Arial" w:eastAsia="Arial" w:hAnsi="Arial"/>
                <w:sz w:val="14"/>
                <w:szCs w:val="14"/>
                <w:color w:val="131E29"/>
                <w:w w:val="76"/>
              </w:rPr>
              <w:t>$</w:t>
            </w: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w w:val="96"/>
              </w:rPr>
              <w:t>$ 126,538</w:t>
            </w:r>
          </w:p>
        </w:tc>
        <w:tc>
          <w:tcPr>
            <w:tcW w:w="80" w:type="dxa"/>
            <w:vAlign w:val="bottom"/>
            <w:tcBorders>
              <w:bottom w:val="single" w:sz="8" w:color="D2DCE5"/>
            </w:tcBorders>
            <w:shd w:val="clear" w:color="auto" w:fill="D2DCE5"/>
          </w:tcPr>
          <w:p>
            <w:pPr>
              <w:spacing w:after="0"/>
              <w:rPr>
                <w:sz w:val="17"/>
                <w:szCs w:val="17"/>
                <w:color w:val="auto"/>
              </w:rPr>
            </w:pPr>
          </w:p>
        </w:tc>
        <w:tc>
          <w:tcPr>
            <w:tcW w:w="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145</w:t>
            </w:r>
          </w:p>
        </w:tc>
        <w:tc>
          <w:tcPr>
            <w:tcW w:w="80" w:type="dxa"/>
            <w:vAlign w:val="bottom"/>
            <w:tcBorders>
              <w:bottom w:val="single" w:sz="8" w:color="D2DCE5"/>
            </w:tcBorders>
            <w:shd w:val="clear" w:color="auto" w:fill="D2DCE5"/>
          </w:tcPr>
          <w:p>
            <w:pPr>
              <w:spacing w:after="0"/>
              <w:rPr>
                <w:sz w:val="17"/>
                <w:szCs w:val="17"/>
                <w:color w:val="auto"/>
              </w:rPr>
            </w:pPr>
          </w:p>
        </w:tc>
        <w:tc>
          <w:tcPr>
            <w:tcW w:w="1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(18,410)</w:t>
            </w:r>
          </w:p>
        </w:tc>
        <w:tc>
          <w:tcPr>
            <w:tcW w:w="80" w:type="dxa"/>
            <w:vAlign w:val="bottom"/>
            <w:tcBorders>
              <w:bottom w:val="single" w:sz="8" w:color="D2DCE5"/>
            </w:tcBorders>
            <w:shd w:val="clear" w:color="auto" w:fill="D2DCE5"/>
          </w:tcPr>
          <w:p>
            <w:pPr>
              <w:spacing w:after="0"/>
              <w:rPr>
                <w:sz w:val="17"/>
                <w:szCs w:val="17"/>
                <w:color w:val="auto"/>
              </w:rPr>
            </w:pP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$ 114,042</w:t>
            </w:r>
          </w:p>
        </w:tc>
        <w:tc>
          <w:tcPr>
            <w:tcW w:w="80" w:type="dxa"/>
            <w:vAlign w:val="bottom"/>
            <w:tcBorders>
              <w:bottom w:val="single" w:sz="8" w:color="D2DCE5"/>
            </w:tcBorders>
            <w:shd w:val="clear" w:color="auto" w:fill="D2DCE5"/>
          </w:tcPr>
          <w:p>
            <w:pPr>
              <w:spacing w:after="0"/>
              <w:rPr>
                <w:sz w:val="17"/>
                <w:szCs w:val="17"/>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w w:val="99"/>
              </w:rPr>
              <w:t>$ 222,317</w:t>
            </w: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Net income (loss)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7"/>
                <w:szCs w:val="17"/>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7"/>
                <w:szCs w:val="17"/>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7"/>
                <w:szCs w:val="17"/>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131E29"/>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1,763</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131E29"/>
              </w:rPr>
              <w:t>(169)</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1,594</w:t>
            </w: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Unrealized gain on</w:t>
            </w: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7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derivative securities,</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effective portion, net of</w:t>
            </w: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7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income tax expense of</w:t>
            </w: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7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5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$244</w:t>
            </w:r>
          </w:p>
        </w:tc>
        <w:tc>
          <w:tcPr>
            <w:tcW w:w="80" w:type="dxa"/>
            <w:vAlign w:val="bottom"/>
            <w:tcBorders>
              <w:bottom w:val="single" w:sz="8" w:color="D2DCE5"/>
            </w:tcBorders>
            <w:shd w:val="clear" w:color="auto" w:fill="D2DCE5"/>
          </w:tcPr>
          <w:p>
            <w:pPr>
              <w:spacing w:after="0"/>
              <w:rPr>
                <w:sz w:val="15"/>
                <w:szCs w:val="15"/>
                <w:color w:val="auto"/>
              </w:rPr>
            </w:pP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(17)</w:t>
            </w:r>
          </w:p>
        </w:tc>
        <w:tc>
          <w:tcPr>
            <w:tcW w:w="80" w:type="dxa"/>
            <w:vAlign w:val="bottom"/>
            <w:tcBorders>
              <w:bottom w:val="single" w:sz="8" w:color="D2DCE5"/>
            </w:tcBorders>
            <w:shd w:val="clear" w:color="auto" w:fill="D2DCE5"/>
          </w:tcPr>
          <w:p>
            <w:pPr>
              <w:spacing w:after="0"/>
              <w:rPr>
                <w:sz w:val="15"/>
                <w:szCs w:val="15"/>
                <w:color w:val="auto"/>
              </w:rPr>
            </w:pPr>
          </w:p>
        </w:tc>
        <w:tc>
          <w:tcPr>
            <w:tcW w:w="100" w:type="dxa"/>
            <w:vAlign w:val="bottom"/>
            <w:tcBorders>
              <w:bottom w:val="single" w:sz="8" w:color="D2DCE5"/>
            </w:tcBorders>
            <w:shd w:val="clear" w:color="auto" w:fill="D2DCE5"/>
          </w:tcPr>
          <w:p>
            <w:pPr>
              <w:spacing w:after="0"/>
              <w:rPr>
                <w:sz w:val="15"/>
                <w:szCs w:val="15"/>
                <w:color w:val="auto"/>
              </w:rPr>
            </w:pP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703</w:t>
            </w:r>
          </w:p>
        </w:tc>
        <w:tc>
          <w:tcPr>
            <w:tcW w:w="80" w:type="dxa"/>
            <w:vAlign w:val="bottom"/>
            <w:tcBorders>
              <w:bottom w:val="single" w:sz="8" w:color="D2DCE5"/>
            </w:tcBorders>
            <w:shd w:val="clear" w:color="auto" w:fill="D2DCE5"/>
          </w:tcPr>
          <w:p>
            <w:pPr>
              <w:spacing w:after="0"/>
              <w:rPr>
                <w:sz w:val="15"/>
                <w:szCs w:val="15"/>
                <w:color w:val="auto"/>
              </w:rPr>
            </w:pPr>
          </w:p>
        </w:tc>
        <w:tc>
          <w:tcPr>
            <w:tcW w:w="160" w:type="dxa"/>
            <w:vAlign w:val="bottom"/>
            <w:tcBorders>
              <w:bottom w:val="single" w:sz="8" w:color="D2DCE5"/>
            </w:tcBorders>
            <w:shd w:val="clear" w:color="auto" w:fill="D2DCE5"/>
          </w:tcPr>
          <w:p>
            <w:pPr>
              <w:spacing w:after="0"/>
              <w:rPr>
                <w:sz w:val="15"/>
                <w:szCs w:val="15"/>
                <w:color w:val="auto"/>
              </w:rPr>
            </w:pPr>
          </w:p>
        </w:tc>
        <w:tc>
          <w:tcPr>
            <w:tcW w:w="80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1,781</w:t>
            </w:r>
          </w:p>
        </w:tc>
        <w:tc>
          <w:tcPr>
            <w:tcW w:w="80" w:type="dxa"/>
            <w:vAlign w:val="bottom"/>
            <w:tcBorders>
              <w:bottom w:val="single" w:sz="8" w:color="D2DCE5"/>
            </w:tcBorders>
            <w:shd w:val="clear" w:color="auto" w:fill="D2DCE5"/>
          </w:tcPr>
          <w:p>
            <w:pPr>
              <w:spacing w:after="0"/>
              <w:rPr>
                <w:sz w:val="15"/>
                <w:szCs w:val="15"/>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2,467</w:t>
            </w: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Equity-based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compensation</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131E29"/>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131E29"/>
              </w:rPr>
              <w:t>3,656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tcPr>
          <w:p>
            <w:pPr>
              <w:jc w:val="right"/>
              <w:spacing w:after="0"/>
              <w:rPr>
                <w:sz w:val="20"/>
                <w:szCs w:val="20"/>
                <w:color w:val="auto"/>
              </w:rPr>
            </w:pPr>
            <w:r>
              <w:rPr>
                <w:rFonts w:ascii="Arial" w:cs="Arial" w:eastAsia="Arial" w:hAnsi="Arial"/>
                <w:sz w:val="14"/>
                <w:szCs w:val="14"/>
                <w:color w:val="131E29"/>
              </w:rPr>
              <w:t>6,993</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10,649</w:t>
            </w: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Issuance of Class A</w:t>
            </w: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7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common stock</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pursuant to vesting of</w:t>
            </w: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7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equity awards, net of</w:t>
            </w: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7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6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stock withheld for tax</w:t>
            </w: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w:t>
            </w:r>
          </w:p>
        </w:tc>
        <w:tc>
          <w:tcPr>
            <w:tcW w:w="80" w:type="dxa"/>
            <w:vAlign w:val="bottom"/>
            <w:tcBorders>
              <w:bottom w:val="single" w:sz="8" w:color="D2DCE5"/>
            </w:tcBorders>
            <w:shd w:val="clear" w:color="auto" w:fill="D2DCE5"/>
          </w:tcPr>
          <w:p>
            <w:pPr>
              <w:spacing w:after="0"/>
              <w:rPr>
                <w:sz w:val="15"/>
                <w:szCs w:val="15"/>
                <w:color w:val="auto"/>
              </w:rPr>
            </w:pPr>
          </w:p>
        </w:tc>
        <w:tc>
          <w:tcPr>
            <w:tcW w:w="3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100" w:type="dxa"/>
            <w:vAlign w:val="bottom"/>
            <w:tcBorders>
              <w:bottom w:val="single" w:sz="8" w:color="D2DCE5"/>
            </w:tcBorders>
            <w:shd w:val="clear" w:color="auto" w:fill="D2DCE5"/>
          </w:tcPr>
          <w:p>
            <w:pPr>
              <w:spacing w:after="0"/>
              <w:rPr>
                <w:sz w:val="15"/>
                <w:szCs w:val="15"/>
                <w:color w:val="auto"/>
              </w:rPr>
            </w:pPr>
          </w:p>
        </w:tc>
        <w:tc>
          <w:tcPr>
            <w:tcW w:w="10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Borders>
              <w:bottom w:val="single" w:sz="8" w:color="D2DCE5"/>
            </w:tcBorders>
            <w:shd w:val="clear" w:color="auto" w:fill="D2DCE5"/>
          </w:tcPr>
          <w:p>
            <w:pPr>
              <w:spacing w:after="0"/>
              <w:rPr>
                <w:sz w:val="15"/>
                <w:szCs w:val="15"/>
                <w:color w:val="auto"/>
              </w:rPr>
            </w:pPr>
          </w:p>
        </w:tc>
        <w:tc>
          <w:tcPr>
            <w:tcW w:w="80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8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Impact of Tax</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Receivable</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131E29"/>
              </w:rPr>
              <w:t>6,775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Pr>
          <w:p>
            <w:pPr>
              <w:spacing w:after="0"/>
              <w:rPr>
                <w:sz w:val="15"/>
                <w:szCs w:val="15"/>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6,775</w:t>
            </w:r>
          </w:p>
        </w:tc>
        <w:tc>
          <w:tcPr>
            <w:tcW w:w="0" w:type="dxa"/>
            <w:vAlign w:val="bottom"/>
          </w:tcPr>
          <w:p>
            <w:pPr>
              <w:spacing w:after="0"/>
              <w:rPr>
                <w:sz w:val="1"/>
                <w:szCs w:val="1"/>
                <w:color w:val="auto"/>
              </w:rPr>
            </w:pPr>
          </w:p>
        </w:tc>
      </w:tr>
      <w:tr>
        <w:trPr>
          <w:trHeight w:val="182"/>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Agreements</w:t>
            </w:r>
          </w:p>
        </w:tc>
        <w:tc>
          <w:tcPr>
            <w:tcW w:w="6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 of exchange of</w:t>
            </w:r>
          </w:p>
        </w:tc>
        <w:tc>
          <w:tcPr>
            <w:tcW w:w="5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7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Dutch Bros OpCo</w:t>
            </w:r>
          </w:p>
        </w:tc>
        <w:tc>
          <w:tcPr>
            <w:tcW w:w="6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4,528</w:t>
            </w: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102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shd w:val="clear" w:color="auto" w:fill="D2DCE5"/>
          </w:tcPr>
          <w:p>
            <w:pPr>
              <w:spacing w:after="0"/>
              <w:rPr>
                <w:sz w:val="15"/>
                <w:szCs w:val="15"/>
                <w:color w:val="auto"/>
              </w:rPr>
            </w:pPr>
          </w:p>
        </w:tc>
        <w:tc>
          <w:tcPr>
            <w:tcW w:w="80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(4,528)</w:t>
            </w:r>
          </w:p>
        </w:tc>
        <w:tc>
          <w:tcPr>
            <w:tcW w:w="80" w:type="dxa"/>
            <w:vAlign w:val="bottom"/>
            <w:shd w:val="clear" w:color="auto" w:fill="D2DCE5"/>
          </w:tcPr>
          <w:p>
            <w:pPr>
              <w:spacing w:after="0"/>
              <w:rPr>
                <w:sz w:val="15"/>
                <w:szCs w:val="15"/>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88"/>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Class A common units</w:t>
            </w:r>
          </w:p>
        </w:tc>
        <w:tc>
          <w:tcPr>
            <w:tcW w:w="64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6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4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6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700" w:type="dxa"/>
            <w:vAlign w:val="bottom"/>
            <w:vMerge w:val="continue"/>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1020" w:type="dxa"/>
            <w:vAlign w:val="bottom"/>
            <w:gridSpan w:val="2"/>
            <w:vMerge w:val="continue"/>
            <w:shd w:val="clear" w:color="auto" w:fill="D2DCE5"/>
          </w:tcPr>
          <w:p>
            <w:pPr>
              <w:spacing w:after="0"/>
              <w:rPr>
                <w:sz w:val="16"/>
                <w:szCs w:val="16"/>
                <w:color w:val="auto"/>
              </w:rPr>
            </w:pPr>
          </w:p>
        </w:tc>
        <w:tc>
          <w:tcPr>
            <w:tcW w:w="160" w:type="dxa"/>
            <w:vAlign w:val="bottom"/>
            <w:shd w:val="clear" w:color="auto" w:fill="D2DCE5"/>
          </w:tcPr>
          <w:p>
            <w:pPr>
              <w:spacing w:after="0"/>
              <w:rPr>
                <w:sz w:val="16"/>
                <w:szCs w:val="16"/>
                <w:color w:val="auto"/>
              </w:rPr>
            </w:pPr>
          </w:p>
        </w:tc>
        <w:tc>
          <w:tcPr>
            <w:tcW w:w="800" w:type="dxa"/>
            <w:vAlign w:val="bottom"/>
            <w:gridSpan w:val="2"/>
            <w:vMerge w:val="continue"/>
            <w:shd w:val="clear" w:color="auto" w:fill="D2DCE5"/>
          </w:tcPr>
          <w:p>
            <w:pPr>
              <w:spacing w:after="0"/>
              <w:rPr>
                <w:sz w:val="16"/>
                <w:szCs w:val="16"/>
                <w:color w:val="auto"/>
              </w:rPr>
            </w:pPr>
          </w:p>
        </w:tc>
        <w:tc>
          <w:tcPr>
            <w:tcW w:w="740" w:type="dxa"/>
            <w:vAlign w:val="bottom"/>
            <w:vMerge w:val="continue"/>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vMerge w:val="continue"/>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Surrender and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cancellation of Class C</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131E29"/>
              </w:rPr>
              <w:t>5,980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131E29"/>
              </w:rPr>
              <w:t>1</w:t>
            </w:r>
          </w:p>
        </w:tc>
        <w:tc>
          <w:tcPr>
            <w:tcW w:w="80" w:type="dxa"/>
            <w:vAlign w:val="bottom"/>
          </w:tcPr>
          <w:p>
            <w:pPr>
              <w:spacing w:after="0"/>
              <w:rPr>
                <w:sz w:val="15"/>
                <w:szCs w:val="15"/>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vMerge w:val="restart"/>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131E29"/>
              </w:rPr>
              <w:t>(4,330)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131E29"/>
              </w:rPr>
              <w:t>(1)</w:t>
            </w:r>
          </w:p>
        </w:tc>
        <w:tc>
          <w:tcPr>
            <w:tcW w:w="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131E29"/>
              </w:rPr>
              <w:t>(1,651)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81"/>
        </w:trPr>
        <w:tc>
          <w:tcPr>
            <w:tcW w:w="162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&amp; D common stock</w:t>
            </w:r>
          </w:p>
        </w:tc>
        <w:tc>
          <w:tcPr>
            <w:tcW w:w="5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2DCE5"/>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September</w:t>
            </w: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45,541</w:t>
            </w:r>
          </w:p>
        </w:tc>
        <w:tc>
          <w:tcPr>
            <w:tcW w:w="80" w:type="dxa"/>
            <w:vAlign w:val="bottom"/>
            <w:shd w:val="clear" w:color="auto" w:fill="D2DCE5"/>
          </w:tcPr>
          <w:p>
            <w:pPr>
              <w:spacing w:after="0"/>
              <w:rPr>
                <w:sz w:val="15"/>
                <w:szCs w:val="15"/>
                <w:color w:val="auto"/>
              </w:rPr>
            </w:pPr>
          </w:p>
        </w:tc>
        <w:tc>
          <w:tcPr>
            <w:tcW w:w="300" w:type="dxa"/>
            <w:vAlign w:val="bottom"/>
            <w:vMerge w:val="restart"/>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80" w:type="dxa"/>
            <w:vAlign w:val="bottom"/>
            <w:shd w:val="clear" w:color="auto" w:fill="D2DCE5"/>
          </w:tcPr>
          <w:p>
            <w:pPr>
              <w:spacing w:after="0"/>
              <w:rPr>
                <w:sz w:val="15"/>
                <w:szCs w:val="15"/>
                <w:color w:val="auto"/>
              </w:rPr>
            </w:pPr>
          </w:p>
        </w:tc>
        <w:tc>
          <w:tcPr>
            <w:tcW w:w="58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64,699</w:t>
            </w:r>
          </w:p>
        </w:tc>
        <w:tc>
          <w:tcPr>
            <w:tcW w:w="80" w:type="dxa"/>
            <w:vAlign w:val="bottom"/>
            <w:shd w:val="clear" w:color="auto" w:fill="D2DCE5"/>
          </w:tcPr>
          <w:p>
            <w:pPr>
              <w:spacing w:after="0"/>
              <w:rPr>
                <w:sz w:val="15"/>
                <w:szCs w:val="15"/>
                <w:color w:val="auto"/>
              </w:rPr>
            </w:pPr>
          </w:p>
        </w:tc>
        <w:tc>
          <w:tcPr>
            <w:tcW w:w="300" w:type="dxa"/>
            <w:vAlign w:val="bottom"/>
            <w:vMerge w:val="restart"/>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1</w:t>
            </w:r>
          </w:p>
        </w:tc>
        <w:tc>
          <w:tcPr>
            <w:tcW w:w="80" w:type="dxa"/>
            <w:vAlign w:val="bottom"/>
            <w:shd w:val="clear" w:color="auto" w:fill="D2DCE5"/>
          </w:tcPr>
          <w:p>
            <w:pPr>
              <w:spacing w:after="0"/>
              <w:rPr>
                <w:sz w:val="15"/>
                <w:szCs w:val="15"/>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41,056</w:t>
            </w:r>
          </w:p>
        </w:tc>
        <w:tc>
          <w:tcPr>
            <w:tcW w:w="80" w:type="dxa"/>
            <w:vAlign w:val="bottom"/>
            <w:shd w:val="clear" w:color="auto" w:fill="D2DCE5"/>
          </w:tcPr>
          <w:p>
            <w:pPr>
              <w:spacing w:after="0"/>
              <w:rPr>
                <w:sz w:val="15"/>
                <w:szCs w:val="15"/>
                <w:color w:val="auto"/>
              </w:rPr>
            </w:pPr>
          </w:p>
        </w:tc>
        <w:tc>
          <w:tcPr>
            <w:tcW w:w="300" w:type="dxa"/>
            <w:vAlign w:val="bottom"/>
            <w:vMerge w:val="restart"/>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36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12,411</w:t>
            </w:r>
          </w:p>
        </w:tc>
        <w:tc>
          <w:tcPr>
            <w:tcW w:w="100" w:type="dxa"/>
            <w:vAlign w:val="bottom"/>
            <w:shd w:val="clear" w:color="auto" w:fill="D2DCE5"/>
          </w:tcPr>
          <w:p>
            <w:pPr>
              <w:spacing w:after="0"/>
              <w:rPr>
                <w:sz w:val="15"/>
                <w:szCs w:val="15"/>
                <w:color w:val="auto"/>
              </w:rPr>
            </w:pPr>
          </w:p>
        </w:tc>
        <w:tc>
          <w:tcPr>
            <w:tcW w:w="300" w:type="dxa"/>
            <w:vAlign w:val="bottom"/>
            <w:vMerge w:val="restart"/>
            <w:shd w:val="clear" w:color="auto" w:fill="D2DCE5"/>
          </w:tcPr>
          <w:p>
            <w:pPr>
              <w:jc w:val="right"/>
              <w:ind w:right="148"/>
              <w:spacing w:after="0"/>
              <w:rPr>
                <w:sz w:val="20"/>
                <w:szCs w:val="20"/>
                <w:color w:val="auto"/>
              </w:rPr>
            </w:pPr>
            <w:r>
              <w:rPr>
                <w:rFonts w:ascii="Arial" w:cs="Arial" w:eastAsia="Arial" w:hAnsi="Arial"/>
                <w:sz w:val="14"/>
                <w:szCs w:val="14"/>
                <w:color w:val="131E29"/>
                <w:w w:val="76"/>
              </w:rPr>
              <w:t>$</w:t>
            </w:r>
          </w:p>
        </w:tc>
        <w:tc>
          <w:tcPr>
            <w:tcW w:w="360" w:type="dxa"/>
            <w:vAlign w:val="bottom"/>
            <w:gridSpan w:val="2"/>
            <w:vMerge w:val="restart"/>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w w:val="96"/>
              </w:rPr>
              <w:t>$ 141,480</w:t>
            </w:r>
          </w:p>
        </w:tc>
        <w:tc>
          <w:tcPr>
            <w:tcW w:w="80" w:type="dxa"/>
            <w:vAlign w:val="bottom"/>
            <w:shd w:val="clear" w:color="auto" w:fill="D2DCE5"/>
          </w:tcPr>
          <w:p>
            <w:pPr>
              <w:spacing w:after="0"/>
              <w:rPr>
                <w:sz w:val="15"/>
                <w:szCs w:val="15"/>
                <w:color w:val="auto"/>
              </w:rPr>
            </w:pPr>
          </w:p>
        </w:tc>
        <w:tc>
          <w:tcPr>
            <w:tcW w:w="1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9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848</w:t>
            </w:r>
          </w:p>
        </w:tc>
        <w:tc>
          <w:tcPr>
            <w:tcW w:w="80" w:type="dxa"/>
            <w:vAlign w:val="bottom"/>
            <w:shd w:val="clear" w:color="auto" w:fill="D2DCE5"/>
          </w:tcPr>
          <w:p>
            <w:pPr>
              <w:spacing w:after="0"/>
              <w:rPr>
                <w:sz w:val="15"/>
                <w:szCs w:val="15"/>
                <w:color w:val="auto"/>
              </w:rPr>
            </w:pPr>
          </w:p>
        </w:tc>
        <w:tc>
          <w:tcPr>
            <w:tcW w:w="160" w:type="dxa"/>
            <w:vAlign w:val="bottom"/>
            <w:vMerge w:val="restart"/>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7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(16,647)</w:t>
            </w:r>
          </w:p>
        </w:tc>
        <w:tc>
          <w:tcPr>
            <w:tcW w:w="80" w:type="dxa"/>
            <w:vAlign w:val="bottom"/>
            <w:shd w:val="clear" w:color="auto" w:fill="D2DCE5"/>
          </w:tcPr>
          <w:p>
            <w:pPr>
              <w:spacing w:after="0"/>
              <w:rPr>
                <w:sz w:val="15"/>
                <w:szCs w:val="15"/>
                <w:color w:val="auto"/>
              </w:rPr>
            </w:pPr>
          </w:p>
        </w:tc>
        <w:tc>
          <w:tcPr>
            <w:tcW w:w="7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$ 118,119</w:t>
            </w:r>
          </w:p>
        </w:tc>
        <w:tc>
          <w:tcPr>
            <w:tcW w:w="80" w:type="dxa"/>
            <w:vAlign w:val="bottom"/>
            <w:shd w:val="clear" w:color="auto" w:fill="D2DCE5"/>
          </w:tcPr>
          <w:p>
            <w:pPr>
              <w:spacing w:after="0"/>
              <w:rPr>
                <w:sz w:val="15"/>
                <w:szCs w:val="15"/>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w w:val="99"/>
              </w:rPr>
              <w:t>$ 243,802</w:t>
            </w:r>
          </w:p>
        </w:tc>
        <w:tc>
          <w:tcPr>
            <w:tcW w:w="0" w:type="dxa"/>
            <w:vAlign w:val="bottom"/>
          </w:tcPr>
          <w:p>
            <w:pPr>
              <w:spacing w:after="0"/>
              <w:rPr>
                <w:sz w:val="1"/>
                <w:szCs w:val="1"/>
                <w:color w:val="auto"/>
              </w:rPr>
            </w:pPr>
          </w:p>
        </w:tc>
      </w:tr>
      <w:tr>
        <w:trPr>
          <w:trHeight w:val="209"/>
        </w:trPr>
        <w:tc>
          <w:tcPr>
            <w:tcW w:w="1540" w:type="dxa"/>
            <w:vAlign w:val="bottom"/>
            <w:shd w:val="clear" w:color="auto" w:fill="D2DCE5"/>
          </w:tcPr>
          <w:p>
            <w:pPr>
              <w:ind w:left="20"/>
              <w:spacing w:after="0"/>
              <w:rPr>
                <w:sz w:val="20"/>
                <w:szCs w:val="20"/>
                <w:color w:val="auto"/>
              </w:rPr>
            </w:pPr>
            <w:r>
              <w:rPr>
                <w:rFonts w:ascii="Arial" w:cs="Arial" w:eastAsia="Arial" w:hAnsi="Arial"/>
                <w:sz w:val="14"/>
                <w:szCs w:val="14"/>
                <w:b w:val="1"/>
                <w:bCs w:val="1"/>
                <w:color w:val="131E29"/>
              </w:rPr>
              <w:t>30, 2022</w:t>
            </w:r>
          </w:p>
        </w:tc>
        <w:tc>
          <w:tcPr>
            <w:tcW w:w="80" w:type="dxa"/>
            <w:vAlign w:val="bottom"/>
            <w:shd w:val="clear" w:color="auto" w:fill="D2DCE5"/>
          </w:tcPr>
          <w:p>
            <w:pPr>
              <w:spacing w:after="0"/>
              <w:rPr>
                <w:sz w:val="18"/>
                <w:szCs w:val="18"/>
                <w:color w:val="auto"/>
              </w:rPr>
            </w:pPr>
          </w:p>
        </w:tc>
        <w:tc>
          <w:tcPr>
            <w:tcW w:w="56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vMerge w:val="continue"/>
            <w:shd w:val="clear" w:color="auto" w:fill="D2DCE5"/>
          </w:tcPr>
          <w:p>
            <w:pPr>
              <w:spacing w:after="0"/>
              <w:rPr>
                <w:sz w:val="18"/>
                <w:szCs w:val="18"/>
                <w:color w:val="auto"/>
              </w:rPr>
            </w:pPr>
          </w:p>
        </w:tc>
        <w:tc>
          <w:tcPr>
            <w:tcW w:w="28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8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vMerge w:val="continue"/>
            <w:shd w:val="clear" w:color="auto" w:fill="D2DCE5"/>
          </w:tcPr>
          <w:p>
            <w:pPr>
              <w:spacing w:after="0"/>
              <w:rPr>
                <w:sz w:val="18"/>
                <w:szCs w:val="18"/>
                <w:color w:val="auto"/>
              </w:rPr>
            </w:pPr>
          </w:p>
        </w:tc>
        <w:tc>
          <w:tcPr>
            <w:tcW w:w="28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6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vMerge w:val="continue"/>
            <w:shd w:val="clear" w:color="auto" w:fill="D2DCE5"/>
          </w:tcPr>
          <w:p>
            <w:pPr>
              <w:spacing w:after="0"/>
              <w:rPr>
                <w:sz w:val="18"/>
                <w:szCs w:val="18"/>
                <w:color w:val="auto"/>
              </w:rPr>
            </w:pPr>
          </w:p>
        </w:tc>
        <w:tc>
          <w:tcPr>
            <w:tcW w:w="360" w:type="dxa"/>
            <w:vAlign w:val="bottom"/>
            <w:gridSpan w:val="2"/>
            <w:vMerge w:val="continue"/>
            <w:shd w:val="clear" w:color="auto" w:fill="D2DCE5"/>
          </w:tcPr>
          <w:p>
            <w:pPr>
              <w:spacing w:after="0"/>
              <w:rPr>
                <w:sz w:val="18"/>
                <w:szCs w:val="18"/>
                <w:color w:val="auto"/>
              </w:rPr>
            </w:pPr>
          </w:p>
        </w:tc>
        <w:tc>
          <w:tcPr>
            <w:tcW w:w="560" w:type="dxa"/>
            <w:vAlign w:val="bottom"/>
            <w:vMerge w:val="continue"/>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00" w:type="dxa"/>
            <w:vAlign w:val="bottom"/>
            <w:vMerge w:val="continue"/>
            <w:shd w:val="clear" w:color="auto" w:fill="D2DCE5"/>
          </w:tcPr>
          <w:p>
            <w:pPr>
              <w:spacing w:after="0"/>
              <w:rPr>
                <w:sz w:val="18"/>
                <w:szCs w:val="18"/>
                <w:color w:val="auto"/>
              </w:rPr>
            </w:pPr>
          </w:p>
        </w:tc>
        <w:tc>
          <w:tcPr>
            <w:tcW w:w="360" w:type="dxa"/>
            <w:vAlign w:val="bottom"/>
            <w:gridSpan w:val="2"/>
            <w:vMerge w:val="continue"/>
            <w:shd w:val="clear" w:color="auto" w:fill="D2DCE5"/>
          </w:tcPr>
          <w:p>
            <w:pPr>
              <w:spacing w:after="0"/>
              <w:rPr>
                <w:sz w:val="18"/>
                <w:szCs w:val="18"/>
                <w:color w:val="auto"/>
              </w:rPr>
            </w:pPr>
          </w:p>
        </w:tc>
        <w:tc>
          <w:tcPr>
            <w:tcW w:w="70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00" w:type="dxa"/>
            <w:vAlign w:val="bottom"/>
            <w:vMerge w:val="continue"/>
            <w:shd w:val="clear" w:color="auto" w:fill="D2DCE5"/>
          </w:tcPr>
          <w:p>
            <w:pPr>
              <w:spacing w:after="0"/>
              <w:rPr>
                <w:sz w:val="18"/>
                <w:szCs w:val="18"/>
                <w:color w:val="auto"/>
              </w:rPr>
            </w:pPr>
          </w:p>
        </w:tc>
        <w:tc>
          <w:tcPr>
            <w:tcW w:w="94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60" w:type="dxa"/>
            <w:vAlign w:val="bottom"/>
            <w:vMerge w:val="continue"/>
            <w:shd w:val="clear" w:color="auto" w:fill="D2DCE5"/>
          </w:tcPr>
          <w:p>
            <w:pPr>
              <w:spacing w:after="0"/>
              <w:rPr>
                <w:sz w:val="18"/>
                <w:szCs w:val="18"/>
                <w:color w:val="auto"/>
              </w:rPr>
            </w:pPr>
          </w:p>
        </w:tc>
        <w:tc>
          <w:tcPr>
            <w:tcW w:w="72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4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00" w:type="dxa"/>
            <w:vAlign w:val="bottom"/>
            <w:vMerge w:val="continue"/>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80" w:right="20" w:hanging="172"/>
        <w:spacing w:after="0" w:line="211" w:lineRule="auto"/>
        <w:tabs>
          <w:tab w:leader="none" w:pos="270" w:val="left"/>
        </w:tabs>
        <w:numPr>
          <w:ilvl w:val="0"/>
          <w:numId w:val="6"/>
        </w:numPr>
        <w:rPr>
          <w:rFonts w:ascii="Arial" w:cs="Arial" w:eastAsia="Arial" w:hAnsi="Arial"/>
          <w:sz w:val="19"/>
          <w:szCs w:val="19"/>
          <w:color w:val="131E29"/>
          <w:vertAlign w:val="superscript"/>
        </w:rPr>
      </w:pPr>
      <w:r>
        <w:rPr>
          <w:rFonts w:ascii="Arial" w:cs="Arial" w:eastAsia="Arial" w:hAnsi="Arial"/>
          <w:sz w:val="14"/>
          <w:szCs w:val="14"/>
          <w:color w:val="131E29"/>
        </w:rPr>
        <w:t>Subsequent to the Company’s January 1, 2022 adoption of the lease standard, the Company continued to review relevant lease contract elements and improve business processes, which resulted in adjustments to the Company’s adoption entries. See NOTE 8 — Leases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6098"/>
        </w:rPr>
        <w:t>Table of Contents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Stockholders’/Members’ Equity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31E29"/>
        </w:rPr>
        <w:t>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2"/>
          </w:tcPr>
          <w:p>
            <w:pPr>
              <w:ind w:left="120"/>
              <w:spacing w:after="0"/>
              <w:rPr>
                <w:sz w:val="20"/>
                <w:szCs w:val="20"/>
                <w:color w:val="auto"/>
              </w:rPr>
            </w:pPr>
            <w:r>
              <w:rPr>
                <w:rFonts w:ascii="Arial" w:cs="Arial" w:eastAsia="Arial" w:hAnsi="Arial"/>
                <w:sz w:val="14"/>
                <w:szCs w:val="14"/>
                <w:b w:val="1"/>
                <w:bCs w:val="1"/>
                <w:color w:val="131E29"/>
              </w:rPr>
              <w:t>Dutch Bros Inc. Stockholders’ Equity</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A</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B</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ind w:left="340"/>
              <w:spacing w:after="0"/>
              <w:rPr>
                <w:sz w:val="20"/>
                <w:szCs w:val="20"/>
                <w:color w:val="auto"/>
              </w:rPr>
            </w:pPr>
            <w:r>
              <w:rPr>
                <w:rFonts w:ascii="Arial" w:cs="Arial" w:eastAsia="Arial" w:hAnsi="Arial"/>
                <w:sz w:val="14"/>
                <w:szCs w:val="14"/>
                <w:b w:val="1"/>
                <w:bCs w:val="1"/>
                <w:color w:val="131E29"/>
              </w:rPr>
              <w:t>Class C</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D</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00" w:type="dxa"/>
            <w:vAlign w:val="bottom"/>
            <w:gridSpan w:val="5"/>
          </w:tcPr>
          <w:p>
            <w:pPr>
              <w:ind w:left="12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jc w:val="center"/>
              <w:ind w:right="100"/>
              <w:spacing w:after="0"/>
              <w:rPr>
                <w:sz w:val="20"/>
                <w:szCs w:val="20"/>
                <w:color w:val="auto"/>
              </w:rPr>
            </w:pPr>
            <w:r>
              <w:rPr>
                <w:rFonts w:ascii="Arial" w:cs="Arial" w:eastAsia="Arial" w:hAnsi="Arial"/>
                <w:sz w:val="14"/>
                <w:szCs w:val="14"/>
                <w:color w:val="131E29"/>
              </w:rPr>
              <w:t>Common Stock</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131E29"/>
              </w:rPr>
              <w:t>Accumulated</w:t>
            </w: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20" w:type="dxa"/>
            <w:vAlign w:val="bottom"/>
            <w:gridSpan w:val="2"/>
            <w:vMerge w:val="restart"/>
          </w:tcPr>
          <w:p>
            <w:pPr>
              <w:ind w:left="20"/>
              <w:spacing w:after="0"/>
              <w:rPr>
                <w:sz w:val="20"/>
                <w:szCs w:val="20"/>
                <w:color w:val="auto"/>
              </w:rPr>
            </w:pPr>
            <w:r>
              <w:rPr>
                <w:rFonts w:ascii="Arial" w:cs="Arial" w:eastAsia="Arial" w:hAnsi="Arial"/>
                <w:sz w:val="14"/>
                <w:szCs w:val="14"/>
                <w:color w:val="131E29"/>
              </w:rPr>
              <w:t>(in thousands;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131E29"/>
              </w:rPr>
              <w:t>Additional</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color w:val="131E29"/>
              </w:rPr>
              <w:t>Other</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color w:val="131E29"/>
              </w:rPr>
              <w:t>Accumulated</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131E29"/>
                <w:w w:val="98"/>
              </w:rPr>
              <w:t>Non-</w:t>
            </w: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131E29"/>
              </w:rPr>
              <w:t>Total</w:t>
            </w:r>
          </w:p>
        </w:tc>
        <w:tc>
          <w:tcPr>
            <w:tcW w:w="0" w:type="dxa"/>
            <w:vAlign w:val="bottom"/>
          </w:tcPr>
          <w:p>
            <w:pPr>
              <w:spacing w:after="0"/>
              <w:rPr>
                <w:sz w:val="1"/>
                <w:szCs w:val="1"/>
                <w:color w:val="auto"/>
              </w:rPr>
            </w:pPr>
          </w:p>
        </w:tc>
      </w:tr>
      <w:tr>
        <w:trPr>
          <w:trHeight w:val="157"/>
        </w:trPr>
        <w:tc>
          <w:tcPr>
            <w:tcW w:w="16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80"/>
              <w:spacing w:after="0" w:line="157" w:lineRule="exact"/>
              <w:rPr>
                <w:sz w:val="20"/>
                <w:szCs w:val="20"/>
                <w:color w:val="auto"/>
              </w:rPr>
            </w:pPr>
            <w:r>
              <w:rPr>
                <w:rFonts w:ascii="Arial" w:cs="Arial" w:eastAsia="Arial" w:hAnsi="Arial"/>
                <w:sz w:val="14"/>
                <w:szCs w:val="14"/>
                <w:color w:val="131E29"/>
              </w:rPr>
              <w:t>Paid-in-</w:t>
            </w:r>
          </w:p>
        </w:tc>
        <w:tc>
          <w:tcPr>
            <w:tcW w:w="1120" w:type="dxa"/>
            <w:vAlign w:val="bottom"/>
            <w:gridSpan w:val="3"/>
          </w:tcPr>
          <w:p>
            <w:pPr>
              <w:jc w:val="center"/>
              <w:ind w:right="80"/>
              <w:spacing w:after="0" w:line="157" w:lineRule="exact"/>
              <w:rPr>
                <w:sz w:val="20"/>
                <w:szCs w:val="20"/>
                <w:color w:val="auto"/>
              </w:rPr>
            </w:pPr>
            <w:r>
              <w:rPr>
                <w:rFonts w:ascii="Arial" w:cs="Arial" w:eastAsia="Arial" w:hAnsi="Arial"/>
                <w:sz w:val="14"/>
                <w:szCs w:val="14"/>
                <w:color w:val="131E29"/>
              </w:rPr>
              <w:t>Comprehensive</w:t>
            </w:r>
          </w:p>
        </w:tc>
        <w:tc>
          <w:tcPr>
            <w:tcW w:w="960" w:type="dxa"/>
            <w:vAlign w:val="bottom"/>
            <w:gridSpan w:val="3"/>
            <w:vMerge w:val="continue"/>
          </w:tcPr>
          <w:p>
            <w:pPr>
              <w:spacing w:after="0"/>
              <w:rPr>
                <w:sz w:val="13"/>
                <w:szCs w:val="13"/>
                <w:color w:val="auto"/>
              </w:rPr>
            </w:pPr>
          </w:p>
        </w:tc>
        <w:tc>
          <w:tcPr>
            <w:tcW w:w="820" w:type="dxa"/>
            <w:vAlign w:val="bottom"/>
            <w:gridSpan w:val="2"/>
          </w:tcPr>
          <w:p>
            <w:pPr>
              <w:jc w:val="center"/>
              <w:ind w:right="80"/>
              <w:spacing w:after="0" w:line="157" w:lineRule="exact"/>
              <w:rPr>
                <w:sz w:val="20"/>
                <w:szCs w:val="20"/>
                <w:color w:val="auto"/>
              </w:rPr>
            </w:pPr>
            <w:r>
              <w:rPr>
                <w:rFonts w:ascii="Arial" w:cs="Arial" w:eastAsia="Arial" w:hAnsi="Arial"/>
                <w:sz w:val="14"/>
                <w:szCs w:val="14"/>
                <w:color w:val="131E29"/>
              </w:rPr>
              <w:t>Controlling</w:t>
            </w: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unaudited)</w:t>
            </w:r>
          </w:p>
        </w:tc>
        <w:tc>
          <w:tcPr>
            <w:tcW w:w="80" w:type="dxa"/>
            <w:vAlign w:val="bottom"/>
            <w:tcBorders>
              <w:bottom w:val="single" w:sz="8" w:color="D2DCE5"/>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7"/>
                <w:szCs w:val="17"/>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7"/>
                <w:szCs w:val="17"/>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7"/>
                <w:szCs w:val="17"/>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100" w:type="dxa"/>
            <w:vAlign w:val="bottom"/>
            <w:tcBorders>
              <w:bottom w:val="single" w:sz="8" w:color="D2DCE5"/>
            </w:tcBorders>
          </w:tcPr>
          <w:p>
            <w:pPr>
              <w:spacing w:after="0"/>
              <w:rPr>
                <w:sz w:val="17"/>
                <w:szCs w:val="17"/>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rPr>
              <w:t>Capital</w:t>
            </w:r>
          </w:p>
        </w:tc>
        <w:tc>
          <w:tcPr>
            <w:tcW w:w="80" w:type="dxa"/>
            <w:vAlign w:val="bottom"/>
            <w:tcBorders>
              <w:bottom w:val="single" w:sz="8" w:color="D2DC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131E29"/>
              </w:rPr>
              <w:t>Income</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131E29"/>
              </w:rPr>
              <w:t xml:space="preserve">Deficit </w:t>
            </w:r>
            <w:r>
              <w:rPr>
                <w:rFonts w:ascii="Arial" w:cs="Arial" w:eastAsia="Arial" w:hAnsi="Arial"/>
                <w:sz w:val="18"/>
                <w:szCs w:val="18"/>
                <w:color w:val="131E29"/>
                <w:vertAlign w:val="superscript"/>
              </w:rPr>
              <w:t>1</w:t>
            </w:r>
          </w:p>
        </w:tc>
        <w:tc>
          <w:tcPr>
            <w:tcW w:w="80" w:type="dxa"/>
            <w:vAlign w:val="bottom"/>
            <w:tcBorders>
              <w:bottom w:val="single" w:sz="8" w:color="D2DCE5"/>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w w:val="99"/>
              </w:rPr>
              <w:t xml:space="preserve">Interests </w:t>
            </w:r>
            <w:r>
              <w:rPr>
                <w:rFonts w:ascii="Arial" w:cs="Arial" w:eastAsia="Arial" w:hAnsi="Arial"/>
                <w:sz w:val="18"/>
                <w:szCs w:val="18"/>
                <w:color w:val="131E29"/>
                <w:w w:val="99"/>
                <w:vertAlign w:val="superscript"/>
              </w:rPr>
              <w:t>1</w:t>
            </w:r>
          </w:p>
        </w:tc>
        <w:tc>
          <w:tcPr>
            <w:tcW w:w="80" w:type="dxa"/>
            <w:vAlign w:val="bottom"/>
            <w:tcBorders>
              <w:bottom w:val="single" w:sz="8" w:color="D2DCE5"/>
            </w:tcBorders>
          </w:tcPr>
          <w:p>
            <w:pPr>
              <w:spacing w:after="0"/>
              <w:rPr>
                <w:sz w:val="17"/>
                <w:szCs w:val="17"/>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131E29"/>
              </w:rPr>
              <w:t>Equity</w:t>
            </w:r>
          </w:p>
        </w:tc>
        <w:tc>
          <w:tcPr>
            <w:tcW w:w="0" w:type="dxa"/>
            <w:vAlign w:val="bottom"/>
          </w:tcPr>
          <w:p>
            <w:pPr>
              <w:spacing w:after="0"/>
              <w:rPr>
                <w:sz w:val="1"/>
                <w:szCs w:val="1"/>
                <w:color w:val="auto"/>
              </w:rPr>
            </w:pPr>
          </w:p>
        </w:tc>
      </w:tr>
      <w:tr>
        <w:trPr>
          <w:trHeight w:val="183"/>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b w:val="1"/>
                <w:bCs w:val="1"/>
                <w:color w:val="131E29"/>
              </w:rPr>
              <w:t>31, 2021</w:t>
            </w:r>
          </w:p>
        </w:tc>
        <w:tc>
          <w:tcPr>
            <w:tcW w:w="80" w:type="dxa"/>
            <w:vAlign w:val="bottom"/>
            <w:tcBorders>
              <w:bottom w:val="single" w:sz="8" w:color="D2DCE5"/>
            </w:tcBorders>
            <w:shd w:val="clear" w:color="auto" w:fill="D2DCE5"/>
          </w:tcPr>
          <w:p>
            <w:pPr>
              <w:spacing w:after="0"/>
              <w:rPr>
                <w:sz w:val="17"/>
                <w:szCs w:val="17"/>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34,433</w:t>
            </w:r>
          </w:p>
        </w:tc>
        <w:tc>
          <w:tcPr>
            <w:tcW w:w="80" w:type="dxa"/>
            <w:vAlign w:val="bottom"/>
            <w:tcBorders>
              <w:bottom w:val="single" w:sz="8" w:color="D2DCE5"/>
            </w:tcBorders>
            <w:shd w:val="clear" w:color="auto" w:fill="D2DCE5"/>
          </w:tcPr>
          <w:p>
            <w:pPr>
              <w:spacing w:after="0"/>
              <w:rPr>
                <w:sz w:val="17"/>
                <w:szCs w:val="17"/>
                <w:color w:val="auto"/>
              </w:rPr>
            </w:pPr>
          </w:p>
        </w:tc>
        <w:tc>
          <w:tcPr>
            <w:tcW w:w="300" w:type="dxa"/>
            <w:vAlign w:val="bottom"/>
            <w:tcBorders>
              <w:bottom w:val="single" w:sz="8" w:color="D2DCE5"/>
            </w:tcBorders>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58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64,699</w:t>
            </w:r>
          </w:p>
        </w:tc>
        <w:tc>
          <w:tcPr>
            <w:tcW w:w="80" w:type="dxa"/>
            <w:vAlign w:val="bottom"/>
            <w:tcBorders>
              <w:bottom w:val="single" w:sz="8" w:color="D2DCE5"/>
            </w:tcBorders>
            <w:shd w:val="clear" w:color="auto" w:fill="D2DCE5"/>
          </w:tcPr>
          <w:p>
            <w:pPr>
              <w:spacing w:after="0"/>
              <w:rPr>
                <w:sz w:val="17"/>
                <w:szCs w:val="17"/>
                <w:color w:val="auto"/>
              </w:rPr>
            </w:pPr>
          </w:p>
        </w:tc>
        <w:tc>
          <w:tcPr>
            <w:tcW w:w="300" w:type="dxa"/>
            <w:vAlign w:val="bottom"/>
            <w:tcBorders>
              <w:bottom w:val="single" w:sz="8" w:color="D2DCE5"/>
            </w:tcBorders>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1</w:t>
            </w:r>
          </w:p>
        </w:tc>
        <w:tc>
          <w:tcPr>
            <w:tcW w:w="80" w:type="dxa"/>
            <w:vAlign w:val="bottom"/>
            <w:tcBorders>
              <w:bottom w:val="single" w:sz="8" w:color="D2DCE5"/>
            </w:tcBorders>
            <w:shd w:val="clear" w:color="auto" w:fill="D2DCE5"/>
          </w:tcPr>
          <w:p>
            <w:pPr>
              <w:spacing w:after="0"/>
              <w:rPr>
                <w:sz w:val="17"/>
                <w:szCs w:val="17"/>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49,006</w:t>
            </w:r>
          </w:p>
        </w:tc>
        <w:tc>
          <w:tcPr>
            <w:tcW w:w="80" w:type="dxa"/>
            <w:vAlign w:val="bottom"/>
            <w:tcBorders>
              <w:bottom w:val="single" w:sz="8" w:color="D2DCE5"/>
            </w:tcBorders>
            <w:shd w:val="clear" w:color="auto" w:fill="D2DCE5"/>
          </w:tcPr>
          <w:p>
            <w:pPr>
              <w:spacing w:after="0"/>
              <w:rPr>
                <w:sz w:val="17"/>
                <w:szCs w:val="17"/>
                <w:color w:val="auto"/>
              </w:rPr>
            </w:pPr>
          </w:p>
        </w:tc>
        <w:tc>
          <w:tcPr>
            <w:tcW w:w="300" w:type="dxa"/>
            <w:vAlign w:val="bottom"/>
            <w:tcBorders>
              <w:bottom w:val="single" w:sz="8" w:color="D2DCE5"/>
            </w:tcBorders>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80" w:type="dxa"/>
            <w:vAlign w:val="bottom"/>
            <w:tcBorders>
              <w:bottom w:val="single" w:sz="8" w:color="D2DCE5"/>
            </w:tcBorders>
            <w:shd w:val="clear" w:color="auto" w:fill="D2DCE5"/>
          </w:tcPr>
          <w:p>
            <w:pPr>
              <w:spacing w:after="0"/>
              <w:rPr>
                <w:sz w:val="17"/>
                <w:szCs w:val="17"/>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15,441</w:t>
            </w:r>
          </w:p>
        </w:tc>
        <w:tc>
          <w:tcPr>
            <w:tcW w:w="100" w:type="dxa"/>
            <w:vAlign w:val="bottom"/>
            <w:tcBorders>
              <w:bottom w:val="single" w:sz="8" w:color="D2DCE5"/>
            </w:tcBorders>
            <w:shd w:val="clear" w:color="auto" w:fill="D2DCE5"/>
          </w:tcPr>
          <w:p>
            <w:pPr>
              <w:spacing w:after="0"/>
              <w:rPr>
                <w:sz w:val="17"/>
                <w:szCs w:val="17"/>
                <w:color w:val="auto"/>
              </w:rPr>
            </w:pPr>
          </w:p>
        </w:tc>
        <w:tc>
          <w:tcPr>
            <w:tcW w:w="300" w:type="dxa"/>
            <w:vAlign w:val="bottom"/>
            <w:tcBorders>
              <w:bottom w:val="single" w:sz="8" w:color="D2DCE5"/>
            </w:tcBorders>
            <w:shd w:val="clear" w:color="auto" w:fill="D2DCE5"/>
          </w:tcPr>
          <w:p>
            <w:pPr>
              <w:jc w:val="right"/>
              <w:ind w:right="148"/>
              <w:spacing w:after="0"/>
              <w:rPr>
                <w:sz w:val="20"/>
                <w:szCs w:val="20"/>
                <w:color w:val="auto"/>
              </w:rPr>
            </w:pPr>
            <w:r>
              <w:rPr>
                <w:rFonts w:ascii="Arial" w:cs="Arial" w:eastAsia="Arial" w:hAnsi="Arial"/>
                <w:sz w:val="14"/>
                <w:szCs w:val="14"/>
                <w:color w:val="131E29"/>
                <w:w w:val="76"/>
              </w:rPr>
              <w:t>$</w:t>
            </w: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w w:val="96"/>
              </w:rPr>
              <w:t>$ 107,193</w:t>
            </w:r>
          </w:p>
        </w:tc>
        <w:tc>
          <w:tcPr>
            <w:tcW w:w="80" w:type="dxa"/>
            <w:vAlign w:val="bottom"/>
            <w:tcBorders>
              <w:bottom w:val="single" w:sz="8" w:color="D2DCE5"/>
            </w:tcBorders>
            <w:shd w:val="clear" w:color="auto" w:fill="D2DCE5"/>
          </w:tcPr>
          <w:p>
            <w:pPr>
              <w:spacing w:after="0"/>
              <w:rPr>
                <w:sz w:val="17"/>
                <w:szCs w:val="17"/>
                <w:color w:val="auto"/>
              </w:rPr>
            </w:pPr>
          </w:p>
        </w:tc>
        <w:tc>
          <w:tcPr>
            <w:tcW w:w="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(12,679)</w:t>
            </w:r>
          </w:p>
        </w:tc>
        <w:tc>
          <w:tcPr>
            <w:tcW w:w="80" w:type="dxa"/>
            <w:vAlign w:val="bottom"/>
            <w:tcBorders>
              <w:bottom w:val="single" w:sz="8" w:color="D2DCE5"/>
            </w:tcBorders>
            <w:shd w:val="clear" w:color="auto" w:fill="D2DCE5"/>
          </w:tcPr>
          <w:p>
            <w:pPr>
              <w:spacing w:after="0"/>
              <w:rPr>
                <w:sz w:val="17"/>
                <w:szCs w:val="17"/>
                <w:color w:val="auto"/>
              </w:rPr>
            </w:pP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$ 119,213</w:t>
            </w:r>
          </w:p>
        </w:tc>
        <w:tc>
          <w:tcPr>
            <w:tcW w:w="80" w:type="dxa"/>
            <w:vAlign w:val="bottom"/>
            <w:tcBorders>
              <w:bottom w:val="single" w:sz="8" w:color="D2DCE5"/>
            </w:tcBorders>
            <w:shd w:val="clear" w:color="auto" w:fill="D2DCE5"/>
          </w:tcPr>
          <w:p>
            <w:pPr>
              <w:spacing w:after="0"/>
              <w:rPr>
                <w:sz w:val="17"/>
                <w:szCs w:val="17"/>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w w:val="99"/>
              </w:rPr>
              <w:t>$ 213,729</w:t>
            </w: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Adoption of ASU 2016-</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02, as amended</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131E29"/>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122</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131E29"/>
              </w:rPr>
              <w:t>301</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423</w:t>
            </w: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Net loss</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8"/>
                <w:szCs w:val="18"/>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8"/>
                <w:szCs w:val="18"/>
                <w:color w:val="auto"/>
              </w:rPr>
            </w:pPr>
          </w:p>
        </w:tc>
        <w:tc>
          <w:tcPr>
            <w:tcW w:w="3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8"/>
                <w:szCs w:val="18"/>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8"/>
                <w:szCs w:val="18"/>
                <w:color w:val="auto"/>
              </w:rPr>
            </w:pP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1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Borders>
              <w:bottom w:val="single" w:sz="8" w:color="D2DCE5"/>
            </w:tcBorders>
            <w:shd w:val="clear" w:color="auto" w:fill="D2DCE5"/>
          </w:tcPr>
          <w:p>
            <w:pPr>
              <w:spacing w:after="0"/>
              <w:rPr>
                <w:sz w:val="18"/>
                <w:szCs w:val="18"/>
                <w:color w:val="auto"/>
              </w:rPr>
            </w:pP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(4,090)</w:t>
            </w:r>
          </w:p>
        </w:tc>
        <w:tc>
          <w:tcPr>
            <w:tcW w:w="80" w:type="dxa"/>
            <w:vAlign w:val="bottom"/>
            <w:tcBorders>
              <w:bottom w:val="single" w:sz="8" w:color="D2DCE5"/>
            </w:tcBorders>
            <w:shd w:val="clear" w:color="auto" w:fill="D2DCE5"/>
          </w:tcPr>
          <w:p>
            <w:pPr>
              <w:spacing w:after="0"/>
              <w:rPr>
                <w:sz w:val="18"/>
                <w:szCs w:val="18"/>
                <w:color w:val="auto"/>
              </w:rPr>
            </w:pP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(12,346)</w:t>
            </w:r>
          </w:p>
        </w:tc>
        <w:tc>
          <w:tcPr>
            <w:tcW w:w="80" w:type="dxa"/>
            <w:vAlign w:val="bottom"/>
            <w:tcBorders>
              <w:bottom w:val="single" w:sz="8" w:color="D2DCE5"/>
            </w:tcBorders>
            <w:shd w:val="clear" w:color="auto" w:fill="D2DCE5"/>
          </w:tcPr>
          <w:p>
            <w:pPr>
              <w:spacing w:after="0"/>
              <w:rPr>
                <w:sz w:val="18"/>
                <w:szCs w:val="18"/>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(16,436)</w:t>
            </w: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Unrealized gain on</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derivative securities,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effective portion, net of</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income tax expense of</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40" w:type="dxa"/>
            <w:vAlign w:val="bottom"/>
          </w:tcPr>
          <w:p>
            <w:pPr>
              <w:ind w:left="20"/>
              <w:spacing w:after="0"/>
              <w:rPr>
                <w:sz w:val="20"/>
                <w:szCs w:val="20"/>
                <w:color w:val="auto"/>
              </w:rPr>
            </w:pPr>
            <w:r>
              <w:rPr>
                <w:rFonts w:ascii="Arial" w:cs="Arial" w:eastAsia="Arial" w:hAnsi="Arial"/>
                <w:sz w:val="14"/>
                <w:szCs w:val="14"/>
                <w:color w:val="131E29"/>
              </w:rPr>
              <w:t>$294</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131E29"/>
              </w:rPr>
              <w:t>—</w:t>
            </w:r>
          </w:p>
        </w:tc>
        <w:tc>
          <w:tcPr>
            <w:tcW w:w="700" w:type="dxa"/>
            <w:vAlign w:val="bottom"/>
          </w:tcPr>
          <w:p>
            <w:pPr>
              <w:jc w:val="right"/>
              <w:spacing w:after="0"/>
              <w:rPr>
                <w:sz w:val="20"/>
                <w:szCs w:val="20"/>
                <w:color w:val="auto"/>
              </w:rPr>
            </w:pPr>
            <w:r>
              <w:rPr>
                <w:rFonts w:ascii="Arial" w:cs="Arial" w:eastAsia="Arial" w:hAnsi="Arial"/>
                <w:sz w:val="14"/>
                <w:szCs w:val="14"/>
                <w:color w:val="131E29"/>
              </w:rPr>
              <w:t>(17)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848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tcPr>
          <w:p>
            <w:pPr>
              <w:jc w:val="right"/>
              <w:spacing w:after="0"/>
              <w:rPr>
                <w:sz w:val="20"/>
                <w:szCs w:val="20"/>
                <w:color w:val="auto"/>
              </w:rPr>
            </w:pPr>
            <w:r>
              <w:rPr>
                <w:rFonts w:ascii="Arial" w:cs="Arial" w:eastAsia="Arial" w:hAnsi="Arial"/>
                <w:sz w:val="14"/>
                <w:szCs w:val="14"/>
                <w:color w:val="131E29"/>
              </w:rPr>
              <w:t>2,202</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3,033</w:t>
            </w: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Equity-based</w:t>
            </w: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7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6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compensation</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10,083</w:t>
            </w:r>
          </w:p>
        </w:tc>
        <w:tc>
          <w:tcPr>
            <w:tcW w:w="80" w:type="dxa"/>
            <w:vAlign w:val="bottom"/>
            <w:tcBorders>
              <w:bottom w:val="single" w:sz="8" w:color="D2DCE5"/>
            </w:tcBorders>
            <w:shd w:val="clear" w:color="auto" w:fill="D2DCE5"/>
          </w:tcPr>
          <w:p>
            <w:pPr>
              <w:spacing w:after="0"/>
              <w:rPr>
                <w:sz w:val="15"/>
                <w:szCs w:val="15"/>
                <w:color w:val="auto"/>
              </w:rPr>
            </w:pPr>
          </w:p>
        </w:tc>
        <w:tc>
          <w:tcPr>
            <w:tcW w:w="100" w:type="dxa"/>
            <w:vAlign w:val="bottom"/>
            <w:tcBorders>
              <w:bottom w:val="single" w:sz="8" w:color="D2DCE5"/>
            </w:tcBorders>
            <w:shd w:val="clear" w:color="auto" w:fill="D2DCE5"/>
          </w:tcPr>
          <w:p>
            <w:pPr>
              <w:spacing w:after="0"/>
              <w:rPr>
                <w:sz w:val="15"/>
                <w:szCs w:val="15"/>
                <w:color w:val="auto"/>
              </w:rPr>
            </w:pPr>
          </w:p>
        </w:tc>
        <w:tc>
          <w:tcPr>
            <w:tcW w:w="10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Borders>
              <w:bottom w:val="single" w:sz="8" w:color="D2DCE5"/>
            </w:tcBorders>
            <w:shd w:val="clear" w:color="auto" w:fill="D2DCE5"/>
          </w:tcPr>
          <w:p>
            <w:pPr>
              <w:spacing w:after="0"/>
              <w:rPr>
                <w:sz w:val="15"/>
                <w:szCs w:val="15"/>
                <w:color w:val="auto"/>
              </w:rPr>
            </w:pPr>
          </w:p>
        </w:tc>
        <w:tc>
          <w:tcPr>
            <w:tcW w:w="80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20,912</w:t>
            </w:r>
          </w:p>
        </w:tc>
        <w:tc>
          <w:tcPr>
            <w:tcW w:w="80" w:type="dxa"/>
            <w:vAlign w:val="bottom"/>
            <w:tcBorders>
              <w:bottom w:val="single" w:sz="8" w:color="D2DCE5"/>
            </w:tcBorders>
            <w:shd w:val="clear" w:color="auto" w:fill="D2DCE5"/>
          </w:tcPr>
          <w:p>
            <w:pPr>
              <w:spacing w:after="0"/>
              <w:rPr>
                <w:sz w:val="15"/>
                <w:szCs w:val="15"/>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30,995</w:t>
            </w: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Issuance of Class A</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common stock</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pursuant to vesting of</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equity awards, net of</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stock withheld for tax</w:t>
            </w:r>
          </w:p>
        </w:tc>
        <w:tc>
          <w:tcPr>
            <w:tcW w:w="560" w:type="dxa"/>
            <w:vAlign w:val="bottom"/>
          </w:tcPr>
          <w:p>
            <w:pPr>
              <w:jc w:val="right"/>
              <w:spacing w:after="0"/>
              <w:rPr>
                <w:sz w:val="20"/>
                <w:szCs w:val="20"/>
                <w:color w:val="auto"/>
              </w:rPr>
            </w:pPr>
            <w:r>
              <w:rPr>
                <w:rFonts w:ascii="Arial" w:cs="Arial" w:eastAsia="Arial" w:hAnsi="Arial"/>
                <w:sz w:val="14"/>
                <w:szCs w:val="14"/>
                <w:color w:val="131E29"/>
              </w:rPr>
              <w:t>128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131E29"/>
              </w:rPr>
              <w:t>—</w:t>
            </w:r>
          </w:p>
        </w:tc>
        <w:tc>
          <w:tcPr>
            <w:tcW w:w="700" w:type="dxa"/>
            <w:vAlign w:val="bottom"/>
          </w:tcPr>
          <w:p>
            <w:pPr>
              <w:jc w:val="right"/>
              <w:spacing w:after="0"/>
              <w:rPr>
                <w:sz w:val="20"/>
                <w:szCs w:val="20"/>
                <w:color w:val="auto"/>
              </w:rPr>
            </w:pPr>
            <w:r>
              <w:rPr>
                <w:rFonts w:ascii="Arial" w:cs="Arial" w:eastAsia="Arial" w:hAnsi="Arial"/>
                <w:sz w:val="14"/>
                <w:szCs w:val="14"/>
                <w:color w:val="131E29"/>
              </w:rPr>
              <w:t>(1,145)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tcPr>
          <w:p>
            <w:pPr>
              <w:jc w:val="right"/>
              <w:spacing w:after="0"/>
              <w:rPr>
                <w:sz w:val="20"/>
                <w:szCs w:val="20"/>
                <w:color w:val="auto"/>
              </w:rPr>
            </w:pPr>
            <w:r>
              <w:rPr>
                <w:rFonts w:ascii="Arial" w:cs="Arial" w:eastAsia="Arial" w:hAnsi="Arial"/>
                <w:sz w:val="14"/>
                <w:szCs w:val="14"/>
                <w:color w:val="131E29"/>
              </w:rPr>
              <w:t>(2,755)</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(3,900)</w:t>
            </w:r>
          </w:p>
        </w:tc>
        <w:tc>
          <w:tcPr>
            <w:tcW w:w="0" w:type="dxa"/>
            <w:vAlign w:val="bottom"/>
          </w:tcPr>
          <w:p>
            <w:pPr>
              <w:spacing w:after="0"/>
              <w:rPr>
                <w:sz w:val="1"/>
                <w:szCs w:val="1"/>
                <w:color w:val="auto"/>
              </w:rPr>
            </w:pPr>
          </w:p>
        </w:tc>
      </w:tr>
      <w:tr>
        <w:trPr>
          <w:trHeight w:val="25"/>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Impact of Tax</w:t>
            </w: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7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Receivable</w:t>
            </w:r>
          </w:p>
        </w:tc>
        <w:tc>
          <w:tcPr>
            <w:tcW w:w="6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15,958</w:t>
            </w: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102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shd w:val="clear" w:color="auto" w:fill="D2DCE5"/>
          </w:tcPr>
          <w:p>
            <w:pPr>
              <w:spacing w:after="0"/>
              <w:rPr>
                <w:sz w:val="15"/>
                <w:szCs w:val="15"/>
                <w:color w:val="auto"/>
              </w:rPr>
            </w:pPr>
          </w:p>
        </w:tc>
        <w:tc>
          <w:tcPr>
            <w:tcW w:w="80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82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15,958</w:t>
            </w:r>
          </w:p>
        </w:tc>
        <w:tc>
          <w:tcPr>
            <w:tcW w:w="0" w:type="dxa"/>
            <w:vAlign w:val="bottom"/>
          </w:tcPr>
          <w:p>
            <w:pPr>
              <w:spacing w:after="0"/>
              <w:rPr>
                <w:sz w:val="1"/>
                <w:szCs w:val="1"/>
                <w:color w:val="auto"/>
              </w:rPr>
            </w:pPr>
          </w:p>
        </w:tc>
      </w:tr>
      <w:tr>
        <w:trPr>
          <w:trHeight w:val="188"/>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Agreements</w:t>
            </w:r>
          </w:p>
        </w:tc>
        <w:tc>
          <w:tcPr>
            <w:tcW w:w="64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6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4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6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700" w:type="dxa"/>
            <w:vAlign w:val="bottom"/>
            <w:vMerge w:val="continue"/>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1020" w:type="dxa"/>
            <w:vAlign w:val="bottom"/>
            <w:gridSpan w:val="2"/>
            <w:vMerge w:val="continue"/>
            <w:shd w:val="clear" w:color="auto" w:fill="D2DCE5"/>
          </w:tcPr>
          <w:p>
            <w:pPr>
              <w:spacing w:after="0"/>
              <w:rPr>
                <w:sz w:val="16"/>
                <w:szCs w:val="16"/>
                <w:color w:val="auto"/>
              </w:rPr>
            </w:pPr>
          </w:p>
        </w:tc>
        <w:tc>
          <w:tcPr>
            <w:tcW w:w="160" w:type="dxa"/>
            <w:vAlign w:val="bottom"/>
            <w:shd w:val="clear" w:color="auto" w:fill="D2DCE5"/>
          </w:tcPr>
          <w:p>
            <w:pPr>
              <w:spacing w:after="0"/>
              <w:rPr>
                <w:sz w:val="16"/>
                <w:szCs w:val="16"/>
                <w:color w:val="auto"/>
              </w:rPr>
            </w:pPr>
          </w:p>
        </w:tc>
        <w:tc>
          <w:tcPr>
            <w:tcW w:w="800" w:type="dxa"/>
            <w:vAlign w:val="bottom"/>
            <w:gridSpan w:val="2"/>
            <w:vMerge w:val="continue"/>
            <w:shd w:val="clear" w:color="auto" w:fill="D2DCE5"/>
          </w:tcPr>
          <w:p>
            <w:pPr>
              <w:spacing w:after="0"/>
              <w:rPr>
                <w:sz w:val="16"/>
                <w:szCs w:val="16"/>
                <w:color w:val="auto"/>
              </w:rPr>
            </w:pPr>
          </w:p>
        </w:tc>
        <w:tc>
          <w:tcPr>
            <w:tcW w:w="820" w:type="dxa"/>
            <w:vAlign w:val="bottom"/>
            <w:gridSpan w:val="2"/>
            <w:vMerge w:val="continue"/>
            <w:shd w:val="clear" w:color="auto" w:fill="D2DCE5"/>
          </w:tcPr>
          <w:p>
            <w:pPr>
              <w:spacing w:after="0"/>
              <w:rPr>
                <w:sz w:val="16"/>
                <w:szCs w:val="16"/>
                <w:color w:val="auto"/>
              </w:rPr>
            </w:pPr>
          </w:p>
        </w:tc>
        <w:tc>
          <w:tcPr>
            <w:tcW w:w="700" w:type="dxa"/>
            <w:vAlign w:val="bottom"/>
            <w:vMerge w:val="continue"/>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Effect of exchange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Dutch Bros OpCo</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131E29"/>
              </w:rPr>
              <w:t>9,408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Pr>
          <w:p>
            <w:pPr>
              <w:spacing w:after="0"/>
              <w:rPr>
                <w:sz w:val="15"/>
                <w:szCs w:val="15"/>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131E29"/>
              </w:rPr>
              <w:t>(9,408)</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81"/>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Class A common units</w:t>
            </w:r>
          </w:p>
        </w:tc>
        <w:tc>
          <w:tcPr>
            <w:tcW w:w="6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Surrender and</w:t>
            </w:r>
          </w:p>
        </w:tc>
        <w:tc>
          <w:tcPr>
            <w:tcW w:w="5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7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cancellation of Class C</w:t>
            </w: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10,980</w:t>
            </w: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80" w:type="dxa"/>
            <w:vAlign w:val="bottom"/>
            <w:shd w:val="clear" w:color="auto" w:fill="D2DCE5"/>
          </w:tcPr>
          <w:p>
            <w:pPr>
              <w:spacing w:after="0"/>
              <w:rPr>
                <w:sz w:val="15"/>
                <w:szCs w:val="15"/>
                <w:color w:val="auto"/>
              </w:rPr>
            </w:pPr>
          </w:p>
        </w:tc>
        <w:tc>
          <w:tcPr>
            <w:tcW w:w="58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(7,950)</w:t>
            </w: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80" w:type="dxa"/>
            <w:vAlign w:val="bottom"/>
            <w:shd w:val="clear" w:color="auto" w:fill="D2DCE5"/>
          </w:tcPr>
          <w:p>
            <w:pPr>
              <w:spacing w:after="0"/>
              <w:rPr>
                <w:sz w:val="15"/>
                <w:szCs w:val="15"/>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(3,030)</w:t>
            </w: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vMerge w:val="restart"/>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70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7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88"/>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&amp; D common stock</w:t>
            </w:r>
          </w:p>
        </w:tc>
        <w:tc>
          <w:tcPr>
            <w:tcW w:w="56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spacing w:after="0"/>
              <w:rPr>
                <w:sz w:val="16"/>
                <w:szCs w:val="16"/>
                <w:color w:val="auto"/>
              </w:rPr>
            </w:pPr>
          </w:p>
        </w:tc>
        <w:tc>
          <w:tcPr>
            <w:tcW w:w="28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spacing w:after="0"/>
              <w:rPr>
                <w:sz w:val="16"/>
                <w:szCs w:val="16"/>
                <w:color w:val="auto"/>
              </w:rPr>
            </w:pPr>
          </w:p>
        </w:tc>
        <w:tc>
          <w:tcPr>
            <w:tcW w:w="28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56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spacing w:after="0"/>
              <w:rPr>
                <w:sz w:val="16"/>
                <w:szCs w:val="16"/>
                <w:color w:val="auto"/>
              </w:rPr>
            </w:pPr>
          </w:p>
        </w:tc>
        <w:tc>
          <w:tcPr>
            <w:tcW w:w="28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tcBorders>
              <w:bottom w:val="single" w:sz="8" w:color="auto"/>
            </w:tcBorders>
            <w:vMerge w:val="continue"/>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spacing w:after="0"/>
              <w:rPr>
                <w:sz w:val="16"/>
                <w:szCs w:val="16"/>
                <w:color w:val="auto"/>
              </w:rPr>
            </w:pPr>
          </w:p>
        </w:tc>
        <w:tc>
          <w:tcPr>
            <w:tcW w:w="28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70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100" w:type="dxa"/>
            <w:vAlign w:val="bottom"/>
            <w:tcBorders>
              <w:bottom w:val="single" w:sz="8" w:color="auto"/>
            </w:tcBorders>
            <w:shd w:val="clear" w:color="auto" w:fill="D2DCE5"/>
          </w:tcPr>
          <w:p>
            <w:pPr>
              <w:spacing w:after="0"/>
              <w:rPr>
                <w:sz w:val="16"/>
                <w:szCs w:val="16"/>
                <w:color w:val="auto"/>
              </w:rPr>
            </w:pPr>
          </w:p>
        </w:tc>
        <w:tc>
          <w:tcPr>
            <w:tcW w:w="94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160" w:type="dxa"/>
            <w:vAlign w:val="bottom"/>
            <w:tcBorders>
              <w:bottom w:val="single" w:sz="8" w:color="auto"/>
            </w:tcBorders>
            <w:shd w:val="clear" w:color="auto" w:fill="D2DCE5"/>
          </w:tcPr>
          <w:p>
            <w:pPr>
              <w:spacing w:after="0"/>
              <w:rPr>
                <w:sz w:val="16"/>
                <w:szCs w:val="16"/>
                <w:color w:val="auto"/>
              </w:rPr>
            </w:pPr>
          </w:p>
        </w:tc>
        <w:tc>
          <w:tcPr>
            <w:tcW w:w="72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74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700" w:type="dxa"/>
            <w:vAlign w:val="bottom"/>
            <w:tcBorders>
              <w:bottom w:val="single" w:sz="8" w:color="auto"/>
            </w:tcBorders>
            <w:vMerge w:val="continue"/>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131E29"/>
              </w:rPr>
              <w:t>Balance, September</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131E29"/>
              </w:rPr>
              <w:t>45,541</w:t>
            </w:r>
          </w:p>
        </w:tc>
        <w:tc>
          <w:tcPr>
            <w:tcW w:w="80" w:type="dxa"/>
            <w:vAlign w:val="bottom"/>
          </w:tcPr>
          <w:p>
            <w:pPr>
              <w:spacing w:after="0"/>
              <w:rPr>
                <w:sz w:val="14"/>
                <w:szCs w:val="14"/>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131E29"/>
              </w:rPr>
              <w:t>1</w:t>
            </w:r>
          </w:p>
        </w:tc>
        <w:tc>
          <w:tcPr>
            <w:tcW w:w="80" w:type="dxa"/>
            <w:vAlign w:val="bottom"/>
          </w:tcPr>
          <w:p>
            <w:pPr>
              <w:spacing w:after="0"/>
              <w:rPr>
                <w:sz w:val="14"/>
                <w:szCs w:val="14"/>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131E29"/>
              </w:rPr>
              <w:t>64,699</w:t>
            </w:r>
          </w:p>
        </w:tc>
        <w:tc>
          <w:tcPr>
            <w:tcW w:w="80" w:type="dxa"/>
            <w:vAlign w:val="bottom"/>
          </w:tcPr>
          <w:p>
            <w:pPr>
              <w:spacing w:after="0"/>
              <w:rPr>
                <w:sz w:val="14"/>
                <w:szCs w:val="14"/>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vMerge w:val="restart"/>
          </w:tcPr>
          <w:p>
            <w:pPr>
              <w:jc w:val="right"/>
              <w:ind w:right="8"/>
              <w:spacing w:after="0"/>
              <w:rPr>
                <w:sz w:val="20"/>
                <w:szCs w:val="20"/>
                <w:color w:val="auto"/>
              </w:rPr>
            </w:pPr>
            <w:r>
              <w:rPr>
                <w:rFonts w:ascii="Arial" w:cs="Arial" w:eastAsia="Arial" w:hAnsi="Arial"/>
                <w:sz w:val="14"/>
                <w:szCs w:val="14"/>
                <w:color w:val="131E29"/>
              </w:rPr>
              <w:t>1</w:t>
            </w:r>
          </w:p>
        </w:tc>
        <w:tc>
          <w:tcPr>
            <w:tcW w:w="8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131E29"/>
              </w:rPr>
              <w:t>41,056</w:t>
            </w:r>
          </w:p>
        </w:tc>
        <w:tc>
          <w:tcPr>
            <w:tcW w:w="80" w:type="dxa"/>
            <w:vAlign w:val="bottom"/>
          </w:tcPr>
          <w:p>
            <w:pPr>
              <w:spacing w:after="0"/>
              <w:rPr>
                <w:sz w:val="14"/>
                <w:szCs w:val="14"/>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131E29"/>
              </w:rPr>
              <w:t>$</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131E29"/>
              </w:rPr>
              <w:t>12,411</w:t>
            </w:r>
          </w:p>
        </w:tc>
        <w:tc>
          <w:tcPr>
            <w:tcW w:w="100" w:type="dxa"/>
            <w:vAlign w:val="bottom"/>
          </w:tcPr>
          <w:p>
            <w:pPr>
              <w:spacing w:after="0"/>
              <w:rPr>
                <w:sz w:val="14"/>
                <w:szCs w:val="14"/>
                <w:color w:val="auto"/>
              </w:rPr>
            </w:pPr>
          </w:p>
        </w:tc>
        <w:tc>
          <w:tcPr>
            <w:tcW w:w="300" w:type="dxa"/>
            <w:vAlign w:val="bottom"/>
            <w:vMerge w:val="restart"/>
          </w:tcPr>
          <w:p>
            <w:pPr>
              <w:jc w:val="right"/>
              <w:ind w:right="148"/>
              <w:spacing w:after="0"/>
              <w:rPr>
                <w:sz w:val="20"/>
                <w:szCs w:val="20"/>
                <w:color w:val="auto"/>
              </w:rPr>
            </w:pPr>
            <w:r>
              <w:rPr>
                <w:rFonts w:ascii="Arial" w:cs="Arial" w:eastAsia="Arial" w:hAnsi="Arial"/>
                <w:sz w:val="14"/>
                <w:szCs w:val="14"/>
                <w:color w:val="131E29"/>
                <w:w w:val="76"/>
              </w:rPr>
              <w:t>$</w:t>
            </w: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131E29"/>
                <w:w w:val="96"/>
              </w:rPr>
              <w:t>$ 141,480</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131E29"/>
              </w:rPr>
              <w:t>848</w:t>
            </w:r>
          </w:p>
        </w:tc>
        <w:tc>
          <w:tcPr>
            <w:tcW w:w="80" w:type="dxa"/>
            <w:vAlign w:val="bottom"/>
          </w:tcPr>
          <w:p>
            <w:pPr>
              <w:spacing w:after="0"/>
              <w:rPr>
                <w:sz w:val="14"/>
                <w:szCs w:val="14"/>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131E29"/>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131E29"/>
              </w:rPr>
              <w:t>(16,647)</w:t>
            </w: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131E29"/>
              </w:rPr>
              <w:t>$ 118,119</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w w:val="99"/>
              </w:rPr>
              <w:t>$ 243,802</w:t>
            </w:r>
          </w:p>
        </w:tc>
        <w:tc>
          <w:tcPr>
            <w:tcW w:w="0" w:type="dxa"/>
            <w:vAlign w:val="bottom"/>
          </w:tcPr>
          <w:p>
            <w:pPr>
              <w:spacing w:after="0"/>
              <w:rPr>
                <w:sz w:val="1"/>
                <w:szCs w:val="1"/>
                <w:color w:val="auto"/>
              </w:rPr>
            </w:pPr>
          </w:p>
        </w:tc>
      </w:tr>
      <w:tr>
        <w:trPr>
          <w:trHeight w:val="189"/>
        </w:trPr>
        <w:tc>
          <w:tcPr>
            <w:tcW w:w="1540" w:type="dxa"/>
            <w:vAlign w:val="bottom"/>
          </w:tcPr>
          <w:p>
            <w:pPr>
              <w:ind w:left="20"/>
              <w:spacing w:after="0"/>
              <w:rPr>
                <w:sz w:val="20"/>
                <w:szCs w:val="20"/>
                <w:color w:val="auto"/>
              </w:rPr>
            </w:pPr>
            <w:r>
              <w:rPr>
                <w:rFonts w:ascii="Arial" w:cs="Arial" w:eastAsia="Arial" w:hAnsi="Arial"/>
                <w:sz w:val="14"/>
                <w:szCs w:val="14"/>
                <w:b w:val="1"/>
                <w:bCs w:val="1"/>
                <w:color w:val="131E29"/>
              </w:rPr>
              <w:t>30, 2022</w:t>
            </w: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180" w:right="20" w:hanging="172"/>
        <w:spacing w:after="0" w:line="211" w:lineRule="auto"/>
        <w:tabs>
          <w:tab w:leader="none" w:pos="270" w:val="left"/>
        </w:tabs>
        <w:numPr>
          <w:ilvl w:val="0"/>
          <w:numId w:val="7"/>
        </w:numPr>
        <w:rPr>
          <w:rFonts w:ascii="Arial" w:cs="Arial" w:eastAsia="Arial" w:hAnsi="Arial"/>
          <w:sz w:val="19"/>
          <w:szCs w:val="19"/>
          <w:color w:val="131E29"/>
          <w:vertAlign w:val="superscript"/>
        </w:rPr>
      </w:pPr>
      <w:r>
        <w:rPr>
          <w:rFonts w:ascii="Arial" w:cs="Arial" w:eastAsia="Arial" w:hAnsi="Arial"/>
          <w:sz w:val="14"/>
          <w:szCs w:val="14"/>
          <w:color w:val="131E29"/>
        </w:rPr>
        <w:t>Subsequent to the Company’s January 1, 2022 adoption of the lease standard, the Company continued to review relevant lease contract elements and improve business processes, which resulted in adjustments to the Company’s adoption entries. See NOTE 8 — Leases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6098"/>
        </w:rPr>
        <w:t>Table of Contents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Stockholders’/Members’ Equity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80" w:type="dxa"/>
            <w:vAlign w:val="bottom"/>
            <w:gridSpan w:val="15"/>
          </w:tcPr>
          <w:p>
            <w:pPr>
              <w:jc w:val="center"/>
              <w:spacing w:after="0"/>
              <w:rPr>
                <w:sz w:val="20"/>
                <w:szCs w:val="20"/>
                <w:color w:val="auto"/>
              </w:rPr>
            </w:pPr>
            <w:r>
              <w:rPr>
                <w:rFonts w:ascii="Arial" w:cs="Arial" w:eastAsia="Arial" w:hAnsi="Arial"/>
                <w:sz w:val="18"/>
                <w:szCs w:val="18"/>
                <w:b w:val="1"/>
                <w:bCs w:val="1"/>
                <w:color w:val="131E29"/>
              </w:rPr>
              <w:t>Three Months Ended September 30, 2021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131E29"/>
              </w:rPr>
              <w:t>Dutch Mafia</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131E29"/>
              </w:rPr>
              <w:t>LLC</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131E29"/>
              </w:rPr>
              <w:t>(Prior to</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131E29"/>
              </w:rPr>
              <w:t>Reorganization</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131E29"/>
              </w:rPr>
              <w:t>Transactions)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10"/>
          </w:tcPr>
          <w:p>
            <w:pPr>
              <w:ind w:left="40"/>
              <w:spacing w:after="0"/>
              <w:rPr>
                <w:sz w:val="20"/>
                <w:szCs w:val="20"/>
                <w:color w:val="auto"/>
              </w:rPr>
            </w:pPr>
            <w:r>
              <w:rPr>
                <w:rFonts w:ascii="Arial" w:cs="Arial" w:eastAsia="Arial" w:hAnsi="Arial"/>
                <w:sz w:val="14"/>
                <w:szCs w:val="14"/>
                <w:b w:val="1"/>
                <w:bCs w:val="1"/>
                <w:color w:val="131E29"/>
              </w:rPr>
              <w:t>Dutch Bros. Inc. Stockholders’ Equity</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5"/>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center"/>
              <w:ind w:left="208"/>
              <w:spacing w:after="0"/>
              <w:rPr>
                <w:sz w:val="20"/>
                <w:szCs w:val="20"/>
                <w:color w:val="auto"/>
              </w:rPr>
            </w:pPr>
            <w:r>
              <w:rPr>
                <w:rFonts w:ascii="Arial" w:cs="Arial" w:eastAsia="Arial" w:hAnsi="Arial"/>
                <w:sz w:val="14"/>
                <w:szCs w:val="14"/>
                <w:color w:val="131E29"/>
              </w:rPr>
              <w:t>Class A</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4"/>
                <w:szCs w:val="14"/>
                <w:color w:val="131E29"/>
              </w:rPr>
              <w:t>Class B</w:t>
            </w:r>
          </w:p>
        </w:tc>
        <w:tc>
          <w:tcPr>
            <w:tcW w:w="940" w:type="dxa"/>
            <w:vAlign w:val="bottom"/>
            <w:gridSpan w:val="3"/>
          </w:tcPr>
          <w:p>
            <w:pPr>
              <w:jc w:val="center"/>
              <w:ind w:left="208"/>
              <w:spacing w:after="0"/>
              <w:rPr>
                <w:sz w:val="20"/>
                <w:szCs w:val="20"/>
                <w:color w:val="auto"/>
              </w:rPr>
            </w:pPr>
            <w:r>
              <w:rPr>
                <w:rFonts w:ascii="Arial" w:cs="Arial" w:eastAsia="Arial" w:hAnsi="Arial"/>
                <w:sz w:val="14"/>
                <w:szCs w:val="14"/>
                <w:color w:val="131E29"/>
              </w:rPr>
              <w:t>Class C</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center"/>
              <w:ind w:left="228"/>
              <w:spacing w:after="0"/>
              <w:rPr>
                <w:sz w:val="20"/>
                <w:szCs w:val="20"/>
                <w:color w:val="auto"/>
              </w:rPr>
            </w:pPr>
            <w:r>
              <w:rPr>
                <w:rFonts w:ascii="Arial" w:cs="Arial" w:eastAsia="Arial" w:hAnsi="Arial"/>
                <w:sz w:val="14"/>
                <w:szCs w:val="14"/>
                <w:color w:val="131E29"/>
              </w:rPr>
              <w:t>Class D</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0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0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0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580" w:type="dxa"/>
            <w:vAlign w:val="bottom"/>
            <w:gridSpan w:val="2"/>
            <w:vMerge w:val="restart"/>
          </w:tcPr>
          <w:p>
            <w:pPr>
              <w:ind w:left="20"/>
              <w:spacing w:after="0"/>
              <w:rPr>
                <w:sz w:val="20"/>
                <w:szCs w:val="20"/>
                <w:color w:val="auto"/>
              </w:rPr>
            </w:pPr>
            <w:r>
              <w:rPr>
                <w:rFonts w:ascii="Arial" w:cs="Arial" w:eastAsia="Arial" w:hAnsi="Arial"/>
                <w:sz w:val="14"/>
                <w:szCs w:val="14"/>
                <w:color w:val="131E29"/>
              </w:rPr>
              <w:t>(in thousands;</w:t>
            </w:r>
          </w:p>
        </w:tc>
        <w:tc>
          <w:tcPr>
            <w:tcW w:w="120" w:type="dxa"/>
            <w:vAlign w:val="bottom"/>
          </w:tcPr>
          <w:p>
            <w:pPr>
              <w:spacing w:after="0"/>
              <w:rPr>
                <w:sz w:val="2"/>
                <w:szCs w:val="2"/>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131E29"/>
              </w:rPr>
              <w:t>Members’</w:t>
            </w: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131E29"/>
              </w:rPr>
              <w:t>Additional</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color w:val="131E29"/>
              </w:rPr>
              <w:t>Accumulated</w:t>
            </w:r>
          </w:p>
        </w:tc>
        <w:tc>
          <w:tcPr>
            <w:tcW w:w="120" w:type="dxa"/>
            <w:vAlign w:val="bottom"/>
          </w:tcPr>
          <w:p>
            <w:pPr>
              <w:spacing w:after="0"/>
              <w:rPr>
                <w:sz w:val="2"/>
                <w:szCs w:val="2"/>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131E29"/>
              </w:rPr>
              <w:t>Non-</w:t>
            </w:r>
          </w:p>
        </w:tc>
        <w:tc>
          <w:tcPr>
            <w:tcW w:w="760" w:type="dxa"/>
            <w:vAlign w:val="bottom"/>
            <w:vMerge w:val="restart"/>
          </w:tcPr>
          <w:p>
            <w:pPr>
              <w:jc w:val="right"/>
              <w:ind w:right="148"/>
              <w:spacing w:after="0"/>
              <w:rPr>
                <w:sz w:val="20"/>
                <w:szCs w:val="20"/>
                <w:color w:val="auto"/>
              </w:rPr>
            </w:pPr>
            <w:r>
              <w:rPr>
                <w:rFonts w:ascii="Arial" w:cs="Arial" w:eastAsia="Arial" w:hAnsi="Arial"/>
                <w:sz w:val="14"/>
                <w:szCs w:val="14"/>
                <w:color w:val="131E29"/>
              </w:rPr>
              <w:t>Total</w:t>
            </w:r>
          </w:p>
        </w:tc>
        <w:tc>
          <w:tcPr>
            <w:tcW w:w="0" w:type="dxa"/>
            <w:vAlign w:val="bottom"/>
          </w:tcPr>
          <w:p>
            <w:pPr>
              <w:spacing w:after="0"/>
              <w:rPr>
                <w:sz w:val="1"/>
                <w:szCs w:val="1"/>
                <w:color w:val="auto"/>
              </w:rPr>
            </w:pPr>
          </w:p>
        </w:tc>
      </w:tr>
      <w:tr>
        <w:trPr>
          <w:trHeight w:val="184"/>
        </w:trPr>
        <w:tc>
          <w:tcPr>
            <w:tcW w:w="1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color w:val="131E29"/>
              </w:rPr>
              <w:t>Paid-in-</w:t>
            </w:r>
          </w:p>
        </w:tc>
        <w:tc>
          <w:tcPr>
            <w:tcW w:w="960" w:type="dxa"/>
            <w:vAlign w:val="bottom"/>
            <w:gridSpan w:val="3"/>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color w:val="131E29"/>
              </w:rPr>
              <w:t>Controlling</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unaudited)</w:t>
            </w:r>
          </w:p>
        </w:tc>
        <w:tc>
          <w:tcPr>
            <w:tcW w:w="80" w:type="dxa"/>
            <w:vAlign w:val="bottom"/>
            <w:tcBorders>
              <w:bottom w:val="single" w:sz="8" w:color="D2DCE5"/>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color w:val="131E29"/>
              </w:rPr>
              <w:t>Equity</w:t>
            </w:r>
          </w:p>
        </w:tc>
        <w:tc>
          <w:tcPr>
            <w:tcW w:w="80" w:type="dxa"/>
            <w:vAlign w:val="bottom"/>
            <w:tcBorders>
              <w:bottom w:val="single" w:sz="8" w:color="D2DCE5"/>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6"/>
                <w:szCs w:val="16"/>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6"/>
                <w:szCs w:val="16"/>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6"/>
                <w:szCs w:val="16"/>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100" w:type="dxa"/>
            <w:vAlign w:val="bottom"/>
            <w:tcBorders>
              <w:bottom w:val="single" w:sz="8" w:color="D2DCE5"/>
            </w:tcBorders>
          </w:tcPr>
          <w:p>
            <w:pPr>
              <w:spacing w:after="0"/>
              <w:rPr>
                <w:sz w:val="16"/>
                <w:szCs w:val="16"/>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131E29"/>
              </w:rPr>
              <w:t>Capital</w:t>
            </w:r>
          </w:p>
        </w:tc>
        <w:tc>
          <w:tcPr>
            <w:tcW w:w="80" w:type="dxa"/>
            <w:vAlign w:val="bottom"/>
            <w:tcBorders>
              <w:bottom w:val="single" w:sz="8" w:color="D2DC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131E29"/>
              </w:rPr>
              <w:t>Deficit</w:t>
            </w:r>
          </w:p>
        </w:tc>
        <w:tc>
          <w:tcPr>
            <w:tcW w:w="80" w:type="dxa"/>
            <w:vAlign w:val="bottom"/>
            <w:tcBorders>
              <w:bottom w:val="single" w:sz="8" w:color="D2DCE5"/>
            </w:tcBorders>
          </w:tcPr>
          <w:p>
            <w:pPr>
              <w:spacing w:after="0"/>
              <w:rPr>
                <w:sz w:val="16"/>
                <w:szCs w:val="16"/>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131E29"/>
              </w:rPr>
              <w:t>Interests</w:t>
            </w:r>
          </w:p>
        </w:tc>
        <w:tc>
          <w:tcPr>
            <w:tcW w:w="80" w:type="dxa"/>
            <w:vAlign w:val="bottom"/>
            <w:tcBorders>
              <w:bottom w:val="single" w:sz="8" w:color="D2DCE5"/>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131E29"/>
              </w:rPr>
              <w:t>Equity</w:t>
            </w: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June 30,</w:t>
            </w:r>
          </w:p>
        </w:tc>
        <w:tc>
          <w:tcPr>
            <w:tcW w:w="12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60" w:type="dxa"/>
            <w:vAlign w:val="bottom"/>
            <w:shd w:val="clear" w:color="auto" w:fill="D2DCE5"/>
          </w:tcPr>
          <w:p>
            <w:pPr>
              <w:spacing w:after="0"/>
              <w:rPr>
                <w:sz w:val="16"/>
                <w:szCs w:val="16"/>
                <w:color w:val="auto"/>
              </w:rPr>
            </w:pPr>
          </w:p>
        </w:tc>
        <w:tc>
          <w:tcPr>
            <w:tcW w:w="4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4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60" w:type="dxa"/>
            <w:vAlign w:val="bottom"/>
            <w:shd w:val="clear" w:color="auto" w:fill="D2DCE5"/>
          </w:tcPr>
          <w:p>
            <w:pPr>
              <w:spacing w:after="0"/>
              <w:rPr>
                <w:sz w:val="16"/>
                <w:szCs w:val="16"/>
                <w:color w:val="auto"/>
              </w:rPr>
            </w:pPr>
          </w:p>
        </w:tc>
        <w:tc>
          <w:tcPr>
            <w:tcW w:w="7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20" w:type="dxa"/>
            <w:vAlign w:val="bottom"/>
            <w:shd w:val="clear" w:color="auto" w:fill="D2DCE5"/>
          </w:tcPr>
          <w:p>
            <w:pPr>
              <w:spacing w:after="0"/>
              <w:rPr>
                <w:sz w:val="16"/>
                <w:szCs w:val="16"/>
                <w:color w:val="auto"/>
              </w:rPr>
            </w:pP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6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D2DCE5"/>
            </w:tcBorders>
            <w:shd w:val="clear" w:color="auto" w:fill="D2DCE5"/>
          </w:tcPr>
          <w:p>
            <w:pPr>
              <w:spacing w:after="0"/>
              <w:rPr>
                <w:sz w:val="17"/>
                <w:szCs w:val="17"/>
                <w:color w:val="auto"/>
              </w:rPr>
            </w:pPr>
          </w:p>
        </w:tc>
        <w:tc>
          <w:tcPr>
            <w:tcW w:w="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(124,554)</w:t>
            </w:r>
          </w:p>
        </w:tc>
        <w:tc>
          <w:tcPr>
            <w:tcW w:w="80" w:type="dxa"/>
            <w:vAlign w:val="bottom"/>
            <w:tcBorders>
              <w:bottom w:val="single" w:sz="8" w:color="D2DCE5"/>
            </w:tcBorders>
            <w:shd w:val="clear" w:color="auto" w:fill="D2DCE5"/>
          </w:tcPr>
          <w:p>
            <w:pPr>
              <w:spacing w:after="0"/>
              <w:rPr>
                <w:sz w:val="17"/>
                <w:szCs w:val="17"/>
                <w:color w:val="auto"/>
              </w:rPr>
            </w:pP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50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3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spacing w:after="0"/>
              <w:rPr>
                <w:sz w:val="20"/>
                <w:szCs w:val="20"/>
                <w:color w:val="auto"/>
              </w:rPr>
            </w:pPr>
            <w:r>
              <w:rPr>
                <w:rFonts w:ascii="Arial" w:cs="Arial" w:eastAsia="Arial" w:hAnsi="Arial"/>
                <w:sz w:val="14"/>
                <w:szCs w:val="14"/>
                <w:color w:val="131E29"/>
              </w:rPr>
              <w:t>$</w:t>
            </w:r>
          </w:p>
        </w:tc>
        <w:tc>
          <w:tcPr>
            <w:tcW w:w="38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6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1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800" w:type="dxa"/>
            <w:vAlign w:val="bottom"/>
            <w:tcBorders>
              <w:bottom w:val="single" w:sz="8" w:color="D2DCE5"/>
            </w:tcBorders>
            <w:gridSpan w:val="2"/>
            <w:shd w:val="clear" w:color="auto" w:fill="D2DCE5"/>
          </w:tcPr>
          <w:p>
            <w:pPr>
              <w:ind w:left="500"/>
              <w:spacing w:after="0"/>
              <w:rPr>
                <w:sz w:val="20"/>
                <w:szCs w:val="20"/>
                <w:color w:val="auto"/>
              </w:rPr>
            </w:pPr>
            <w:r>
              <w:rPr>
                <w:rFonts w:ascii="Arial" w:cs="Arial" w:eastAsia="Arial" w:hAnsi="Arial"/>
                <w:sz w:val="14"/>
                <w:szCs w:val="14"/>
                <w:color w:val="131E29"/>
              </w:rPr>
              <w:t>—</w:t>
            </w:r>
          </w:p>
        </w:tc>
        <w:tc>
          <w:tcPr>
            <w:tcW w:w="1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6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$(124,554)</w:t>
            </w:r>
          </w:p>
        </w:tc>
        <w:tc>
          <w:tcPr>
            <w:tcW w:w="0" w:type="dxa"/>
            <w:vAlign w:val="bottom"/>
          </w:tcPr>
          <w:p>
            <w:pPr>
              <w:spacing w:after="0"/>
              <w:rPr>
                <w:sz w:val="1"/>
                <w:szCs w:val="1"/>
                <w:color w:val="auto"/>
              </w:rPr>
            </w:pPr>
          </w:p>
        </w:tc>
      </w:tr>
      <w:tr>
        <w:trPr>
          <w:trHeight w:val="204"/>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Net loss prior to the</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Reorganization</w:t>
            </w: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131E29"/>
              </w:rPr>
              <w:t>(74,441)</w:t>
            </w:r>
          </w:p>
        </w:tc>
        <w:tc>
          <w:tcPr>
            <w:tcW w:w="8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Pr>
          <w:p>
            <w:pPr>
              <w:spacing w:after="0"/>
              <w:rPr>
                <w:sz w:val="15"/>
                <w:szCs w:val="15"/>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15"/>
                <w:szCs w:val="1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5"/>
                <w:szCs w:val="15"/>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160" w:type="dxa"/>
            <w:vAlign w:val="bottom"/>
          </w:tcPr>
          <w:p>
            <w:pPr>
              <w:spacing w:after="0"/>
              <w:rPr>
                <w:sz w:val="15"/>
                <w:szCs w:val="15"/>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131E29"/>
              </w:rPr>
              <w:t>—</w:t>
            </w:r>
          </w:p>
        </w:tc>
        <w:tc>
          <w:tcPr>
            <w:tcW w:w="120" w:type="dxa"/>
            <w:vAlign w:val="bottom"/>
          </w:tcPr>
          <w:p>
            <w:pPr>
              <w:spacing w:after="0"/>
              <w:rPr>
                <w:sz w:val="15"/>
                <w:szCs w:val="15"/>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131E29"/>
              </w:rPr>
              <w:t>(74,441)</w:t>
            </w:r>
          </w:p>
        </w:tc>
        <w:tc>
          <w:tcPr>
            <w:tcW w:w="0" w:type="dxa"/>
            <w:vAlign w:val="bottom"/>
          </w:tcPr>
          <w:p>
            <w:pPr>
              <w:spacing w:after="0"/>
              <w:rPr>
                <w:sz w:val="1"/>
                <w:szCs w:val="1"/>
                <w:color w:val="auto"/>
              </w:rPr>
            </w:pPr>
          </w:p>
        </w:tc>
      </w:tr>
      <w:tr>
        <w:trPr>
          <w:trHeight w:val="182"/>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Transactions</w:t>
            </w: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Reclass of profits</w:t>
            </w:r>
          </w:p>
        </w:tc>
        <w:tc>
          <w:tcPr>
            <w:tcW w:w="120" w:type="dxa"/>
            <w:vAlign w:val="bottom"/>
            <w:shd w:val="clear" w:color="auto" w:fill="D2DCE5"/>
          </w:tcPr>
          <w:p>
            <w:pPr>
              <w:spacing w:after="0"/>
              <w:rPr>
                <w:sz w:val="18"/>
                <w:szCs w:val="18"/>
                <w:color w:val="auto"/>
              </w:rPr>
            </w:pPr>
          </w:p>
        </w:tc>
        <w:tc>
          <w:tcPr>
            <w:tcW w:w="9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4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6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7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6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6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interest liability to</w:t>
            </w:r>
          </w:p>
        </w:tc>
        <w:tc>
          <w:tcPr>
            <w:tcW w:w="120" w:type="dxa"/>
            <w:vAlign w:val="bottom"/>
            <w:shd w:val="clear" w:color="auto" w:fill="D2DCE5"/>
          </w:tcPr>
          <w:p>
            <w:pPr>
              <w:spacing w:after="0"/>
              <w:rPr>
                <w:sz w:val="15"/>
                <w:szCs w:val="15"/>
                <w:color w:val="auto"/>
              </w:rPr>
            </w:pPr>
          </w:p>
        </w:tc>
        <w:tc>
          <w:tcPr>
            <w:tcW w:w="9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76,596</w:t>
            </w:r>
          </w:p>
        </w:tc>
        <w:tc>
          <w:tcPr>
            <w:tcW w:w="80" w:type="dxa"/>
            <w:vAlign w:val="bottom"/>
            <w:shd w:val="clear" w:color="auto" w:fill="D2DCE5"/>
          </w:tcPr>
          <w:p>
            <w:pPr>
              <w:spacing w:after="0"/>
              <w:rPr>
                <w:sz w:val="15"/>
                <w:szCs w:val="15"/>
                <w:color w:val="auto"/>
              </w:rPr>
            </w:pPr>
          </w:p>
        </w:tc>
        <w:tc>
          <w:tcPr>
            <w:tcW w:w="6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shd w:val="clear" w:color="auto" w:fill="D2DCE5"/>
          </w:tcPr>
          <w:p>
            <w:pPr>
              <w:spacing w:after="0"/>
              <w:rPr>
                <w:sz w:val="15"/>
                <w:szCs w:val="15"/>
                <w:color w:val="auto"/>
              </w:rPr>
            </w:pPr>
          </w:p>
        </w:tc>
        <w:tc>
          <w:tcPr>
            <w:tcW w:w="50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spacing w:after="0"/>
              <w:rPr>
                <w:sz w:val="15"/>
                <w:szCs w:val="15"/>
                <w:color w:val="auto"/>
              </w:rPr>
            </w:pPr>
          </w:p>
        </w:tc>
        <w:tc>
          <w:tcPr>
            <w:tcW w:w="38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100" w:type="dxa"/>
            <w:vAlign w:val="bottom"/>
            <w:shd w:val="clear" w:color="auto" w:fill="D2DCE5"/>
          </w:tcPr>
          <w:p>
            <w:pPr>
              <w:spacing w:after="0"/>
              <w:rPr>
                <w:sz w:val="15"/>
                <w:szCs w:val="15"/>
                <w:color w:val="auto"/>
              </w:rPr>
            </w:pPr>
          </w:p>
        </w:tc>
        <w:tc>
          <w:tcPr>
            <w:tcW w:w="68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160" w:type="dxa"/>
            <w:vAlign w:val="bottom"/>
            <w:shd w:val="clear" w:color="auto" w:fill="D2DCE5"/>
          </w:tcPr>
          <w:p>
            <w:pPr>
              <w:spacing w:after="0"/>
              <w:rPr>
                <w:sz w:val="15"/>
                <w:szCs w:val="15"/>
                <w:color w:val="auto"/>
              </w:rPr>
            </w:pPr>
          </w:p>
        </w:tc>
        <w:tc>
          <w:tcPr>
            <w:tcW w:w="800" w:type="dxa"/>
            <w:vAlign w:val="bottom"/>
            <w:gridSpan w:val="2"/>
            <w:vMerge w:val="restart"/>
            <w:shd w:val="clear" w:color="auto" w:fill="D2DCE5"/>
          </w:tcPr>
          <w:p>
            <w:pPr>
              <w:ind w:left="500"/>
              <w:spacing w:after="0"/>
              <w:rPr>
                <w:sz w:val="20"/>
                <w:szCs w:val="20"/>
                <w:color w:val="auto"/>
              </w:rPr>
            </w:pPr>
            <w:r>
              <w:rPr>
                <w:rFonts w:ascii="Arial" w:cs="Arial" w:eastAsia="Arial" w:hAnsi="Arial"/>
                <w:sz w:val="14"/>
                <w:szCs w:val="14"/>
                <w:color w:val="131E29"/>
              </w:rPr>
              <w:t>—</w:t>
            </w:r>
          </w:p>
        </w:tc>
        <w:tc>
          <w:tcPr>
            <w:tcW w:w="120" w:type="dxa"/>
            <w:vAlign w:val="bottom"/>
            <w:shd w:val="clear" w:color="auto" w:fill="D2DCE5"/>
          </w:tcPr>
          <w:p>
            <w:pPr>
              <w:spacing w:after="0"/>
              <w:rPr>
                <w:sz w:val="15"/>
                <w:szCs w:val="15"/>
                <w:color w:val="auto"/>
              </w:rPr>
            </w:pPr>
          </w:p>
        </w:tc>
        <w:tc>
          <w:tcPr>
            <w:tcW w:w="68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76,596</w:t>
            </w:r>
          </w:p>
        </w:tc>
        <w:tc>
          <w:tcPr>
            <w:tcW w:w="0" w:type="dxa"/>
            <w:vAlign w:val="bottom"/>
          </w:tcPr>
          <w:p>
            <w:pPr>
              <w:spacing w:after="0"/>
              <w:rPr>
                <w:sz w:val="1"/>
                <w:szCs w:val="1"/>
                <w:color w:val="auto"/>
              </w:rPr>
            </w:pPr>
          </w:p>
        </w:tc>
      </w:tr>
      <w:tr>
        <w:trPr>
          <w:trHeight w:val="188"/>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equity</w:t>
            </w:r>
          </w:p>
        </w:tc>
        <w:tc>
          <w:tcPr>
            <w:tcW w:w="120" w:type="dxa"/>
            <w:vAlign w:val="bottom"/>
            <w:shd w:val="clear" w:color="auto" w:fill="D2DCE5"/>
          </w:tcPr>
          <w:p>
            <w:pPr>
              <w:spacing w:after="0"/>
              <w:rPr>
                <w:sz w:val="16"/>
                <w:szCs w:val="16"/>
                <w:color w:val="auto"/>
              </w:rPr>
            </w:pPr>
          </w:p>
        </w:tc>
        <w:tc>
          <w:tcPr>
            <w:tcW w:w="960" w:type="dxa"/>
            <w:vAlign w:val="bottom"/>
            <w:vMerge w:val="continue"/>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64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40" w:type="dxa"/>
            <w:vAlign w:val="bottom"/>
            <w:gridSpan w:val="2"/>
            <w:vMerge w:val="continue"/>
            <w:shd w:val="clear" w:color="auto" w:fill="D2DCE5"/>
          </w:tcPr>
          <w:p>
            <w:pPr>
              <w:spacing w:after="0"/>
              <w:rPr>
                <w:sz w:val="16"/>
                <w:szCs w:val="16"/>
                <w:color w:val="auto"/>
              </w:rPr>
            </w:pPr>
          </w:p>
        </w:tc>
        <w:tc>
          <w:tcPr>
            <w:tcW w:w="160" w:type="dxa"/>
            <w:vAlign w:val="bottom"/>
            <w:shd w:val="clear" w:color="auto" w:fill="D2DCE5"/>
          </w:tcPr>
          <w:p>
            <w:pPr>
              <w:spacing w:after="0"/>
              <w:rPr>
                <w:sz w:val="16"/>
                <w:szCs w:val="16"/>
                <w:color w:val="auto"/>
              </w:rPr>
            </w:pPr>
          </w:p>
        </w:tc>
        <w:tc>
          <w:tcPr>
            <w:tcW w:w="500" w:type="dxa"/>
            <w:vAlign w:val="bottom"/>
            <w:gridSpan w:val="2"/>
            <w:vMerge w:val="continue"/>
            <w:shd w:val="clear" w:color="auto" w:fill="D2DCE5"/>
          </w:tcPr>
          <w:p>
            <w:pPr>
              <w:spacing w:after="0"/>
              <w:rPr>
                <w:sz w:val="16"/>
                <w:szCs w:val="16"/>
                <w:color w:val="auto"/>
              </w:rPr>
            </w:pPr>
          </w:p>
        </w:tc>
        <w:tc>
          <w:tcPr>
            <w:tcW w:w="64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40" w:type="dxa"/>
            <w:vAlign w:val="bottom"/>
            <w:gridSpan w:val="2"/>
            <w:vMerge w:val="continue"/>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380" w:type="dxa"/>
            <w:vAlign w:val="bottom"/>
            <w:gridSpan w:val="2"/>
            <w:vMerge w:val="continue"/>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680" w:type="dxa"/>
            <w:vAlign w:val="bottom"/>
            <w:gridSpan w:val="2"/>
            <w:vMerge w:val="continue"/>
            <w:shd w:val="clear" w:color="auto" w:fill="D2DCE5"/>
          </w:tcPr>
          <w:p>
            <w:pPr>
              <w:spacing w:after="0"/>
              <w:rPr>
                <w:sz w:val="16"/>
                <w:szCs w:val="16"/>
                <w:color w:val="auto"/>
              </w:rPr>
            </w:pPr>
          </w:p>
        </w:tc>
        <w:tc>
          <w:tcPr>
            <w:tcW w:w="160" w:type="dxa"/>
            <w:vAlign w:val="bottom"/>
            <w:shd w:val="clear" w:color="auto" w:fill="D2DCE5"/>
          </w:tcPr>
          <w:p>
            <w:pPr>
              <w:spacing w:after="0"/>
              <w:rPr>
                <w:sz w:val="16"/>
                <w:szCs w:val="16"/>
                <w:color w:val="auto"/>
              </w:rPr>
            </w:pPr>
          </w:p>
        </w:tc>
        <w:tc>
          <w:tcPr>
            <w:tcW w:w="800" w:type="dxa"/>
            <w:vAlign w:val="bottom"/>
            <w:gridSpan w:val="2"/>
            <w:vMerge w:val="continue"/>
            <w:shd w:val="clear" w:color="auto" w:fill="D2DCE5"/>
          </w:tcPr>
          <w:p>
            <w:pPr>
              <w:spacing w:after="0"/>
              <w:rPr>
                <w:sz w:val="16"/>
                <w:szCs w:val="16"/>
                <w:color w:val="auto"/>
              </w:rPr>
            </w:pPr>
          </w:p>
        </w:tc>
        <w:tc>
          <w:tcPr>
            <w:tcW w:w="120" w:type="dxa"/>
            <w:vAlign w:val="bottom"/>
            <w:shd w:val="clear" w:color="auto" w:fill="D2DCE5"/>
          </w:tcPr>
          <w:p>
            <w:pPr>
              <w:spacing w:after="0"/>
              <w:rPr>
                <w:sz w:val="16"/>
                <w:szCs w:val="16"/>
                <w:color w:val="auto"/>
              </w:rPr>
            </w:pPr>
          </w:p>
        </w:tc>
        <w:tc>
          <w:tcPr>
            <w:tcW w:w="680" w:type="dxa"/>
            <w:vAlign w:val="bottom"/>
            <w:gridSpan w:val="2"/>
            <w:vMerge w:val="continue"/>
            <w:shd w:val="clear" w:color="auto" w:fill="D2DCE5"/>
          </w:tcPr>
          <w:p>
            <w:pPr>
              <w:spacing w:after="0"/>
              <w:rPr>
                <w:sz w:val="16"/>
                <w:szCs w:val="16"/>
                <w:color w:val="auto"/>
              </w:rPr>
            </w:pPr>
          </w:p>
        </w:tc>
        <w:tc>
          <w:tcPr>
            <w:tcW w:w="760" w:type="dxa"/>
            <w:vAlign w:val="bottom"/>
            <w:vMerge w:val="continue"/>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Member distributions</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(4,200)</w:t>
            </w: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7"/>
                <w:szCs w:val="17"/>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17"/>
                <w:szCs w:val="17"/>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16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131E29"/>
              </w:rPr>
              <w:t>—</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760" w:type="dxa"/>
            <w:vAlign w:val="bottom"/>
          </w:tcPr>
          <w:p>
            <w:pPr>
              <w:jc w:val="right"/>
              <w:spacing w:after="0"/>
              <w:rPr>
                <w:sz w:val="20"/>
                <w:szCs w:val="20"/>
                <w:color w:val="auto"/>
              </w:rPr>
            </w:pPr>
            <w:r>
              <w:rPr>
                <w:rFonts w:ascii="Arial" w:cs="Arial" w:eastAsia="Arial" w:hAnsi="Arial"/>
                <w:sz w:val="14"/>
                <w:szCs w:val="14"/>
                <w:color w:val="131E29"/>
              </w:rPr>
              <w:t>(4,200)</w:t>
            </w:r>
          </w:p>
        </w:tc>
        <w:tc>
          <w:tcPr>
            <w:tcW w:w="0" w:type="dxa"/>
            <w:vAlign w:val="bottom"/>
          </w:tcPr>
          <w:p>
            <w:pPr>
              <w:spacing w:after="0"/>
              <w:rPr>
                <w:sz w:val="1"/>
                <w:szCs w:val="1"/>
                <w:color w:val="auto"/>
              </w:rPr>
            </w:pPr>
          </w:p>
        </w:tc>
      </w:tr>
      <w:tr>
        <w:trPr>
          <w:trHeight w:val="26"/>
        </w:trPr>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Equity-based</w:t>
            </w:r>
          </w:p>
        </w:tc>
        <w:tc>
          <w:tcPr>
            <w:tcW w:w="12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4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7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6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compensation</w:t>
            </w:r>
          </w:p>
        </w:tc>
        <w:tc>
          <w:tcPr>
            <w:tcW w:w="12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4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2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6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recognized prior to the</w:t>
            </w:r>
          </w:p>
        </w:tc>
        <w:tc>
          <w:tcPr>
            <w:tcW w:w="120" w:type="dxa"/>
            <w:vAlign w:val="bottom"/>
            <w:shd w:val="clear" w:color="auto" w:fill="D2DCE5"/>
          </w:tcPr>
          <w:p>
            <w:pPr>
              <w:spacing w:after="0"/>
              <w:rPr>
                <w:sz w:val="14"/>
                <w:szCs w:val="14"/>
                <w:color w:val="auto"/>
              </w:rPr>
            </w:pPr>
          </w:p>
        </w:tc>
        <w:tc>
          <w:tcPr>
            <w:tcW w:w="9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4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7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2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6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Reorganization</w:t>
            </w:r>
          </w:p>
        </w:tc>
        <w:tc>
          <w:tcPr>
            <w:tcW w:w="120" w:type="dxa"/>
            <w:vAlign w:val="bottom"/>
            <w:shd w:val="clear" w:color="auto" w:fill="D2DCE5"/>
          </w:tcPr>
          <w:p>
            <w:pPr>
              <w:spacing w:after="0"/>
              <w:rPr>
                <w:sz w:val="14"/>
                <w:szCs w:val="14"/>
                <w:color w:val="auto"/>
              </w:rPr>
            </w:pPr>
          </w:p>
        </w:tc>
        <w:tc>
          <w:tcPr>
            <w:tcW w:w="9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4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7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2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6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5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Transactions</w:t>
            </w:r>
          </w:p>
        </w:tc>
        <w:tc>
          <w:tcPr>
            <w:tcW w:w="120" w:type="dxa"/>
            <w:vAlign w:val="bottom"/>
            <w:tcBorders>
              <w:bottom w:val="single" w:sz="8" w:color="D2DCE5"/>
            </w:tcBorders>
            <w:shd w:val="clear" w:color="auto" w:fill="D2DCE5"/>
          </w:tcPr>
          <w:p>
            <w:pPr>
              <w:spacing w:after="0"/>
              <w:rPr>
                <w:sz w:val="15"/>
                <w:szCs w:val="15"/>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78,579</w:t>
            </w:r>
          </w:p>
        </w:tc>
        <w:tc>
          <w:tcPr>
            <w:tcW w:w="80" w:type="dxa"/>
            <w:vAlign w:val="bottom"/>
            <w:tcBorders>
              <w:bottom w:val="single" w:sz="8" w:color="D2DCE5"/>
            </w:tcBorders>
            <w:shd w:val="clear" w:color="auto" w:fill="D2DCE5"/>
          </w:tcPr>
          <w:p>
            <w:pPr>
              <w:spacing w:after="0"/>
              <w:rPr>
                <w:sz w:val="15"/>
                <w:szCs w:val="15"/>
                <w:color w:val="auto"/>
              </w:rPr>
            </w:pP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Borders>
              <w:bottom w:val="single" w:sz="8" w:color="D2DCE5"/>
            </w:tcBorders>
            <w:shd w:val="clear" w:color="auto" w:fill="D2DCE5"/>
          </w:tcPr>
          <w:p>
            <w:pPr>
              <w:spacing w:after="0"/>
              <w:rPr>
                <w:sz w:val="15"/>
                <w:szCs w:val="15"/>
                <w:color w:val="auto"/>
              </w:rPr>
            </w:pPr>
          </w:p>
        </w:tc>
        <w:tc>
          <w:tcPr>
            <w:tcW w:w="50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spacing w:after="0"/>
              <w:rPr>
                <w:sz w:val="15"/>
                <w:szCs w:val="15"/>
                <w:color w:val="auto"/>
              </w:rPr>
            </w:pPr>
          </w:p>
        </w:tc>
        <w:tc>
          <w:tcPr>
            <w:tcW w:w="38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100" w:type="dxa"/>
            <w:vAlign w:val="bottom"/>
            <w:tcBorders>
              <w:bottom w:val="single" w:sz="8" w:color="D2DCE5"/>
            </w:tcBorders>
            <w:shd w:val="clear" w:color="auto" w:fill="D2DCE5"/>
          </w:tcPr>
          <w:p>
            <w:pPr>
              <w:spacing w:after="0"/>
              <w:rPr>
                <w:sz w:val="15"/>
                <w:szCs w:val="15"/>
                <w:color w:val="auto"/>
              </w:rPr>
            </w:pPr>
          </w:p>
        </w:tc>
        <w:tc>
          <w:tcPr>
            <w:tcW w:w="6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160" w:type="dxa"/>
            <w:vAlign w:val="bottom"/>
            <w:tcBorders>
              <w:bottom w:val="single" w:sz="8" w:color="D2DCE5"/>
            </w:tcBorders>
            <w:shd w:val="clear" w:color="auto" w:fill="D2DCE5"/>
          </w:tcPr>
          <w:p>
            <w:pPr>
              <w:spacing w:after="0"/>
              <w:rPr>
                <w:sz w:val="15"/>
                <w:szCs w:val="15"/>
                <w:color w:val="auto"/>
              </w:rPr>
            </w:pPr>
          </w:p>
        </w:tc>
        <w:tc>
          <w:tcPr>
            <w:tcW w:w="800" w:type="dxa"/>
            <w:vAlign w:val="bottom"/>
            <w:tcBorders>
              <w:bottom w:val="single" w:sz="8" w:color="D2DCE5"/>
            </w:tcBorders>
            <w:gridSpan w:val="2"/>
            <w:shd w:val="clear" w:color="auto" w:fill="D2DCE5"/>
          </w:tcPr>
          <w:p>
            <w:pPr>
              <w:ind w:left="500"/>
              <w:spacing w:after="0"/>
              <w:rPr>
                <w:sz w:val="20"/>
                <w:szCs w:val="20"/>
                <w:color w:val="auto"/>
              </w:rPr>
            </w:pPr>
            <w:r>
              <w:rPr>
                <w:rFonts w:ascii="Arial" w:cs="Arial" w:eastAsia="Arial" w:hAnsi="Arial"/>
                <w:sz w:val="14"/>
                <w:szCs w:val="14"/>
                <w:color w:val="131E29"/>
              </w:rPr>
              <w:t>—</w:t>
            </w:r>
          </w:p>
        </w:tc>
        <w:tc>
          <w:tcPr>
            <w:tcW w:w="120" w:type="dxa"/>
            <w:vAlign w:val="bottom"/>
            <w:tcBorders>
              <w:bottom w:val="single" w:sz="8" w:color="D2DCE5"/>
            </w:tcBorders>
            <w:shd w:val="clear" w:color="auto" w:fill="D2DCE5"/>
          </w:tcPr>
          <w:p>
            <w:pPr>
              <w:spacing w:after="0"/>
              <w:rPr>
                <w:sz w:val="15"/>
                <w:szCs w:val="15"/>
                <w:color w:val="auto"/>
              </w:rPr>
            </w:pPr>
          </w:p>
        </w:tc>
        <w:tc>
          <w:tcPr>
            <w:tcW w:w="6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78,579</w:t>
            </w:r>
          </w:p>
        </w:tc>
        <w:tc>
          <w:tcPr>
            <w:tcW w:w="0" w:type="dxa"/>
            <w:vAlign w:val="bottom"/>
          </w:tcPr>
          <w:p>
            <w:pPr>
              <w:spacing w:after="0"/>
              <w:rPr>
                <w:sz w:val="1"/>
                <w:szCs w:val="1"/>
                <w:color w:val="auto"/>
              </w:rPr>
            </w:pPr>
          </w:p>
        </w:tc>
      </w:tr>
      <w:tr>
        <w:trPr>
          <w:trHeight w:val="204"/>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Effect of the</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Reorganization</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Transactions and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initial public offering on</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non-controlling</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 xml:space="preserve">interests </w:t>
            </w:r>
            <w:r>
              <w:rPr>
                <w:rFonts w:ascii="Arial" w:cs="Arial" w:eastAsia="Arial" w:hAnsi="Arial"/>
                <w:sz w:val="18"/>
                <w:szCs w:val="18"/>
                <w:color w:val="131E29"/>
                <w:vertAlign w:val="superscript"/>
              </w:rPr>
              <w:t>1</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48,020</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9,877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560" w:type="dxa"/>
            <w:vAlign w:val="bottom"/>
          </w:tcPr>
          <w:p>
            <w:pPr>
              <w:jc w:val="right"/>
              <w:spacing w:after="0"/>
              <w:rPr>
                <w:sz w:val="20"/>
                <w:szCs w:val="20"/>
                <w:color w:val="auto"/>
              </w:rPr>
            </w:pPr>
            <w:r>
              <w:rPr>
                <w:rFonts w:ascii="Arial" w:cs="Arial" w:eastAsia="Arial" w:hAnsi="Arial"/>
                <w:sz w:val="14"/>
                <w:szCs w:val="14"/>
                <w:color w:val="131E29"/>
              </w:rPr>
              <w:t>71,408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131E29"/>
              </w:rPr>
              <w:t>1</w:t>
            </w:r>
          </w:p>
        </w:tc>
        <w:tc>
          <w:tcPr>
            <w:tcW w:w="8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131E29"/>
              </w:rPr>
              <w:t>54,068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131E29"/>
              </w:rPr>
              <w:t>1</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131E29"/>
              </w:rPr>
              <w:t>17,036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131E29"/>
              </w:rPr>
              <w:t>(195,936)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131E29"/>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131E29"/>
              </w:rPr>
              <w:t>147,914</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04"/>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Issuance of Class A</w:t>
            </w:r>
          </w:p>
        </w:tc>
        <w:tc>
          <w:tcPr>
            <w:tcW w:w="12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4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7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6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common stock sold in</w:t>
            </w:r>
          </w:p>
        </w:tc>
        <w:tc>
          <w:tcPr>
            <w:tcW w:w="12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4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2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6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initial public offering,</w:t>
            </w:r>
          </w:p>
        </w:tc>
        <w:tc>
          <w:tcPr>
            <w:tcW w:w="120" w:type="dxa"/>
            <w:vAlign w:val="bottom"/>
            <w:shd w:val="clear" w:color="auto" w:fill="D2DCE5"/>
          </w:tcPr>
          <w:p>
            <w:pPr>
              <w:spacing w:after="0"/>
              <w:rPr>
                <w:sz w:val="14"/>
                <w:szCs w:val="14"/>
                <w:color w:val="auto"/>
              </w:rPr>
            </w:pPr>
          </w:p>
        </w:tc>
        <w:tc>
          <w:tcPr>
            <w:tcW w:w="9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4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7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2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6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net of offering costs</w:t>
            </w:r>
          </w:p>
        </w:tc>
        <w:tc>
          <w:tcPr>
            <w:tcW w:w="120" w:type="dxa"/>
            <w:vAlign w:val="bottom"/>
            <w:tcBorders>
              <w:bottom w:val="single" w:sz="8" w:color="D2DCE5"/>
            </w:tcBorders>
            <w:shd w:val="clear" w:color="auto" w:fill="D2DCE5"/>
          </w:tcPr>
          <w:p>
            <w:pPr>
              <w:spacing w:after="0"/>
              <w:rPr>
                <w:sz w:val="15"/>
                <w:szCs w:val="15"/>
                <w:color w:val="auto"/>
              </w:rPr>
            </w:pPr>
          </w:p>
        </w:tc>
        <w:tc>
          <w:tcPr>
            <w:tcW w:w="10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24,211</w:t>
            </w:r>
          </w:p>
        </w:tc>
        <w:tc>
          <w:tcPr>
            <w:tcW w:w="80" w:type="dxa"/>
            <w:vAlign w:val="bottom"/>
            <w:tcBorders>
              <w:bottom w:val="single" w:sz="8" w:color="D2DCE5"/>
            </w:tcBorders>
            <w:shd w:val="clear" w:color="auto" w:fill="D2DCE5"/>
          </w:tcPr>
          <w:p>
            <w:pPr>
              <w:spacing w:after="0"/>
              <w:rPr>
                <w:sz w:val="15"/>
                <w:szCs w:val="15"/>
                <w:color w:val="auto"/>
              </w:rPr>
            </w:pPr>
          </w:p>
        </w:tc>
        <w:tc>
          <w:tcPr>
            <w:tcW w:w="3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Borders>
              <w:bottom w:val="single" w:sz="8" w:color="D2DCE5"/>
            </w:tcBorders>
            <w:shd w:val="clear" w:color="auto" w:fill="D2DCE5"/>
          </w:tcPr>
          <w:p>
            <w:pPr>
              <w:spacing w:after="0"/>
              <w:rPr>
                <w:sz w:val="15"/>
                <w:szCs w:val="15"/>
                <w:color w:val="auto"/>
              </w:rPr>
            </w:pPr>
          </w:p>
        </w:tc>
        <w:tc>
          <w:tcPr>
            <w:tcW w:w="50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spacing w:after="0"/>
              <w:rPr>
                <w:sz w:val="15"/>
                <w:szCs w:val="15"/>
                <w:color w:val="auto"/>
              </w:rPr>
            </w:pPr>
          </w:p>
        </w:tc>
        <w:tc>
          <w:tcPr>
            <w:tcW w:w="38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100" w:type="dxa"/>
            <w:vAlign w:val="bottom"/>
            <w:tcBorders>
              <w:bottom w:val="single" w:sz="8" w:color="D2DCE5"/>
            </w:tcBorders>
            <w:shd w:val="clear" w:color="auto" w:fill="D2DCE5"/>
          </w:tcPr>
          <w:p>
            <w:pPr>
              <w:spacing w:after="0"/>
              <w:rPr>
                <w:sz w:val="15"/>
                <w:szCs w:val="15"/>
                <w:color w:val="auto"/>
              </w:rPr>
            </w:pPr>
          </w:p>
        </w:tc>
        <w:tc>
          <w:tcPr>
            <w:tcW w:w="6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w w:val="98"/>
              </w:rPr>
              <w:t>520,804</w:t>
            </w:r>
          </w:p>
        </w:tc>
        <w:tc>
          <w:tcPr>
            <w:tcW w:w="80" w:type="dxa"/>
            <w:vAlign w:val="bottom"/>
            <w:tcBorders>
              <w:bottom w:val="single" w:sz="8" w:color="D2DCE5"/>
            </w:tcBorders>
            <w:shd w:val="clear" w:color="auto" w:fill="D2DCE5"/>
          </w:tcPr>
          <w:p>
            <w:pPr>
              <w:spacing w:after="0"/>
              <w:rPr>
                <w:sz w:val="15"/>
                <w:szCs w:val="15"/>
                <w:color w:val="auto"/>
              </w:rPr>
            </w:pPr>
          </w:p>
        </w:tc>
        <w:tc>
          <w:tcPr>
            <w:tcW w:w="160" w:type="dxa"/>
            <w:vAlign w:val="bottom"/>
            <w:tcBorders>
              <w:bottom w:val="single" w:sz="8" w:color="D2DCE5"/>
            </w:tcBorders>
            <w:shd w:val="clear" w:color="auto" w:fill="D2DCE5"/>
          </w:tcPr>
          <w:p>
            <w:pPr>
              <w:spacing w:after="0"/>
              <w:rPr>
                <w:sz w:val="15"/>
                <w:szCs w:val="15"/>
                <w:color w:val="auto"/>
              </w:rPr>
            </w:pPr>
          </w:p>
        </w:tc>
        <w:tc>
          <w:tcPr>
            <w:tcW w:w="800" w:type="dxa"/>
            <w:vAlign w:val="bottom"/>
            <w:tcBorders>
              <w:bottom w:val="single" w:sz="8" w:color="D2DCE5"/>
            </w:tcBorders>
            <w:gridSpan w:val="2"/>
            <w:shd w:val="clear" w:color="auto" w:fill="D2DCE5"/>
          </w:tcPr>
          <w:p>
            <w:pPr>
              <w:ind w:left="500"/>
              <w:spacing w:after="0"/>
              <w:rPr>
                <w:sz w:val="20"/>
                <w:szCs w:val="20"/>
                <w:color w:val="auto"/>
              </w:rPr>
            </w:pPr>
            <w:r>
              <w:rPr>
                <w:rFonts w:ascii="Arial" w:cs="Arial" w:eastAsia="Arial" w:hAnsi="Arial"/>
                <w:sz w:val="14"/>
                <w:szCs w:val="14"/>
                <w:color w:val="131E29"/>
              </w:rPr>
              <w:t>—</w:t>
            </w:r>
          </w:p>
        </w:tc>
        <w:tc>
          <w:tcPr>
            <w:tcW w:w="120" w:type="dxa"/>
            <w:vAlign w:val="bottom"/>
            <w:tcBorders>
              <w:bottom w:val="single" w:sz="8" w:color="D2DCE5"/>
            </w:tcBorders>
            <w:shd w:val="clear" w:color="auto" w:fill="D2DCE5"/>
          </w:tcPr>
          <w:p>
            <w:pPr>
              <w:spacing w:after="0"/>
              <w:rPr>
                <w:sz w:val="15"/>
                <w:szCs w:val="15"/>
                <w:color w:val="auto"/>
              </w:rPr>
            </w:pPr>
          </w:p>
        </w:tc>
        <w:tc>
          <w:tcPr>
            <w:tcW w:w="6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520,804</w:t>
            </w:r>
          </w:p>
        </w:tc>
        <w:tc>
          <w:tcPr>
            <w:tcW w:w="0" w:type="dxa"/>
            <w:vAlign w:val="bottom"/>
          </w:tcPr>
          <w:p>
            <w:pPr>
              <w:spacing w:after="0"/>
              <w:rPr>
                <w:sz w:val="1"/>
                <w:szCs w:val="1"/>
                <w:color w:val="auto"/>
              </w:rPr>
            </w:pPr>
          </w:p>
        </w:tc>
      </w:tr>
      <w:tr>
        <w:trPr>
          <w:trHeight w:val="204"/>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Purchase of OpCo</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Units in connection</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with the initial public</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 xml:space="preserve">offering </w:t>
            </w:r>
            <w:r>
              <w:rPr>
                <w:rFonts w:ascii="Arial" w:cs="Arial" w:eastAsia="Arial" w:hAnsi="Arial"/>
                <w:sz w:val="9"/>
                <w:szCs w:val="9"/>
                <w:color w:val="131E29"/>
              </w:rPr>
              <w:t>1</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560" w:type="dxa"/>
            <w:vAlign w:val="bottom"/>
          </w:tcPr>
          <w:p>
            <w:pPr>
              <w:jc w:val="right"/>
              <w:spacing w:after="0"/>
              <w:rPr>
                <w:sz w:val="20"/>
                <w:szCs w:val="20"/>
                <w:color w:val="auto"/>
              </w:rPr>
            </w:pPr>
            <w:r>
              <w:rPr>
                <w:rFonts w:ascii="Arial" w:cs="Arial" w:eastAsia="Arial" w:hAnsi="Arial"/>
                <w:sz w:val="14"/>
                <w:szCs w:val="14"/>
                <w:color w:val="131E29"/>
              </w:rPr>
              <w:t>(6,709)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560" w:type="dxa"/>
            <w:vAlign w:val="bottom"/>
          </w:tcPr>
          <w:p>
            <w:pPr>
              <w:jc w:val="center"/>
              <w:spacing w:after="0"/>
              <w:rPr>
                <w:sz w:val="20"/>
                <w:szCs w:val="20"/>
                <w:color w:val="auto"/>
              </w:rPr>
            </w:pPr>
            <w:r>
              <w:rPr>
                <w:rFonts w:ascii="Arial" w:cs="Arial" w:eastAsia="Arial" w:hAnsi="Arial"/>
                <w:sz w:val="14"/>
                <w:szCs w:val="14"/>
                <w:color w:val="131E29"/>
                <w:w w:val="99"/>
              </w:rPr>
              <w:t>(5,062)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14"/>
                <w:szCs w:val="14"/>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131E29"/>
              </w:rPr>
              <w:t>(239,421)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131E29"/>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131E29"/>
              </w:rPr>
              <w:t>(13,849)</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131E29"/>
              </w:rPr>
              <w:t>(253,270)</w:t>
            </w:r>
          </w:p>
        </w:tc>
        <w:tc>
          <w:tcPr>
            <w:tcW w:w="0" w:type="dxa"/>
            <w:vAlign w:val="bottom"/>
          </w:tcPr>
          <w:p>
            <w:pPr>
              <w:spacing w:after="0"/>
              <w:rPr>
                <w:sz w:val="1"/>
                <w:szCs w:val="1"/>
                <w:color w:val="auto"/>
              </w:rPr>
            </w:pPr>
          </w:p>
        </w:tc>
      </w:tr>
      <w:tr>
        <w:trPr>
          <w:trHeight w:val="25"/>
        </w:trPr>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Impact of Tax</w:t>
            </w:r>
          </w:p>
        </w:tc>
        <w:tc>
          <w:tcPr>
            <w:tcW w:w="12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4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7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6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Receivable</w:t>
            </w:r>
          </w:p>
        </w:tc>
        <w:tc>
          <w:tcPr>
            <w:tcW w:w="120" w:type="dxa"/>
            <w:vAlign w:val="bottom"/>
            <w:shd w:val="clear" w:color="auto" w:fill="D2DCE5"/>
          </w:tcPr>
          <w:p>
            <w:pPr>
              <w:spacing w:after="0"/>
              <w:rPr>
                <w:sz w:val="15"/>
                <w:szCs w:val="15"/>
                <w:color w:val="auto"/>
              </w:rPr>
            </w:pPr>
          </w:p>
        </w:tc>
        <w:tc>
          <w:tcPr>
            <w:tcW w:w="10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8"/>
                <w:szCs w:val="18"/>
                <w:color w:val="131E29"/>
              </w:rPr>
              <w:t>—</w:t>
            </w:r>
          </w:p>
        </w:tc>
        <w:tc>
          <w:tcPr>
            <w:tcW w:w="6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shd w:val="clear" w:color="auto" w:fill="D2DCE5"/>
          </w:tcPr>
          <w:p>
            <w:pPr>
              <w:spacing w:after="0"/>
              <w:rPr>
                <w:sz w:val="15"/>
                <w:szCs w:val="15"/>
                <w:color w:val="auto"/>
              </w:rPr>
            </w:pPr>
          </w:p>
        </w:tc>
        <w:tc>
          <w:tcPr>
            <w:tcW w:w="50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spacing w:after="0"/>
              <w:rPr>
                <w:sz w:val="15"/>
                <w:szCs w:val="15"/>
                <w:color w:val="auto"/>
              </w:rPr>
            </w:pPr>
          </w:p>
        </w:tc>
        <w:tc>
          <w:tcPr>
            <w:tcW w:w="38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100" w:type="dxa"/>
            <w:vAlign w:val="bottom"/>
            <w:shd w:val="clear" w:color="auto" w:fill="D2DCE5"/>
          </w:tcPr>
          <w:p>
            <w:pPr>
              <w:spacing w:after="0"/>
              <w:rPr>
                <w:sz w:val="15"/>
                <w:szCs w:val="15"/>
                <w:color w:val="auto"/>
              </w:rPr>
            </w:pPr>
          </w:p>
        </w:tc>
        <w:tc>
          <w:tcPr>
            <w:tcW w:w="60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47,157</w:t>
            </w: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800" w:type="dxa"/>
            <w:vAlign w:val="bottom"/>
            <w:gridSpan w:val="2"/>
            <w:vMerge w:val="restart"/>
            <w:shd w:val="clear" w:color="auto" w:fill="D2DCE5"/>
          </w:tcPr>
          <w:p>
            <w:pPr>
              <w:ind w:left="500"/>
              <w:spacing w:after="0"/>
              <w:rPr>
                <w:sz w:val="20"/>
                <w:szCs w:val="20"/>
                <w:color w:val="auto"/>
              </w:rPr>
            </w:pPr>
            <w:r>
              <w:rPr>
                <w:rFonts w:ascii="Arial" w:cs="Arial" w:eastAsia="Arial" w:hAnsi="Arial"/>
                <w:sz w:val="14"/>
                <w:szCs w:val="14"/>
                <w:color w:val="131E29"/>
              </w:rPr>
              <w:t>—</w:t>
            </w:r>
          </w:p>
        </w:tc>
        <w:tc>
          <w:tcPr>
            <w:tcW w:w="120" w:type="dxa"/>
            <w:vAlign w:val="bottom"/>
            <w:shd w:val="clear" w:color="auto" w:fill="D2DCE5"/>
          </w:tcPr>
          <w:p>
            <w:pPr>
              <w:spacing w:after="0"/>
              <w:rPr>
                <w:sz w:val="15"/>
                <w:szCs w:val="15"/>
                <w:color w:val="auto"/>
              </w:rPr>
            </w:pPr>
          </w:p>
        </w:tc>
        <w:tc>
          <w:tcPr>
            <w:tcW w:w="68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47,157</w:t>
            </w:r>
          </w:p>
        </w:tc>
        <w:tc>
          <w:tcPr>
            <w:tcW w:w="0" w:type="dxa"/>
            <w:vAlign w:val="bottom"/>
          </w:tcPr>
          <w:p>
            <w:pPr>
              <w:spacing w:after="0"/>
              <w:rPr>
                <w:sz w:val="1"/>
                <w:szCs w:val="1"/>
                <w:color w:val="auto"/>
              </w:rPr>
            </w:pPr>
          </w:p>
        </w:tc>
      </w:tr>
      <w:tr>
        <w:trPr>
          <w:trHeight w:val="188"/>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Agreements</w:t>
            </w:r>
          </w:p>
        </w:tc>
        <w:tc>
          <w:tcPr>
            <w:tcW w:w="120" w:type="dxa"/>
            <w:vAlign w:val="bottom"/>
            <w:shd w:val="clear" w:color="auto" w:fill="D2DCE5"/>
          </w:tcPr>
          <w:p>
            <w:pPr>
              <w:spacing w:after="0"/>
              <w:rPr>
                <w:sz w:val="16"/>
                <w:szCs w:val="16"/>
                <w:color w:val="auto"/>
              </w:rPr>
            </w:pPr>
          </w:p>
        </w:tc>
        <w:tc>
          <w:tcPr>
            <w:tcW w:w="1040" w:type="dxa"/>
            <w:vAlign w:val="bottom"/>
            <w:gridSpan w:val="2"/>
            <w:vMerge w:val="continue"/>
            <w:shd w:val="clear" w:color="auto" w:fill="D2DCE5"/>
          </w:tcPr>
          <w:p>
            <w:pPr>
              <w:spacing w:after="0"/>
              <w:rPr>
                <w:sz w:val="16"/>
                <w:szCs w:val="16"/>
                <w:color w:val="auto"/>
              </w:rPr>
            </w:pPr>
          </w:p>
        </w:tc>
        <w:tc>
          <w:tcPr>
            <w:tcW w:w="64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40" w:type="dxa"/>
            <w:vAlign w:val="bottom"/>
            <w:gridSpan w:val="2"/>
            <w:vMerge w:val="continue"/>
            <w:shd w:val="clear" w:color="auto" w:fill="D2DCE5"/>
          </w:tcPr>
          <w:p>
            <w:pPr>
              <w:spacing w:after="0"/>
              <w:rPr>
                <w:sz w:val="16"/>
                <w:szCs w:val="16"/>
                <w:color w:val="auto"/>
              </w:rPr>
            </w:pPr>
          </w:p>
        </w:tc>
        <w:tc>
          <w:tcPr>
            <w:tcW w:w="160" w:type="dxa"/>
            <w:vAlign w:val="bottom"/>
            <w:shd w:val="clear" w:color="auto" w:fill="D2DCE5"/>
          </w:tcPr>
          <w:p>
            <w:pPr>
              <w:spacing w:after="0"/>
              <w:rPr>
                <w:sz w:val="16"/>
                <w:szCs w:val="16"/>
                <w:color w:val="auto"/>
              </w:rPr>
            </w:pPr>
          </w:p>
        </w:tc>
        <w:tc>
          <w:tcPr>
            <w:tcW w:w="500" w:type="dxa"/>
            <w:vAlign w:val="bottom"/>
            <w:gridSpan w:val="2"/>
            <w:vMerge w:val="continue"/>
            <w:shd w:val="clear" w:color="auto" w:fill="D2DCE5"/>
          </w:tcPr>
          <w:p>
            <w:pPr>
              <w:spacing w:after="0"/>
              <w:rPr>
                <w:sz w:val="16"/>
                <w:szCs w:val="16"/>
                <w:color w:val="auto"/>
              </w:rPr>
            </w:pPr>
          </w:p>
        </w:tc>
        <w:tc>
          <w:tcPr>
            <w:tcW w:w="64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40" w:type="dxa"/>
            <w:vAlign w:val="bottom"/>
            <w:gridSpan w:val="2"/>
            <w:vMerge w:val="continue"/>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380" w:type="dxa"/>
            <w:vAlign w:val="bottom"/>
            <w:gridSpan w:val="2"/>
            <w:vMerge w:val="continue"/>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600" w:type="dxa"/>
            <w:vAlign w:val="bottom"/>
            <w:vMerge w:val="continue"/>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60" w:type="dxa"/>
            <w:vAlign w:val="bottom"/>
            <w:shd w:val="clear" w:color="auto" w:fill="D2DCE5"/>
          </w:tcPr>
          <w:p>
            <w:pPr>
              <w:spacing w:after="0"/>
              <w:rPr>
                <w:sz w:val="16"/>
                <w:szCs w:val="16"/>
                <w:color w:val="auto"/>
              </w:rPr>
            </w:pPr>
          </w:p>
        </w:tc>
        <w:tc>
          <w:tcPr>
            <w:tcW w:w="800" w:type="dxa"/>
            <w:vAlign w:val="bottom"/>
            <w:gridSpan w:val="2"/>
            <w:vMerge w:val="continue"/>
            <w:shd w:val="clear" w:color="auto" w:fill="D2DCE5"/>
          </w:tcPr>
          <w:p>
            <w:pPr>
              <w:spacing w:after="0"/>
              <w:rPr>
                <w:sz w:val="16"/>
                <w:szCs w:val="16"/>
                <w:color w:val="auto"/>
              </w:rPr>
            </w:pPr>
          </w:p>
        </w:tc>
        <w:tc>
          <w:tcPr>
            <w:tcW w:w="120" w:type="dxa"/>
            <w:vAlign w:val="bottom"/>
            <w:shd w:val="clear" w:color="auto" w:fill="D2DCE5"/>
          </w:tcPr>
          <w:p>
            <w:pPr>
              <w:spacing w:after="0"/>
              <w:rPr>
                <w:sz w:val="16"/>
                <w:szCs w:val="16"/>
                <w:color w:val="auto"/>
              </w:rPr>
            </w:pPr>
          </w:p>
        </w:tc>
        <w:tc>
          <w:tcPr>
            <w:tcW w:w="680" w:type="dxa"/>
            <w:vAlign w:val="bottom"/>
            <w:gridSpan w:val="2"/>
            <w:vMerge w:val="continue"/>
            <w:shd w:val="clear" w:color="auto" w:fill="D2DCE5"/>
          </w:tcPr>
          <w:p>
            <w:pPr>
              <w:spacing w:after="0"/>
              <w:rPr>
                <w:sz w:val="16"/>
                <w:szCs w:val="16"/>
                <w:color w:val="auto"/>
              </w:rPr>
            </w:pPr>
          </w:p>
        </w:tc>
        <w:tc>
          <w:tcPr>
            <w:tcW w:w="760" w:type="dxa"/>
            <w:vAlign w:val="bottom"/>
            <w:vMerge w:val="continue"/>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Net loss subsequent</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to the Reorganization</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4"/>
                <w:szCs w:val="14"/>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4"/>
                <w:szCs w:val="14"/>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14"/>
                <w:szCs w:val="14"/>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160" w:type="dxa"/>
            <w:vAlign w:val="bottom"/>
          </w:tcPr>
          <w:p>
            <w:pPr>
              <w:spacing w:after="0"/>
              <w:rPr>
                <w:sz w:val="14"/>
                <w:szCs w:val="14"/>
                <w:color w:val="auto"/>
              </w:rPr>
            </w:pPr>
          </w:p>
        </w:tc>
        <w:tc>
          <w:tcPr>
            <w:tcW w:w="720" w:type="dxa"/>
            <w:vAlign w:val="bottom"/>
            <w:vMerge w:val="restart"/>
          </w:tcPr>
          <w:p>
            <w:pPr>
              <w:ind w:left="160"/>
              <w:spacing w:after="0"/>
              <w:rPr>
                <w:sz w:val="20"/>
                <w:szCs w:val="20"/>
                <w:color w:val="auto"/>
              </w:rPr>
            </w:pPr>
            <w:r>
              <w:rPr>
                <w:rFonts w:ascii="Arial" w:cs="Arial" w:eastAsia="Arial" w:hAnsi="Arial"/>
                <w:sz w:val="14"/>
                <w:szCs w:val="14"/>
                <w:color w:val="131E29"/>
              </w:rPr>
              <w:t>(11,077)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131E29"/>
              </w:rPr>
              <w:t>(31,312)</w:t>
            </w: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131E29"/>
              </w:rPr>
              <w:t>(42,389)</w:t>
            </w:r>
          </w:p>
        </w:tc>
        <w:tc>
          <w:tcPr>
            <w:tcW w:w="0" w:type="dxa"/>
            <w:vAlign w:val="bottom"/>
          </w:tcPr>
          <w:p>
            <w:pPr>
              <w:spacing w:after="0"/>
              <w:rPr>
                <w:sz w:val="1"/>
                <w:szCs w:val="1"/>
                <w:color w:val="auto"/>
              </w:rPr>
            </w:pPr>
          </w:p>
        </w:tc>
      </w:tr>
      <w:tr>
        <w:trPr>
          <w:trHeight w:val="193"/>
        </w:trPr>
        <w:tc>
          <w:tcPr>
            <w:tcW w:w="1580" w:type="dxa"/>
            <w:vAlign w:val="bottom"/>
            <w:gridSpan w:val="2"/>
          </w:tcPr>
          <w:p>
            <w:pPr>
              <w:ind w:left="20"/>
              <w:spacing w:after="0" w:line="193" w:lineRule="exact"/>
              <w:rPr>
                <w:sz w:val="20"/>
                <w:szCs w:val="20"/>
                <w:color w:val="auto"/>
              </w:rPr>
            </w:pPr>
            <w:r>
              <w:rPr>
                <w:rFonts w:ascii="Arial" w:cs="Arial" w:eastAsia="Arial" w:hAnsi="Arial"/>
                <w:sz w:val="14"/>
                <w:szCs w:val="14"/>
                <w:color w:val="131E29"/>
              </w:rPr>
              <w:t xml:space="preserve">Transactions </w:t>
            </w:r>
            <w:r>
              <w:rPr>
                <w:rFonts w:ascii="Arial" w:cs="Arial" w:eastAsia="Arial" w:hAnsi="Arial"/>
                <w:sz w:val="18"/>
                <w:szCs w:val="18"/>
                <w:color w:val="131E29"/>
                <w:vertAlign w:val="superscript"/>
              </w:rPr>
              <w:t>1</w:t>
            </w: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Equity-based</w:t>
            </w:r>
          </w:p>
        </w:tc>
        <w:tc>
          <w:tcPr>
            <w:tcW w:w="12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4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7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6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compensation</w:t>
            </w:r>
          </w:p>
        </w:tc>
        <w:tc>
          <w:tcPr>
            <w:tcW w:w="12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4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2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6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recognized</w:t>
            </w:r>
          </w:p>
        </w:tc>
        <w:tc>
          <w:tcPr>
            <w:tcW w:w="120" w:type="dxa"/>
            <w:vAlign w:val="bottom"/>
            <w:shd w:val="clear" w:color="auto" w:fill="D2DCE5"/>
          </w:tcPr>
          <w:p>
            <w:pPr>
              <w:spacing w:after="0"/>
              <w:rPr>
                <w:sz w:val="14"/>
                <w:szCs w:val="14"/>
                <w:color w:val="auto"/>
              </w:rPr>
            </w:pPr>
          </w:p>
        </w:tc>
        <w:tc>
          <w:tcPr>
            <w:tcW w:w="9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4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7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2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6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subsequent to the</w:t>
            </w:r>
          </w:p>
        </w:tc>
        <w:tc>
          <w:tcPr>
            <w:tcW w:w="120" w:type="dxa"/>
            <w:vAlign w:val="bottom"/>
            <w:shd w:val="clear" w:color="auto" w:fill="D2DCE5"/>
          </w:tcPr>
          <w:p>
            <w:pPr>
              <w:spacing w:after="0"/>
              <w:rPr>
                <w:sz w:val="14"/>
                <w:szCs w:val="14"/>
                <w:color w:val="auto"/>
              </w:rPr>
            </w:pPr>
          </w:p>
        </w:tc>
        <w:tc>
          <w:tcPr>
            <w:tcW w:w="9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4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7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2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6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Reorganization</w:t>
            </w:r>
          </w:p>
        </w:tc>
        <w:tc>
          <w:tcPr>
            <w:tcW w:w="120" w:type="dxa"/>
            <w:vAlign w:val="bottom"/>
            <w:shd w:val="clear" w:color="auto" w:fill="D2DCE5"/>
          </w:tcPr>
          <w:p>
            <w:pPr>
              <w:spacing w:after="0"/>
              <w:rPr>
                <w:sz w:val="14"/>
                <w:szCs w:val="14"/>
                <w:color w:val="auto"/>
              </w:rPr>
            </w:pPr>
          </w:p>
        </w:tc>
        <w:tc>
          <w:tcPr>
            <w:tcW w:w="9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4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7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2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6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Transactions </w:t>
            </w:r>
            <w:r>
              <w:rPr>
                <w:rFonts w:ascii="Arial" w:cs="Arial" w:eastAsia="Arial" w:hAnsi="Arial"/>
                <w:sz w:val="18"/>
                <w:szCs w:val="18"/>
                <w:color w:val="131E29"/>
                <w:vertAlign w:val="superscript"/>
              </w:rPr>
              <w:t>1</w:t>
            </w:r>
          </w:p>
        </w:tc>
        <w:tc>
          <w:tcPr>
            <w:tcW w:w="120" w:type="dxa"/>
            <w:vAlign w:val="bottom"/>
            <w:shd w:val="clear" w:color="auto" w:fill="D2DCE5"/>
          </w:tcPr>
          <w:p>
            <w:pPr>
              <w:spacing w:after="0"/>
              <w:rPr>
                <w:sz w:val="17"/>
                <w:szCs w:val="17"/>
                <w:color w:val="auto"/>
              </w:rPr>
            </w:pPr>
          </w:p>
        </w:tc>
        <w:tc>
          <w:tcPr>
            <w:tcW w:w="104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7"/>
                <w:szCs w:val="17"/>
                <w:color w:val="auto"/>
              </w:rPr>
            </w:pPr>
          </w:p>
        </w:tc>
        <w:tc>
          <w:tcPr>
            <w:tcW w:w="360" w:type="dxa"/>
            <w:vAlign w:val="bottom"/>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4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shd w:val="clear" w:color="auto" w:fill="D2DCE5"/>
          </w:tcPr>
          <w:p>
            <w:pPr>
              <w:spacing w:after="0"/>
              <w:rPr>
                <w:sz w:val="17"/>
                <w:szCs w:val="17"/>
                <w:color w:val="auto"/>
              </w:rPr>
            </w:pPr>
          </w:p>
        </w:tc>
        <w:tc>
          <w:tcPr>
            <w:tcW w:w="50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7"/>
                <w:szCs w:val="17"/>
                <w:color w:val="auto"/>
              </w:rPr>
            </w:pPr>
          </w:p>
        </w:tc>
        <w:tc>
          <w:tcPr>
            <w:tcW w:w="36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spacing w:after="0"/>
              <w:rPr>
                <w:sz w:val="17"/>
                <w:szCs w:val="17"/>
                <w:color w:val="auto"/>
              </w:rPr>
            </w:pPr>
          </w:p>
        </w:tc>
        <w:tc>
          <w:tcPr>
            <w:tcW w:w="380" w:type="dxa"/>
            <w:vAlign w:val="bottom"/>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100" w:type="dxa"/>
            <w:vAlign w:val="bottom"/>
            <w:shd w:val="clear" w:color="auto" w:fill="D2DCE5"/>
          </w:tcPr>
          <w:p>
            <w:pPr>
              <w:spacing w:after="0"/>
              <w:rPr>
                <w:sz w:val="17"/>
                <w:szCs w:val="17"/>
                <w:color w:val="auto"/>
              </w:rPr>
            </w:pPr>
          </w:p>
        </w:tc>
        <w:tc>
          <w:tcPr>
            <w:tcW w:w="60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9,802</w:t>
            </w: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800" w:type="dxa"/>
            <w:vAlign w:val="bottom"/>
            <w:gridSpan w:val="2"/>
            <w:shd w:val="clear" w:color="auto" w:fill="D2DCE5"/>
          </w:tcPr>
          <w:p>
            <w:pPr>
              <w:ind w:left="500"/>
              <w:spacing w:after="0"/>
              <w:rPr>
                <w:sz w:val="20"/>
                <w:szCs w:val="20"/>
                <w:color w:val="auto"/>
              </w:rPr>
            </w:pPr>
            <w:r>
              <w:rPr>
                <w:rFonts w:ascii="Arial" w:cs="Arial" w:eastAsia="Arial" w:hAnsi="Arial"/>
                <w:sz w:val="14"/>
                <w:szCs w:val="14"/>
                <w:color w:val="131E29"/>
              </w:rPr>
              <w:t>—</w:t>
            </w:r>
          </w:p>
        </w:tc>
        <w:tc>
          <w:tcPr>
            <w:tcW w:w="120" w:type="dxa"/>
            <w:vAlign w:val="bottom"/>
            <w:shd w:val="clear" w:color="auto" w:fill="D2DCE5"/>
          </w:tcPr>
          <w:p>
            <w:pPr>
              <w:spacing w:after="0"/>
              <w:rPr>
                <w:sz w:val="17"/>
                <w:szCs w:val="17"/>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24,298</w:t>
            </w:r>
          </w:p>
        </w:tc>
        <w:tc>
          <w:tcPr>
            <w:tcW w:w="80" w:type="dxa"/>
            <w:vAlign w:val="bottom"/>
            <w:shd w:val="clear" w:color="auto" w:fill="D2DCE5"/>
          </w:tcPr>
          <w:p>
            <w:pPr>
              <w:spacing w:after="0"/>
              <w:rPr>
                <w:sz w:val="17"/>
                <w:szCs w:val="17"/>
                <w:color w:val="auto"/>
              </w:rPr>
            </w:pPr>
          </w:p>
        </w:tc>
        <w:tc>
          <w:tcPr>
            <w:tcW w:w="7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34,100</w:t>
            </w:r>
          </w:p>
        </w:tc>
        <w:tc>
          <w:tcPr>
            <w:tcW w:w="0" w:type="dxa"/>
            <w:vAlign w:val="bottom"/>
          </w:tcPr>
          <w:p>
            <w:pPr>
              <w:spacing w:after="0"/>
              <w:rPr>
                <w:sz w:val="1"/>
                <w:szCs w:val="1"/>
                <w:color w:val="auto"/>
              </w:rPr>
            </w:pPr>
          </w:p>
        </w:tc>
      </w:tr>
      <w:tr>
        <w:trPr>
          <w:trHeight w:val="204"/>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Issuance of Class A</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common stock</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pursuant to vesting of</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equity awards, net of</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 xml:space="preserve">stock withheld for tax </w:t>
            </w:r>
            <w:r>
              <w:rPr>
                <w:rFonts w:ascii="Arial" w:cs="Arial" w:eastAsia="Arial" w:hAnsi="Arial"/>
                <w:sz w:val="18"/>
                <w:szCs w:val="18"/>
                <w:color w:val="131E29"/>
                <w:vertAlign w:val="superscript"/>
              </w:rPr>
              <w:t>1</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560" w:type="dxa"/>
            <w:vAlign w:val="bottom"/>
          </w:tcPr>
          <w:p>
            <w:pPr>
              <w:jc w:val="right"/>
              <w:spacing w:after="0"/>
              <w:rPr>
                <w:sz w:val="20"/>
                <w:szCs w:val="20"/>
                <w:color w:val="auto"/>
              </w:rPr>
            </w:pPr>
            <w:r>
              <w:rPr>
                <w:rFonts w:ascii="Arial" w:cs="Arial" w:eastAsia="Arial" w:hAnsi="Arial"/>
                <w:sz w:val="14"/>
                <w:szCs w:val="14"/>
                <w:color w:val="131E29"/>
              </w:rPr>
              <w:t>344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17"/>
                <w:szCs w:val="17"/>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131E29"/>
              </w:rPr>
              <w:t>(3,258)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131E29"/>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131E29"/>
              </w:rPr>
              <w:t>(8,075)</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131E29"/>
              </w:rPr>
              <w:t>(11,333)</w:t>
            </w:r>
          </w:p>
        </w:tc>
        <w:tc>
          <w:tcPr>
            <w:tcW w:w="0" w:type="dxa"/>
            <w:vAlign w:val="bottom"/>
          </w:tcPr>
          <w:p>
            <w:pPr>
              <w:spacing w:after="0"/>
              <w:rPr>
                <w:sz w:val="1"/>
                <w:szCs w:val="1"/>
                <w:color w:val="auto"/>
              </w:rPr>
            </w:pPr>
          </w:p>
        </w:tc>
      </w:tr>
      <w:tr>
        <w:trPr>
          <w:trHeight w:val="204"/>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 of exchange of</w:t>
            </w:r>
          </w:p>
        </w:tc>
        <w:tc>
          <w:tcPr>
            <w:tcW w:w="12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4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7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6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Dutch Bros OpCo</w:t>
            </w:r>
          </w:p>
        </w:tc>
        <w:tc>
          <w:tcPr>
            <w:tcW w:w="12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4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7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2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6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580" w:type="dxa"/>
            <w:vAlign w:val="bottom"/>
            <w:gridSpan w:val="2"/>
            <w:shd w:val="clear" w:color="auto" w:fill="D2DCE5"/>
          </w:tcPr>
          <w:p>
            <w:pPr>
              <w:ind w:left="20"/>
              <w:spacing w:after="0" w:line="134" w:lineRule="exact"/>
              <w:rPr>
                <w:sz w:val="20"/>
                <w:szCs w:val="20"/>
                <w:color w:val="auto"/>
              </w:rPr>
            </w:pPr>
            <w:r>
              <w:rPr>
                <w:rFonts w:ascii="Arial" w:cs="Arial" w:eastAsia="Arial" w:hAnsi="Arial"/>
                <w:sz w:val="14"/>
                <w:szCs w:val="14"/>
                <w:color w:val="131E29"/>
              </w:rPr>
              <w:t>Class A common units</w:t>
            </w:r>
          </w:p>
        </w:tc>
        <w:tc>
          <w:tcPr>
            <w:tcW w:w="120" w:type="dxa"/>
            <w:vAlign w:val="bottom"/>
            <w:shd w:val="clear" w:color="auto" w:fill="D2DCE5"/>
          </w:tcPr>
          <w:p>
            <w:pPr>
              <w:spacing w:after="0"/>
              <w:rPr>
                <w:sz w:val="11"/>
                <w:szCs w:val="11"/>
                <w:color w:val="auto"/>
              </w:rPr>
            </w:pPr>
          </w:p>
        </w:tc>
        <w:tc>
          <w:tcPr>
            <w:tcW w:w="10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1"/>
                <w:szCs w:val="11"/>
                <w:color w:val="auto"/>
              </w:rPr>
            </w:pPr>
          </w:p>
        </w:tc>
        <w:tc>
          <w:tcPr>
            <w:tcW w:w="36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shd w:val="clear" w:color="auto" w:fill="D2DCE5"/>
          </w:tcPr>
          <w:p>
            <w:pPr>
              <w:spacing w:after="0"/>
              <w:rPr>
                <w:sz w:val="11"/>
                <w:szCs w:val="11"/>
                <w:color w:val="auto"/>
              </w:rPr>
            </w:pPr>
          </w:p>
        </w:tc>
        <w:tc>
          <w:tcPr>
            <w:tcW w:w="50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1"/>
                <w:szCs w:val="11"/>
                <w:color w:val="auto"/>
              </w:rPr>
            </w:pPr>
          </w:p>
        </w:tc>
        <w:tc>
          <w:tcPr>
            <w:tcW w:w="3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spacing w:after="0"/>
              <w:rPr>
                <w:sz w:val="11"/>
                <w:szCs w:val="11"/>
                <w:color w:val="auto"/>
              </w:rPr>
            </w:pPr>
          </w:p>
        </w:tc>
        <w:tc>
          <w:tcPr>
            <w:tcW w:w="38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100" w:type="dxa"/>
            <w:vAlign w:val="bottom"/>
            <w:shd w:val="clear" w:color="auto" w:fill="D2DCE5"/>
          </w:tcPr>
          <w:p>
            <w:pPr>
              <w:spacing w:after="0"/>
              <w:rPr>
                <w:sz w:val="11"/>
                <w:szCs w:val="11"/>
                <w:color w:val="auto"/>
              </w:rPr>
            </w:pPr>
          </w:p>
        </w:tc>
        <w:tc>
          <w:tcPr>
            <w:tcW w:w="60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289</w:t>
            </w:r>
          </w:p>
        </w:tc>
        <w:tc>
          <w:tcPr>
            <w:tcW w:w="80" w:type="dxa"/>
            <w:vAlign w:val="bottom"/>
            <w:shd w:val="clear" w:color="auto" w:fill="D2DCE5"/>
          </w:tcPr>
          <w:p>
            <w:pPr>
              <w:spacing w:after="0"/>
              <w:rPr>
                <w:sz w:val="11"/>
                <w:szCs w:val="11"/>
                <w:color w:val="auto"/>
              </w:rPr>
            </w:pPr>
          </w:p>
        </w:tc>
        <w:tc>
          <w:tcPr>
            <w:tcW w:w="160" w:type="dxa"/>
            <w:vAlign w:val="bottom"/>
            <w:shd w:val="clear" w:color="auto" w:fill="D2DCE5"/>
          </w:tcPr>
          <w:p>
            <w:pPr>
              <w:spacing w:after="0"/>
              <w:rPr>
                <w:sz w:val="11"/>
                <w:szCs w:val="11"/>
                <w:color w:val="auto"/>
              </w:rPr>
            </w:pPr>
          </w:p>
        </w:tc>
        <w:tc>
          <w:tcPr>
            <w:tcW w:w="800" w:type="dxa"/>
            <w:vAlign w:val="bottom"/>
            <w:gridSpan w:val="2"/>
            <w:vMerge w:val="restart"/>
            <w:shd w:val="clear" w:color="auto" w:fill="D2DCE5"/>
          </w:tcPr>
          <w:p>
            <w:pPr>
              <w:ind w:left="500"/>
              <w:spacing w:after="0"/>
              <w:rPr>
                <w:sz w:val="20"/>
                <w:szCs w:val="20"/>
                <w:color w:val="auto"/>
              </w:rPr>
            </w:pPr>
            <w:r>
              <w:rPr>
                <w:rFonts w:ascii="Arial" w:cs="Arial" w:eastAsia="Arial" w:hAnsi="Arial"/>
                <w:sz w:val="14"/>
                <w:szCs w:val="14"/>
                <w:color w:val="131E29"/>
              </w:rPr>
              <w:t>—</w:t>
            </w:r>
          </w:p>
        </w:tc>
        <w:tc>
          <w:tcPr>
            <w:tcW w:w="120" w:type="dxa"/>
            <w:vAlign w:val="bottom"/>
            <w:shd w:val="clear" w:color="auto" w:fill="D2DCE5"/>
          </w:tcPr>
          <w:p>
            <w:pPr>
              <w:spacing w:after="0"/>
              <w:rPr>
                <w:sz w:val="11"/>
                <w:szCs w:val="11"/>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(289)</w:t>
            </w:r>
          </w:p>
        </w:tc>
        <w:tc>
          <w:tcPr>
            <w:tcW w:w="80" w:type="dxa"/>
            <w:vAlign w:val="bottom"/>
            <w:shd w:val="clear" w:color="auto" w:fill="D2DCE5"/>
          </w:tcPr>
          <w:p>
            <w:pPr>
              <w:spacing w:after="0"/>
              <w:rPr>
                <w:sz w:val="11"/>
                <w:szCs w:val="11"/>
                <w:color w:val="auto"/>
              </w:rPr>
            </w:pPr>
          </w:p>
        </w:tc>
        <w:tc>
          <w:tcPr>
            <w:tcW w:w="7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56"/>
        </w:trPr>
        <w:tc>
          <w:tcPr>
            <w:tcW w:w="15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9"/>
                <w:szCs w:val="9"/>
                <w:color w:val="131E29"/>
              </w:rPr>
              <w:t>1</w:t>
            </w:r>
          </w:p>
        </w:tc>
        <w:tc>
          <w:tcPr>
            <w:tcW w:w="80" w:type="dxa"/>
            <w:vAlign w:val="bottom"/>
            <w:tcBorders>
              <w:bottom w:val="single" w:sz="8" w:color="D2DCE5"/>
            </w:tcBorders>
            <w:shd w:val="clear" w:color="auto" w:fill="D2DCE5"/>
          </w:tcPr>
          <w:p>
            <w:pPr>
              <w:spacing w:after="0"/>
              <w:rPr>
                <w:sz w:val="13"/>
                <w:szCs w:val="13"/>
                <w:color w:val="auto"/>
              </w:rPr>
            </w:pPr>
          </w:p>
        </w:tc>
        <w:tc>
          <w:tcPr>
            <w:tcW w:w="120" w:type="dxa"/>
            <w:vAlign w:val="bottom"/>
            <w:tcBorders>
              <w:bottom w:val="single" w:sz="8" w:color="D2DCE5"/>
            </w:tcBorders>
            <w:shd w:val="clear" w:color="auto" w:fill="D2DCE5"/>
          </w:tcPr>
          <w:p>
            <w:pPr>
              <w:spacing w:after="0"/>
              <w:rPr>
                <w:sz w:val="13"/>
                <w:szCs w:val="13"/>
                <w:color w:val="auto"/>
              </w:rPr>
            </w:pPr>
          </w:p>
        </w:tc>
        <w:tc>
          <w:tcPr>
            <w:tcW w:w="1040" w:type="dxa"/>
            <w:vAlign w:val="bottom"/>
            <w:tcBorders>
              <w:bottom w:val="single" w:sz="8" w:color="D2DCE5"/>
            </w:tcBorders>
            <w:gridSpan w:val="2"/>
            <w:vMerge w:val="continue"/>
            <w:shd w:val="clear" w:color="auto" w:fill="D2DCE5"/>
          </w:tcPr>
          <w:p>
            <w:pPr>
              <w:spacing w:after="0"/>
              <w:rPr>
                <w:sz w:val="13"/>
                <w:szCs w:val="13"/>
                <w:color w:val="auto"/>
              </w:rPr>
            </w:pPr>
          </w:p>
        </w:tc>
        <w:tc>
          <w:tcPr>
            <w:tcW w:w="640" w:type="dxa"/>
            <w:vAlign w:val="bottom"/>
            <w:tcBorders>
              <w:bottom w:val="single" w:sz="8" w:color="D2DCE5"/>
            </w:tcBorders>
            <w:gridSpan w:val="2"/>
            <w:vMerge w:val="continue"/>
            <w:shd w:val="clear" w:color="auto" w:fill="D2DCE5"/>
          </w:tcPr>
          <w:p>
            <w:pPr>
              <w:spacing w:after="0"/>
              <w:rPr>
                <w:sz w:val="13"/>
                <w:szCs w:val="13"/>
                <w:color w:val="auto"/>
              </w:rPr>
            </w:pPr>
          </w:p>
        </w:tc>
        <w:tc>
          <w:tcPr>
            <w:tcW w:w="300" w:type="dxa"/>
            <w:vAlign w:val="bottom"/>
            <w:tcBorders>
              <w:bottom w:val="single" w:sz="8" w:color="D2DCE5"/>
            </w:tcBorders>
            <w:shd w:val="clear" w:color="auto" w:fill="D2DCE5"/>
          </w:tcPr>
          <w:p>
            <w:pPr>
              <w:spacing w:after="0"/>
              <w:rPr>
                <w:sz w:val="13"/>
                <w:szCs w:val="13"/>
                <w:color w:val="auto"/>
              </w:rPr>
            </w:pPr>
          </w:p>
        </w:tc>
        <w:tc>
          <w:tcPr>
            <w:tcW w:w="360" w:type="dxa"/>
            <w:vAlign w:val="bottom"/>
            <w:tcBorders>
              <w:bottom w:val="single" w:sz="8" w:color="D2DCE5"/>
            </w:tcBorders>
            <w:gridSpan w:val="2"/>
            <w:vMerge w:val="continue"/>
            <w:shd w:val="clear" w:color="auto" w:fill="D2DCE5"/>
          </w:tcPr>
          <w:p>
            <w:pPr>
              <w:spacing w:after="0"/>
              <w:rPr>
                <w:sz w:val="13"/>
                <w:szCs w:val="13"/>
                <w:color w:val="auto"/>
              </w:rPr>
            </w:pPr>
          </w:p>
        </w:tc>
        <w:tc>
          <w:tcPr>
            <w:tcW w:w="640" w:type="dxa"/>
            <w:vAlign w:val="bottom"/>
            <w:tcBorders>
              <w:bottom w:val="single" w:sz="8" w:color="D2DCE5"/>
            </w:tcBorders>
            <w:gridSpan w:val="2"/>
            <w:vMerge w:val="continue"/>
            <w:shd w:val="clear" w:color="auto" w:fill="D2DCE5"/>
          </w:tcPr>
          <w:p>
            <w:pPr>
              <w:spacing w:after="0"/>
              <w:rPr>
                <w:sz w:val="13"/>
                <w:szCs w:val="13"/>
                <w:color w:val="auto"/>
              </w:rPr>
            </w:pPr>
          </w:p>
        </w:tc>
        <w:tc>
          <w:tcPr>
            <w:tcW w:w="160" w:type="dxa"/>
            <w:vAlign w:val="bottom"/>
            <w:tcBorders>
              <w:bottom w:val="single" w:sz="8" w:color="D2DCE5"/>
            </w:tcBorders>
            <w:shd w:val="clear" w:color="auto" w:fill="D2DCE5"/>
          </w:tcPr>
          <w:p>
            <w:pPr>
              <w:spacing w:after="0"/>
              <w:rPr>
                <w:sz w:val="13"/>
                <w:szCs w:val="13"/>
                <w:color w:val="auto"/>
              </w:rPr>
            </w:pPr>
          </w:p>
        </w:tc>
        <w:tc>
          <w:tcPr>
            <w:tcW w:w="500" w:type="dxa"/>
            <w:vAlign w:val="bottom"/>
            <w:tcBorders>
              <w:bottom w:val="single" w:sz="8" w:color="D2DCE5"/>
            </w:tcBorders>
            <w:gridSpan w:val="2"/>
            <w:vMerge w:val="continue"/>
            <w:shd w:val="clear" w:color="auto" w:fill="D2DCE5"/>
          </w:tcPr>
          <w:p>
            <w:pPr>
              <w:spacing w:after="0"/>
              <w:rPr>
                <w:sz w:val="13"/>
                <w:szCs w:val="13"/>
                <w:color w:val="auto"/>
              </w:rPr>
            </w:pPr>
          </w:p>
        </w:tc>
        <w:tc>
          <w:tcPr>
            <w:tcW w:w="640" w:type="dxa"/>
            <w:vAlign w:val="bottom"/>
            <w:tcBorders>
              <w:bottom w:val="single" w:sz="8" w:color="D2DCE5"/>
            </w:tcBorders>
            <w:gridSpan w:val="2"/>
            <w:vMerge w:val="continue"/>
            <w:shd w:val="clear" w:color="auto" w:fill="D2DCE5"/>
          </w:tcPr>
          <w:p>
            <w:pPr>
              <w:spacing w:after="0"/>
              <w:rPr>
                <w:sz w:val="13"/>
                <w:szCs w:val="13"/>
                <w:color w:val="auto"/>
              </w:rPr>
            </w:pPr>
          </w:p>
        </w:tc>
        <w:tc>
          <w:tcPr>
            <w:tcW w:w="300" w:type="dxa"/>
            <w:vAlign w:val="bottom"/>
            <w:tcBorders>
              <w:bottom w:val="single" w:sz="8" w:color="D2DCE5"/>
            </w:tcBorders>
            <w:shd w:val="clear" w:color="auto" w:fill="D2DCE5"/>
          </w:tcPr>
          <w:p>
            <w:pPr>
              <w:spacing w:after="0"/>
              <w:rPr>
                <w:sz w:val="13"/>
                <w:szCs w:val="13"/>
                <w:color w:val="auto"/>
              </w:rPr>
            </w:pPr>
          </w:p>
        </w:tc>
        <w:tc>
          <w:tcPr>
            <w:tcW w:w="360" w:type="dxa"/>
            <w:vAlign w:val="bottom"/>
            <w:tcBorders>
              <w:bottom w:val="single" w:sz="8" w:color="D2DCE5"/>
            </w:tcBorders>
            <w:gridSpan w:val="2"/>
            <w:vMerge w:val="continue"/>
            <w:shd w:val="clear" w:color="auto" w:fill="D2DCE5"/>
          </w:tcPr>
          <w:p>
            <w:pPr>
              <w:spacing w:after="0"/>
              <w:rPr>
                <w:sz w:val="13"/>
                <w:szCs w:val="13"/>
                <w:color w:val="auto"/>
              </w:rPr>
            </w:pPr>
          </w:p>
        </w:tc>
        <w:tc>
          <w:tcPr>
            <w:tcW w:w="640" w:type="dxa"/>
            <w:vAlign w:val="bottom"/>
            <w:tcBorders>
              <w:bottom w:val="single" w:sz="8" w:color="D2DCE5"/>
            </w:tcBorders>
            <w:gridSpan w:val="2"/>
            <w:vMerge w:val="continue"/>
            <w:shd w:val="clear" w:color="auto" w:fill="D2DCE5"/>
          </w:tcPr>
          <w:p>
            <w:pPr>
              <w:spacing w:after="0"/>
              <w:rPr>
                <w:sz w:val="13"/>
                <w:szCs w:val="13"/>
                <w:color w:val="auto"/>
              </w:rPr>
            </w:pPr>
          </w:p>
        </w:tc>
        <w:tc>
          <w:tcPr>
            <w:tcW w:w="280" w:type="dxa"/>
            <w:vAlign w:val="bottom"/>
            <w:tcBorders>
              <w:bottom w:val="single" w:sz="8" w:color="D2DCE5"/>
            </w:tcBorders>
            <w:shd w:val="clear" w:color="auto" w:fill="D2DCE5"/>
          </w:tcPr>
          <w:p>
            <w:pPr>
              <w:spacing w:after="0"/>
              <w:rPr>
                <w:sz w:val="13"/>
                <w:szCs w:val="13"/>
                <w:color w:val="auto"/>
              </w:rPr>
            </w:pPr>
          </w:p>
        </w:tc>
        <w:tc>
          <w:tcPr>
            <w:tcW w:w="380" w:type="dxa"/>
            <w:vAlign w:val="bottom"/>
            <w:tcBorders>
              <w:bottom w:val="single" w:sz="8" w:color="D2DCE5"/>
            </w:tcBorders>
            <w:gridSpan w:val="2"/>
            <w:vMerge w:val="continue"/>
            <w:shd w:val="clear" w:color="auto" w:fill="D2DCE5"/>
          </w:tcPr>
          <w:p>
            <w:pPr>
              <w:spacing w:after="0"/>
              <w:rPr>
                <w:sz w:val="13"/>
                <w:szCs w:val="13"/>
                <w:color w:val="auto"/>
              </w:rPr>
            </w:pPr>
          </w:p>
        </w:tc>
        <w:tc>
          <w:tcPr>
            <w:tcW w:w="100" w:type="dxa"/>
            <w:vAlign w:val="bottom"/>
            <w:tcBorders>
              <w:bottom w:val="single" w:sz="8" w:color="D2DCE5"/>
            </w:tcBorders>
            <w:shd w:val="clear" w:color="auto" w:fill="D2DCE5"/>
          </w:tcPr>
          <w:p>
            <w:pPr>
              <w:spacing w:after="0"/>
              <w:rPr>
                <w:sz w:val="13"/>
                <w:szCs w:val="13"/>
                <w:color w:val="auto"/>
              </w:rPr>
            </w:pPr>
          </w:p>
        </w:tc>
        <w:tc>
          <w:tcPr>
            <w:tcW w:w="600" w:type="dxa"/>
            <w:vAlign w:val="bottom"/>
            <w:tcBorders>
              <w:bottom w:val="single" w:sz="8" w:color="D2DCE5"/>
            </w:tcBorders>
            <w:vMerge w:val="continue"/>
            <w:shd w:val="clear" w:color="auto" w:fill="D2DCE5"/>
          </w:tcPr>
          <w:p>
            <w:pPr>
              <w:spacing w:after="0"/>
              <w:rPr>
                <w:sz w:val="13"/>
                <w:szCs w:val="13"/>
                <w:color w:val="auto"/>
              </w:rPr>
            </w:pPr>
          </w:p>
        </w:tc>
        <w:tc>
          <w:tcPr>
            <w:tcW w:w="80" w:type="dxa"/>
            <w:vAlign w:val="bottom"/>
            <w:tcBorders>
              <w:bottom w:val="single" w:sz="8" w:color="D2DCE5"/>
            </w:tcBorders>
            <w:shd w:val="clear" w:color="auto" w:fill="D2DCE5"/>
          </w:tcPr>
          <w:p>
            <w:pPr>
              <w:spacing w:after="0"/>
              <w:rPr>
                <w:sz w:val="13"/>
                <w:szCs w:val="13"/>
                <w:color w:val="auto"/>
              </w:rPr>
            </w:pPr>
          </w:p>
        </w:tc>
        <w:tc>
          <w:tcPr>
            <w:tcW w:w="160" w:type="dxa"/>
            <w:vAlign w:val="bottom"/>
            <w:tcBorders>
              <w:bottom w:val="single" w:sz="8" w:color="D2DCE5"/>
            </w:tcBorders>
            <w:shd w:val="clear" w:color="auto" w:fill="D2DCE5"/>
          </w:tcPr>
          <w:p>
            <w:pPr>
              <w:spacing w:after="0"/>
              <w:rPr>
                <w:sz w:val="13"/>
                <w:szCs w:val="13"/>
                <w:color w:val="auto"/>
              </w:rPr>
            </w:pPr>
          </w:p>
        </w:tc>
        <w:tc>
          <w:tcPr>
            <w:tcW w:w="800" w:type="dxa"/>
            <w:vAlign w:val="bottom"/>
            <w:tcBorders>
              <w:bottom w:val="single" w:sz="8" w:color="D2DCE5"/>
            </w:tcBorders>
            <w:gridSpan w:val="2"/>
            <w:vMerge w:val="continue"/>
            <w:shd w:val="clear" w:color="auto" w:fill="D2DCE5"/>
          </w:tcPr>
          <w:p>
            <w:pPr>
              <w:spacing w:after="0"/>
              <w:rPr>
                <w:sz w:val="13"/>
                <w:szCs w:val="13"/>
                <w:color w:val="auto"/>
              </w:rPr>
            </w:pPr>
          </w:p>
        </w:tc>
        <w:tc>
          <w:tcPr>
            <w:tcW w:w="120" w:type="dxa"/>
            <w:vAlign w:val="bottom"/>
            <w:tcBorders>
              <w:bottom w:val="single" w:sz="8" w:color="D2DCE5"/>
            </w:tcBorders>
            <w:shd w:val="clear" w:color="auto" w:fill="D2DCE5"/>
          </w:tcPr>
          <w:p>
            <w:pPr>
              <w:spacing w:after="0"/>
              <w:rPr>
                <w:sz w:val="13"/>
                <w:szCs w:val="13"/>
                <w:color w:val="auto"/>
              </w:rPr>
            </w:pPr>
          </w:p>
        </w:tc>
        <w:tc>
          <w:tcPr>
            <w:tcW w:w="600" w:type="dxa"/>
            <w:vAlign w:val="bottom"/>
            <w:tcBorders>
              <w:bottom w:val="single" w:sz="8" w:color="D2DCE5"/>
            </w:tcBorders>
            <w:vMerge w:val="continue"/>
            <w:shd w:val="clear" w:color="auto" w:fill="D2DCE5"/>
          </w:tcPr>
          <w:p>
            <w:pPr>
              <w:spacing w:after="0"/>
              <w:rPr>
                <w:sz w:val="13"/>
                <w:szCs w:val="13"/>
                <w:color w:val="auto"/>
              </w:rPr>
            </w:pPr>
          </w:p>
        </w:tc>
        <w:tc>
          <w:tcPr>
            <w:tcW w:w="80" w:type="dxa"/>
            <w:vAlign w:val="bottom"/>
            <w:tcBorders>
              <w:bottom w:val="single" w:sz="8" w:color="D2DCE5"/>
            </w:tcBorders>
            <w:shd w:val="clear" w:color="auto" w:fill="D2DCE5"/>
          </w:tcPr>
          <w:p>
            <w:pPr>
              <w:spacing w:after="0"/>
              <w:rPr>
                <w:sz w:val="13"/>
                <w:szCs w:val="13"/>
                <w:color w:val="auto"/>
              </w:rPr>
            </w:pPr>
          </w:p>
        </w:tc>
        <w:tc>
          <w:tcPr>
            <w:tcW w:w="760" w:type="dxa"/>
            <w:vAlign w:val="bottom"/>
            <w:tcBorders>
              <w:bottom w:val="single" w:sz="8" w:color="D2DCE5"/>
            </w:tcBorders>
            <w:vMerge w:val="continue"/>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Surrender and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80" w:type="dxa"/>
            <w:vAlign w:val="bottom"/>
            <w:gridSpan w:val="2"/>
          </w:tcPr>
          <w:p>
            <w:pPr>
              <w:ind w:left="20"/>
              <w:spacing w:after="0"/>
              <w:rPr>
                <w:sz w:val="20"/>
                <w:szCs w:val="20"/>
                <w:color w:val="auto"/>
              </w:rPr>
            </w:pPr>
            <w:r>
              <w:rPr>
                <w:rFonts w:ascii="Arial" w:cs="Arial" w:eastAsia="Arial" w:hAnsi="Arial"/>
                <w:sz w:val="14"/>
                <w:szCs w:val="14"/>
                <w:color w:val="131E29"/>
              </w:rPr>
              <w:t>cancellation of Class</w:t>
            </w: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vMerge w:val="restart"/>
          </w:tcPr>
          <w:p>
            <w:pPr>
              <w:ind w:left="80"/>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vMerge w:val="restart"/>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131E29"/>
              </w:rPr>
              <w:t>(1,595)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131E29"/>
              </w:rPr>
              <w:t>(34,394)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ind w:left="500"/>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131E29"/>
              </w:rPr>
              <w:t>(34,394)</w:t>
            </w:r>
          </w:p>
        </w:tc>
        <w:tc>
          <w:tcPr>
            <w:tcW w:w="0" w:type="dxa"/>
            <w:vAlign w:val="bottom"/>
          </w:tcPr>
          <w:p>
            <w:pPr>
              <w:spacing w:after="0"/>
              <w:rPr>
                <w:sz w:val="1"/>
                <w:szCs w:val="1"/>
                <w:color w:val="auto"/>
              </w:rPr>
            </w:pPr>
          </w:p>
        </w:tc>
      </w:tr>
      <w:tr>
        <w:trPr>
          <w:trHeight w:val="181"/>
        </w:trPr>
        <w:tc>
          <w:tcPr>
            <w:tcW w:w="15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C &amp; D common stock</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2DCE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8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September</w:t>
            </w:r>
          </w:p>
        </w:tc>
        <w:tc>
          <w:tcPr>
            <w:tcW w:w="1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0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34,432</w:t>
            </w:r>
          </w:p>
        </w:tc>
        <w:tc>
          <w:tcPr>
            <w:tcW w:w="80" w:type="dxa"/>
            <w:vAlign w:val="bottom"/>
            <w:shd w:val="clear" w:color="auto" w:fill="D2DCE5"/>
          </w:tcPr>
          <w:p>
            <w:pPr>
              <w:spacing w:after="0"/>
              <w:rPr>
                <w:sz w:val="15"/>
                <w:szCs w:val="15"/>
                <w:color w:val="auto"/>
              </w:rPr>
            </w:pPr>
          </w:p>
        </w:tc>
        <w:tc>
          <w:tcPr>
            <w:tcW w:w="300" w:type="dxa"/>
            <w:vAlign w:val="bottom"/>
            <w:vMerge w:val="restart"/>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36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64,699</w:t>
            </w:r>
          </w:p>
        </w:tc>
        <w:tc>
          <w:tcPr>
            <w:tcW w:w="80" w:type="dxa"/>
            <w:vAlign w:val="bottom"/>
            <w:shd w:val="clear" w:color="auto" w:fill="D2DCE5"/>
          </w:tcPr>
          <w:p>
            <w:pPr>
              <w:spacing w:after="0"/>
              <w:rPr>
                <w:sz w:val="15"/>
                <w:szCs w:val="15"/>
                <w:color w:val="auto"/>
              </w:rPr>
            </w:pPr>
          </w:p>
        </w:tc>
        <w:tc>
          <w:tcPr>
            <w:tcW w:w="160" w:type="dxa"/>
            <w:vAlign w:val="bottom"/>
            <w:vMerge w:val="restart"/>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4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80" w:type="dxa"/>
            <w:vAlign w:val="bottom"/>
            <w:shd w:val="clear" w:color="auto" w:fill="D2DCE5"/>
          </w:tcPr>
          <w:p>
            <w:pPr>
              <w:spacing w:after="0"/>
              <w:rPr>
                <w:sz w:val="15"/>
                <w:szCs w:val="15"/>
                <w:color w:val="auto"/>
              </w:rPr>
            </w:pPr>
          </w:p>
        </w:tc>
        <w:tc>
          <w:tcPr>
            <w:tcW w:w="56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49,006</w:t>
            </w:r>
          </w:p>
        </w:tc>
        <w:tc>
          <w:tcPr>
            <w:tcW w:w="80" w:type="dxa"/>
            <w:vAlign w:val="bottom"/>
            <w:shd w:val="clear" w:color="auto" w:fill="D2DCE5"/>
          </w:tcPr>
          <w:p>
            <w:pPr>
              <w:spacing w:after="0"/>
              <w:rPr>
                <w:sz w:val="15"/>
                <w:szCs w:val="15"/>
                <w:color w:val="auto"/>
              </w:rPr>
            </w:pPr>
          </w:p>
        </w:tc>
        <w:tc>
          <w:tcPr>
            <w:tcW w:w="300" w:type="dxa"/>
            <w:vAlign w:val="bottom"/>
            <w:vMerge w:val="restart"/>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28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1</w:t>
            </w:r>
          </w:p>
        </w:tc>
        <w:tc>
          <w:tcPr>
            <w:tcW w:w="80" w:type="dxa"/>
            <w:vAlign w:val="bottom"/>
            <w:shd w:val="clear" w:color="auto" w:fill="D2DCE5"/>
          </w:tcPr>
          <w:p>
            <w:pPr>
              <w:spacing w:after="0"/>
              <w:rPr>
                <w:sz w:val="15"/>
                <w:szCs w:val="15"/>
                <w:color w:val="auto"/>
              </w:rPr>
            </w:pPr>
          </w:p>
        </w:tc>
        <w:tc>
          <w:tcPr>
            <w:tcW w:w="5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15,441</w:t>
            </w:r>
          </w:p>
        </w:tc>
        <w:tc>
          <w:tcPr>
            <w:tcW w:w="100" w:type="dxa"/>
            <w:vAlign w:val="bottom"/>
            <w:shd w:val="clear" w:color="auto" w:fill="D2DCE5"/>
          </w:tcPr>
          <w:p>
            <w:pPr>
              <w:spacing w:after="0"/>
              <w:rPr>
                <w:sz w:val="15"/>
                <w:szCs w:val="15"/>
                <w:color w:val="auto"/>
              </w:rPr>
            </w:pPr>
          </w:p>
        </w:tc>
        <w:tc>
          <w:tcPr>
            <w:tcW w:w="280" w:type="dxa"/>
            <w:vAlign w:val="bottom"/>
            <w:vMerge w:val="restart"/>
            <w:shd w:val="clear" w:color="auto" w:fill="D2DCE5"/>
          </w:tcPr>
          <w:p>
            <w:pPr>
              <w:spacing w:after="0"/>
              <w:rPr>
                <w:sz w:val="20"/>
                <w:szCs w:val="20"/>
                <w:color w:val="auto"/>
              </w:rPr>
            </w:pPr>
            <w:r>
              <w:rPr>
                <w:rFonts w:ascii="Arial" w:cs="Arial" w:eastAsia="Arial" w:hAnsi="Arial"/>
                <w:sz w:val="14"/>
                <w:szCs w:val="14"/>
                <w:color w:val="131E29"/>
              </w:rPr>
              <w:t>$</w:t>
            </w:r>
          </w:p>
        </w:tc>
        <w:tc>
          <w:tcPr>
            <w:tcW w:w="38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700" w:type="dxa"/>
            <w:vAlign w:val="bottom"/>
            <w:gridSpan w:val="2"/>
            <w:vMerge w:val="restart"/>
            <w:shd w:val="clear" w:color="auto" w:fill="D2DCE5"/>
          </w:tcPr>
          <w:p>
            <w:pPr>
              <w:jc w:val="right"/>
              <w:ind w:right="8"/>
              <w:spacing w:after="0"/>
              <w:rPr>
                <w:sz w:val="20"/>
                <w:szCs w:val="20"/>
                <w:color w:val="auto"/>
              </w:rPr>
            </w:pPr>
            <w:r>
              <w:rPr>
                <w:rFonts w:ascii="Arial" w:cs="Arial" w:eastAsia="Arial" w:hAnsi="Arial"/>
                <w:sz w:val="14"/>
                <w:szCs w:val="14"/>
                <w:color w:val="131E29"/>
                <w:w w:val="96"/>
              </w:rPr>
              <w:t>$ 105,043</w:t>
            </w:r>
          </w:p>
        </w:tc>
        <w:tc>
          <w:tcPr>
            <w:tcW w:w="80" w:type="dxa"/>
            <w:vAlign w:val="bottom"/>
            <w:shd w:val="clear" w:color="auto" w:fill="D2DCE5"/>
          </w:tcPr>
          <w:p>
            <w:pPr>
              <w:spacing w:after="0"/>
              <w:rPr>
                <w:sz w:val="15"/>
                <w:szCs w:val="15"/>
                <w:color w:val="auto"/>
              </w:rPr>
            </w:pPr>
          </w:p>
        </w:tc>
        <w:tc>
          <w:tcPr>
            <w:tcW w:w="160" w:type="dxa"/>
            <w:vAlign w:val="bottom"/>
            <w:vMerge w:val="restart"/>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720" w:type="dxa"/>
            <w:vAlign w:val="bottom"/>
            <w:vMerge w:val="restart"/>
            <w:shd w:val="clear" w:color="auto" w:fill="D2DCE5"/>
          </w:tcPr>
          <w:p>
            <w:pPr>
              <w:ind w:left="160"/>
              <w:spacing w:after="0"/>
              <w:rPr>
                <w:sz w:val="20"/>
                <w:szCs w:val="20"/>
                <w:color w:val="auto"/>
              </w:rPr>
            </w:pPr>
            <w:r>
              <w:rPr>
                <w:rFonts w:ascii="Arial" w:cs="Arial" w:eastAsia="Arial" w:hAnsi="Arial"/>
                <w:sz w:val="14"/>
                <w:szCs w:val="14"/>
                <w:color w:val="131E29"/>
              </w:rPr>
              <w:t>(11,077)</w:t>
            </w:r>
          </w:p>
        </w:tc>
        <w:tc>
          <w:tcPr>
            <w:tcW w:w="80" w:type="dxa"/>
            <w:vAlign w:val="bottom"/>
            <w:shd w:val="clear" w:color="auto" w:fill="D2DCE5"/>
          </w:tcPr>
          <w:p>
            <w:pPr>
              <w:spacing w:after="0"/>
              <w:rPr>
                <w:sz w:val="15"/>
                <w:szCs w:val="15"/>
                <w:color w:val="auto"/>
              </w:rPr>
            </w:pPr>
          </w:p>
        </w:tc>
        <w:tc>
          <w:tcPr>
            <w:tcW w:w="120" w:type="dxa"/>
            <w:vAlign w:val="bottom"/>
            <w:vMerge w:val="restart"/>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118,687</w:t>
            </w:r>
          </w:p>
        </w:tc>
        <w:tc>
          <w:tcPr>
            <w:tcW w:w="80" w:type="dxa"/>
            <w:vAlign w:val="bottom"/>
            <w:shd w:val="clear" w:color="auto" w:fill="D2DCE5"/>
          </w:tcPr>
          <w:p>
            <w:pPr>
              <w:spacing w:after="0"/>
              <w:rPr>
                <w:sz w:val="15"/>
                <w:szCs w:val="15"/>
                <w:color w:val="auto"/>
              </w:rPr>
            </w:pPr>
          </w:p>
        </w:tc>
        <w:tc>
          <w:tcPr>
            <w:tcW w:w="7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$ 212,655</w:t>
            </w:r>
          </w:p>
        </w:tc>
        <w:tc>
          <w:tcPr>
            <w:tcW w:w="0" w:type="dxa"/>
            <w:vAlign w:val="bottom"/>
          </w:tcPr>
          <w:p>
            <w:pPr>
              <w:spacing w:after="0"/>
              <w:rPr>
                <w:sz w:val="1"/>
                <w:szCs w:val="1"/>
                <w:color w:val="auto"/>
              </w:rPr>
            </w:pPr>
          </w:p>
        </w:tc>
      </w:tr>
      <w:tr>
        <w:trPr>
          <w:trHeight w:val="209"/>
        </w:trPr>
        <w:tc>
          <w:tcPr>
            <w:tcW w:w="1500" w:type="dxa"/>
            <w:vAlign w:val="bottom"/>
            <w:shd w:val="clear" w:color="auto" w:fill="D2DCE5"/>
          </w:tcPr>
          <w:p>
            <w:pPr>
              <w:ind w:left="20"/>
              <w:spacing w:after="0"/>
              <w:rPr>
                <w:sz w:val="20"/>
                <w:szCs w:val="20"/>
                <w:color w:val="auto"/>
              </w:rPr>
            </w:pPr>
            <w:r>
              <w:rPr>
                <w:rFonts w:ascii="Arial" w:cs="Arial" w:eastAsia="Arial" w:hAnsi="Arial"/>
                <w:sz w:val="14"/>
                <w:szCs w:val="14"/>
                <w:b w:val="1"/>
                <w:bCs w:val="1"/>
                <w:color w:val="131E29"/>
              </w:rPr>
              <w:t>30, 2021 ¹</w:t>
            </w:r>
          </w:p>
        </w:tc>
        <w:tc>
          <w:tcPr>
            <w:tcW w:w="80" w:type="dxa"/>
            <w:vAlign w:val="bottom"/>
            <w:shd w:val="clear" w:color="auto" w:fill="D2DCE5"/>
          </w:tcPr>
          <w:p>
            <w:pPr>
              <w:spacing w:after="0"/>
              <w:rPr>
                <w:sz w:val="18"/>
                <w:szCs w:val="18"/>
                <w:color w:val="auto"/>
              </w:rPr>
            </w:pPr>
          </w:p>
        </w:tc>
        <w:tc>
          <w:tcPr>
            <w:tcW w:w="120" w:type="dxa"/>
            <w:vAlign w:val="bottom"/>
            <w:vMerge w:val="continue"/>
            <w:shd w:val="clear" w:color="auto" w:fill="D2DCE5"/>
          </w:tcPr>
          <w:p>
            <w:pPr>
              <w:spacing w:after="0"/>
              <w:rPr>
                <w:sz w:val="18"/>
                <w:szCs w:val="18"/>
                <w:color w:val="auto"/>
              </w:rPr>
            </w:pPr>
          </w:p>
        </w:tc>
        <w:tc>
          <w:tcPr>
            <w:tcW w:w="1040" w:type="dxa"/>
            <w:vAlign w:val="bottom"/>
            <w:gridSpan w:val="2"/>
            <w:vMerge w:val="continue"/>
            <w:shd w:val="clear" w:color="auto" w:fill="D2DCE5"/>
          </w:tcPr>
          <w:p>
            <w:pPr>
              <w:spacing w:after="0"/>
              <w:rPr>
                <w:sz w:val="18"/>
                <w:szCs w:val="18"/>
                <w:color w:val="auto"/>
              </w:rPr>
            </w:pPr>
          </w:p>
        </w:tc>
        <w:tc>
          <w:tcPr>
            <w:tcW w:w="56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vMerge w:val="continue"/>
            <w:shd w:val="clear" w:color="auto" w:fill="D2DCE5"/>
          </w:tcPr>
          <w:p>
            <w:pPr>
              <w:spacing w:after="0"/>
              <w:rPr>
                <w:sz w:val="18"/>
                <w:szCs w:val="18"/>
                <w:color w:val="auto"/>
              </w:rPr>
            </w:pPr>
          </w:p>
        </w:tc>
        <w:tc>
          <w:tcPr>
            <w:tcW w:w="360" w:type="dxa"/>
            <w:vAlign w:val="bottom"/>
            <w:gridSpan w:val="2"/>
            <w:vMerge w:val="continue"/>
            <w:shd w:val="clear" w:color="auto" w:fill="D2DCE5"/>
          </w:tcPr>
          <w:p>
            <w:pPr>
              <w:spacing w:after="0"/>
              <w:rPr>
                <w:sz w:val="18"/>
                <w:szCs w:val="18"/>
                <w:color w:val="auto"/>
              </w:rPr>
            </w:pPr>
          </w:p>
        </w:tc>
        <w:tc>
          <w:tcPr>
            <w:tcW w:w="56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60" w:type="dxa"/>
            <w:vAlign w:val="bottom"/>
            <w:vMerge w:val="continue"/>
            <w:shd w:val="clear" w:color="auto" w:fill="D2DCE5"/>
          </w:tcPr>
          <w:p>
            <w:pPr>
              <w:spacing w:after="0"/>
              <w:rPr>
                <w:sz w:val="18"/>
                <w:szCs w:val="18"/>
                <w:color w:val="auto"/>
              </w:rPr>
            </w:pPr>
          </w:p>
        </w:tc>
        <w:tc>
          <w:tcPr>
            <w:tcW w:w="42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6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vMerge w:val="continue"/>
            <w:shd w:val="clear" w:color="auto" w:fill="D2DCE5"/>
          </w:tcPr>
          <w:p>
            <w:pPr>
              <w:spacing w:after="0"/>
              <w:rPr>
                <w:sz w:val="18"/>
                <w:szCs w:val="18"/>
                <w:color w:val="auto"/>
              </w:rPr>
            </w:pPr>
          </w:p>
        </w:tc>
        <w:tc>
          <w:tcPr>
            <w:tcW w:w="28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40" w:type="dxa"/>
            <w:vAlign w:val="bottom"/>
            <w:vMerge w:val="continue"/>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80" w:type="dxa"/>
            <w:vAlign w:val="bottom"/>
            <w:vMerge w:val="continue"/>
            <w:shd w:val="clear" w:color="auto" w:fill="D2DCE5"/>
          </w:tcPr>
          <w:p>
            <w:pPr>
              <w:spacing w:after="0"/>
              <w:rPr>
                <w:sz w:val="18"/>
                <w:szCs w:val="18"/>
                <w:color w:val="auto"/>
              </w:rPr>
            </w:pPr>
          </w:p>
        </w:tc>
        <w:tc>
          <w:tcPr>
            <w:tcW w:w="380" w:type="dxa"/>
            <w:vAlign w:val="bottom"/>
            <w:gridSpan w:val="2"/>
            <w:vMerge w:val="continue"/>
            <w:shd w:val="clear" w:color="auto" w:fill="D2DCE5"/>
          </w:tcPr>
          <w:p>
            <w:pPr>
              <w:spacing w:after="0"/>
              <w:rPr>
                <w:sz w:val="18"/>
                <w:szCs w:val="18"/>
                <w:color w:val="auto"/>
              </w:rPr>
            </w:pPr>
          </w:p>
        </w:tc>
        <w:tc>
          <w:tcPr>
            <w:tcW w:w="700" w:type="dxa"/>
            <w:vAlign w:val="bottom"/>
            <w:gridSpan w:val="2"/>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60" w:type="dxa"/>
            <w:vAlign w:val="bottom"/>
            <w:vMerge w:val="continue"/>
            <w:shd w:val="clear" w:color="auto" w:fill="D2DCE5"/>
          </w:tcPr>
          <w:p>
            <w:pPr>
              <w:spacing w:after="0"/>
              <w:rPr>
                <w:sz w:val="18"/>
                <w:szCs w:val="18"/>
                <w:color w:val="auto"/>
              </w:rPr>
            </w:pPr>
          </w:p>
        </w:tc>
        <w:tc>
          <w:tcPr>
            <w:tcW w:w="72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20" w:type="dxa"/>
            <w:vAlign w:val="bottom"/>
            <w:vMerge w:val="continue"/>
            <w:shd w:val="clear" w:color="auto" w:fill="D2DCE5"/>
          </w:tcPr>
          <w:p>
            <w:pPr>
              <w:spacing w:after="0"/>
              <w:rPr>
                <w:sz w:val="18"/>
                <w:szCs w:val="18"/>
                <w:color w:val="auto"/>
              </w:rPr>
            </w:pPr>
          </w:p>
        </w:tc>
        <w:tc>
          <w:tcPr>
            <w:tcW w:w="60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60" w:type="dxa"/>
            <w:vAlign w:val="bottom"/>
            <w:vMerge w:val="continue"/>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77" w:lineRule="exact"/>
        <w:rPr>
          <w:sz w:val="20"/>
          <w:szCs w:val="20"/>
          <w:color w:val="auto"/>
        </w:rPr>
      </w:pPr>
    </w:p>
    <w:p>
      <w:pPr>
        <w:jc w:val="both"/>
        <w:ind w:left="180" w:hanging="172"/>
        <w:spacing w:after="0" w:line="226" w:lineRule="auto"/>
        <w:tabs>
          <w:tab w:leader="none" w:pos="187"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Amounts and balances have been updated to reflect reclassifications based on updated timing and sequence of certain Reorganization Transactions and purchase of Dutch Bros OpCo Class A common units in connection with the IPO from previously reported figures in the Company’s Form 10-Q for the period ended September 30, 2021, as filed with the SEC on November 12, 2021.</w:t>
      </w:r>
    </w:p>
    <w:p>
      <w:pPr>
        <w:spacing w:after="0" w:line="25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458"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6098"/>
        </w:rPr>
        <w:t>Table of Contents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Stockholders’/Members’ Equity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20" w:type="dxa"/>
            <w:vAlign w:val="bottom"/>
            <w:gridSpan w:val="15"/>
          </w:tcPr>
          <w:p>
            <w:pPr>
              <w:ind w:left="200"/>
              <w:spacing w:after="0"/>
              <w:rPr>
                <w:sz w:val="20"/>
                <w:szCs w:val="20"/>
                <w:color w:val="auto"/>
              </w:rPr>
            </w:pPr>
            <w:r>
              <w:rPr>
                <w:rFonts w:ascii="Arial" w:cs="Arial" w:eastAsia="Arial" w:hAnsi="Arial"/>
                <w:sz w:val="18"/>
                <w:szCs w:val="18"/>
                <w:b w:val="1"/>
                <w:bCs w:val="1"/>
                <w:color w:val="131E29"/>
                <w:w w:val="99"/>
              </w:rPr>
              <w:t>Nine Months Ended September 30, 2021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131E29"/>
              </w:rPr>
              <w:t>Dutch Mafia</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131E29"/>
              </w:rPr>
              <w:t>LLC</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131E29"/>
              </w:rPr>
              <w:t>(Prior to</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131E29"/>
              </w:rPr>
              <w:t>Reorganization</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131E29"/>
              </w:rPr>
              <w:t>Transactions)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11"/>
          </w:tcPr>
          <w:p>
            <w:pPr>
              <w:ind w:left="60"/>
              <w:spacing w:after="0"/>
              <w:rPr>
                <w:sz w:val="20"/>
                <w:szCs w:val="20"/>
                <w:color w:val="auto"/>
              </w:rPr>
            </w:pPr>
            <w:r>
              <w:rPr>
                <w:rFonts w:ascii="Arial" w:cs="Arial" w:eastAsia="Arial" w:hAnsi="Arial"/>
                <w:sz w:val="14"/>
                <w:szCs w:val="14"/>
                <w:b w:val="1"/>
                <w:bCs w:val="1"/>
                <w:color w:val="131E29"/>
              </w:rPr>
              <w:t>Dutch Bros. Inc. Stockholders’ Equity</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5"/>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center"/>
              <w:ind w:left="188"/>
              <w:spacing w:after="0"/>
              <w:rPr>
                <w:sz w:val="20"/>
                <w:szCs w:val="20"/>
                <w:color w:val="auto"/>
              </w:rPr>
            </w:pPr>
            <w:r>
              <w:rPr>
                <w:rFonts w:ascii="Arial" w:cs="Arial" w:eastAsia="Arial" w:hAnsi="Arial"/>
                <w:sz w:val="14"/>
                <w:szCs w:val="14"/>
                <w:b w:val="1"/>
                <w:bCs w:val="1"/>
                <w:color w:val="131E29"/>
              </w:rPr>
              <w:t>Class A</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131E29"/>
              </w:rPr>
              <w:t>Class B</w:t>
            </w: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C</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131E29"/>
              </w:rPr>
              <w:t>Class D</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28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jc w:val="center"/>
              <w:ind w:right="60"/>
              <w:spacing w:after="0"/>
              <w:rPr>
                <w:sz w:val="20"/>
                <w:szCs w:val="20"/>
                <w:color w:val="auto"/>
              </w:rPr>
            </w:pPr>
            <w:r>
              <w:rPr>
                <w:rFonts w:ascii="Arial" w:cs="Arial" w:eastAsia="Arial" w:hAnsi="Arial"/>
                <w:sz w:val="14"/>
                <w:szCs w:val="14"/>
                <w:color w:val="131E29"/>
              </w:rPr>
              <w:t>Common Stock</w:t>
            </w:r>
          </w:p>
        </w:tc>
        <w:tc>
          <w:tcPr>
            <w:tcW w:w="1300" w:type="dxa"/>
            <w:vAlign w:val="bottom"/>
            <w:gridSpan w:val="6"/>
          </w:tcPr>
          <w:p>
            <w:pPr>
              <w:jc w:val="center"/>
              <w:ind w:right="80"/>
              <w:spacing w:after="0"/>
              <w:rPr>
                <w:sz w:val="20"/>
                <w:szCs w:val="20"/>
                <w:color w:val="auto"/>
              </w:rPr>
            </w:pPr>
            <w:r>
              <w:rPr>
                <w:rFonts w:ascii="Arial" w:cs="Arial" w:eastAsia="Arial" w:hAnsi="Arial"/>
                <w:sz w:val="14"/>
                <w:szCs w:val="14"/>
                <w:color w:val="131E29"/>
              </w:rPr>
              <w:t>Common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620" w:type="dxa"/>
            <w:vAlign w:val="bottom"/>
            <w:gridSpan w:val="2"/>
            <w:vMerge w:val="restart"/>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Pr>
          <w:p>
            <w:pPr>
              <w:spacing w:after="0"/>
              <w:rPr>
                <w:sz w:val="2"/>
                <w:szCs w:val="2"/>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131E29"/>
              </w:rPr>
              <w:t>Members’</w:t>
            </w: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restart"/>
          </w:tcPr>
          <w:p>
            <w:pPr>
              <w:jc w:val="center"/>
              <w:ind w:right="60"/>
              <w:spacing w:after="0"/>
              <w:rPr>
                <w:sz w:val="20"/>
                <w:szCs w:val="20"/>
                <w:color w:val="auto"/>
              </w:rPr>
            </w:pPr>
            <w:r>
              <w:rPr>
                <w:rFonts w:ascii="Arial" w:cs="Arial" w:eastAsia="Arial" w:hAnsi="Arial"/>
                <w:sz w:val="14"/>
                <w:szCs w:val="14"/>
                <w:color w:val="131E29"/>
              </w:rPr>
              <w:t>Additional</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color w:val="131E29"/>
              </w:rPr>
              <w:t>Accumulated</w:t>
            </w:r>
          </w:p>
        </w:tc>
        <w:tc>
          <w:tcPr>
            <w:tcW w:w="120" w:type="dxa"/>
            <w:vAlign w:val="bottom"/>
          </w:tcPr>
          <w:p>
            <w:pPr>
              <w:spacing w:after="0"/>
              <w:rPr>
                <w:sz w:val="2"/>
                <w:szCs w:val="2"/>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131E29"/>
                <w:w w:val="98"/>
              </w:rPr>
              <w:t>Non-</w:t>
            </w: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131E29"/>
              </w:rPr>
              <w:t>Total</w:t>
            </w:r>
          </w:p>
        </w:tc>
        <w:tc>
          <w:tcPr>
            <w:tcW w:w="0" w:type="dxa"/>
            <w:vAlign w:val="bottom"/>
          </w:tcPr>
          <w:p>
            <w:pPr>
              <w:spacing w:after="0"/>
              <w:rPr>
                <w:sz w:val="1"/>
                <w:szCs w:val="1"/>
                <w:color w:val="auto"/>
              </w:rPr>
            </w:pPr>
          </w:p>
        </w:tc>
      </w:tr>
      <w:tr>
        <w:trPr>
          <w:trHeight w:val="184"/>
        </w:trPr>
        <w:tc>
          <w:tcPr>
            <w:tcW w:w="1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color w:val="131E29"/>
              </w:rPr>
              <w:t>Paid-in-</w:t>
            </w:r>
          </w:p>
        </w:tc>
        <w:tc>
          <w:tcPr>
            <w:tcW w:w="960" w:type="dxa"/>
            <w:vAlign w:val="bottom"/>
            <w:gridSpan w:val="3"/>
            <w:vMerge w:val="continue"/>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color w:val="131E29"/>
              </w:rPr>
              <w:t>Controlling</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unaudited)</w:t>
            </w:r>
          </w:p>
        </w:tc>
        <w:tc>
          <w:tcPr>
            <w:tcW w:w="80" w:type="dxa"/>
            <w:vAlign w:val="bottom"/>
            <w:tcBorders>
              <w:bottom w:val="single" w:sz="8" w:color="D2DCE5"/>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color w:val="131E29"/>
              </w:rPr>
              <w:t>Equity</w:t>
            </w:r>
          </w:p>
        </w:tc>
        <w:tc>
          <w:tcPr>
            <w:tcW w:w="80" w:type="dxa"/>
            <w:vAlign w:val="bottom"/>
            <w:tcBorders>
              <w:bottom w:val="single" w:sz="8" w:color="D2DCE5"/>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6"/>
                <w:szCs w:val="16"/>
                <w:color w:val="auto"/>
              </w:rPr>
            </w:pPr>
          </w:p>
        </w:tc>
        <w:tc>
          <w:tcPr>
            <w:tcW w:w="6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6"/>
                <w:szCs w:val="16"/>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6"/>
                <w:szCs w:val="16"/>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131E29"/>
              </w:rPr>
              <w:t>Capital</w:t>
            </w:r>
          </w:p>
        </w:tc>
        <w:tc>
          <w:tcPr>
            <w:tcW w:w="80" w:type="dxa"/>
            <w:vAlign w:val="bottom"/>
            <w:tcBorders>
              <w:bottom w:val="single" w:sz="8" w:color="D2DCE5"/>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131E29"/>
              </w:rPr>
              <w:t>Deficit</w:t>
            </w:r>
          </w:p>
        </w:tc>
        <w:tc>
          <w:tcPr>
            <w:tcW w:w="80" w:type="dxa"/>
            <w:vAlign w:val="bottom"/>
            <w:tcBorders>
              <w:bottom w:val="single" w:sz="8" w:color="D2DCE5"/>
            </w:tcBorders>
          </w:tcPr>
          <w:p>
            <w:pPr>
              <w:spacing w:after="0"/>
              <w:rPr>
                <w:sz w:val="16"/>
                <w:szCs w:val="16"/>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131E29"/>
              </w:rPr>
              <w:t>Interests</w:t>
            </w:r>
          </w:p>
        </w:tc>
        <w:tc>
          <w:tcPr>
            <w:tcW w:w="80" w:type="dxa"/>
            <w:vAlign w:val="bottom"/>
            <w:tcBorders>
              <w:bottom w:val="single" w:sz="8" w:color="D2DCE5"/>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131E29"/>
              </w:rPr>
              <w:t>Equity</w:t>
            </w:r>
          </w:p>
        </w:tc>
        <w:tc>
          <w:tcPr>
            <w:tcW w:w="0" w:type="dxa"/>
            <w:vAlign w:val="bottom"/>
          </w:tcPr>
          <w:p>
            <w:pPr>
              <w:spacing w:after="0"/>
              <w:rPr>
                <w:sz w:val="1"/>
                <w:szCs w:val="1"/>
                <w:color w:val="auto"/>
              </w:rPr>
            </w:pPr>
          </w:p>
        </w:tc>
      </w:tr>
      <w:tr>
        <w:trPr>
          <w:trHeight w:val="189"/>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w:t>
            </w:r>
          </w:p>
        </w:tc>
        <w:tc>
          <w:tcPr>
            <w:tcW w:w="100" w:type="dxa"/>
            <w:vAlign w:val="bottom"/>
            <w:shd w:val="clear" w:color="auto" w:fill="D2DCE5"/>
          </w:tcPr>
          <w:p>
            <w:pPr>
              <w:spacing w:after="0"/>
              <w:rPr>
                <w:sz w:val="16"/>
                <w:szCs w:val="16"/>
                <w:color w:val="auto"/>
              </w:rPr>
            </w:pPr>
          </w:p>
        </w:tc>
        <w:tc>
          <w:tcPr>
            <w:tcW w:w="9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2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60" w:type="dxa"/>
            <w:vAlign w:val="bottom"/>
            <w:shd w:val="clear" w:color="auto" w:fill="D2DCE5"/>
          </w:tcPr>
          <w:p>
            <w:pPr>
              <w:spacing w:after="0"/>
              <w:rPr>
                <w:sz w:val="16"/>
                <w:szCs w:val="16"/>
                <w:color w:val="auto"/>
              </w:rPr>
            </w:pPr>
          </w:p>
        </w:tc>
        <w:tc>
          <w:tcPr>
            <w:tcW w:w="4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20" w:type="dxa"/>
            <w:vAlign w:val="bottom"/>
            <w:shd w:val="clear" w:color="auto" w:fill="D2DCE5"/>
          </w:tcPr>
          <w:p>
            <w:pPr>
              <w:spacing w:after="0"/>
              <w:rPr>
                <w:sz w:val="16"/>
                <w:szCs w:val="16"/>
                <w:color w:val="auto"/>
              </w:rPr>
            </w:pPr>
          </w:p>
        </w:tc>
        <w:tc>
          <w:tcPr>
            <w:tcW w:w="6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b w:val="1"/>
                <w:bCs w:val="1"/>
                <w:color w:val="131E29"/>
              </w:rPr>
              <w:t>31, 2021</w:t>
            </w:r>
          </w:p>
        </w:tc>
        <w:tc>
          <w:tcPr>
            <w:tcW w:w="80" w:type="dxa"/>
            <w:vAlign w:val="bottom"/>
            <w:tcBorders>
              <w:bottom w:val="single" w:sz="8" w:color="D2DCE5"/>
            </w:tcBorders>
            <w:shd w:val="clear" w:color="auto" w:fill="D2DCE5"/>
          </w:tcPr>
          <w:p>
            <w:pPr>
              <w:spacing w:after="0"/>
              <w:rPr>
                <w:sz w:val="17"/>
                <w:szCs w:val="17"/>
                <w:color w:val="auto"/>
              </w:rPr>
            </w:pPr>
          </w:p>
        </w:tc>
        <w:tc>
          <w:tcPr>
            <w:tcW w:w="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980" w:type="dxa"/>
            <w:vAlign w:val="bottom"/>
            <w:tcBorders>
              <w:bottom w:val="single" w:sz="8" w:color="D2DCE5"/>
            </w:tcBorders>
            <w:shd w:val="clear" w:color="auto" w:fill="D2DCE5"/>
          </w:tcPr>
          <w:p>
            <w:pPr>
              <w:jc w:val="right"/>
              <w:ind w:right="7"/>
              <w:spacing w:after="0"/>
              <w:rPr>
                <w:sz w:val="20"/>
                <w:szCs w:val="20"/>
                <w:color w:val="auto"/>
              </w:rPr>
            </w:pPr>
            <w:r>
              <w:rPr>
                <w:rFonts w:ascii="Arial" w:cs="Arial" w:eastAsia="Arial" w:hAnsi="Arial"/>
                <w:sz w:val="14"/>
                <w:szCs w:val="14"/>
                <w:color w:val="131E29"/>
              </w:rPr>
              <w:t>77,487</w:t>
            </w:r>
          </w:p>
        </w:tc>
        <w:tc>
          <w:tcPr>
            <w:tcW w:w="80" w:type="dxa"/>
            <w:vAlign w:val="bottom"/>
            <w:tcBorders>
              <w:bottom w:val="single" w:sz="8" w:color="D2DCE5"/>
            </w:tcBorders>
            <w:shd w:val="clear" w:color="auto" w:fill="D2DCE5"/>
          </w:tcPr>
          <w:p>
            <w:pPr>
              <w:spacing w:after="0"/>
              <w:rPr>
                <w:sz w:val="17"/>
                <w:szCs w:val="17"/>
                <w:color w:val="auto"/>
              </w:rPr>
            </w:pPr>
          </w:p>
        </w:tc>
        <w:tc>
          <w:tcPr>
            <w:tcW w:w="6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6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50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3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3"/>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spacing w:after="0"/>
              <w:rPr>
                <w:sz w:val="20"/>
                <w:szCs w:val="20"/>
                <w:color w:val="auto"/>
              </w:rPr>
            </w:pPr>
            <w:r>
              <w:rPr>
                <w:rFonts w:ascii="Arial" w:cs="Arial" w:eastAsia="Arial" w:hAnsi="Arial"/>
                <w:sz w:val="14"/>
                <w:szCs w:val="14"/>
                <w:color w:val="131E29"/>
              </w:rPr>
              <w:t>$</w:t>
            </w: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6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780" w:type="dxa"/>
            <w:vAlign w:val="bottom"/>
            <w:tcBorders>
              <w:bottom w:val="single" w:sz="8" w:color="D2DCE5"/>
            </w:tcBorders>
            <w:gridSpan w:val="2"/>
            <w:shd w:val="clear" w:color="auto" w:fill="D2DCE5"/>
          </w:tcPr>
          <w:p>
            <w:pPr>
              <w:ind w:left="500"/>
              <w:spacing w:after="0"/>
              <w:rPr>
                <w:sz w:val="20"/>
                <w:szCs w:val="20"/>
                <w:color w:val="auto"/>
              </w:rPr>
            </w:pPr>
            <w:r>
              <w:rPr>
                <w:rFonts w:ascii="Arial" w:cs="Arial" w:eastAsia="Arial" w:hAnsi="Arial"/>
                <w:sz w:val="14"/>
                <w:szCs w:val="14"/>
                <w:color w:val="131E29"/>
              </w:rPr>
              <w:t>—</w:t>
            </w:r>
          </w:p>
        </w:tc>
        <w:tc>
          <w:tcPr>
            <w:tcW w:w="1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  77,487</w:t>
            </w: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Net loss prior to the</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Reorganization</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131E29"/>
              </w:rPr>
              <w:t>(67,374)</w:t>
            </w:r>
          </w:p>
        </w:tc>
        <w:tc>
          <w:tcPr>
            <w:tcW w:w="8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320" w:type="dxa"/>
            <w:vAlign w:val="bottom"/>
          </w:tcPr>
          <w:p>
            <w:pPr>
              <w:spacing w:after="0"/>
              <w:rPr>
                <w:sz w:val="14"/>
                <w:szCs w:val="14"/>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131E29"/>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4"/>
                <w:szCs w:val="14"/>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14"/>
                <w:szCs w:val="14"/>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4"/>
                <w:szCs w:val="14"/>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Pr>
          <w:p>
            <w:pPr>
              <w:spacing w:after="0"/>
              <w:rPr>
                <w:sz w:val="14"/>
                <w:szCs w:val="14"/>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4"/>
                <w:szCs w:val="14"/>
                <w:color w:val="131E29"/>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(67,374)</w:t>
            </w:r>
          </w:p>
        </w:tc>
        <w:tc>
          <w:tcPr>
            <w:tcW w:w="0" w:type="dxa"/>
            <w:vAlign w:val="bottom"/>
          </w:tcPr>
          <w:p>
            <w:pPr>
              <w:spacing w:after="0"/>
              <w:rPr>
                <w:sz w:val="1"/>
                <w:szCs w:val="1"/>
                <w:color w:val="auto"/>
              </w:rPr>
            </w:pPr>
          </w:p>
        </w:tc>
      </w:tr>
      <w:tr>
        <w:trPr>
          <w:trHeight w:val="193"/>
        </w:trPr>
        <w:tc>
          <w:tcPr>
            <w:tcW w:w="1620" w:type="dxa"/>
            <w:vAlign w:val="bottom"/>
            <w:gridSpan w:val="2"/>
          </w:tcPr>
          <w:p>
            <w:pPr>
              <w:ind w:left="20"/>
              <w:spacing w:after="0" w:line="193" w:lineRule="exact"/>
              <w:rPr>
                <w:sz w:val="20"/>
                <w:szCs w:val="20"/>
                <w:color w:val="auto"/>
              </w:rPr>
            </w:pPr>
            <w:r>
              <w:rPr>
                <w:rFonts w:ascii="Arial" w:cs="Arial" w:eastAsia="Arial" w:hAnsi="Arial"/>
                <w:sz w:val="14"/>
                <w:szCs w:val="14"/>
                <w:color w:val="131E29"/>
              </w:rPr>
              <w:t xml:space="preserve">Transactions </w:t>
            </w:r>
            <w:r>
              <w:rPr>
                <w:rFonts w:ascii="Arial" w:cs="Arial" w:eastAsia="Arial" w:hAnsi="Arial"/>
                <w:sz w:val="18"/>
                <w:szCs w:val="18"/>
                <w:color w:val="131E29"/>
                <w:vertAlign w:val="superscript"/>
              </w:rPr>
              <w:t>1</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Reclass of profits</w:t>
            </w:r>
          </w:p>
        </w:tc>
        <w:tc>
          <w:tcPr>
            <w:tcW w:w="100" w:type="dxa"/>
            <w:vAlign w:val="bottom"/>
            <w:shd w:val="clear" w:color="auto" w:fill="D2DCE5"/>
          </w:tcPr>
          <w:p>
            <w:pPr>
              <w:spacing w:after="0"/>
              <w:rPr>
                <w:sz w:val="17"/>
                <w:szCs w:val="17"/>
                <w:color w:val="auto"/>
              </w:rPr>
            </w:pPr>
          </w:p>
        </w:tc>
        <w:tc>
          <w:tcPr>
            <w:tcW w:w="9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4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6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interest liability to</w:t>
            </w:r>
          </w:p>
        </w:tc>
        <w:tc>
          <w:tcPr>
            <w:tcW w:w="100" w:type="dxa"/>
            <w:vAlign w:val="bottom"/>
            <w:shd w:val="clear" w:color="auto" w:fill="D2DCE5"/>
          </w:tcPr>
          <w:p>
            <w:pPr>
              <w:spacing w:after="0"/>
              <w:rPr>
                <w:sz w:val="15"/>
                <w:szCs w:val="15"/>
                <w:color w:val="auto"/>
              </w:rPr>
            </w:pPr>
          </w:p>
        </w:tc>
        <w:tc>
          <w:tcPr>
            <w:tcW w:w="980" w:type="dxa"/>
            <w:vAlign w:val="bottom"/>
            <w:vMerge w:val="restart"/>
            <w:shd w:val="clear" w:color="auto" w:fill="D2DCE5"/>
          </w:tcPr>
          <w:p>
            <w:pPr>
              <w:jc w:val="right"/>
              <w:ind w:right="7"/>
              <w:spacing w:after="0"/>
              <w:rPr>
                <w:sz w:val="20"/>
                <w:szCs w:val="20"/>
                <w:color w:val="auto"/>
              </w:rPr>
            </w:pPr>
            <w:r>
              <w:rPr>
                <w:rFonts w:ascii="Arial" w:cs="Arial" w:eastAsia="Arial" w:hAnsi="Arial"/>
                <w:sz w:val="14"/>
                <w:szCs w:val="14"/>
                <w:color w:val="131E29"/>
              </w:rPr>
              <w:t>76,596</w:t>
            </w:r>
          </w:p>
        </w:tc>
        <w:tc>
          <w:tcPr>
            <w:tcW w:w="80" w:type="dxa"/>
            <w:vAlign w:val="bottom"/>
            <w:shd w:val="clear" w:color="auto" w:fill="D2DCE5"/>
          </w:tcPr>
          <w:p>
            <w:pPr>
              <w:spacing w:after="0"/>
              <w:rPr>
                <w:sz w:val="15"/>
                <w:szCs w:val="15"/>
                <w:color w:val="auto"/>
              </w:rPr>
            </w:pPr>
          </w:p>
        </w:tc>
        <w:tc>
          <w:tcPr>
            <w:tcW w:w="62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2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62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shd w:val="clear" w:color="auto" w:fill="D2DCE5"/>
          </w:tcPr>
          <w:p>
            <w:pPr>
              <w:spacing w:after="0"/>
              <w:rPr>
                <w:sz w:val="15"/>
                <w:szCs w:val="15"/>
                <w:color w:val="auto"/>
              </w:rPr>
            </w:pPr>
          </w:p>
        </w:tc>
        <w:tc>
          <w:tcPr>
            <w:tcW w:w="50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gridSpan w:val="3"/>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100" w:type="dxa"/>
            <w:vAlign w:val="bottom"/>
            <w:shd w:val="clear" w:color="auto" w:fill="D2DCE5"/>
          </w:tcPr>
          <w:p>
            <w:pPr>
              <w:spacing w:after="0"/>
              <w:rPr>
                <w:sz w:val="15"/>
                <w:szCs w:val="15"/>
                <w:color w:val="auto"/>
              </w:rPr>
            </w:pPr>
          </w:p>
        </w:tc>
        <w:tc>
          <w:tcPr>
            <w:tcW w:w="68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shd w:val="clear" w:color="auto" w:fill="D2DCE5"/>
          </w:tcPr>
          <w:p>
            <w:pPr>
              <w:spacing w:after="0"/>
              <w:rPr>
                <w:sz w:val="15"/>
                <w:szCs w:val="15"/>
                <w:color w:val="auto"/>
              </w:rPr>
            </w:pPr>
          </w:p>
        </w:tc>
        <w:tc>
          <w:tcPr>
            <w:tcW w:w="780" w:type="dxa"/>
            <w:vAlign w:val="bottom"/>
            <w:gridSpan w:val="2"/>
            <w:vMerge w:val="restart"/>
            <w:shd w:val="clear" w:color="auto" w:fill="D2DCE5"/>
          </w:tcPr>
          <w:p>
            <w:pPr>
              <w:ind w:left="500"/>
              <w:spacing w:after="0"/>
              <w:rPr>
                <w:sz w:val="20"/>
                <w:szCs w:val="20"/>
                <w:color w:val="auto"/>
              </w:rPr>
            </w:pPr>
            <w:r>
              <w:rPr>
                <w:rFonts w:ascii="Arial" w:cs="Arial" w:eastAsia="Arial" w:hAnsi="Arial"/>
                <w:sz w:val="14"/>
                <w:szCs w:val="14"/>
                <w:color w:val="131E29"/>
              </w:rPr>
              <w:t>—</w:t>
            </w:r>
          </w:p>
        </w:tc>
        <w:tc>
          <w:tcPr>
            <w:tcW w:w="120" w:type="dxa"/>
            <w:vAlign w:val="bottom"/>
            <w:shd w:val="clear" w:color="auto" w:fill="D2DCE5"/>
          </w:tcPr>
          <w:p>
            <w:pPr>
              <w:spacing w:after="0"/>
              <w:rPr>
                <w:sz w:val="15"/>
                <w:szCs w:val="15"/>
                <w:color w:val="auto"/>
              </w:rPr>
            </w:pPr>
          </w:p>
        </w:tc>
        <w:tc>
          <w:tcPr>
            <w:tcW w:w="70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76,596</w:t>
            </w:r>
          </w:p>
        </w:tc>
        <w:tc>
          <w:tcPr>
            <w:tcW w:w="0" w:type="dxa"/>
            <w:vAlign w:val="bottom"/>
          </w:tcPr>
          <w:p>
            <w:pPr>
              <w:spacing w:after="0"/>
              <w:rPr>
                <w:sz w:val="1"/>
                <w:szCs w:val="1"/>
                <w:color w:val="auto"/>
              </w:rPr>
            </w:pPr>
          </w:p>
        </w:tc>
      </w:tr>
      <w:tr>
        <w:trPr>
          <w:trHeight w:val="188"/>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equity</w:t>
            </w:r>
          </w:p>
        </w:tc>
        <w:tc>
          <w:tcPr>
            <w:tcW w:w="100" w:type="dxa"/>
            <w:vAlign w:val="bottom"/>
            <w:shd w:val="clear" w:color="auto" w:fill="D2DCE5"/>
          </w:tcPr>
          <w:p>
            <w:pPr>
              <w:spacing w:after="0"/>
              <w:rPr>
                <w:sz w:val="16"/>
                <w:szCs w:val="16"/>
                <w:color w:val="auto"/>
              </w:rPr>
            </w:pPr>
          </w:p>
        </w:tc>
        <w:tc>
          <w:tcPr>
            <w:tcW w:w="980" w:type="dxa"/>
            <w:vAlign w:val="bottom"/>
            <w:vMerge w:val="continue"/>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620" w:type="dxa"/>
            <w:vAlign w:val="bottom"/>
            <w:gridSpan w:val="2"/>
            <w:vMerge w:val="continue"/>
            <w:shd w:val="clear" w:color="auto" w:fill="D2DCE5"/>
          </w:tcPr>
          <w:p>
            <w:pPr>
              <w:spacing w:after="0"/>
              <w:rPr>
                <w:sz w:val="16"/>
                <w:szCs w:val="16"/>
                <w:color w:val="auto"/>
              </w:rPr>
            </w:pPr>
          </w:p>
        </w:tc>
        <w:tc>
          <w:tcPr>
            <w:tcW w:w="32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20" w:type="dxa"/>
            <w:vAlign w:val="bottom"/>
            <w:gridSpan w:val="2"/>
            <w:vMerge w:val="continue"/>
            <w:shd w:val="clear" w:color="auto" w:fill="D2DCE5"/>
          </w:tcPr>
          <w:p>
            <w:pPr>
              <w:spacing w:after="0"/>
              <w:rPr>
                <w:sz w:val="16"/>
                <w:szCs w:val="16"/>
                <w:color w:val="auto"/>
              </w:rPr>
            </w:pPr>
          </w:p>
        </w:tc>
        <w:tc>
          <w:tcPr>
            <w:tcW w:w="160" w:type="dxa"/>
            <w:vAlign w:val="bottom"/>
            <w:shd w:val="clear" w:color="auto" w:fill="D2DCE5"/>
          </w:tcPr>
          <w:p>
            <w:pPr>
              <w:spacing w:after="0"/>
              <w:rPr>
                <w:sz w:val="16"/>
                <w:szCs w:val="16"/>
                <w:color w:val="auto"/>
              </w:rPr>
            </w:pPr>
          </w:p>
        </w:tc>
        <w:tc>
          <w:tcPr>
            <w:tcW w:w="500" w:type="dxa"/>
            <w:vAlign w:val="bottom"/>
            <w:gridSpan w:val="2"/>
            <w:vMerge w:val="continue"/>
            <w:shd w:val="clear" w:color="auto" w:fill="D2DCE5"/>
          </w:tcPr>
          <w:p>
            <w:pPr>
              <w:spacing w:after="0"/>
              <w:rPr>
                <w:sz w:val="16"/>
                <w:szCs w:val="16"/>
                <w:color w:val="auto"/>
              </w:rPr>
            </w:pPr>
          </w:p>
        </w:tc>
        <w:tc>
          <w:tcPr>
            <w:tcW w:w="66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60" w:type="dxa"/>
            <w:vAlign w:val="bottom"/>
            <w:gridSpan w:val="3"/>
            <w:vMerge w:val="continue"/>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680" w:type="dxa"/>
            <w:vAlign w:val="bottom"/>
            <w:gridSpan w:val="2"/>
            <w:vMerge w:val="continue"/>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780" w:type="dxa"/>
            <w:vAlign w:val="bottom"/>
            <w:gridSpan w:val="2"/>
            <w:vMerge w:val="continue"/>
            <w:shd w:val="clear" w:color="auto" w:fill="D2DCE5"/>
          </w:tcPr>
          <w:p>
            <w:pPr>
              <w:spacing w:after="0"/>
              <w:rPr>
                <w:sz w:val="16"/>
                <w:szCs w:val="16"/>
                <w:color w:val="auto"/>
              </w:rPr>
            </w:pPr>
          </w:p>
        </w:tc>
        <w:tc>
          <w:tcPr>
            <w:tcW w:w="120" w:type="dxa"/>
            <w:vAlign w:val="bottom"/>
            <w:shd w:val="clear" w:color="auto" w:fill="D2DCE5"/>
          </w:tcPr>
          <w:p>
            <w:pPr>
              <w:spacing w:after="0"/>
              <w:rPr>
                <w:sz w:val="16"/>
                <w:szCs w:val="16"/>
                <w:color w:val="auto"/>
              </w:rPr>
            </w:pPr>
          </w:p>
        </w:tc>
        <w:tc>
          <w:tcPr>
            <w:tcW w:w="700" w:type="dxa"/>
            <w:vAlign w:val="bottom"/>
            <w:gridSpan w:val="2"/>
            <w:vMerge w:val="continue"/>
            <w:shd w:val="clear" w:color="auto" w:fill="D2DCE5"/>
          </w:tcPr>
          <w:p>
            <w:pPr>
              <w:spacing w:after="0"/>
              <w:rPr>
                <w:sz w:val="16"/>
                <w:szCs w:val="16"/>
                <w:color w:val="auto"/>
              </w:rPr>
            </w:pPr>
          </w:p>
        </w:tc>
        <w:tc>
          <w:tcPr>
            <w:tcW w:w="700" w:type="dxa"/>
            <w:vAlign w:val="bottom"/>
            <w:vMerge w:val="continue"/>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Member distributions</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131E29"/>
              </w:rPr>
              <w:t>(213,308)</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20" w:type="dxa"/>
            <w:vAlign w:val="bottom"/>
          </w:tcPr>
          <w:p>
            <w:pPr>
              <w:spacing w:after="0"/>
              <w:rPr>
                <w:sz w:val="17"/>
                <w:szCs w:val="17"/>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131E29"/>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17"/>
                <w:szCs w:val="17"/>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Pr>
          <w:p>
            <w:pPr>
              <w:spacing w:after="0"/>
              <w:rPr>
                <w:sz w:val="17"/>
                <w:szCs w:val="17"/>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131E29"/>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tcPr>
          <w:p>
            <w:pPr>
              <w:jc w:val="right"/>
              <w:spacing w:after="0"/>
              <w:rPr>
                <w:sz w:val="20"/>
                <w:szCs w:val="20"/>
                <w:color w:val="auto"/>
              </w:rPr>
            </w:pPr>
            <w:r>
              <w:rPr>
                <w:rFonts w:ascii="Arial" w:cs="Arial" w:eastAsia="Arial" w:hAnsi="Arial"/>
                <w:sz w:val="14"/>
                <w:szCs w:val="14"/>
                <w:color w:val="131E29"/>
              </w:rPr>
              <w:t>(213,308)</w:t>
            </w: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Equity-based</w:t>
            </w:r>
          </w:p>
        </w:tc>
        <w:tc>
          <w:tcPr>
            <w:tcW w:w="100" w:type="dxa"/>
            <w:vAlign w:val="bottom"/>
            <w:shd w:val="clear" w:color="auto" w:fill="D2DCE5"/>
          </w:tcPr>
          <w:p>
            <w:pPr>
              <w:spacing w:after="0"/>
              <w:rPr>
                <w:sz w:val="17"/>
                <w:szCs w:val="17"/>
                <w:color w:val="auto"/>
              </w:rPr>
            </w:pPr>
          </w:p>
        </w:tc>
        <w:tc>
          <w:tcPr>
            <w:tcW w:w="9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4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6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compensation</w:t>
            </w:r>
          </w:p>
        </w:tc>
        <w:tc>
          <w:tcPr>
            <w:tcW w:w="100" w:type="dxa"/>
            <w:vAlign w:val="bottom"/>
            <w:shd w:val="clear" w:color="auto" w:fill="D2DCE5"/>
          </w:tcPr>
          <w:p>
            <w:pPr>
              <w:spacing w:after="0"/>
              <w:rPr>
                <w:sz w:val="15"/>
                <w:szCs w:val="15"/>
                <w:color w:val="auto"/>
              </w:rPr>
            </w:pPr>
          </w:p>
        </w:tc>
        <w:tc>
          <w:tcPr>
            <w:tcW w:w="9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4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20" w:type="dxa"/>
            <w:vAlign w:val="bottom"/>
            <w:shd w:val="clear" w:color="auto" w:fill="D2DCE5"/>
          </w:tcPr>
          <w:p>
            <w:pPr>
              <w:spacing w:after="0"/>
              <w:rPr>
                <w:sz w:val="15"/>
                <w:szCs w:val="15"/>
                <w:color w:val="auto"/>
              </w:rPr>
            </w:pPr>
          </w:p>
        </w:tc>
        <w:tc>
          <w:tcPr>
            <w:tcW w:w="6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recognized prior to the</w:t>
            </w:r>
          </w:p>
        </w:tc>
        <w:tc>
          <w:tcPr>
            <w:tcW w:w="100" w:type="dxa"/>
            <w:vAlign w:val="bottom"/>
            <w:shd w:val="clear" w:color="auto" w:fill="D2DCE5"/>
          </w:tcPr>
          <w:p>
            <w:pPr>
              <w:spacing w:after="0"/>
              <w:rPr>
                <w:sz w:val="14"/>
                <w:szCs w:val="14"/>
                <w:color w:val="auto"/>
              </w:rPr>
            </w:pPr>
          </w:p>
        </w:tc>
        <w:tc>
          <w:tcPr>
            <w:tcW w:w="9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2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4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20" w:type="dxa"/>
            <w:vAlign w:val="bottom"/>
            <w:shd w:val="clear" w:color="auto" w:fill="D2DCE5"/>
          </w:tcPr>
          <w:p>
            <w:pPr>
              <w:spacing w:after="0"/>
              <w:rPr>
                <w:sz w:val="14"/>
                <w:szCs w:val="14"/>
                <w:color w:val="auto"/>
              </w:rPr>
            </w:pPr>
          </w:p>
        </w:tc>
        <w:tc>
          <w:tcPr>
            <w:tcW w:w="6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Reorganization</w:t>
            </w:r>
          </w:p>
        </w:tc>
        <w:tc>
          <w:tcPr>
            <w:tcW w:w="100" w:type="dxa"/>
            <w:vAlign w:val="bottom"/>
            <w:shd w:val="clear" w:color="auto" w:fill="D2DCE5"/>
          </w:tcPr>
          <w:p>
            <w:pPr>
              <w:spacing w:after="0"/>
              <w:rPr>
                <w:sz w:val="14"/>
                <w:szCs w:val="14"/>
                <w:color w:val="auto"/>
              </w:rPr>
            </w:pPr>
          </w:p>
        </w:tc>
        <w:tc>
          <w:tcPr>
            <w:tcW w:w="9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2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4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20" w:type="dxa"/>
            <w:vAlign w:val="bottom"/>
            <w:shd w:val="clear" w:color="auto" w:fill="D2DCE5"/>
          </w:tcPr>
          <w:p>
            <w:pPr>
              <w:spacing w:after="0"/>
              <w:rPr>
                <w:sz w:val="14"/>
                <w:szCs w:val="14"/>
                <w:color w:val="auto"/>
              </w:rPr>
            </w:pPr>
          </w:p>
        </w:tc>
        <w:tc>
          <w:tcPr>
            <w:tcW w:w="6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6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Transactions</w:t>
            </w:r>
          </w:p>
        </w:tc>
        <w:tc>
          <w:tcPr>
            <w:tcW w:w="100" w:type="dxa"/>
            <w:vAlign w:val="bottom"/>
            <w:tcBorders>
              <w:bottom w:val="single" w:sz="8" w:color="D2DCE5"/>
            </w:tcBorders>
            <w:shd w:val="clear" w:color="auto" w:fill="D2DCE5"/>
          </w:tcPr>
          <w:p>
            <w:pPr>
              <w:spacing w:after="0"/>
              <w:rPr>
                <w:sz w:val="15"/>
                <w:szCs w:val="15"/>
                <w:color w:val="auto"/>
              </w:rPr>
            </w:pPr>
          </w:p>
        </w:tc>
        <w:tc>
          <w:tcPr>
            <w:tcW w:w="980" w:type="dxa"/>
            <w:vAlign w:val="bottom"/>
            <w:tcBorders>
              <w:bottom w:val="single" w:sz="8" w:color="D2DCE5"/>
            </w:tcBorders>
            <w:shd w:val="clear" w:color="auto" w:fill="D2DCE5"/>
          </w:tcPr>
          <w:p>
            <w:pPr>
              <w:jc w:val="right"/>
              <w:ind w:right="7"/>
              <w:spacing w:after="0"/>
              <w:rPr>
                <w:sz w:val="20"/>
                <w:szCs w:val="20"/>
                <w:color w:val="auto"/>
              </w:rPr>
            </w:pPr>
            <w:r>
              <w:rPr>
                <w:rFonts w:ascii="Arial" w:cs="Arial" w:eastAsia="Arial" w:hAnsi="Arial"/>
                <w:sz w:val="14"/>
                <w:szCs w:val="14"/>
                <w:color w:val="131E29"/>
              </w:rPr>
              <w:t>78,579</w:t>
            </w:r>
          </w:p>
        </w:tc>
        <w:tc>
          <w:tcPr>
            <w:tcW w:w="80" w:type="dxa"/>
            <w:vAlign w:val="bottom"/>
            <w:tcBorders>
              <w:bottom w:val="single" w:sz="8" w:color="D2DCE5"/>
            </w:tcBorders>
            <w:shd w:val="clear" w:color="auto" w:fill="D2DCE5"/>
          </w:tcPr>
          <w:p>
            <w:pPr>
              <w:spacing w:after="0"/>
              <w:rPr>
                <w:sz w:val="15"/>
                <w:szCs w:val="15"/>
                <w:color w:val="auto"/>
              </w:rPr>
            </w:pPr>
          </w:p>
        </w:tc>
        <w:tc>
          <w:tcPr>
            <w:tcW w:w="6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2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6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Borders>
              <w:bottom w:val="single" w:sz="8" w:color="D2DCE5"/>
            </w:tcBorders>
            <w:shd w:val="clear" w:color="auto" w:fill="D2DCE5"/>
          </w:tcPr>
          <w:p>
            <w:pPr>
              <w:spacing w:after="0"/>
              <w:rPr>
                <w:sz w:val="15"/>
                <w:szCs w:val="15"/>
                <w:color w:val="auto"/>
              </w:rPr>
            </w:pPr>
          </w:p>
        </w:tc>
        <w:tc>
          <w:tcPr>
            <w:tcW w:w="50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3"/>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100" w:type="dxa"/>
            <w:vAlign w:val="bottom"/>
            <w:tcBorders>
              <w:bottom w:val="single" w:sz="8" w:color="D2DCE5"/>
            </w:tcBorders>
            <w:shd w:val="clear" w:color="auto" w:fill="D2DCE5"/>
          </w:tcPr>
          <w:p>
            <w:pPr>
              <w:spacing w:after="0"/>
              <w:rPr>
                <w:sz w:val="15"/>
                <w:szCs w:val="15"/>
                <w:color w:val="auto"/>
              </w:rPr>
            </w:pPr>
          </w:p>
        </w:tc>
        <w:tc>
          <w:tcPr>
            <w:tcW w:w="6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Borders>
              <w:bottom w:val="single" w:sz="8" w:color="D2DCE5"/>
            </w:tcBorders>
            <w:shd w:val="clear" w:color="auto" w:fill="D2DCE5"/>
          </w:tcPr>
          <w:p>
            <w:pPr>
              <w:spacing w:after="0"/>
              <w:rPr>
                <w:sz w:val="15"/>
                <w:szCs w:val="15"/>
                <w:color w:val="auto"/>
              </w:rPr>
            </w:pPr>
          </w:p>
        </w:tc>
        <w:tc>
          <w:tcPr>
            <w:tcW w:w="780" w:type="dxa"/>
            <w:vAlign w:val="bottom"/>
            <w:tcBorders>
              <w:bottom w:val="single" w:sz="8" w:color="D2DCE5"/>
            </w:tcBorders>
            <w:gridSpan w:val="2"/>
            <w:shd w:val="clear" w:color="auto" w:fill="D2DCE5"/>
          </w:tcPr>
          <w:p>
            <w:pPr>
              <w:ind w:left="500"/>
              <w:spacing w:after="0"/>
              <w:rPr>
                <w:sz w:val="20"/>
                <w:szCs w:val="20"/>
                <w:color w:val="auto"/>
              </w:rPr>
            </w:pPr>
            <w:r>
              <w:rPr>
                <w:rFonts w:ascii="Arial" w:cs="Arial" w:eastAsia="Arial" w:hAnsi="Arial"/>
                <w:sz w:val="14"/>
                <w:szCs w:val="14"/>
                <w:color w:val="131E29"/>
              </w:rPr>
              <w:t>—</w:t>
            </w:r>
          </w:p>
        </w:tc>
        <w:tc>
          <w:tcPr>
            <w:tcW w:w="120" w:type="dxa"/>
            <w:vAlign w:val="bottom"/>
            <w:tcBorders>
              <w:bottom w:val="single" w:sz="8" w:color="D2DCE5"/>
            </w:tcBorders>
            <w:shd w:val="clear" w:color="auto" w:fill="D2DCE5"/>
          </w:tcPr>
          <w:p>
            <w:pPr>
              <w:spacing w:after="0"/>
              <w:rPr>
                <w:sz w:val="15"/>
                <w:szCs w:val="15"/>
                <w:color w:val="auto"/>
              </w:rPr>
            </w:pPr>
          </w:p>
        </w:tc>
        <w:tc>
          <w:tcPr>
            <w:tcW w:w="70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78,579</w:t>
            </w: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Effect of the</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Reorganization</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Transactions and initial</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public offering on non-</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 xml:space="preserve">controlling interests </w:t>
            </w:r>
            <w:r>
              <w:rPr>
                <w:rFonts w:ascii="Arial" w:cs="Arial" w:eastAsia="Arial" w:hAnsi="Arial"/>
                <w:sz w:val="18"/>
                <w:szCs w:val="18"/>
                <w:color w:val="131E29"/>
                <w:vertAlign w:val="superscript"/>
              </w:rPr>
              <w:t>1</w:t>
            </w:r>
          </w:p>
        </w:tc>
        <w:tc>
          <w:tcPr>
            <w:tcW w:w="10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4"/>
                <w:szCs w:val="14"/>
                <w:color w:val="131E29"/>
              </w:rPr>
              <w:t>48,020</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131E29"/>
              </w:rPr>
              <w:t>9,877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131E29"/>
              </w:rPr>
              <w:t>—</w:t>
            </w:r>
          </w:p>
        </w:tc>
        <w:tc>
          <w:tcPr>
            <w:tcW w:w="540" w:type="dxa"/>
            <w:vAlign w:val="bottom"/>
          </w:tcPr>
          <w:p>
            <w:pPr>
              <w:jc w:val="right"/>
              <w:spacing w:after="0"/>
              <w:rPr>
                <w:sz w:val="20"/>
                <w:szCs w:val="20"/>
                <w:color w:val="auto"/>
              </w:rPr>
            </w:pPr>
            <w:r>
              <w:rPr>
                <w:rFonts w:ascii="Arial" w:cs="Arial" w:eastAsia="Arial" w:hAnsi="Arial"/>
                <w:sz w:val="14"/>
                <w:szCs w:val="14"/>
                <w:color w:val="131E29"/>
              </w:rPr>
              <w:t>71,408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131E29"/>
              </w:rPr>
              <w:t>1</w:t>
            </w:r>
          </w:p>
        </w:tc>
        <w:tc>
          <w:tcPr>
            <w:tcW w:w="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131E29"/>
              </w:rPr>
              <w:t>54,068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131E29"/>
              </w:rPr>
              <w:t>1</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17,036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131E29"/>
              </w:rPr>
              <w:t>(195,936)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131E29"/>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131E29"/>
              </w:rPr>
              <w:t>147,914</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04"/>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Issuance of Class A</w:t>
            </w:r>
          </w:p>
        </w:tc>
        <w:tc>
          <w:tcPr>
            <w:tcW w:w="100" w:type="dxa"/>
            <w:vAlign w:val="bottom"/>
            <w:shd w:val="clear" w:color="auto" w:fill="D2DCE5"/>
          </w:tcPr>
          <w:p>
            <w:pPr>
              <w:spacing w:after="0"/>
              <w:rPr>
                <w:sz w:val="17"/>
                <w:szCs w:val="17"/>
                <w:color w:val="auto"/>
              </w:rPr>
            </w:pPr>
          </w:p>
        </w:tc>
        <w:tc>
          <w:tcPr>
            <w:tcW w:w="9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4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6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common stock sold in</w:t>
            </w:r>
          </w:p>
        </w:tc>
        <w:tc>
          <w:tcPr>
            <w:tcW w:w="100" w:type="dxa"/>
            <w:vAlign w:val="bottom"/>
            <w:shd w:val="clear" w:color="auto" w:fill="D2DCE5"/>
          </w:tcPr>
          <w:p>
            <w:pPr>
              <w:spacing w:after="0"/>
              <w:rPr>
                <w:sz w:val="15"/>
                <w:szCs w:val="15"/>
                <w:color w:val="auto"/>
              </w:rPr>
            </w:pPr>
          </w:p>
        </w:tc>
        <w:tc>
          <w:tcPr>
            <w:tcW w:w="9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4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20" w:type="dxa"/>
            <w:vAlign w:val="bottom"/>
            <w:shd w:val="clear" w:color="auto" w:fill="D2DCE5"/>
          </w:tcPr>
          <w:p>
            <w:pPr>
              <w:spacing w:after="0"/>
              <w:rPr>
                <w:sz w:val="15"/>
                <w:szCs w:val="15"/>
                <w:color w:val="auto"/>
              </w:rPr>
            </w:pPr>
          </w:p>
        </w:tc>
        <w:tc>
          <w:tcPr>
            <w:tcW w:w="6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initial public offering,</w:t>
            </w:r>
          </w:p>
        </w:tc>
        <w:tc>
          <w:tcPr>
            <w:tcW w:w="100" w:type="dxa"/>
            <w:vAlign w:val="bottom"/>
            <w:shd w:val="clear" w:color="auto" w:fill="D2DCE5"/>
          </w:tcPr>
          <w:p>
            <w:pPr>
              <w:spacing w:after="0"/>
              <w:rPr>
                <w:sz w:val="14"/>
                <w:szCs w:val="14"/>
                <w:color w:val="auto"/>
              </w:rPr>
            </w:pPr>
          </w:p>
        </w:tc>
        <w:tc>
          <w:tcPr>
            <w:tcW w:w="9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2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4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20" w:type="dxa"/>
            <w:vAlign w:val="bottom"/>
            <w:shd w:val="clear" w:color="auto" w:fill="D2DCE5"/>
          </w:tcPr>
          <w:p>
            <w:pPr>
              <w:spacing w:after="0"/>
              <w:rPr>
                <w:sz w:val="14"/>
                <w:szCs w:val="14"/>
                <w:color w:val="auto"/>
              </w:rPr>
            </w:pPr>
          </w:p>
        </w:tc>
        <w:tc>
          <w:tcPr>
            <w:tcW w:w="6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6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net of offering costs</w:t>
            </w:r>
          </w:p>
        </w:tc>
        <w:tc>
          <w:tcPr>
            <w:tcW w:w="100" w:type="dxa"/>
            <w:vAlign w:val="bottom"/>
            <w:tcBorders>
              <w:bottom w:val="single" w:sz="8" w:color="D2DCE5"/>
            </w:tcBorders>
            <w:shd w:val="clear" w:color="auto" w:fill="D2DCE5"/>
          </w:tcPr>
          <w:p>
            <w:pPr>
              <w:spacing w:after="0"/>
              <w:rPr>
                <w:sz w:val="15"/>
                <w:szCs w:val="15"/>
                <w:color w:val="auto"/>
              </w:rPr>
            </w:pPr>
          </w:p>
        </w:tc>
        <w:tc>
          <w:tcPr>
            <w:tcW w:w="10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24,211</w:t>
            </w:r>
          </w:p>
        </w:tc>
        <w:tc>
          <w:tcPr>
            <w:tcW w:w="80" w:type="dxa"/>
            <w:vAlign w:val="bottom"/>
            <w:tcBorders>
              <w:bottom w:val="single" w:sz="8" w:color="D2DCE5"/>
            </w:tcBorders>
            <w:shd w:val="clear" w:color="auto" w:fill="D2DCE5"/>
          </w:tcPr>
          <w:p>
            <w:pPr>
              <w:spacing w:after="0"/>
              <w:rPr>
                <w:sz w:val="15"/>
                <w:szCs w:val="15"/>
                <w:color w:val="auto"/>
              </w:rPr>
            </w:pPr>
          </w:p>
        </w:tc>
        <w:tc>
          <w:tcPr>
            <w:tcW w:w="32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6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Borders>
              <w:bottom w:val="single" w:sz="8" w:color="D2DCE5"/>
            </w:tcBorders>
            <w:shd w:val="clear" w:color="auto" w:fill="D2DCE5"/>
          </w:tcPr>
          <w:p>
            <w:pPr>
              <w:spacing w:after="0"/>
              <w:rPr>
                <w:sz w:val="15"/>
                <w:szCs w:val="15"/>
                <w:color w:val="auto"/>
              </w:rPr>
            </w:pPr>
          </w:p>
        </w:tc>
        <w:tc>
          <w:tcPr>
            <w:tcW w:w="50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3"/>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100" w:type="dxa"/>
            <w:vAlign w:val="bottom"/>
            <w:tcBorders>
              <w:bottom w:val="single" w:sz="8" w:color="D2DCE5"/>
            </w:tcBorders>
            <w:shd w:val="clear" w:color="auto" w:fill="D2DCE5"/>
          </w:tcPr>
          <w:p>
            <w:pPr>
              <w:spacing w:after="0"/>
              <w:rPr>
                <w:sz w:val="15"/>
                <w:szCs w:val="15"/>
                <w:color w:val="auto"/>
              </w:rPr>
            </w:pPr>
          </w:p>
        </w:tc>
        <w:tc>
          <w:tcPr>
            <w:tcW w:w="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520,804</w:t>
            </w:r>
          </w:p>
        </w:tc>
        <w:tc>
          <w:tcPr>
            <w:tcW w:w="80" w:type="dxa"/>
            <w:vAlign w:val="bottom"/>
            <w:tcBorders>
              <w:bottom w:val="single" w:sz="8" w:color="D2DCE5"/>
            </w:tcBorders>
            <w:shd w:val="clear" w:color="auto" w:fill="D2DCE5"/>
          </w:tcPr>
          <w:p>
            <w:pPr>
              <w:spacing w:after="0"/>
              <w:rPr>
                <w:sz w:val="15"/>
                <w:szCs w:val="15"/>
                <w:color w:val="auto"/>
              </w:rPr>
            </w:pPr>
          </w:p>
        </w:tc>
        <w:tc>
          <w:tcPr>
            <w:tcW w:w="180" w:type="dxa"/>
            <w:vAlign w:val="bottom"/>
            <w:tcBorders>
              <w:bottom w:val="single" w:sz="8" w:color="D2DCE5"/>
            </w:tcBorders>
            <w:shd w:val="clear" w:color="auto" w:fill="D2DCE5"/>
          </w:tcPr>
          <w:p>
            <w:pPr>
              <w:spacing w:after="0"/>
              <w:rPr>
                <w:sz w:val="15"/>
                <w:szCs w:val="15"/>
                <w:color w:val="auto"/>
              </w:rPr>
            </w:pPr>
          </w:p>
        </w:tc>
        <w:tc>
          <w:tcPr>
            <w:tcW w:w="780" w:type="dxa"/>
            <w:vAlign w:val="bottom"/>
            <w:tcBorders>
              <w:bottom w:val="single" w:sz="8" w:color="D2DCE5"/>
            </w:tcBorders>
            <w:gridSpan w:val="2"/>
            <w:shd w:val="clear" w:color="auto" w:fill="D2DCE5"/>
          </w:tcPr>
          <w:p>
            <w:pPr>
              <w:ind w:left="500"/>
              <w:spacing w:after="0"/>
              <w:rPr>
                <w:sz w:val="20"/>
                <w:szCs w:val="20"/>
                <w:color w:val="auto"/>
              </w:rPr>
            </w:pPr>
            <w:r>
              <w:rPr>
                <w:rFonts w:ascii="Arial" w:cs="Arial" w:eastAsia="Arial" w:hAnsi="Arial"/>
                <w:sz w:val="14"/>
                <w:szCs w:val="14"/>
                <w:color w:val="131E29"/>
              </w:rPr>
              <w:t>—</w:t>
            </w:r>
          </w:p>
        </w:tc>
        <w:tc>
          <w:tcPr>
            <w:tcW w:w="120" w:type="dxa"/>
            <w:vAlign w:val="bottom"/>
            <w:tcBorders>
              <w:bottom w:val="single" w:sz="8" w:color="D2DCE5"/>
            </w:tcBorders>
            <w:shd w:val="clear" w:color="auto" w:fill="D2DCE5"/>
          </w:tcPr>
          <w:p>
            <w:pPr>
              <w:spacing w:after="0"/>
              <w:rPr>
                <w:sz w:val="15"/>
                <w:szCs w:val="15"/>
                <w:color w:val="auto"/>
              </w:rPr>
            </w:pPr>
          </w:p>
        </w:tc>
        <w:tc>
          <w:tcPr>
            <w:tcW w:w="70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520,804</w:t>
            </w: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Purchase of OpCo</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Units in connection</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with the initial public</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 xml:space="preserve">offering </w:t>
            </w:r>
            <w:r>
              <w:rPr>
                <w:rFonts w:ascii="Arial" w:cs="Arial" w:eastAsia="Arial" w:hAnsi="Arial"/>
                <w:sz w:val="9"/>
                <w:szCs w:val="9"/>
                <w:color w:val="131E29"/>
              </w:rPr>
              <w:t>1</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131E29"/>
              </w:rPr>
              <w:t>—</w:t>
            </w:r>
          </w:p>
        </w:tc>
        <w:tc>
          <w:tcPr>
            <w:tcW w:w="540" w:type="dxa"/>
            <w:vAlign w:val="bottom"/>
          </w:tcPr>
          <w:p>
            <w:pPr>
              <w:jc w:val="right"/>
              <w:spacing w:after="0"/>
              <w:rPr>
                <w:sz w:val="20"/>
                <w:szCs w:val="20"/>
                <w:color w:val="auto"/>
              </w:rPr>
            </w:pPr>
            <w:r>
              <w:rPr>
                <w:rFonts w:ascii="Arial" w:cs="Arial" w:eastAsia="Arial" w:hAnsi="Arial"/>
                <w:sz w:val="14"/>
                <w:szCs w:val="14"/>
                <w:color w:val="131E29"/>
              </w:rPr>
              <w:t>(6,709)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580" w:type="dxa"/>
            <w:vAlign w:val="bottom"/>
          </w:tcPr>
          <w:p>
            <w:pPr>
              <w:jc w:val="right"/>
              <w:spacing w:after="0"/>
              <w:rPr>
                <w:sz w:val="20"/>
                <w:szCs w:val="20"/>
                <w:color w:val="auto"/>
              </w:rPr>
            </w:pPr>
            <w:r>
              <w:rPr>
                <w:rFonts w:ascii="Arial" w:cs="Arial" w:eastAsia="Arial" w:hAnsi="Arial"/>
                <w:sz w:val="14"/>
                <w:szCs w:val="14"/>
                <w:color w:val="131E29"/>
              </w:rPr>
              <w:t>(5,062)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131E29"/>
              </w:rPr>
              <w:t>(239,421)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131E29"/>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131E29"/>
              </w:rPr>
              <w:t>(13,849)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(253,270)</w:t>
            </w:r>
          </w:p>
        </w:tc>
        <w:tc>
          <w:tcPr>
            <w:tcW w:w="0" w:type="dxa"/>
            <w:vAlign w:val="bottom"/>
          </w:tcPr>
          <w:p>
            <w:pPr>
              <w:spacing w:after="0"/>
              <w:rPr>
                <w:sz w:val="1"/>
                <w:szCs w:val="1"/>
                <w:color w:val="auto"/>
              </w:rPr>
            </w:pPr>
          </w:p>
        </w:tc>
      </w:tr>
      <w:tr>
        <w:trPr>
          <w:trHeight w:val="25"/>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Impact of Tax</w:t>
            </w:r>
          </w:p>
        </w:tc>
        <w:tc>
          <w:tcPr>
            <w:tcW w:w="100" w:type="dxa"/>
            <w:vAlign w:val="bottom"/>
            <w:shd w:val="clear" w:color="auto" w:fill="D2DCE5"/>
          </w:tcPr>
          <w:p>
            <w:pPr>
              <w:spacing w:after="0"/>
              <w:rPr>
                <w:sz w:val="17"/>
                <w:szCs w:val="17"/>
                <w:color w:val="auto"/>
              </w:rPr>
            </w:pPr>
          </w:p>
        </w:tc>
        <w:tc>
          <w:tcPr>
            <w:tcW w:w="9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4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6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Receivable</w:t>
            </w:r>
          </w:p>
        </w:tc>
        <w:tc>
          <w:tcPr>
            <w:tcW w:w="100" w:type="dxa"/>
            <w:vAlign w:val="bottom"/>
            <w:shd w:val="clear" w:color="auto" w:fill="D2DCE5"/>
          </w:tcPr>
          <w:p>
            <w:pPr>
              <w:spacing w:after="0"/>
              <w:rPr>
                <w:sz w:val="15"/>
                <w:szCs w:val="15"/>
                <w:color w:val="auto"/>
              </w:rPr>
            </w:pPr>
          </w:p>
        </w:tc>
        <w:tc>
          <w:tcPr>
            <w:tcW w:w="10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62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2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62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shd w:val="clear" w:color="auto" w:fill="D2DCE5"/>
          </w:tcPr>
          <w:p>
            <w:pPr>
              <w:spacing w:after="0"/>
              <w:rPr>
                <w:sz w:val="15"/>
                <w:szCs w:val="15"/>
                <w:color w:val="auto"/>
              </w:rPr>
            </w:pPr>
          </w:p>
        </w:tc>
        <w:tc>
          <w:tcPr>
            <w:tcW w:w="50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gridSpan w:val="3"/>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100" w:type="dxa"/>
            <w:vAlign w:val="bottom"/>
            <w:shd w:val="clear" w:color="auto" w:fill="D2DCE5"/>
          </w:tcPr>
          <w:p>
            <w:pPr>
              <w:spacing w:after="0"/>
              <w:rPr>
                <w:sz w:val="15"/>
                <w:szCs w:val="15"/>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47,157</w:t>
            </w: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80" w:type="dxa"/>
            <w:vAlign w:val="bottom"/>
            <w:gridSpan w:val="2"/>
            <w:vMerge w:val="restart"/>
            <w:shd w:val="clear" w:color="auto" w:fill="D2DCE5"/>
          </w:tcPr>
          <w:p>
            <w:pPr>
              <w:ind w:left="500"/>
              <w:spacing w:after="0"/>
              <w:rPr>
                <w:sz w:val="20"/>
                <w:szCs w:val="20"/>
                <w:color w:val="auto"/>
              </w:rPr>
            </w:pPr>
            <w:r>
              <w:rPr>
                <w:rFonts w:ascii="Arial" w:cs="Arial" w:eastAsia="Arial" w:hAnsi="Arial"/>
                <w:sz w:val="14"/>
                <w:szCs w:val="14"/>
                <w:color w:val="131E29"/>
              </w:rPr>
              <w:t>—</w:t>
            </w:r>
          </w:p>
        </w:tc>
        <w:tc>
          <w:tcPr>
            <w:tcW w:w="120" w:type="dxa"/>
            <w:vAlign w:val="bottom"/>
            <w:shd w:val="clear" w:color="auto" w:fill="D2DCE5"/>
          </w:tcPr>
          <w:p>
            <w:pPr>
              <w:spacing w:after="0"/>
              <w:rPr>
                <w:sz w:val="15"/>
                <w:szCs w:val="15"/>
                <w:color w:val="auto"/>
              </w:rPr>
            </w:pPr>
          </w:p>
        </w:tc>
        <w:tc>
          <w:tcPr>
            <w:tcW w:w="70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47,157</w:t>
            </w:r>
          </w:p>
        </w:tc>
        <w:tc>
          <w:tcPr>
            <w:tcW w:w="0" w:type="dxa"/>
            <w:vAlign w:val="bottom"/>
          </w:tcPr>
          <w:p>
            <w:pPr>
              <w:spacing w:after="0"/>
              <w:rPr>
                <w:sz w:val="1"/>
                <w:szCs w:val="1"/>
                <w:color w:val="auto"/>
              </w:rPr>
            </w:pPr>
          </w:p>
        </w:tc>
      </w:tr>
      <w:tr>
        <w:trPr>
          <w:trHeight w:val="188"/>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Agreements</w:t>
            </w:r>
          </w:p>
        </w:tc>
        <w:tc>
          <w:tcPr>
            <w:tcW w:w="100" w:type="dxa"/>
            <w:vAlign w:val="bottom"/>
            <w:shd w:val="clear" w:color="auto" w:fill="D2DCE5"/>
          </w:tcPr>
          <w:p>
            <w:pPr>
              <w:spacing w:after="0"/>
              <w:rPr>
                <w:sz w:val="16"/>
                <w:szCs w:val="16"/>
                <w:color w:val="auto"/>
              </w:rPr>
            </w:pPr>
          </w:p>
        </w:tc>
        <w:tc>
          <w:tcPr>
            <w:tcW w:w="1060" w:type="dxa"/>
            <w:vAlign w:val="bottom"/>
            <w:gridSpan w:val="2"/>
            <w:vMerge w:val="continue"/>
            <w:shd w:val="clear" w:color="auto" w:fill="D2DCE5"/>
          </w:tcPr>
          <w:p>
            <w:pPr>
              <w:spacing w:after="0"/>
              <w:rPr>
                <w:sz w:val="16"/>
                <w:szCs w:val="16"/>
                <w:color w:val="auto"/>
              </w:rPr>
            </w:pPr>
          </w:p>
        </w:tc>
        <w:tc>
          <w:tcPr>
            <w:tcW w:w="620" w:type="dxa"/>
            <w:vAlign w:val="bottom"/>
            <w:gridSpan w:val="2"/>
            <w:vMerge w:val="continue"/>
            <w:shd w:val="clear" w:color="auto" w:fill="D2DCE5"/>
          </w:tcPr>
          <w:p>
            <w:pPr>
              <w:spacing w:after="0"/>
              <w:rPr>
                <w:sz w:val="16"/>
                <w:szCs w:val="16"/>
                <w:color w:val="auto"/>
              </w:rPr>
            </w:pPr>
          </w:p>
        </w:tc>
        <w:tc>
          <w:tcPr>
            <w:tcW w:w="32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20" w:type="dxa"/>
            <w:vAlign w:val="bottom"/>
            <w:gridSpan w:val="2"/>
            <w:vMerge w:val="continue"/>
            <w:shd w:val="clear" w:color="auto" w:fill="D2DCE5"/>
          </w:tcPr>
          <w:p>
            <w:pPr>
              <w:spacing w:after="0"/>
              <w:rPr>
                <w:sz w:val="16"/>
                <w:szCs w:val="16"/>
                <w:color w:val="auto"/>
              </w:rPr>
            </w:pPr>
          </w:p>
        </w:tc>
        <w:tc>
          <w:tcPr>
            <w:tcW w:w="160" w:type="dxa"/>
            <w:vAlign w:val="bottom"/>
            <w:shd w:val="clear" w:color="auto" w:fill="D2DCE5"/>
          </w:tcPr>
          <w:p>
            <w:pPr>
              <w:spacing w:after="0"/>
              <w:rPr>
                <w:sz w:val="16"/>
                <w:szCs w:val="16"/>
                <w:color w:val="auto"/>
              </w:rPr>
            </w:pPr>
          </w:p>
        </w:tc>
        <w:tc>
          <w:tcPr>
            <w:tcW w:w="500" w:type="dxa"/>
            <w:vAlign w:val="bottom"/>
            <w:gridSpan w:val="2"/>
            <w:vMerge w:val="continue"/>
            <w:shd w:val="clear" w:color="auto" w:fill="D2DCE5"/>
          </w:tcPr>
          <w:p>
            <w:pPr>
              <w:spacing w:after="0"/>
              <w:rPr>
                <w:sz w:val="16"/>
                <w:szCs w:val="16"/>
                <w:color w:val="auto"/>
              </w:rPr>
            </w:pPr>
          </w:p>
        </w:tc>
        <w:tc>
          <w:tcPr>
            <w:tcW w:w="66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60" w:type="dxa"/>
            <w:vAlign w:val="bottom"/>
            <w:gridSpan w:val="3"/>
            <w:vMerge w:val="continue"/>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600" w:type="dxa"/>
            <w:vAlign w:val="bottom"/>
            <w:vMerge w:val="continue"/>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780" w:type="dxa"/>
            <w:vAlign w:val="bottom"/>
            <w:gridSpan w:val="2"/>
            <w:vMerge w:val="continue"/>
            <w:shd w:val="clear" w:color="auto" w:fill="D2DCE5"/>
          </w:tcPr>
          <w:p>
            <w:pPr>
              <w:spacing w:after="0"/>
              <w:rPr>
                <w:sz w:val="16"/>
                <w:szCs w:val="16"/>
                <w:color w:val="auto"/>
              </w:rPr>
            </w:pPr>
          </w:p>
        </w:tc>
        <w:tc>
          <w:tcPr>
            <w:tcW w:w="120" w:type="dxa"/>
            <w:vAlign w:val="bottom"/>
            <w:shd w:val="clear" w:color="auto" w:fill="D2DCE5"/>
          </w:tcPr>
          <w:p>
            <w:pPr>
              <w:spacing w:after="0"/>
              <w:rPr>
                <w:sz w:val="16"/>
                <w:szCs w:val="16"/>
                <w:color w:val="auto"/>
              </w:rPr>
            </w:pPr>
          </w:p>
        </w:tc>
        <w:tc>
          <w:tcPr>
            <w:tcW w:w="700" w:type="dxa"/>
            <w:vAlign w:val="bottom"/>
            <w:gridSpan w:val="2"/>
            <w:vMerge w:val="continue"/>
            <w:shd w:val="clear" w:color="auto" w:fill="D2DCE5"/>
          </w:tcPr>
          <w:p>
            <w:pPr>
              <w:spacing w:after="0"/>
              <w:rPr>
                <w:sz w:val="16"/>
                <w:szCs w:val="16"/>
                <w:color w:val="auto"/>
              </w:rPr>
            </w:pPr>
          </w:p>
        </w:tc>
        <w:tc>
          <w:tcPr>
            <w:tcW w:w="700" w:type="dxa"/>
            <w:vAlign w:val="bottom"/>
            <w:vMerge w:val="continue"/>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Net loss subsequent to</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the Reorganization</w:t>
            </w:r>
          </w:p>
        </w:tc>
        <w:tc>
          <w:tcPr>
            <w:tcW w:w="10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320" w:type="dxa"/>
            <w:vAlign w:val="bottom"/>
          </w:tcPr>
          <w:p>
            <w:pPr>
              <w:spacing w:after="0"/>
              <w:rPr>
                <w:sz w:val="14"/>
                <w:szCs w:val="14"/>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131E29"/>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4"/>
                <w:szCs w:val="14"/>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14"/>
                <w:szCs w:val="14"/>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4"/>
                <w:szCs w:val="14"/>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Pr>
          <w:p>
            <w:pPr>
              <w:spacing w:after="0"/>
              <w:rPr>
                <w:sz w:val="14"/>
                <w:szCs w:val="14"/>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131E29"/>
              </w:rPr>
              <w:t>(11,077)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131E29"/>
              </w:rPr>
              <w:t>(31,312)</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(42,389)</w:t>
            </w:r>
          </w:p>
        </w:tc>
        <w:tc>
          <w:tcPr>
            <w:tcW w:w="0" w:type="dxa"/>
            <w:vAlign w:val="bottom"/>
          </w:tcPr>
          <w:p>
            <w:pPr>
              <w:spacing w:after="0"/>
              <w:rPr>
                <w:sz w:val="1"/>
                <w:szCs w:val="1"/>
                <w:color w:val="auto"/>
              </w:rPr>
            </w:pPr>
          </w:p>
        </w:tc>
      </w:tr>
      <w:tr>
        <w:trPr>
          <w:trHeight w:val="193"/>
        </w:trPr>
        <w:tc>
          <w:tcPr>
            <w:tcW w:w="1620" w:type="dxa"/>
            <w:vAlign w:val="bottom"/>
            <w:gridSpan w:val="2"/>
          </w:tcPr>
          <w:p>
            <w:pPr>
              <w:ind w:left="20"/>
              <w:spacing w:after="0" w:line="193" w:lineRule="exact"/>
              <w:rPr>
                <w:sz w:val="20"/>
                <w:szCs w:val="20"/>
                <w:color w:val="auto"/>
              </w:rPr>
            </w:pPr>
            <w:r>
              <w:rPr>
                <w:rFonts w:ascii="Arial" w:cs="Arial" w:eastAsia="Arial" w:hAnsi="Arial"/>
                <w:sz w:val="14"/>
                <w:szCs w:val="14"/>
                <w:color w:val="131E29"/>
              </w:rPr>
              <w:t xml:space="preserve">Transactions </w:t>
            </w:r>
            <w:r>
              <w:rPr>
                <w:rFonts w:ascii="Arial" w:cs="Arial" w:eastAsia="Arial" w:hAnsi="Arial"/>
                <w:sz w:val="18"/>
                <w:szCs w:val="18"/>
                <w:color w:val="131E29"/>
                <w:vertAlign w:val="superscript"/>
              </w:rPr>
              <w:t>1</w:t>
            </w: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Equity-based</w:t>
            </w:r>
          </w:p>
        </w:tc>
        <w:tc>
          <w:tcPr>
            <w:tcW w:w="100" w:type="dxa"/>
            <w:vAlign w:val="bottom"/>
            <w:shd w:val="clear" w:color="auto" w:fill="D2DCE5"/>
          </w:tcPr>
          <w:p>
            <w:pPr>
              <w:spacing w:after="0"/>
              <w:rPr>
                <w:sz w:val="17"/>
                <w:szCs w:val="17"/>
                <w:color w:val="auto"/>
              </w:rPr>
            </w:pPr>
          </w:p>
        </w:tc>
        <w:tc>
          <w:tcPr>
            <w:tcW w:w="9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4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6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compensation</w:t>
            </w:r>
          </w:p>
        </w:tc>
        <w:tc>
          <w:tcPr>
            <w:tcW w:w="100" w:type="dxa"/>
            <w:vAlign w:val="bottom"/>
            <w:shd w:val="clear" w:color="auto" w:fill="D2DCE5"/>
          </w:tcPr>
          <w:p>
            <w:pPr>
              <w:spacing w:after="0"/>
              <w:rPr>
                <w:sz w:val="15"/>
                <w:szCs w:val="15"/>
                <w:color w:val="auto"/>
              </w:rPr>
            </w:pPr>
          </w:p>
        </w:tc>
        <w:tc>
          <w:tcPr>
            <w:tcW w:w="9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4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20" w:type="dxa"/>
            <w:vAlign w:val="bottom"/>
            <w:shd w:val="clear" w:color="auto" w:fill="D2DCE5"/>
          </w:tcPr>
          <w:p>
            <w:pPr>
              <w:spacing w:after="0"/>
              <w:rPr>
                <w:sz w:val="15"/>
                <w:szCs w:val="15"/>
                <w:color w:val="auto"/>
              </w:rPr>
            </w:pPr>
          </w:p>
        </w:tc>
        <w:tc>
          <w:tcPr>
            <w:tcW w:w="6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recognized subsequent</w:t>
            </w:r>
          </w:p>
        </w:tc>
        <w:tc>
          <w:tcPr>
            <w:tcW w:w="100" w:type="dxa"/>
            <w:vAlign w:val="bottom"/>
            <w:shd w:val="clear" w:color="auto" w:fill="D2DCE5"/>
          </w:tcPr>
          <w:p>
            <w:pPr>
              <w:spacing w:after="0"/>
              <w:rPr>
                <w:sz w:val="14"/>
                <w:szCs w:val="14"/>
                <w:color w:val="auto"/>
              </w:rPr>
            </w:pPr>
          </w:p>
        </w:tc>
        <w:tc>
          <w:tcPr>
            <w:tcW w:w="9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2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4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20" w:type="dxa"/>
            <w:vAlign w:val="bottom"/>
            <w:shd w:val="clear" w:color="auto" w:fill="D2DCE5"/>
          </w:tcPr>
          <w:p>
            <w:pPr>
              <w:spacing w:after="0"/>
              <w:rPr>
                <w:sz w:val="14"/>
                <w:szCs w:val="14"/>
                <w:color w:val="auto"/>
              </w:rPr>
            </w:pPr>
          </w:p>
        </w:tc>
        <w:tc>
          <w:tcPr>
            <w:tcW w:w="6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to the Reorganization</w:t>
            </w:r>
          </w:p>
        </w:tc>
        <w:tc>
          <w:tcPr>
            <w:tcW w:w="100" w:type="dxa"/>
            <w:vAlign w:val="bottom"/>
            <w:shd w:val="clear" w:color="auto" w:fill="D2DCE5"/>
          </w:tcPr>
          <w:p>
            <w:pPr>
              <w:spacing w:after="0"/>
              <w:rPr>
                <w:sz w:val="14"/>
                <w:szCs w:val="14"/>
                <w:color w:val="auto"/>
              </w:rPr>
            </w:pPr>
          </w:p>
        </w:tc>
        <w:tc>
          <w:tcPr>
            <w:tcW w:w="9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2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4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20" w:type="dxa"/>
            <w:vAlign w:val="bottom"/>
            <w:shd w:val="clear" w:color="auto" w:fill="D2DCE5"/>
          </w:tcPr>
          <w:p>
            <w:pPr>
              <w:spacing w:after="0"/>
              <w:rPr>
                <w:sz w:val="14"/>
                <w:szCs w:val="14"/>
                <w:color w:val="auto"/>
              </w:rPr>
            </w:pPr>
          </w:p>
        </w:tc>
        <w:tc>
          <w:tcPr>
            <w:tcW w:w="6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Transactions </w:t>
            </w:r>
            <w:r>
              <w:rPr>
                <w:rFonts w:ascii="Arial" w:cs="Arial" w:eastAsia="Arial" w:hAnsi="Arial"/>
                <w:sz w:val="18"/>
                <w:szCs w:val="18"/>
                <w:color w:val="131E29"/>
                <w:vertAlign w:val="superscript"/>
              </w:rPr>
              <w:t>1</w:t>
            </w:r>
          </w:p>
        </w:tc>
        <w:tc>
          <w:tcPr>
            <w:tcW w:w="100" w:type="dxa"/>
            <w:vAlign w:val="bottom"/>
            <w:shd w:val="clear" w:color="auto" w:fill="D2DCE5"/>
          </w:tcPr>
          <w:p>
            <w:pPr>
              <w:spacing w:after="0"/>
              <w:rPr>
                <w:sz w:val="17"/>
                <w:szCs w:val="17"/>
                <w:color w:val="auto"/>
              </w:rPr>
            </w:pPr>
          </w:p>
        </w:tc>
        <w:tc>
          <w:tcPr>
            <w:tcW w:w="106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2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20" w:type="dxa"/>
            <w:vAlign w:val="bottom"/>
            <w:shd w:val="clear" w:color="auto" w:fill="D2DCE5"/>
          </w:tcPr>
          <w:p>
            <w:pPr>
              <w:spacing w:after="0"/>
              <w:rPr>
                <w:sz w:val="17"/>
                <w:szCs w:val="17"/>
                <w:color w:val="auto"/>
              </w:rPr>
            </w:pPr>
          </w:p>
        </w:tc>
        <w:tc>
          <w:tcPr>
            <w:tcW w:w="360" w:type="dxa"/>
            <w:vAlign w:val="bottom"/>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62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shd w:val="clear" w:color="auto" w:fill="D2DCE5"/>
          </w:tcPr>
          <w:p>
            <w:pPr>
              <w:spacing w:after="0"/>
              <w:rPr>
                <w:sz w:val="17"/>
                <w:szCs w:val="17"/>
                <w:color w:val="auto"/>
              </w:rPr>
            </w:pPr>
          </w:p>
        </w:tc>
        <w:tc>
          <w:tcPr>
            <w:tcW w:w="50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7"/>
                <w:szCs w:val="17"/>
                <w:color w:val="auto"/>
              </w:rPr>
            </w:pPr>
          </w:p>
        </w:tc>
        <w:tc>
          <w:tcPr>
            <w:tcW w:w="36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gridSpan w:val="3"/>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spacing w:after="0"/>
              <w:rPr>
                <w:sz w:val="17"/>
                <w:szCs w:val="17"/>
                <w:color w:val="auto"/>
              </w:rPr>
            </w:pPr>
          </w:p>
        </w:tc>
        <w:tc>
          <w:tcPr>
            <w:tcW w:w="360" w:type="dxa"/>
            <w:vAlign w:val="bottom"/>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100" w:type="dxa"/>
            <w:vAlign w:val="bottom"/>
            <w:shd w:val="clear" w:color="auto" w:fill="D2DCE5"/>
          </w:tcPr>
          <w:p>
            <w:pPr>
              <w:spacing w:after="0"/>
              <w:rPr>
                <w:sz w:val="17"/>
                <w:szCs w:val="17"/>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9,802</w:t>
            </w: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780" w:type="dxa"/>
            <w:vAlign w:val="bottom"/>
            <w:gridSpan w:val="2"/>
            <w:shd w:val="clear" w:color="auto" w:fill="D2DCE5"/>
          </w:tcPr>
          <w:p>
            <w:pPr>
              <w:ind w:left="500"/>
              <w:spacing w:after="0"/>
              <w:rPr>
                <w:sz w:val="20"/>
                <w:szCs w:val="20"/>
                <w:color w:val="auto"/>
              </w:rPr>
            </w:pPr>
            <w:r>
              <w:rPr>
                <w:rFonts w:ascii="Arial" w:cs="Arial" w:eastAsia="Arial" w:hAnsi="Arial"/>
                <w:sz w:val="14"/>
                <w:szCs w:val="14"/>
                <w:color w:val="131E29"/>
              </w:rPr>
              <w:t>—</w:t>
            </w:r>
          </w:p>
        </w:tc>
        <w:tc>
          <w:tcPr>
            <w:tcW w:w="120" w:type="dxa"/>
            <w:vAlign w:val="bottom"/>
            <w:shd w:val="clear" w:color="auto" w:fill="D2DCE5"/>
          </w:tcPr>
          <w:p>
            <w:pPr>
              <w:spacing w:after="0"/>
              <w:rPr>
                <w:sz w:val="17"/>
                <w:szCs w:val="17"/>
                <w:color w:val="auto"/>
              </w:rPr>
            </w:pPr>
          </w:p>
        </w:tc>
        <w:tc>
          <w:tcPr>
            <w:tcW w:w="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24,298</w:t>
            </w: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34,100</w:t>
            </w: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Issuance of Class A</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common stock</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pursuant to vesting 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equity awards, net 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 xml:space="preserve">stock withheld for tax </w:t>
            </w:r>
            <w:r>
              <w:rPr>
                <w:rFonts w:ascii="Arial" w:cs="Arial" w:eastAsia="Arial" w:hAnsi="Arial"/>
                <w:sz w:val="18"/>
                <w:szCs w:val="18"/>
                <w:color w:val="131E29"/>
                <w:vertAlign w:val="superscript"/>
              </w:rPr>
              <w:t>1</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540" w:type="dxa"/>
            <w:vAlign w:val="bottom"/>
          </w:tcPr>
          <w:p>
            <w:pPr>
              <w:jc w:val="right"/>
              <w:spacing w:after="0"/>
              <w:rPr>
                <w:sz w:val="20"/>
                <w:szCs w:val="20"/>
                <w:color w:val="auto"/>
              </w:rPr>
            </w:pPr>
            <w:r>
              <w:rPr>
                <w:rFonts w:ascii="Arial" w:cs="Arial" w:eastAsia="Arial" w:hAnsi="Arial"/>
                <w:sz w:val="14"/>
                <w:szCs w:val="14"/>
                <w:color w:val="131E29"/>
              </w:rPr>
              <w:t>344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131E29"/>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17"/>
                <w:szCs w:val="17"/>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131E29"/>
              </w:rPr>
              <w:t>(3,258)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131E29"/>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131E29"/>
              </w:rPr>
              <w:t>(8,075)</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(11,333)</w:t>
            </w:r>
          </w:p>
        </w:tc>
        <w:tc>
          <w:tcPr>
            <w:tcW w:w="0" w:type="dxa"/>
            <w:vAlign w:val="bottom"/>
          </w:tcPr>
          <w:p>
            <w:pPr>
              <w:spacing w:after="0"/>
              <w:rPr>
                <w:sz w:val="1"/>
                <w:szCs w:val="1"/>
                <w:color w:val="auto"/>
              </w:rPr>
            </w:pPr>
          </w:p>
        </w:tc>
      </w:tr>
      <w:tr>
        <w:trPr>
          <w:trHeight w:val="204"/>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 of exchange of</w:t>
            </w:r>
          </w:p>
        </w:tc>
        <w:tc>
          <w:tcPr>
            <w:tcW w:w="100" w:type="dxa"/>
            <w:vAlign w:val="bottom"/>
            <w:shd w:val="clear" w:color="auto" w:fill="D2DCE5"/>
          </w:tcPr>
          <w:p>
            <w:pPr>
              <w:spacing w:after="0"/>
              <w:rPr>
                <w:sz w:val="17"/>
                <w:szCs w:val="17"/>
                <w:color w:val="auto"/>
              </w:rPr>
            </w:pPr>
          </w:p>
        </w:tc>
        <w:tc>
          <w:tcPr>
            <w:tcW w:w="9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4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6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Dutch Bros OpCo</w:t>
            </w:r>
          </w:p>
        </w:tc>
        <w:tc>
          <w:tcPr>
            <w:tcW w:w="100" w:type="dxa"/>
            <w:vAlign w:val="bottom"/>
            <w:shd w:val="clear" w:color="auto" w:fill="D2DCE5"/>
          </w:tcPr>
          <w:p>
            <w:pPr>
              <w:spacing w:after="0"/>
              <w:rPr>
                <w:sz w:val="15"/>
                <w:szCs w:val="15"/>
                <w:color w:val="auto"/>
              </w:rPr>
            </w:pPr>
          </w:p>
        </w:tc>
        <w:tc>
          <w:tcPr>
            <w:tcW w:w="9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4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20" w:type="dxa"/>
            <w:vAlign w:val="bottom"/>
            <w:shd w:val="clear" w:color="auto" w:fill="D2DCE5"/>
          </w:tcPr>
          <w:p>
            <w:pPr>
              <w:spacing w:after="0"/>
              <w:rPr>
                <w:sz w:val="15"/>
                <w:szCs w:val="15"/>
                <w:color w:val="auto"/>
              </w:rPr>
            </w:pPr>
          </w:p>
        </w:tc>
        <w:tc>
          <w:tcPr>
            <w:tcW w:w="6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20" w:type="dxa"/>
            <w:vAlign w:val="bottom"/>
            <w:gridSpan w:val="2"/>
            <w:shd w:val="clear" w:color="auto" w:fill="D2DCE5"/>
          </w:tcPr>
          <w:p>
            <w:pPr>
              <w:ind w:left="20"/>
              <w:spacing w:after="0" w:line="134" w:lineRule="exact"/>
              <w:rPr>
                <w:sz w:val="20"/>
                <w:szCs w:val="20"/>
                <w:color w:val="auto"/>
              </w:rPr>
            </w:pPr>
            <w:r>
              <w:rPr>
                <w:rFonts w:ascii="Arial" w:cs="Arial" w:eastAsia="Arial" w:hAnsi="Arial"/>
                <w:sz w:val="14"/>
                <w:szCs w:val="14"/>
                <w:color w:val="131E29"/>
              </w:rPr>
              <w:t>Class A common units</w:t>
            </w:r>
          </w:p>
        </w:tc>
        <w:tc>
          <w:tcPr>
            <w:tcW w:w="100" w:type="dxa"/>
            <w:vAlign w:val="bottom"/>
            <w:shd w:val="clear" w:color="auto" w:fill="D2DCE5"/>
          </w:tcPr>
          <w:p>
            <w:pPr>
              <w:spacing w:after="0"/>
              <w:rPr>
                <w:sz w:val="11"/>
                <w:szCs w:val="11"/>
                <w:color w:val="auto"/>
              </w:rPr>
            </w:pPr>
          </w:p>
        </w:tc>
        <w:tc>
          <w:tcPr>
            <w:tcW w:w="10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2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20" w:type="dxa"/>
            <w:vAlign w:val="bottom"/>
            <w:shd w:val="clear" w:color="auto" w:fill="D2DCE5"/>
          </w:tcPr>
          <w:p>
            <w:pPr>
              <w:spacing w:after="0"/>
              <w:rPr>
                <w:sz w:val="11"/>
                <w:szCs w:val="11"/>
                <w:color w:val="auto"/>
              </w:rPr>
            </w:pPr>
          </w:p>
        </w:tc>
        <w:tc>
          <w:tcPr>
            <w:tcW w:w="360" w:type="dxa"/>
            <w:vAlign w:val="bottom"/>
            <w:gridSpan w:val="2"/>
            <w:vMerge w:val="restart"/>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62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shd w:val="clear" w:color="auto" w:fill="D2DCE5"/>
          </w:tcPr>
          <w:p>
            <w:pPr>
              <w:spacing w:after="0"/>
              <w:rPr>
                <w:sz w:val="11"/>
                <w:szCs w:val="11"/>
                <w:color w:val="auto"/>
              </w:rPr>
            </w:pPr>
          </w:p>
        </w:tc>
        <w:tc>
          <w:tcPr>
            <w:tcW w:w="50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1"/>
                <w:szCs w:val="11"/>
                <w:color w:val="auto"/>
              </w:rPr>
            </w:pPr>
          </w:p>
        </w:tc>
        <w:tc>
          <w:tcPr>
            <w:tcW w:w="3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gridSpan w:val="3"/>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spacing w:after="0"/>
              <w:rPr>
                <w:sz w:val="11"/>
                <w:szCs w:val="11"/>
                <w:color w:val="auto"/>
              </w:rPr>
            </w:pPr>
          </w:p>
        </w:tc>
        <w:tc>
          <w:tcPr>
            <w:tcW w:w="36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100" w:type="dxa"/>
            <w:vAlign w:val="bottom"/>
            <w:shd w:val="clear" w:color="auto" w:fill="D2DCE5"/>
          </w:tcPr>
          <w:p>
            <w:pPr>
              <w:spacing w:after="0"/>
              <w:rPr>
                <w:sz w:val="11"/>
                <w:szCs w:val="11"/>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289</w:t>
            </w:r>
          </w:p>
        </w:tc>
        <w:tc>
          <w:tcPr>
            <w:tcW w:w="80" w:type="dxa"/>
            <w:vAlign w:val="bottom"/>
            <w:shd w:val="clear" w:color="auto" w:fill="D2DCE5"/>
          </w:tcPr>
          <w:p>
            <w:pPr>
              <w:spacing w:after="0"/>
              <w:rPr>
                <w:sz w:val="11"/>
                <w:szCs w:val="11"/>
                <w:color w:val="auto"/>
              </w:rPr>
            </w:pPr>
          </w:p>
        </w:tc>
        <w:tc>
          <w:tcPr>
            <w:tcW w:w="180" w:type="dxa"/>
            <w:vAlign w:val="bottom"/>
            <w:shd w:val="clear" w:color="auto" w:fill="D2DCE5"/>
          </w:tcPr>
          <w:p>
            <w:pPr>
              <w:spacing w:after="0"/>
              <w:rPr>
                <w:sz w:val="11"/>
                <w:szCs w:val="11"/>
                <w:color w:val="auto"/>
              </w:rPr>
            </w:pPr>
          </w:p>
        </w:tc>
        <w:tc>
          <w:tcPr>
            <w:tcW w:w="780" w:type="dxa"/>
            <w:vAlign w:val="bottom"/>
            <w:gridSpan w:val="2"/>
            <w:vMerge w:val="restart"/>
            <w:shd w:val="clear" w:color="auto" w:fill="D2DCE5"/>
          </w:tcPr>
          <w:p>
            <w:pPr>
              <w:ind w:left="500"/>
              <w:spacing w:after="0"/>
              <w:rPr>
                <w:sz w:val="20"/>
                <w:szCs w:val="20"/>
                <w:color w:val="auto"/>
              </w:rPr>
            </w:pPr>
            <w:r>
              <w:rPr>
                <w:rFonts w:ascii="Arial" w:cs="Arial" w:eastAsia="Arial" w:hAnsi="Arial"/>
                <w:sz w:val="14"/>
                <w:szCs w:val="14"/>
                <w:color w:val="131E29"/>
              </w:rPr>
              <w:t>—</w:t>
            </w:r>
          </w:p>
        </w:tc>
        <w:tc>
          <w:tcPr>
            <w:tcW w:w="120" w:type="dxa"/>
            <w:vAlign w:val="bottom"/>
            <w:shd w:val="clear" w:color="auto" w:fill="D2DCE5"/>
          </w:tcPr>
          <w:p>
            <w:pPr>
              <w:spacing w:after="0"/>
              <w:rPr>
                <w:sz w:val="11"/>
                <w:szCs w:val="11"/>
                <w:color w:val="auto"/>
              </w:rPr>
            </w:pPr>
          </w:p>
        </w:tc>
        <w:tc>
          <w:tcPr>
            <w:tcW w:w="6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(289)</w:t>
            </w:r>
          </w:p>
        </w:tc>
        <w:tc>
          <w:tcPr>
            <w:tcW w:w="80" w:type="dxa"/>
            <w:vAlign w:val="bottom"/>
            <w:shd w:val="clear" w:color="auto" w:fill="D2DCE5"/>
          </w:tcPr>
          <w:p>
            <w:pPr>
              <w:spacing w:after="0"/>
              <w:rPr>
                <w:sz w:val="11"/>
                <w:szCs w:val="11"/>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55"/>
        </w:trPr>
        <w:tc>
          <w:tcPr>
            <w:tcW w:w="15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9"/>
                <w:szCs w:val="9"/>
                <w:color w:val="131E29"/>
              </w:rPr>
              <w:t>1</w:t>
            </w:r>
          </w:p>
        </w:tc>
        <w:tc>
          <w:tcPr>
            <w:tcW w:w="80" w:type="dxa"/>
            <w:vAlign w:val="bottom"/>
            <w:tcBorders>
              <w:bottom w:val="single" w:sz="8" w:color="D2DCE5"/>
            </w:tcBorders>
            <w:shd w:val="clear" w:color="auto" w:fill="D2DCE5"/>
          </w:tcPr>
          <w:p>
            <w:pPr>
              <w:spacing w:after="0"/>
              <w:rPr>
                <w:sz w:val="13"/>
                <w:szCs w:val="13"/>
                <w:color w:val="auto"/>
              </w:rPr>
            </w:pPr>
          </w:p>
        </w:tc>
        <w:tc>
          <w:tcPr>
            <w:tcW w:w="100" w:type="dxa"/>
            <w:vAlign w:val="bottom"/>
            <w:tcBorders>
              <w:bottom w:val="single" w:sz="8" w:color="D2DCE5"/>
            </w:tcBorders>
            <w:shd w:val="clear" w:color="auto" w:fill="D2DCE5"/>
          </w:tcPr>
          <w:p>
            <w:pPr>
              <w:spacing w:after="0"/>
              <w:rPr>
                <w:sz w:val="13"/>
                <w:szCs w:val="13"/>
                <w:color w:val="auto"/>
              </w:rPr>
            </w:pPr>
          </w:p>
        </w:tc>
        <w:tc>
          <w:tcPr>
            <w:tcW w:w="1060" w:type="dxa"/>
            <w:vAlign w:val="bottom"/>
            <w:tcBorders>
              <w:bottom w:val="single" w:sz="8" w:color="D2DCE5"/>
            </w:tcBorders>
            <w:gridSpan w:val="2"/>
            <w:vMerge w:val="continue"/>
            <w:shd w:val="clear" w:color="auto" w:fill="D2DCE5"/>
          </w:tcPr>
          <w:p>
            <w:pPr>
              <w:spacing w:after="0"/>
              <w:rPr>
                <w:sz w:val="13"/>
                <w:szCs w:val="13"/>
                <w:color w:val="auto"/>
              </w:rPr>
            </w:pPr>
          </w:p>
        </w:tc>
        <w:tc>
          <w:tcPr>
            <w:tcW w:w="620" w:type="dxa"/>
            <w:vAlign w:val="bottom"/>
            <w:tcBorders>
              <w:bottom w:val="single" w:sz="8" w:color="D2DCE5"/>
            </w:tcBorders>
            <w:gridSpan w:val="2"/>
            <w:vMerge w:val="continue"/>
            <w:shd w:val="clear" w:color="auto" w:fill="D2DCE5"/>
          </w:tcPr>
          <w:p>
            <w:pPr>
              <w:spacing w:after="0"/>
              <w:rPr>
                <w:sz w:val="13"/>
                <w:szCs w:val="13"/>
                <w:color w:val="auto"/>
              </w:rPr>
            </w:pPr>
          </w:p>
        </w:tc>
        <w:tc>
          <w:tcPr>
            <w:tcW w:w="320" w:type="dxa"/>
            <w:vAlign w:val="bottom"/>
            <w:tcBorders>
              <w:bottom w:val="single" w:sz="8" w:color="D2DCE5"/>
            </w:tcBorders>
            <w:shd w:val="clear" w:color="auto" w:fill="D2DCE5"/>
          </w:tcPr>
          <w:p>
            <w:pPr>
              <w:spacing w:after="0"/>
              <w:rPr>
                <w:sz w:val="13"/>
                <w:szCs w:val="13"/>
                <w:color w:val="auto"/>
              </w:rPr>
            </w:pPr>
          </w:p>
        </w:tc>
        <w:tc>
          <w:tcPr>
            <w:tcW w:w="360" w:type="dxa"/>
            <w:vAlign w:val="bottom"/>
            <w:tcBorders>
              <w:bottom w:val="single" w:sz="8" w:color="D2DCE5"/>
            </w:tcBorders>
            <w:gridSpan w:val="2"/>
            <w:vMerge w:val="continue"/>
            <w:shd w:val="clear" w:color="auto" w:fill="D2DCE5"/>
          </w:tcPr>
          <w:p>
            <w:pPr>
              <w:spacing w:after="0"/>
              <w:rPr>
                <w:sz w:val="13"/>
                <w:szCs w:val="13"/>
                <w:color w:val="auto"/>
              </w:rPr>
            </w:pPr>
          </w:p>
        </w:tc>
        <w:tc>
          <w:tcPr>
            <w:tcW w:w="620" w:type="dxa"/>
            <w:vAlign w:val="bottom"/>
            <w:tcBorders>
              <w:bottom w:val="single" w:sz="8" w:color="D2DCE5"/>
            </w:tcBorders>
            <w:gridSpan w:val="2"/>
            <w:vMerge w:val="continue"/>
            <w:shd w:val="clear" w:color="auto" w:fill="D2DCE5"/>
          </w:tcPr>
          <w:p>
            <w:pPr>
              <w:spacing w:after="0"/>
              <w:rPr>
                <w:sz w:val="13"/>
                <w:szCs w:val="13"/>
                <w:color w:val="auto"/>
              </w:rPr>
            </w:pPr>
          </w:p>
        </w:tc>
        <w:tc>
          <w:tcPr>
            <w:tcW w:w="160" w:type="dxa"/>
            <w:vAlign w:val="bottom"/>
            <w:tcBorders>
              <w:bottom w:val="single" w:sz="8" w:color="D2DCE5"/>
            </w:tcBorders>
            <w:shd w:val="clear" w:color="auto" w:fill="D2DCE5"/>
          </w:tcPr>
          <w:p>
            <w:pPr>
              <w:spacing w:after="0"/>
              <w:rPr>
                <w:sz w:val="13"/>
                <w:szCs w:val="13"/>
                <w:color w:val="auto"/>
              </w:rPr>
            </w:pPr>
          </w:p>
        </w:tc>
        <w:tc>
          <w:tcPr>
            <w:tcW w:w="500" w:type="dxa"/>
            <w:vAlign w:val="bottom"/>
            <w:tcBorders>
              <w:bottom w:val="single" w:sz="8" w:color="D2DCE5"/>
            </w:tcBorders>
            <w:gridSpan w:val="2"/>
            <w:vMerge w:val="continue"/>
            <w:shd w:val="clear" w:color="auto" w:fill="D2DCE5"/>
          </w:tcPr>
          <w:p>
            <w:pPr>
              <w:spacing w:after="0"/>
              <w:rPr>
                <w:sz w:val="13"/>
                <w:szCs w:val="13"/>
                <w:color w:val="auto"/>
              </w:rPr>
            </w:pPr>
          </w:p>
        </w:tc>
        <w:tc>
          <w:tcPr>
            <w:tcW w:w="660" w:type="dxa"/>
            <w:vAlign w:val="bottom"/>
            <w:tcBorders>
              <w:bottom w:val="single" w:sz="8" w:color="D2DCE5"/>
            </w:tcBorders>
            <w:gridSpan w:val="2"/>
            <w:vMerge w:val="continue"/>
            <w:shd w:val="clear" w:color="auto" w:fill="D2DCE5"/>
          </w:tcPr>
          <w:p>
            <w:pPr>
              <w:spacing w:after="0"/>
              <w:rPr>
                <w:sz w:val="13"/>
                <w:szCs w:val="13"/>
                <w:color w:val="auto"/>
              </w:rPr>
            </w:pPr>
          </w:p>
        </w:tc>
        <w:tc>
          <w:tcPr>
            <w:tcW w:w="300" w:type="dxa"/>
            <w:vAlign w:val="bottom"/>
            <w:tcBorders>
              <w:bottom w:val="single" w:sz="8" w:color="D2DCE5"/>
            </w:tcBorders>
            <w:shd w:val="clear" w:color="auto" w:fill="D2DCE5"/>
          </w:tcPr>
          <w:p>
            <w:pPr>
              <w:spacing w:after="0"/>
              <w:rPr>
                <w:sz w:val="13"/>
                <w:szCs w:val="13"/>
                <w:color w:val="auto"/>
              </w:rPr>
            </w:pPr>
          </w:p>
        </w:tc>
        <w:tc>
          <w:tcPr>
            <w:tcW w:w="360" w:type="dxa"/>
            <w:vAlign w:val="bottom"/>
            <w:tcBorders>
              <w:bottom w:val="single" w:sz="8" w:color="D2DCE5"/>
            </w:tcBorders>
            <w:gridSpan w:val="2"/>
            <w:vMerge w:val="continue"/>
            <w:shd w:val="clear" w:color="auto" w:fill="D2DCE5"/>
          </w:tcPr>
          <w:p>
            <w:pPr>
              <w:spacing w:after="0"/>
              <w:rPr>
                <w:sz w:val="13"/>
                <w:szCs w:val="13"/>
                <w:color w:val="auto"/>
              </w:rPr>
            </w:pPr>
          </w:p>
        </w:tc>
        <w:tc>
          <w:tcPr>
            <w:tcW w:w="660" w:type="dxa"/>
            <w:vAlign w:val="bottom"/>
            <w:tcBorders>
              <w:bottom w:val="single" w:sz="8" w:color="D2DCE5"/>
            </w:tcBorders>
            <w:gridSpan w:val="3"/>
            <w:vMerge w:val="continue"/>
            <w:shd w:val="clear" w:color="auto" w:fill="D2DCE5"/>
          </w:tcPr>
          <w:p>
            <w:pPr>
              <w:spacing w:after="0"/>
              <w:rPr>
                <w:sz w:val="13"/>
                <w:szCs w:val="13"/>
                <w:color w:val="auto"/>
              </w:rPr>
            </w:pPr>
          </w:p>
        </w:tc>
        <w:tc>
          <w:tcPr>
            <w:tcW w:w="280" w:type="dxa"/>
            <w:vAlign w:val="bottom"/>
            <w:tcBorders>
              <w:bottom w:val="single" w:sz="8" w:color="D2DCE5"/>
            </w:tcBorders>
            <w:shd w:val="clear" w:color="auto" w:fill="D2DCE5"/>
          </w:tcPr>
          <w:p>
            <w:pPr>
              <w:spacing w:after="0"/>
              <w:rPr>
                <w:sz w:val="13"/>
                <w:szCs w:val="13"/>
                <w:color w:val="auto"/>
              </w:rPr>
            </w:pPr>
          </w:p>
        </w:tc>
        <w:tc>
          <w:tcPr>
            <w:tcW w:w="360" w:type="dxa"/>
            <w:vAlign w:val="bottom"/>
            <w:tcBorders>
              <w:bottom w:val="single" w:sz="8" w:color="D2DCE5"/>
            </w:tcBorders>
            <w:gridSpan w:val="2"/>
            <w:vMerge w:val="continue"/>
            <w:shd w:val="clear" w:color="auto" w:fill="D2DCE5"/>
          </w:tcPr>
          <w:p>
            <w:pPr>
              <w:spacing w:after="0"/>
              <w:rPr>
                <w:sz w:val="13"/>
                <w:szCs w:val="13"/>
                <w:color w:val="auto"/>
              </w:rPr>
            </w:pPr>
          </w:p>
        </w:tc>
        <w:tc>
          <w:tcPr>
            <w:tcW w:w="100" w:type="dxa"/>
            <w:vAlign w:val="bottom"/>
            <w:tcBorders>
              <w:bottom w:val="single" w:sz="8" w:color="D2DCE5"/>
            </w:tcBorders>
            <w:shd w:val="clear" w:color="auto" w:fill="D2DCE5"/>
          </w:tcPr>
          <w:p>
            <w:pPr>
              <w:spacing w:after="0"/>
              <w:rPr>
                <w:sz w:val="13"/>
                <w:szCs w:val="13"/>
                <w:color w:val="auto"/>
              </w:rPr>
            </w:pPr>
          </w:p>
        </w:tc>
        <w:tc>
          <w:tcPr>
            <w:tcW w:w="600" w:type="dxa"/>
            <w:vAlign w:val="bottom"/>
            <w:tcBorders>
              <w:bottom w:val="single" w:sz="8" w:color="D2DCE5"/>
            </w:tcBorders>
            <w:vMerge w:val="continue"/>
            <w:shd w:val="clear" w:color="auto" w:fill="D2DCE5"/>
          </w:tcPr>
          <w:p>
            <w:pPr>
              <w:spacing w:after="0"/>
              <w:rPr>
                <w:sz w:val="13"/>
                <w:szCs w:val="13"/>
                <w:color w:val="auto"/>
              </w:rPr>
            </w:pPr>
          </w:p>
        </w:tc>
        <w:tc>
          <w:tcPr>
            <w:tcW w:w="80" w:type="dxa"/>
            <w:vAlign w:val="bottom"/>
            <w:tcBorders>
              <w:bottom w:val="single" w:sz="8" w:color="D2DCE5"/>
            </w:tcBorders>
            <w:shd w:val="clear" w:color="auto" w:fill="D2DCE5"/>
          </w:tcPr>
          <w:p>
            <w:pPr>
              <w:spacing w:after="0"/>
              <w:rPr>
                <w:sz w:val="13"/>
                <w:szCs w:val="13"/>
                <w:color w:val="auto"/>
              </w:rPr>
            </w:pPr>
          </w:p>
        </w:tc>
        <w:tc>
          <w:tcPr>
            <w:tcW w:w="180" w:type="dxa"/>
            <w:vAlign w:val="bottom"/>
            <w:tcBorders>
              <w:bottom w:val="single" w:sz="8" w:color="D2DCE5"/>
            </w:tcBorders>
            <w:shd w:val="clear" w:color="auto" w:fill="D2DCE5"/>
          </w:tcPr>
          <w:p>
            <w:pPr>
              <w:spacing w:after="0"/>
              <w:rPr>
                <w:sz w:val="13"/>
                <w:szCs w:val="13"/>
                <w:color w:val="auto"/>
              </w:rPr>
            </w:pPr>
          </w:p>
        </w:tc>
        <w:tc>
          <w:tcPr>
            <w:tcW w:w="780" w:type="dxa"/>
            <w:vAlign w:val="bottom"/>
            <w:tcBorders>
              <w:bottom w:val="single" w:sz="8" w:color="D2DCE5"/>
            </w:tcBorders>
            <w:gridSpan w:val="2"/>
            <w:vMerge w:val="continue"/>
            <w:shd w:val="clear" w:color="auto" w:fill="D2DCE5"/>
          </w:tcPr>
          <w:p>
            <w:pPr>
              <w:spacing w:after="0"/>
              <w:rPr>
                <w:sz w:val="13"/>
                <w:szCs w:val="13"/>
                <w:color w:val="auto"/>
              </w:rPr>
            </w:pPr>
          </w:p>
        </w:tc>
        <w:tc>
          <w:tcPr>
            <w:tcW w:w="120" w:type="dxa"/>
            <w:vAlign w:val="bottom"/>
            <w:tcBorders>
              <w:bottom w:val="single" w:sz="8" w:color="D2DCE5"/>
            </w:tcBorders>
            <w:shd w:val="clear" w:color="auto" w:fill="D2DCE5"/>
          </w:tcPr>
          <w:p>
            <w:pPr>
              <w:spacing w:after="0"/>
              <w:rPr>
                <w:sz w:val="13"/>
                <w:szCs w:val="13"/>
                <w:color w:val="auto"/>
              </w:rPr>
            </w:pPr>
          </w:p>
        </w:tc>
        <w:tc>
          <w:tcPr>
            <w:tcW w:w="620" w:type="dxa"/>
            <w:vAlign w:val="bottom"/>
            <w:tcBorders>
              <w:bottom w:val="single" w:sz="8" w:color="D2DCE5"/>
            </w:tcBorders>
            <w:vMerge w:val="continue"/>
            <w:shd w:val="clear" w:color="auto" w:fill="D2DCE5"/>
          </w:tcPr>
          <w:p>
            <w:pPr>
              <w:spacing w:after="0"/>
              <w:rPr>
                <w:sz w:val="13"/>
                <w:szCs w:val="13"/>
                <w:color w:val="auto"/>
              </w:rPr>
            </w:pPr>
          </w:p>
        </w:tc>
        <w:tc>
          <w:tcPr>
            <w:tcW w:w="80" w:type="dxa"/>
            <w:vAlign w:val="bottom"/>
            <w:tcBorders>
              <w:bottom w:val="single" w:sz="8" w:color="D2DCE5"/>
            </w:tcBorders>
            <w:shd w:val="clear" w:color="auto" w:fill="D2DCE5"/>
          </w:tcPr>
          <w:p>
            <w:pPr>
              <w:spacing w:after="0"/>
              <w:rPr>
                <w:sz w:val="13"/>
                <w:szCs w:val="13"/>
                <w:color w:val="auto"/>
              </w:rPr>
            </w:pPr>
          </w:p>
        </w:tc>
        <w:tc>
          <w:tcPr>
            <w:tcW w:w="700" w:type="dxa"/>
            <w:vAlign w:val="bottom"/>
            <w:tcBorders>
              <w:bottom w:val="single" w:sz="8" w:color="D2DCE5"/>
            </w:tcBorders>
            <w:vMerge w:val="continue"/>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Surrender and</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cancellation of Class C</w:t>
            </w:r>
          </w:p>
        </w:tc>
        <w:tc>
          <w:tcPr>
            <w:tcW w:w="100" w:type="dxa"/>
            <w:vAlign w:val="bottom"/>
          </w:tcPr>
          <w:p>
            <w:pPr>
              <w:spacing w:after="0"/>
              <w:rPr>
                <w:sz w:val="15"/>
                <w:szCs w:val="15"/>
                <w:color w:val="auto"/>
              </w:rPr>
            </w:pPr>
          </w:p>
        </w:tc>
        <w:tc>
          <w:tcPr>
            <w:tcW w:w="980" w:type="dxa"/>
            <w:vAlign w:val="bottom"/>
            <w:vMerge w:val="restart"/>
          </w:tcPr>
          <w:p>
            <w:pPr>
              <w:jc w:val="right"/>
              <w:ind w:right="7"/>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vMerge w:val="restart"/>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131E29"/>
              </w:rPr>
              <w:t>(1,595)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vMerge w:val="restart"/>
          </w:tcPr>
          <w:p>
            <w:pPr>
              <w:ind w:left="80"/>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131E29"/>
              </w:rPr>
              <w:t>(34,394)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ind w:left="500"/>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(34,394)</w:t>
            </w:r>
          </w:p>
        </w:tc>
        <w:tc>
          <w:tcPr>
            <w:tcW w:w="0" w:type="dxa"/>
            <w:vAlign w:val="bottom"/>
          </w:tcPr>
          <w:p>
            <w:pPr>
              <w:spacing w:after="0"/>
              <w:rPr>
                <w:sz w:val="1"/>
                <w:szCs w:val="1"/>
                <w:color w:val="auto"/>
              </w:rPr>
            </w:pPr>
          </w:p>
        </w:tc>
      </w:tr>
      <w:tr>
        <w:trPr>
          <w:trHeight w:val="181"/>
        </w:trPr>
        <w:tc>
          <w:tcPr>
            <w:tcW w:w="162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&amp; D common stock</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2DCE5"/>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September</w:t>
            </w:r>
          </w:p>
        </w:tc>
        <w:tc>
          <w:tcPr>
            <w:tcW w:w="1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0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5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34,432</w:t>
            </w:r>
          </w:p>
        </w:tc>
        <w:tc>
          <w:tcPr>
            <w:tcW w:w="80" w:type="dxa"/>
            <w:vAlign w:val="bottom"/>
            <w:shd w:val="clear" w:color="auto" w:fill="D2DCE5"/>
          </w:tcPr>
          <w:p>
            <w:pPr>
              <w:spacing w:after="0"/>
              <w:rPr>
                <w:sz w:val="15"/>
                <w:szCs w:val="15"/>
                <w:color w:val="auto"/>
              </w:rPr>
            </w:pPr>
          </w:p>
        </w:tc>
        <w:tc>
          <w:tcPr>
            <w:tcW w:w="320" w:type="dxa"/>
            <w:vAlign w:val="bottom"/>
            <w:vMerge w:val="restart"/>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360" w:type="dxa"/>
            <w:vAlign w:val="bottom"/>
            <w:gridSpan w:val="2"/>
            <w:vMerge w:val="restart"/>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5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64,699</w:t>
            </w:r>
          </w:p>
        </w:tc>
        <w:tc>
          <w:tcPr>
            <w:tcW w:w="80" w:type="dxa"/>
            <w:vAlign w:val="bottom"/>
            <w:shd w:val="clear" w:color="auto" w:fill="D2DCE5"/>
          </w:tcPr>
          <w:p>
            <w:pPr>
              <w:spacing w:after="0"/>
              <w:rPr>
                <w:sz w:val="15"/>
                <w:szCs w:val="15"/>
                <w:color w:val="auto"/>
              </w:rPr>
            </w:pPr>
          </w:p>
        </w:tc>
        <w:tc>
          <w:tcPr>
            <w:tcW w:w="160" w:type="dxa"/>
            <w:vAlign w:val="bottom"/>
            <w:vMerge w:val="restart"/>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4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80" w:type="dxa"/>
            <w:vAlign w:val="bottom"/>
            <w:shd w:val="clear" w:color="auto" w:fill="D2DCE5"/>
          </w:tcPr>
          <w:p>
            <w:pPr>
              <w:spacing w:after="0"/>
              <w:rPr>
                <w:sz w:val="15"/>
                <w:szCs w:val="15"/>
                <w:color w:val="auto"/>
              </w:rPr>
            </w:pPr>
          </w:p>
        </w:tc>
        <w:tc>
          <w:tcPr>
            <w:tcW w:w="58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49,006</w:t>
            </w:r>
          </w:p>
        </w:tc>
        <w:tc>
          <w:tcPr>
            <w:tcW w:w="80" w:type="dxa"/>
            <w:vAlign w:val="bottom"/>
            <w:shd w:val="clear" w:color="auto" w:fill="D2DCE5"/>
          </w:tcPr>
          <w:p>
            <w:pPr>
              <w:spacing w:after="0"/>
              <w:rPr>
                <w:sz w:val="15"/>
                <w:szCs w:val="15"/>
                <w:color w:val="auto"/>
              </w:rPr>
            </w:pPr>
          </w:p>
        </w:tc>
        <w:tc>
          <w:tcPr>
            <w:tcW w:w="300" w:type="dxa"/>
            <w:vAlign w:val="bottom"/>
            <w:vMerge w:val="restart"/>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28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1</w:t>
            </w:r>
          </w:p>
        </w:tc>
        <w:tc>
          <w:tcPr>
            <w:tcW w:w="80" w:type="dxa"/>
            <w:vAlign w:val="bottom"/>
            <w:shd w:val="clear" w:color="auto" w:fill="D2DCE5"/>
          </w:tcPr>
          <w:p>
            <w:pPr>
              <w:spacing w:after="0"/>
              <w:rPr>
                <w:sz w:val="15"/>
                <w:szCs w:val="15"/>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15,441</w:t>
            </w:r>
          </w:p>
        </w:tc>
        <w:tc>
          <w:tcPr>
            <w:tcW w:w="80" w:type="dxa"/>
            <w:vAlign w:val="bottom"/>
            <w:shd w:val="clear" w:color="auto" w:fill="D2DCE5"/>
          </w:tcPr>
          <w:p>
            <w:pPr>
              <w:spacing w:after="0"/>
              <w:rPr>
                <w:sz w:val="15"/>
                <w:szCs w:val="15"/>
                <w:color w:val="auto"/>
              </w:rPr>
            </w:pPr>
          </w:p>
        </w:tc>
        <w:tc>
          <w:tcPr>
            <w:tcW w:w="20" w:type="dxa"/>
            <w:vAlign w:val="bottom"/>
            <w:shd w:val="clear" w:color="auto" w:fill="D2DCE5"/>
          </w:tcPr>
          <w:p>
            <w:pPr>
              <w:spacing w:after="0"/>
              <w:rPr>
                <w:sz w:val="15"/>
                <w:szCs w:val="15"/>
                <w:color w:val="auto"/>
              </w:rPr>
            </w:pPr>
          </w:p>
        </w:tc>
        <w:tc>
          <w:tcPr>
            <w:tcW w:w="280" w:type="dxa"/>
            <w:vAlign w:val="bottom"/>
            <w:vMerge w:val="restart"/>
            <w:shd w:val="clear" w:color="auto" w:fill="D2DCE5"/>
          </w:tcPr>
          <w:p>
            <w:pPr>
              <w:spacing w:after="0"/>
              <w:rPr>
                <w:sz w:val="20"/>
                <w:szCs w:val="20"/>
                <w:color w:val="auto"/>
              </w:rPr>
            </w:pPr>
            <w:r>
              <w:rPr>
                <w:rFonts w:ascii="Arial" w:cs="Arial" w:eastAsia="Arial" w:hAnsi="Arial"/>
                <w:sz w:val="14"/>
                <w:szCs w:val="14"/>
                <w:color w:val="131E29"/>
              </w:rPr>
              <w:t>$</w:t>
            </w:r>
          </w:p>
        </w:tc>
        <w:tc>
          <w:tcPr>
            <w:tcW w:w="36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700" w:type="dxa"/>
            <w:vAlign w:val="bottom"/>
            <w:gridSpan w:val="2"/>
            <w:vMerge w:val="restart"/>
            <w:shd w:val="clear" w:color="auto" w:fill="D2DCE5"/>
          </w:tcPr>
          <w:p>
            <w:pPr>
              <w:jc w:val="right"/>
              <w:spacing w:after="0"/>
              <w:rPr>
                <w:sz w:val="20"/>
                <w:szCs w:val="20"/>
                <w:color w:val="auto"/>
              </w:rPr>
            </w:pPr>
            <w:r>
              <w:rPr>
                <w:rFonts w:ascii="Arial" w:cs="Arial" w:eastAsia="Arial" w:hAnsi="Arial"/>
                <w:sz w:val="14"/>
                <w:szCs w:val="14"/>
                <w:color w:val="131E29"/>
                <w:w w:val="99"/>
              </w:rPr>
              <w:t>$ 105,043</w:t>
            </w:r>
          </w:p>
        </w:tc>
        <w:tc>
          <w:tcPr>
            <w:tcW w:w="80" w:type="dxa"/>
            <w:vAlign w:val="bottom"/>
            <w:shd w:val="clear" w:color="auto" w:fill="D2DCE5"/>
          </w:tcPr>
          <w:p>
            <w:pPr>
              <w:spacing w:after="0"/>
              <w:rPr>
                <w:sz w:val="15"/>
                <w:szCs w:val="15"/>
                <w:color w:val="auto"/>
              </w:rPr>
            </w:pPr>
          </w:p>
        </w:tc>
        <w:tc>
          <w:tcPr>
            <w:tcW w:w="180" w:type="dxa"/>
            <w:vAlign w:val="bottom"/>
            <w:vMerge w:val="restart"/>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700" w:type="dxa"/>
            <w:vAlign w:val="bottom"/>
            <w:vMerge w:val="restart"/>
            <w:shd w:val="clear" w:color="auto" w:fill="D2DCE5"/>
          </w:tcPr>
          <w:p>
            <w:pPr>
              <w:ind w:left="140"/>
              <w:spacing w:after="0"/>
              <w:rPr>
                <w:sz w:val="20"/>
                <w:szCs w:val="20"/>
                <w:color w:val="auto"/>
              </w:rPr>
            </w:pPr>
            <w:r>
              <w:rPr>
                <w:rFonts w:ascii="Arial" w:cs="Arial" w:eastAsia="Arial" w:hAnsi="Arial"/>
                <w:sz w:val="14"/>
                <w:szCs w:val="14"/>
                <w:color w:val="131E29"/>
              </w:rPr>
              <w:t>(11,077)</w:t>
            </w:r>
          </w:p>
        </w:tc>
        <w:tc>
          <w:tcPr>
            <w:tcW w:w="80" w:type="dxa"/>
            <w:vAlign w:val="bottom"/>
            <w:shd w:val="clear" w:color="auto" w:fill="D2DCE5"/>
          </w:tcPr>
          <w:p>
            <w:pPr>
              <w:spacing w:after="0"/>
              <w:rPr>
                <w:sz w:val="15"/>
                <w:szCs w:val="15"/>
                <w:color w:val="auto"/>
              </w:rPr>
            </w:pPr>
          </w:p>
        </w:tc>
        <w:tc>
          <w:tcPr>
            <w:tcW w:w="120" w:type="dxa"/>
            <w:vAlign w:val="bottom"/>
            <w:vMerge w:val="restart"/>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6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118,687</w:t>
            </w:r>
          </w:p>
        </w:tc>
        <w:tc>
          <w:tcPr>
            <w:tcW w:w="80" w:type="dxa"/>
            <w:vAlign w:val="bottom"/>
            <w:shd w:val="clear" w:color="auto" w:fill="D2DCE5"/>
          </w:tcPr>
          <w:p>
            <w:pPr>
              <w:spacing w:after="0"/>
              <w:rPr>
                <w:sz w:val="15"/>
                <w:szCs w:val="15"/>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w w:val="99"/>
              </w:rPr>
              <w:t>$ 212,655</w:t>
            </w:r>
          </w:p>
        </w:tc>
        <w:tc>
          <w:tcPr>
            <w:tcW w:w="0" w:type="dxa"/>
            <w:vAlign w:val="bottom"/>
          </w:tcPr>
          <w:p>
            <w:pPr>
              <w:spacing w:after="0"/>
              <w:rPr>
                <w:sz w:val="1"/>
                <w:szCs w:val="1"/>
                <w:color w:val="auto"/>
              </w:rPr>
            </w:pPr>
          </w:p>
        </w:tc>
      </w:tr>
      <w:tr>
        <w:trPr>
          <w:trHeight w:val="209"/>
        </w:trPr>
        <w:tc>
          <w:tcPr>
            <w:tcW w:w="1540" w:type="dxa"/>
            <w:vAlign w:val="bottom"/>
            <w:shd w:val="clear" w:color="auto" w:fill="D2DCE5"/>
          </w:tcPr>
          <w:p>
            <w:pPr>
              <w:ind w:left="20"/>
              <w:spacing w:after="0"/>
              <w:rPr>
                <w:sz w:val="20"/>
                <w:szCs w:val="20"/>
                <w:color w:val="auto"/>
              </w:rPr>
            </w:pPr>
            <w:r>
              <w:rPr>
                <w:rFonts w:ascii="Arial" w:cs="Arial" w:eastAsia="Arial" w:hAnsi="Arial"/>
                <w:sz w:val="14"/>
                <w:szCs w:val="14"/>
                <w:b w:val="1"/>
                <w:bCs w:val="1"/>
                <w:color w:val="131E29"/>
              </w:rPr>
              <w:t>30, 2021 ¹</w:t>
            </w:r>
          </w:p>
        </w:tc>
        <w:tc>
          <w:tcPr>
            <w:tcW w:w="80" w:type="dxa"/>
            <w:vAlign w:val="bottom"/>
            <w:shd w:val="clear" w:color="auto" w:fill="D2DCE5"/>
          </w:tcPr>
          <w:p>
            <w:pPr>
              <w:spacing w:after="0"/>
              <w:rPr>
                <w:sz w:val="18"/>
                <w:szCs w:val="18"/>
                <w:color w:val="auto"/>
              </w:rPr>
            </w:pPr>
          </w:p>
        </w:tc>
        <w:tc>
          <w:tcPr>
            <w:tcW w:w="100" w:type="dxa"/>
            <w:vAlign w:val="bottom"/>
            <w:vMerge w:val="continue"/>
            <w:shd w:val="clear" w:color="auto" w:fill="D2DCE5"/>
          </w:tcPr>
          <w:p>
            <w:pPr>
              <w:spacing w:after="0"/>
              <w:rPr>
                <w:sz w:val="18"/>
                <w:szCs w:val="18"/>
                <w:color w:val="auto"/>
              </w:rPr>
            </w:pPr>
          </w:p>
        </w:tc>
        <w:tc>
          <w:tcPr>
            <w:tcW w:w="1060" w:type="dxa"/>
            <w:vAlign w:val="bottom"/>
            <w:gridSpan w:val="2"/>
            <w:vMerge w:val="continue"/>
            <w:shd w:val="clear" w:color="auto" w:fill="D2DCE5"/>
          </w:tcPr>
          <w:p>
            <w:pPr>
              <w:spacing w:after="0"/>
              <w:rPr>
                <w:sz w:val="18"/>
                <w:szCs w:val="18"/>
                <w:color w:val="auto"/>
              </w:rPr>
            </w:pPr>
          </w:p>
        </w:tc>
        <w:tc>
          <w:tcPr>
            <w:tcW w:w="54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20" w:type="dxa"/>
            <w:vAlign w:val="bottom"/>
            <w:vMerge w:val="continue"/>
            <w:shd w:val="clear" w:color="auto" w:fill="D2DCE5"/>
          </w:tcPr>
          <w:p>
            <w:pPr>
              <w:spacing w:after="0"/>
              <w:rPr>
                <w:sz w:val="18"/>
                <w:szCs w:val="18"/>
                <w:color w:val="auto"/>
              </w:rPr>
            </w:pPr>
          </w:p>
        </w:tc>
        <w:tc>
          <w:tcPr>
            <w:tcW w:w="360" w:type="dxa"/>
            <w:vAlign w:val="bottom"/>
            <w:gridSpan w:val="2"/>
            <w:vMerge w:val="continue"/>
            <w:shd w:val="clear" w:color="auto" w:fill="D2DCE5"/>
          </w:tcPr>
          <w:p>
            <w:pPr>
              <w:spacing w:after="0"/>
              <w:rPr>
                <w:sz w:val="18"/>
                <w:szCs w:val="18"/>
                <w:color w:val="auto"/>
              </w:rPr>
            </w:pPr>
          </w:p>
        </w:tc>
        <w:tc>
          <w:tcPr>
            <w:tcW w:w="54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60" w:type="dxa"/>
            <w:vAlign w:val="bottom"/>
            <w:vMerge w:val="continue"/>
            <w:shd w:val="clear" w:color="auto" w:fill="D2DCE5"/>
          </w:tcPr>
          <w:p>
            <w:pPr>
              <w:spacing w:after="0"/>
              <w:rPr>
                <w:sz w:val="18"/>
                <w:szCs w:val="18"/>
                <w:color w:val="auto"/>
              </w:rPr>
            </w:pPr>
          </w:p>
        </w:tc>
        <w:tc>
          <w:tcPr>
            <w:tcW w:w="42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8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vMerge w:val="continue"/>
            <w:shd w:val="clear" w:color="auto" w:fill="D2DCE5"/>
          </w:tcPr>
          <w:p>
            <w:pPr>
              <w:spacing w:after="0"/>
              <w:rPr>
                <w:sz w:val="18"/>
                <w:szCs w:val="18"/>
                <w:color w:val="auto"/>
              </w:rPr>
            </w:pPr>
          </w:p>
        </w:tc>
        <w:tc>
          <w:tcPr>
            <w:tcW w:w="28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6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0" w:type="dxa"/>
            <w:vAlign w:val="bottom"/>
            <w:shd w:val="clear" w:color="auto" w:fill="D2DCE5"/>
          </w:tcPr>
          <w:p>
            <w:pPr>
              <w:spacing w:after="0"/>
              <w:rPr>
                <w:sz w:val="18"/>
                <w:szCs w:val="18"/>
                <w:color w:val="auto"/>
              </w:rPr>
            </w:pPr>
          </w:p>
        </w:tc>
        <w:tc>
          <w:tcPr>
            <w:tcW w:w="280" w:type="dxa"/>
            <w:vAlign w:val="bottom"/>
            <w:vMerge w:val="continue"/>
            <w:shd w:val="clear" w:color="auto" w:fill="D2DCE5"/>
          </w:tcPr>
          <w:p>
            <w:pPr>
              <w:spacing w:after="0"/>
              <w:rPr>
                <w:sz w:val="18"/>
                <w:szCs w:val="18"/>
                <w:color w:val="auto"/>
              </w:rPr>
            </w:pPr>
          </w:p>
        </w:tc>
        <w:tc>
          <w:tcPr>
            <w:tcW w:w="360" w:type="dxa"/>
            <w:vAlign w:val="bottom"/>
            <w:gridSpan w:val="2"/>
            <w:vMerge w:val="continue"/>
            <w:shd w:val="clear" w:color="auto" w:fill="D2DCE5"/>
          </w:tcPr>
          <w:p>
            <w:pPr>
              <w:spacing w:after="0"/>
              <w:rPr>
                <w:sz w:val="18"/>
                <w:szCs w:val="18"/>
                <w:color w:val="auto"/>
              </w:rPr>
            </w:pPr>
          </w:p>
        </w:tc>
        <w:tc>
          <w:tcPr>
            <w:tcW w:w="700" w:type="dxa"/>
            <w:vAlign w:val="bottom"/>
            <w:gridSpan w:val="2"/>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80" w:type="dxa"/>
            <w:vAlign w:val="bottom"/>
            <w:vMerge w:val="continue"/>
            <w:shd w:val="clear" w:color="auto" w:fill="D2DCE5"/>
          </w:tcPr>
          <w:p>
            <w:pPr>
              <w:spacing w:after="0"/>
              <w:rPr>
                <w:sz w:val="18"/>
                <w:szCs w:val="18"/>
                <w:color w:val="auto"/>
              </w:rPr>
            </w:pPr>
          </w:p>
        </w:tc>
        <w:tc>
          <w:tcPr>
            <w:tcW w:w="70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20" w:type="dxa"/>
            <w:vAlign w:val="bottom"/>
            <w:vMerge w:val="continue"/>
            <w:shd w:val="clear" w:color="auto" w:fill="D2DCE5"/>
          </w:tcPr>
          <w:p>
            <w:pPr>
              <w:spacing w:after="0"/>
              <w:rPr>
                <w:sz w:val="18"/>
                <w:szCs w:val="18"/>
                <w:color w:val="auto"/>
              </w:rPr>
            </w:pPr>
          </w:p>
        </w:tc>
        <w:tc>
          <w:tcPr>
            <w:tcW w:w="620" w:type="dxa"/>
            <w:vAlign w:val="bottom"/>
            <w:vMerge w:val="continue"/>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00" w:type="dxa"/>
            <w:vAlign w:val="bottom"/>
            <w:vMerge w:val="continue"/>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77" w:lineRule="exact"/>
        <w:rPr>
          <w:sz w:val="20"/>
          <w:szCs w:val="20"/>
          <w:color w:val="auto"/>
        </w:rPr>
      </w:pPr>
    </w:p>
    <w:p>
      <w:pPr>
        <w:jc w:val="both"/>
        <w:ind w:left="180" w:hanging="172"/>
        <w:spacing w:after="0" w:line="226" w:lineRule="auto"/>
        <w:tabs>
          <w:tab w:leader="none" w:pos="187"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Amounts and balances have been updated to reflect reclassifications based on updated timing and sequence of certain Reorganization Transactions and purchase of Dutch Bros OpCo Class A common units in connection with the IPO from previously reported figures in the Company’s Form 10-Q for the period ended September 30, 2021, as filed with the SEC on November 12, 2021.</w:t>
      </w:r>
    </w:p>
    <w:p>
      <w:pPr>
        <w:spacing w:after="0" w:line="25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809"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131E29"/>
        </w:rPr>
        <w:t>Condensed Consolidated Statements of Cash Flows</w:t>
      </w:r>
    </w:p>
    <w:p>
      <w:pPr>
        <w:spacing w:after="0" w:line="215" w:lineRule="exact"/>
        <w:rPr>
          <w:sz w:val="20"/>
          <w:szCs w:val="20"/>
          <w:color w:val="auto"/>
        </w:rPr>
      </w:pPr>
    </w:p>
    <w:p>
      <w:pPr>
        <w:ind w:left="8000"/>
        <w:spacing w:after="0"/>
        <w:rPr>
          <w:sz w:val="20"/>
          <w:szCs w:val="20"/>
          <w:color w:val="auto"/>
        </w:rPr>
      </w:pPr>
      <w:r>
        <w:rPr>
          <w:rFonts w:ascii="Arial" w:cs="Arial" w:eastAsia="Arial" w:hAnsi="Arial"/>
          <w:sz w:val="16"/>
          <w:szCs w:val="16"/>
          <w:b w:val="1"/>
          <w:bCs w:val="1"/>
          <w:color w:val="131E29"/>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31750</wp:posOffset>
            </wp:positionV>
            <wp:extent cx="24345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80" w:type="dxa"/>
            <w:vAlign w:val="bottom"/>
            <w:tcBorders>
              <w:bottom w:val="single" w:sz="8" w:color="D2DCE5"/>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131E29"/>
              </w:rPr>
              <w:t>2022</w:t>
            </w:r>
          </w:p>
        </w:tc>
        <w:tc>
          <w:tcPr>
            <w:tcW w:w="100" w:type="dxa"/>
            <w:vAlign w:val="bottom"/>
            <w:tcBorders>
              <w:bottom w:val="single" w:sz="8" w:color="D2DCE5"/>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131E29"/>
              </w:rPr>
              <w:t>2021</w:t>
            </w:r>
          </w:p>
        </w:tc>
      </w:tr>
      <w:tr>
        <w:trPr>
          <w:trHeight w:val="243"/>
        </w:trPr>
        <w:tc>
          <w:tcPr>
            <w:tcW w:w="74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Cash flows from operating activities:</w:t>
            </w:r>
          </w:p>
        </w:tc>
        <w:tc>
          <w:tcPr>
            <w:tcW w:w="440" w:type="dxa"/>
            <w:vAlign w:val="bottom"/>
            <w:shd w:val="clear" w:color="auto" w:fill="D2DCE5"/>
          </w:tcPr>
          <w:p>
            <w:pPr>
              <w:spacing w:after="0"/>
              <w:rPr>
                <w:sz w:val="21"/>
                <w:szCs w:val="21"/>
                <w:color w:val="auto"/>
              </w:rPr>
            </w:pPr>
          </w:p>
        </w:tc>
        <w:tc>
          <w:tcPr>
            <w:tcW w:w="14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440" w:type="dxa"/>
            <w:vAlign w:val="bottom"/>
            <w:shd w:val="clear" w:color="auto" w:fill="D2DCE5"/>
          </w:tcPr>
          <w:p>
            <w:pPr>
              <w:spacing w:after="0"/>
              <w:rPr>
                <w:sz w:val="21"/>
                <w:szCs w:val="21"/>
                <w:color w:val="auto"/>
              </w:rPr>
            </w:pPr>
          </w:p>
        </w:tc>
        <w:tc>
          <w:tcPr>
            <w:tcW w:w="1440" w:type="dxa"/>
            <w:vAlign w:val="bottom"/>
            <w:shd w:val="clear" w:color="auto" w:fill="D2DCE5"/>
          </w:tcPr>
          <w:p>
            <w:pPr>
              <w:spacing w:after="0"/>
              <w:rPr>
                <w:sz w:val="21"/>
                <w:szCs w:val="21"/>
                <w:color w:val="auto"/>
              </w:rPr>
            </w:pPr>
          </w:p>
        </w:tc>
      </w:tr>
      <w:tr>
        <w:trPr>
          <w:trHeight w:val="233"/>
        </w:trPr>
        <w:tc>
          <w:tcPr>
            <w:tcW w:w="7400" w:type="dxa"/>
            <w:vAlign w:val="bottom"/>
            <w:gridSpan w:val="2"/>
          </w:tcPr>
          <w:p>
            <w:pPr>
              <w:ind w:left="180"/>
              <w:spacing w:after="0"/>
              <w:rPr>
                <w:sz w:val="20"/>
                <w:szCs w:val="20"/>
                <w:color w:val="auto"/>
              </w:rPr>
            </w:pPr>
            <w:r>
              <w:rPr>
                <w:rFonts w:ascii="Arial" w:cs="Arial" w:eastAsia="Arial" w:hAnsi="Arial"/>
                <w:sz w:val="16"/>
                <w:szCs w:val="16"/>
                <w:color w:val="131E29"/>
              </w:rPr>
              <w:t>Net loss</w:t>
            </w:r>
          </w:p>
        </w:tc>
        <w:tc>
          <w:tcPr>
            <w:tcW w:w="440" w:type="dxa"/>
            <w:vAlign w:val="bottom"/>
          </w:tcPr>
          <w:p>
            <w:pPr>
              <w:jc w:val="right"/>
              <w:ind w:right="239"/>
              <w:spacing w:after="0"/>
              <w:rPr>
                <w:sz w:val="20"/>
                <w:szCs w:val="20"/>
                <w:color w:val="auto"/>
              </w:rPr>
            </w:pPr>
            <w:r>
              <w:rPr>
                <w:rFonts w:ascii="Arial" w:cs="Arial" w:eastAsia="Arial" w:hAnsi="Arial"/>
                <w:sz w:val="16"/>
                <w:szCs w:val="16"/>
                <w:color w:val="131E29"/>
              </w:rPr>
              <w:t>$</w:t>
            </w:r>
          </w:p>
        </w:tc>
        <w:tc>
          <w:tcPr>
            <w:tcW w:w="1420" w:type="dxa"/>
            <w:vAlign w:val="bottom"/>
          </w:tcPr>
          <w:p>
            <w:pPr>
              <w:jc w:val="right"/>
              <w:spacing w:after="0"/>
              <w:rPr>
                <w:sz w:val="20"/>
                <w:szCs w:val="20"/>
                <w:color w:val="auto"/>
              </w:rPr>
            </w:pPr>
            <w:r>
              <w:rPr>
                <w:rFonts w:ascii="Arial" w:cs="Arial" w:eastAsia="Arial" w:hAnsi="Arial"/>
                <w:sz w:val="16"/>
                <w:szCs w:val="16"/>
                <w:color w:val="131E29"/>
              </w:rPr>
              <w:t>(16,436)</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131E29"/>
              </w:rPr>
              <w:t>$</w:t>
            </w:r>
          </w:p>
        </w:tc>
        <w:tc>
          <w:tcPr>
            <w:tcW w:w="1440" w:type="dxa"/>
            <w:vAlign w:val="bottom"/>
          </w:tcPr>
          <w:p>
            <w:pPr>
              <w:jc w:val="right"/>
              <w:spacing w:after="0"/>
              <w:rPr>
                <w:sz w:val="20"/>
                <w:szCs w:val="20"/>
                <w:color w:val="auto"/>
              </w:rPr>
            </w:pPr>
            <w:r>
              <w:rPr>
                <w:rFonts w:ascii="Arial" w:cs="Arial" w:eastAsia="Arial" w:hAnsi="Arial"/>
                <w:sz w:val="16"/>
                <w:szCs w:val="16"/>
                <w:color w:val="131E29"/>
              </w:rPr>
              <w:t>(109,763)</w:t>
            </w:r>
          </w:p>
        </w:tc>
      </w:tr>
      <w:tr>
        <w:trPr>
          <w:trHeight w:val="253"/>
        </w:trPr>
        <w:tc>
          <w:tcPr>
            <w:tcW w:w="740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Adjustments to reconcile net loss to net cash provided by operating activities:</w:t>
            </w:r>
          </w:p>
        </w:tc>
        <w:tc>
          <w:tcPr>
            <w:tcW w:w="440" w:type="dxa"/>
            <w:vAlign w:val="bottom"/>
            <w:shd w:val="clear" w:color="auto" w:fill="D2DCE5"/>
          </w:tcPr>
          <w:p>
            <w:pPr>
              <w:spacing w:after="0"/>
              <w:rPr>
                <w:sz w:val="21"/>
                <w:szCs w:val="21"/>
                <w:color w:val="auto"/>
              </w:rPr>
            </w:pPr>
          </w:p>
        </w:tc>
        <w:tc>
          <w:tcPr>
            <w:tcW w:w="14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440" w:type="dxa"/>
            <w:vAlign w:val="bottom"/>
            <w:shd w:val="clear" w:color="auto" w:fill="D2DCE5"/>
          </w:tcPr>
          <w:p>
            <w:pPr>
              <w:spacing w:after="0"/>
              <w:rPr>
                <w:sz w:val="21"/>
                <w:szCs w:val="21"/>
                <w:color w:val="auto"/>
              </w:rPr>
            </w:pPr>
          </w:p>
        </w:tc>
        <w:tc>
          <w:tcPr>
            <w:tcW w:w="1440" w:type="dxa"/>
            <w:vAlign w:val="bottom"/>
            <w:shd w:val="clear" w:color="auto" w:fill="D2DCE5"/>
          </w:tcPr>
          <w:p>
            <w:pPr>
              <w:spacing w:after="0"/>
              <w:rPr>
                <w:sz w:val="21"/>
                <w:szCs w:val="21"/>
                <w:color w:val="auto"/>
              </w:rPr>
            </w:pPr>
          </w:p>
        </w:tc>
      </w:tr>
      <w:tr>
        <w:trPr>
          <w:trHeight w:val="233"/>
        </w:trPr>
        <w:tc>
          <w:tcPr>
            <w:tcW w:w="7400" w:type="dxa"/>
            <w:vAlign w:val="bottom"/>
            <w:gridSpan w:val="2"/>
          </w:tcPr>
          <w:p>
            <w:pPr>
              <w:ind w:left="360"/>
              <w:spacing w:after="0"/>
              <w:rPr>
                <w:sz w:val="20"/>
                <w:szCs w:val="20"/>
                <w:color w:val="auto"/>
              </w:rPr>
            </w:pPr>
            <w:r>
              <w:rPr>
                <w:rFonts w:ascii="Arial" w:cs="Arial" w:eastAsia="Arial" w:hAnsi="Arial"/>
                <w:sz w:val="16"/>
                <w:szCs w:val="16"/>
                <w:color w:val="131E29"/>
              </w:rPr>
              <w:t>Depreciation and amortization</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131E29"/>
              </w:rPr>
              <w:t>31,531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131E29"/>
              </w:rPr>
              <w:t>17,727</w:t>
            </w:r>
          </w:p>
        </w:tc>
      </w:tr>
      <w:tr>
        <w:trPr>
          <w:trHeight w:val="253"/>
        </w:trPr>
        <w:tc>
          <w:tcPr>
            <w:tcW w:w="7400" w:type="dxa"/>
            <w:vAlign w:val="bottom"/>
            <w:gridSpan w:val="2"/>
            <w:shd w:val="clear" w:color="auto" w:fill="D2DCE5"/>
          </w:tcPr>
          <w:p>
            <w:pPr>
              <w:ind w:left="360"/>
              <w:spacing w:after="0"/>
              <w:rPr>
                <w:sz w:val="20"/>
                <w:szCs w:val="20"/>
                <w:color w:val="auto"/>
              </w:rPr>
            </w:pPr>
            <w:r>
              <w:rPr>
                <w:rFonts w:ascii="Arial" w:cs="Arial" w:eastAsia="Arial" w:hAnsi="Arial"/>
                <w:sz w:val="16"/>
                <w:szCs w:val="16"/>
                <w:color w:val="131E29"/>
              </w:rPr>
              <w:t>Non-cash interest expense</w:t>
            </w:r>
          </w:p>
        </w:tc>
        <w:tc>
          <w:tcPr>
            <w:tcW w:w="440" w:type="dxa"/>
            <w:vAlign w:val="bottom"/>
            <w:shd w:val="clear" w:color="auto" w:fill="D2DCE5"/>
          </w:tcPr>
          <w:p>
            <w:pPr>
              <w:spacing w:after="0"/>
              <w:rPr>
                <w:sz w:val="21"/>
                <w:szCs w:val="21"/>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509</w:t>
            </w:r>
          </w:p>
        </w:tc>
        <w:tc>
          <w:tcPr>
            <w:tcW w:w="100" w:type="dxa"/>
            <w:vAlign w:val="bottom"/>
            <w:shd w:val="clear" w:color="auto" w:fill="D2DCE5"/>
          </w:tcPr>
          <w:p>
            <w:pPr>
              <w:spacing w:after="0"/>
              <w:rPr>
                <w:sz w:val="21"/>
                <w:szCs w:val="21"/>
                <w:color w:val="auto"/>
              </w:rPr>
            </w:pPr>
          </w:p>
        </w:tc>
        <w:tc>
          <w:tcPr>
            <w:tcW w:w="440" w:type="dxa"/>
            <w:vAlign w:val="bottom"/>
            <w:shd w:val="clear" w:color="auto" w:fill="D2DCE5"/>
          </w:tcPr>
          <w:p>
            <w:pPr>
              <w:spacing w:after="0"/>
              <w:rPr>
                <w:sz w:val="21"/>
                <w:szCs w:val="21"/>
                <w:color w:val="auto"/>
              </w:rPr>
            </w:pPr>
          </w:p>
        </w:tc>
        <w:tc>
          <w:tcPr>
            <w:tcW w:w="14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213</w:t>
            </w:r>
          </w:p>
        </w:tc>
      </w:tr>
      <w:tr>
        <w:trPr>
          <w:trHeight w:val="233"/>
        </w:trPr>
        <w:tc>
          <w:tcPr>
            <w:tcW w:w="7400" w:type="dxa"/>
            <w:vAlign w:val="bottom"/>
            <w:gridSpan w:val="2"/>
          </w:tcPr>
          <w:p>
            <w:pPr>
              <w:ind w:left="360"/>
              <w:spacing w:after="0"/>
              <w:rPr>
                <w:sz w:val="20"/>
                <w:szCs w:val="20"/>
                <w:color w:val="auto"/>
              </w:rPr>
            </w:pPr>
            <w:r>
              <w:rPr>
                <w:rFonts w:ascii="Arial" w:cs="Arial" w:eastAsia="Arial" w:hAnsi="Arial"/>
                <w:sz w:val="16"/>
                <w:szCs w:val="16"/>
                <w:color w:val="131E29"/>
              </w:rPr>
              <w:t>(Gain) loss on disposal of assets</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131E29"/>
              </w:rPr>
              <w:t>(265)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131E29"/>
              </w:rPr>
              <w:t>664</w:t>
            </w:r>
          </w:p>
        </w:tc>
      </w:tr>
      <w:tr>
        <w:trPr>
          <w:trHeight w:val="253"/>
        </w:trPr>
        <w:tc>
          <w:tcPr>
            <w:tcW w:w="7400" w:type="dxa"/>
            <w:vAlign w:val="bottom"/>
            <w:gridSpan w:val="2"/>
            <w:shd w:val="clear" w:color="auto" w:fill="D2DCE5"/>
          </w:tcPr>
          <w:p>
            <w:pPr>
              <w:ind w:left="360"/>
              <w:spacing w:after="0"/>
              <w:rPr>
                <w:sz w:val="20"/>
                <w:szCs w:val="20"/>
                <w:color w:val="auto"/>
              </w:rPr>
            </w:pPr>
            <w:r>
              <w:rPr>
                <w:rFonts w:ascii="Arial" w:cs="Arial" w:eastAsia="Arial" w:hAnsi="Arial"/>
                <w:sz w:val="16"/>
                <w:szCs w:val="16"/>
                <w:color w:val="131E29"/>
              </w:rPr>
              <w:t>Loss on extinguishment of debt</w:t>
            </w:r>
          </w:p>
        </w:tc>
        <w:tc>
          <w:tcPr>
            <w:tcW w:w="440" w:type="dxa"/>
            <w:vAlign w:val="bottom"/>
            <w:shd w:val="clear" w:color="auto" w:fill="D2DCE5"/>
          </w:tcPr>
          <w:p>
            <w:pPr>
              <w:spacing w:after="0"/>
              <w:rPr>
                <w:sz w:val="21"/>
                <w:szCs w:val="21"/>
                <w:color w:val="auto"/>
              </w:rPr>
            </w:pPr>
          </w:p>
        </w:tc>
        <w:tc>
          <w:tcPr>
            <w:tcW w:w="1520" w:type="dxa"/>
            <w:vAlign w:val="bottom"/>
            <w:gridSpan w:val="2"/>
            <w:shd w:val="clear" w:color="auto" w:fill="D2DCE5"/>
          </w:tcPr>
          <w:p>
            <w:pPr>
              <w:jc w:val="right"/>
              <w:ind w:right="160"/>
              <w:spacing w:after="0"/>
              <w:rPr>
                <w:sz w:val="20"/>
                <w:szCs w:val="20"/>
                <w:color w:val="auto"/>
              </w:rPr>
            </w:pPr>
            <w:r>
              <w:rPr>
                <w:rFonts w:ascii="Arial" w:cs="Arial" w:eastAsia="Arial" w:hAnsi="Arial"/>
                <w:sz w:val="16"/>
                <w:szCs w:val="16"/>
                <w:color w:val="131E29"/>
              </w:rPr>
              <w:t>—</w:t>
            </w:r>
          </w:p>
        </w:tc>
        <w:tc>
          <w:tcPr>
            <w:tcW w:w="440" w:type="dxa"/>
            <w:vAlign w:val="bottom"/>
            <w:shd w:val="clear" w:color="auto" w:fill="D2DCE5"/>
          </w:tcPr>
          <w:p>
            <w:pPr>
              <w:spacing w:after="0"/>
              <w:rPr>
                <w:sz w:val="21"/>
                <w:szCs w:val="21"/>
                <w:color w:val="auto"/>
              </w:rPr>
            </w:pPr>
          </w:p>
        </w:tc>
        <w:tc>
          <w:tcPr>
            <w:tcW w:w="14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1,286</w:t>
            </w:r>
          </w:p>
        </w:tc>
      </w:tr>
      <w:tr>
        <w:trPr>
          <w:trHeight w:val="233"/>
        </w:trPr>
        <w:tc>
          <w:tcPr>
            <w:tcW w:w="7400" w:type="dxa"/>
            <w:vAlign w:val="bottom"/>
            <w:gridSpan w:val="2"/>
          </w:tcPr>
          <w:p>
            <w:pPr>
              <w:ind w:left="360"/>
              <w:spacing w:after="0"/>
              <w:rPr>
                <w:sz w:val="20"/>
                <w:szCs w:val="20"/>
                <w:color w:val="auto"/>
              </w:rPr>
            </w:pPr>
            <w:r>
              <w:rPr>
                <w:rFonts w:ascii="Arial" w:cs="Arial" w:eastAsia="Arial" w:hAnsi="Arial"/>
                <w:sz w:val="16"/>
                <w:szCs w:val="16"/>
                <w:color w:val="131E29"/>
              </w:rPr>
              <w:t>Equity-based compensation</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131E29"/>
              </w:rPr>
              <w:t>30,995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131E29"/>
              </w:rPr>
              <w:t>147,761</w:t>
            </w:r>
          </w:p>
        </w:tc>
      </w:tr>
      <w:tr>
        <w:trPr>
          <w:trHeight w:val="253"/>
        </w:trPr>
        <w:tc>
          <w:tcPr>
            <w:tcW w:w="7400" w:type="dxa"/>
            <w:vAlign w:val="bottom"/>
            <w:gridSpan w:val="2"/>
            <w:shd w:val="clear" w:color="auto" w:fill="D2DCE5"/>
          </w:tcPr>
          <w:p>
            <w:pPr>
              <w:ind w:left="360"/>
              <w:spacing w:after="0"/>
              <w:rPr>
                <w:sz w:val="20"/>
                <w:szCs w:val="20"/>
                <w:color w:val="auto"/>
              </w:rPr>
            </w:pPr>
            <w:r>
              <w:rPr>
                <w:rFonts w:ascii="Arial" w:cs="Arial" w:eastAsia="Arial" w:hAnsi="Arial"/>
                <w:sz w:val="16"/>
                <w:szCs w:val="16"/>
                <w:color w:val="131E29"/>
              </w:rPr>
              <w:t>Deferred income taxes</w:t>
            </w:r>
          </w:p>
        </w:tc>
        <w:tc>
          <w:tcPr>
            <w:tcW w:w="440" w:type="dxa"/>
            <w:vAlign w:val="bottom"/>
            <w:shd w:val="clear" w:color="auto" w:fill="D2DCE5"/>
          </w:tcPr>
          <w:p>
            <w:pPr>
              <w:spacing w:after="0"/>
              <w:rPr>
                <w:sz w:val="21"/>
                <w:szCs w:val="21"/>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(3,757)</w:t>
            </w:r>
          </w:p>
        </w:tc>
        <w:tc>
          <w:tcPr>
            <w:tcW w:w="100" w:type="dxa"/>
            <w:vAlign w:val="bottom"/>
            <w:shd w:val="clear" w:color="auto" w:fill="D2DCE5"/>
          </w:tcPr>
          <w:p>
            <w:pPr>
              <w:spacing w:after="0"/>
              <w:rPr>
                <w:sz w:val="21"/>
                <w:szCs w:val="21"/>
                <w:color w:val="auto"/>
              </w:rPr>
            </w:pPr>
          </w:p>
        </w:tc>
        <w:tc>
          <w:tcPr>
            <w:tcW w:w="440" w:type="dxa"/>
            <w:vAlign w:val="bottom"/>
            <w:shd w:val="clear" w:color="auto" w:fill="D2DCE5"/>
          </w:tcPr>
          <w:p>
            <w:pPr>
              <w:spacing w:after="0"/>
              <w:rPr>
                <w:sz w:val="21"/>
                <w:szCs w:val="21"/>
                <w:color w:val="auto"/>
              </w:rPr>
            </w:pPr>
          </w:p>
        </w:tc>
        <w:tc>
          <w:tcPr>
            <w:tcW w:w="14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(1,580)</w:t>
            </w:r>
          </w:p>
        </w:tc>
      </w:tr>
      <w:tr>
        <w:trPr>
          <w:trHeight w:val="233"/>
        </w:trPr>
        <w:tc>
          <w:tcPr>
            <w:tcW w:w="7400" w:type="dxa"/>
            <w:vAlign w:val="bottom"/>
            <w:gridSpan w:val="2"/>
          </w:tcPr>
          <w:p>
            <w:pPr>
              <w:ind w:left="360"/>
              <w:spacing w:after="0"/>
              <w:rPr>
                <w:sz w:val="20"/>
                <w:szCs w:val="20"/>
                <w:color w:val="auto"/>
              </w:rPr>
            </w:pPr>
            <w:r>
              <w:rPr>
                <w:rFonts w:ascii="Arial" w:cs="Arial" w:eastAsia="Arial" w:hAnsi="Arial"/>
                <w:sz w:val="16"/>
                <w:szCs w:val="16"/>
                <w:color w:val="131E29"/>
              </w:rPr>
              <w:t>Remeasurement loss on TRAs</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131E29"/>
              </w:rPr>
              <w:t>1,910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131E29"/>
              </w:rPr>
              <w:t>—</w:t>
            </w:r>
          </w:p>
        </w:tc>
      </w:tr>
      <w:tr>
        <w:trPr>
          <w:trHeight w:val="253"/>
        </w:trPr>
        <w:tc>
          <w:tcPr>
            <w:tcW w:w="7400" w:type="dxa"/>
            <w:vAlign w:val="bottom"/>
            <w:gridSpan w:val="2"/>
            <w:shd w:val="clear" w:color="auto" w:fill="D2DCE5"/>
          </w:tcPr>
          <w:p>
            <w:pPr>
              <w:ind w:left="360"/>
              <w:spacing w:after="0"/>
              <w:rPr>
                <w:sz w:val="20"/>
                <w:szCs w:val="20"/>
                <w:color w:val="auto"/>
              </w:rPr>
            </w:pPr>
            <w:r>
              <w:rPr>
                <w:rFonts w:ascii="Arial" w:cs="Arial" w:eastAsia="Arial" w:hAnsi="Arial"/>
                <w:sz w:val="16"/>
                <w:szCs w:val="16"/>
                <w:color w:val="131E29"/>
              </w:rPr>
              <w:t>Non-cash operating leases</w:t>
            </w:r>
          </w:p>
        </w:tc>
        <w:tc>
          <w:tcPr>
            <w:tcW w:w="440" w:type="dxa"/>
            <w:vAlign w:val="bottom"/>
            <w:shd w:val="clear" w:color="auto" w:fill="D2DCE5"/>
          </w:tcPr>
          <w:p>
            <w:pPr>
              <w:spacing w:after="0"/>
              <w:rPr>
                <w:sz w:val="21"/>
                <w:szCs w:val="21"/>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7,299</w:t>
            </w:r>
          </w:p>
        </w:tc>
        <w:tc>
          <w:tcPr>
            <w:tcW w:w="100" w:type="dxa"/>
            <w:vAlign w:val="bottom"/>
            <w:shd w:val="clear" w:color="auto" w:fill="D2DCE5"/>
          </w:tcPr>
          <w:p>
            <w:pPr>
              <w:spacing w:after="0"/>
              <w:rPr>
                <w:sz w:val="21"/>
                <w:szCs w:val="21"/>
                <w:color w:val="auto"/>
              </w:rPr>
            </w:pPr>
          </w:p>
        </w:tc>
        <w:tc>
          <w:tcPr>
            <w:tcW w:w="440" w:type="dxa"/>
            <w:vAlign w:val="bottom"/>
            <w:shd w:val="clear" w:color="auto" w:fill="D2DCE5"/>
          </w:tcPr>
          <w:p>
            <w:pPr>
              <w:spacing w:after="0"/>
              <w:rPr>
                <w:sz w:val="21"/>
                <w:szCs w:val="21"/>
                <w:color w:val="auto"/>
              </w:rPr>
            </w:pPr>
          </w:p>
        </w:tc>
        <w:tc>
          <w:tcPr>
            <w:tcW w:w="14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w:t>
            </w:r>
          </w:p>
        </w:tc>
      </w:tr>
      <w:tr>
        <w:trPr>
          <w:trHeight w:val="233"/>
        </w:trPr>
        <w:tc>
          <w:tcPr>
            <w:tcW w:w="7400" w:type="dxa"/>
            <w:vAlign w:val="bottom"/>
            <w:gridSpan w:val="2"/>
          </w:tcPr>
          <w:p>
            <w:pPr>
              <w:ind w:left="360"/>
              <w:spacing w:after="0"/>
              <w:rPr>
                <w:sz w:val="20"/>
                <w:szCs w:val="20"/>
                <w:color w:val="auto"/>
              </w:rPr>
            </w:pPr>
            <w:r>
              <w:rPr>
                <w:rFonts w:ascii="Arial" w:cs="Arial" w:eastAsia="Arial" w:hAnsi="Arial"/>
                <w:sz w:val="16"/>
                <w:szCs w:val="16"/>
                <w:color w:val="131E29"/>
              </w:rPr>
              <w:t>Changes in operating assets and liabilities, net of acquisitions:</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3"/>
        </w:trPr>
        <w:tc>
          <w:tcPr>
            <w:tcW w:w="7400" w:type="dxa"/>
            <w:vAlign w:val="bottom"/>
            <w:gridSpan w:val="2"/>
            <w:shd w:val="clear" w:color="auto" w:fill="D2DCE5"/>
          </w:tcPr>
          <w:p>
            <w:pPr>
              <w:ind w:left="520"/>
              <w:spacing w:after="0"/>
              <w:rPr>
                <w:sz w:val="20"/>
                <w:szCs w:val="20"/>
                <w:color w:val="auto"/>
              </w:rPr>
            </w:pPr>
            <w:r>
              <w:rPr>
                <w:rFonts w:ascii="Arial" w:cs="Arial" w:eastAsia="Arial" w:hAnsi="Arial"/>
                <w:sz w:val="16"/>
                <w:szCs w:val="16"/>
                <w:color w:val="131E29"/>
              </w:rPr>
              <w:t>Accounts receivable, net</w:t>
            </w:r>
          </w:p>
        </w:tc>
        <w:tc>
          <w:tcPr>
            <w:tcW w:w="440" w:type="dxa"/>
            <w:vAlign w:val="bottom"/>
            <w:shd w:val="clear" w:color="auto" w:fill="D2DCE5"/>
          </w:tcPr>
          <w:p>
            <w:pPr>
              <w:spacing w:after="0"/>
              <w:rPr>
                <w:sz w:val="21"/>
                <w:szCs w:val="21"/>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(3,771)</w:t>
            </w:r>
          </w:p>
        </w:tc>
        <w:tc>
          <w:tcPr>
            <w:tcW w:w="100" w:type="dxa"/>
            <w:vAlign w:val="bottom"/>
            <w:shd w:val="clear" w:color="auto" w:fill="D2DCE5"/>
          </w:tcPr>
          <w:p>
            <w:pPr>
              <w:spacing w:after="0"/>
              <w:rPr>
                <w:sz w:val="21"/>
                <w:szCs w:val="21"/>
                <w:color w:val="auto"/>
              </w:rPr>
            </w:pPr>
          </w:p>
        </w:tc>
        <w:tc>
          <w:tcPr>
            <w:tcW w:w="440" w:type="dxa"/>
            <w:vAlign w:val="bottom"/>
            <w:shd w:val="clear" w:color="auto" w:fill="D2DCE5"/>
          </w:tcPr>
          <w:p>
            <w:pPr>
              <w:spacing w:after="0"/>
              <w:rPr>
                <w:sz w:val="21"/>
                <w:szCs w:val="21"/>
                <w:color w:val="auto"/>
              </w:rPr>
            </w:pPr>
          </w:p>
        </w:tc>
        <w:tc>
          <w:tcPr>
            <w:tcW w:w="14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(182)</w:t>
            </w:r>
          </w:p>
        </w:tc>
      </w:tr>
      <w:tr>
        <w:trPr>
          <w:trHeight w:val="233"/>
        </w:trPr>
        <w:tc>
          <w:tcPr>
            <w:tcW w:w="7400" w:type="dxa"/>
            <w:vAlign w:val="bottom"/>
            <w:gridSpan w:val="2"/>
          </w:tcPr>
          <w:p>
            <w:pPr>
              <w:ind w:left="520"/>
              <w:spacing w:after="0"/>
              <w:rPr>
                <w:sz w:val="20"/>
                <w:szCs w:val="20"/>
                <w:color w:val="auto"/>
              </w:rPr>
            </w:pPr>
            <w:r>
              <w:rPr>
                <w:rFonts w:ascii="Arial" w:cs="Arial" w:eastAsia="Arial" w:hAnsi="Arial"/>
                <w:sz w:val="16"/>
                <w:szCs w:val="16"/>
                <w:color w:val="131E29"/>
              </w:rPr>
              <w:t>Inventories, net</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131E29"/>
              </w:rPr>
              <w:t>(10,301)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131E29"/>
              </w:rPr>
              <w:t>(2,818)</w:t>
            </w:r>
          </w:p>
        </w:tc>
      </w:tr>
      <w:tr>
        <w:trPr>
          <w:trHeight w:val="253"/>
        </w:trPr>
        <w:tc>
          <w:tcPr>
            <w:tcW w:w="7400" w:type="dxa"/>
            <w:vAlign w:val="bottom"/>
            <w:gridSpan w:val="2"/>
            <w:shd w:val="clear" w:color="auto" w:fill="D2DCE5"/>
          </w:tcPr>
          <w:p>
            <w:pPr>
              <w:ind w:left="520"/>
              <w:spacing w:after="0"/>
              <w:rPr>
                <w:sz w:val="20"/>
                <w:szCs w:val="20"/>
                <w:color w:val="auto"/>
              </w:rPr>
            </w:pPr>
            <w:r>
              <w:rPr>
                <w:rFonts w:ascii="Arial" w:cs="Arial" w:eastAsia="Arial" w:hAnsi="Arial"/>
                <w:sz w:val="16"/>
                <w:szCs w:val="16"/>
                <w:color w:val="131E29"/>
              </w:rPr>
              <w:t>Prepaid expenses and other current assets</w:t>
            </w:r>
          </w:p>
        </w:tc>
        <w:tc>
          <w:tcPr>
            <w:tcW w:w="440" w:type="dxa"/>
            <w:vAlign w:val="bottom"/>
            <w:shd w:val="clear" w:color="auto" w:fill="D2DCE5"/>
          </w:tcPr>
          <w:p>
            <w:pPr>
              <w:spacing w:after="0"/>
              <w:rPr>
                <w:sz w:val="21"/>
                <w:szCs w:val="21"/>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(1,283)</w:t>
            </w:r>
          </w:p>
        </w:tc>
        <w:tc>
          <w:tcPr>
            <w:tcW w:w="100" w:type="dxa"/>
            <w:vAlign w:val="bottom"/>
            <w:shd w:val="clear" w:color="auto" w:fill="D2DCE5"/>
          </w:tcPr>
          <w:p>
            <w:pPr>
              <w:spacing w:after="0"/>
              <w:rPr>
                <w:sz w:val="21"/>
                <w:szCs w:val="21"/>
                <w:color w:val="auto"/>
              </w:rPr>
            </w:pPr>
          </w:p>
        </w:tc>
        <w:tc>
          <w:tcPr>
            <w:tcW w:w="440" w:type="dxa"/>
            <w:vAlign w:val="bottom"/>
            <w:shd w:val="clear" w:color="auto" w:fill="D2DCE5"/>
          </w:tcPr>
          <w:p>
            <w:pPr>
              <w:spacing w:after="0"/>
              <w:rPr>
                <w:sz w:val="21"/>
                <w:szCs w:val="21"/>
                <w:color w:val="auto"/>
              </w:rPr>
            </w:pPr>
          </w:p>
        </w:tc>
        <w:tc>
          <w:tcPr>
            <w:tcW w:w="14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(2,115)</w:t>
            </w:r>
          </w:p>
        </w:tc>
      </w:tr>
      <w:tr>
        <w:trPr>
          <w:trHeight w:val="233"/>
        </w:trPr>
        <w:tc>
          <w:tcPr>
            <w:tcW w:w="7400" w:type="dxa"/>
            <w:vAlign w:val="bottom"/>
            <w:gridSpan w:val="2"/>
          </w:tcPr>
          <w:p>
            <w:pPr>
              <w:ind w:left="520"/>
              <w:spacing w:after="0"/>
              <w:rPr>
                <w:sz w:val="20"/>
                <w:szCs w:val="20"/>
                <w:color w:val="auto"/>
              </w:rPr>
            </w:pPr>
            <w:r>
              <w:rPr>
                <w:rFonts w:ascii="Arial" w:cs="Arial" w:eastAsia="Arial" w:hAnsi="Arial"/>
                <w:sz w:val="16"/>
                <w:szCs w:val="16"/>
                <w:color w:val="131E29"/>
              </w:rPr>
              <w:t>Other long-term assets</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131E29"/>
              </w:rPr>
              <w:t>1,161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131E29"/>
              </w:rPr>
              <w:t>14</w:t>
            </w:r>
          </w:p>
        </w:tc>
      </w:tr>
      <w:tr>
        <w:trPr>
          <w:trHeight w:val="253"/>
        </w:trPr>
        <w:tc>
          <w:tcPr>
            <w:tcW w:w="7400" w:type="dxa"/>
            <w:vAlign w:val="bottom"/>
            <w:gridSpan w:val="2"/>
            <w:shd w:val="clear" w:color="auto" w:fill="D2DCE5"/>
          </w:tcPr>
          <w:p>
            <w:pPr>
              <w:ind w:left="520"/>
              <w:spacing w:after="0"/>
              <w:rPr>
                <w:sz w:val="20"/>
                <w:szCs w:val="20"/>
                <w:color w:val="auto"/>
              </w:rPr>
            </w:pPr>
            <w:r>
              <w:rPr>
                <w:rFonts w:ascii="Arial" w:cs="Arial" w:eastAsia="Arial" w:hAnsi="Arial"/>
                <w:sz w:val="16"/>
                <w:szCs w:val="16"/>
                <w:color w:val="131E29"/>
              </w:rPr>
              <w:t>Accounts payable</w:t>
            </w:r>
          </w:p>
        </w:tc>
        <w:tc>
          <w:tcPr>
            <w:tcW w:w="440" w:type="dxa"/>
            <w:vAlign w:val="bottom"/>
            <w:shd w:val="clear" w:color="auto" w:fill="D2DCE5"/>
          </w:tcPr>
          <w:p>
            <w:pPr>
              <w:spacing w:after="0"/>
              <w:rPr>
                <w:sz w:val="21"/>
                <w:szCs w:val="21"/>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3,967</w:t>
            </w:r>
          </w:p>
        </w:tc>
        <w:tc>
          <w:tcPr>
            <w:tcW w:w="100" w:type="dxa"/>
            <w:vAlign w:val="bottom"/>
            <w:shd w:val="clear" w:color="auto" w:fill="D2DCE5"/>
          </w:tcPr>
          <w:p>
            <w:pPr>
              <w:spacing w:after="0"/>
              <w:rPr>
                <w:sz w:val="21"/>
                <w:szCs w:val="21"/>
                <w:color w:val="auto"/>
              </w:rPr>
            </w:pPr>
          </w:p>
        </w:tc>
        <w:tc>
          <w:tcPr>
            <w:tcW w:w="440" w:type="dxa"/>
            <w:vAlign w:val="bottom"/>
            <w:shd w:val="clear" w:color="auto" w:fill="D2DCE5"/>
          </w:tcPr>
          <w:p>
            <w:pPr>
              <w:spacing w:after="0"/>
              <w:rPr>
                <w:sz w:val="21"/>
                <w:szCs w:val="21"/>
                <w:color w:val="auto"/>
              </w:rPr>
            </w:pPr>
          </w:p>
        </w:tc>
        <w:tc>
          <w:tcPr>
            <w:tcW w:w="14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5,777</w:t>
            </w:r>
          </w:p>
        </w:tc>
      </w:tr>
      <w:tr>
        <w:trPr>
          <w:trHeight w:val="233"/>
        </w:trPr>
        <w:tc>
          <w:tcPr>
            <w:tcW w:w="7400" w:type="dxa"/>
            <w:vAlign w:val="bottom"/>
            <w:gridSpan w:val="2"/>
          </w:tcPr>
          <w:p>
            <w:pPr>
              <w:ind w:left="520"/>
              <w:spacing w:after="0"/>
              <w:rPr>
                <w:sz w:val="20"/>
                <w:szCs w:val="20"/>
                <w:color w:val="auto"/>
              </w:rPr>
            </w:pPr>
            <w:r>
              <w:rPr>
                <w:rFonts w:ascii="Arial" w:cs="Arial" w:eastAsia="Arial" w:hAnsi="Arial"/>
                <w:sz w:val="16"/>
                <w:szCs w:val="16"/>
                <w:color w:val="131E29"/>
              </w:rPr>
              <w:t>Accrued liabilities</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131E29"/>
              </w:rPr>
              <w:t>2,208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131E29"/>
              </w:rPr>
              <w:t>6,352</w:t>
            </w:r>
          </w:p>
        </w:tc>
      </w:tr>
      <w:tr>
        <w:trPr>
          <w:trHeight w:val="253"/>
        </w:trPr>
        <w:tc>
          <w:tcPr>
            <w:tcW w:w="7400" w:type="dxa"/>
            <w:vAlign w:val="bottom"/>
            <w:gridSpan w:val="2"/>
            <w:shd w:val="clear" w:color="auto" w:fill="D2DCE5"/>
          </w:tcPr>
          <w:p>
            <w:pPr>
              <w:ind w:left="520"/>
              <w:spacing w:after="0"/>
              <w:rPr>
                <w:sz w:val="20"/>
                <w:szCs w:val="20"/>
                <w:color w:val="auto"/>
              </w:rPr>
            </w:pPr>
            <w:r>
              <w:rPr>
                <w:rFonts w:ascii="Arial" w:cs="Arial" w:eastAsia="Arial" w:hAnsi="Arial"/>
                <w:sz w:val="16"/>
                <w:szCs w:val="16"/>
                <w:color w:val="131E29"/>
              </w:rPr>
              <w:t>Other current liabilities</w:t>
            </w:r>
          </w:p>
        </w:tc>
        <w:tc>
          <w:tcPr>
            <w:tcW w:w="440" w:type="dxa"/>
            <w:vAlign w:val="bottom"/>
            <w:shd w:val="clear" w:color="auto" w:fill="D2DCE5"/>
          </w:tcPr>
          <w:p>
            <w:pPr>
              <w:spacing w:after="0"/>
              <w:rPr>
                <w:sz w:val="21"/>
                <w:szCs w:val="21"/>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(38)</w:t>
            </w:r>
          </w:p>
        </w:tc>
        <w:tc>
          <w:tcPr>
            <w:tcW w:w="100" w:type="dxa"/>
            <w:vAlign w:val="bottom"/>
            <w:shd w:val="clear" w:color="auto" w:fill="D2DCE5"/>
          </w:tcPr>
          <w:p>
            <w:pPr>
              <w:spacing w:after="0"/>
              <w:rPr>
                <w:sz w:val="21"/>
                <w:szCs w:val="21"/>
                <w:color w:val="auto"/>
              </w:rPr>
            </w:pPr>
          </w:p>
        </w:tc>
        <w:tc>
          <w:tcPr>
            <w:tcW w:w="440" w:type="dxa"/>
            <w:vAlign w:val="bottom"/>
            <w:shd w:val="clear" w:color="auto" w:fill="D2DCE5"/>
          </w:tcPr>
          <w:p>
            <w:pPr>
              <w:spacing w:after="0"/>
              <w:rPr>
                <w:sz w:val="21"/>
                <w:szCs w:val="21"/>
                <w:color w:val="auto"/>
              </w:rPr>
            </w:pPr>
          </w:p>
        </w:tc>
        <w:tc>
          <w:tcPr>
            <w:tcW w:w="14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3,527</w:t>
            </w:r>
          </w:p>
        </w:tc>
      </w:tr>
      <w:tr>
        <w:trPr>
          <w:trHeight w:val="233"/>
        </w:trPr>
        <w:tc>
          <w:tcPr>
            <w:tcW w:w="7400" w:type="dxa"/>
            <w:vAlign w:val="bottom"/>
            <w:gridSpan w:val="2"/>
          </w:tcPr>
          <w:p>
            <w:pPr>
              <w:ind w:left="520"/>
              <w:spacing w:after="0"/>
              <w:rPr>
                <w:sz w:val="20"/>
                <w:szCs w:val="20"/>
                <w:color w:val="auto"/>
              </w:rPr>
            </w:pPr>
            <w:r>
              <w:rPr>
                <w:rFonts w:ascii="Arial" w:cs="Arial" w:eastAsia="Arial" w:hAnsi="Arial"/>
                <w:sz w:val="16"/>
                <w:szCs w:val="16"/>
                <w:color w:val="131E29"/>
              </w:rPr>
              <w:t>Deferred revenue</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131E29"/>
              </w:rPr>
              <w:t>5,860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131E29"/>
              </w:rPr>
              <w:t>5,424</w:t>
            </w:r>
          </w:p>
        </w:tc>
      </w:tr>
      <w:tr>
        <w:trPr>
          <w:trHeight w:val="253"/>
        </w:trPr>
        <w:tc>
          <w:tcPr>
            <w:tcW w:w="7400" w:type="dxa"/>
            <w:vAlign w:val="bottom"/>
            <w:gridSpan w:val="2"/>
            <w:shd w:val="clear" w:color="auto" w:fill="D2DCE5"/>
          </w:tcPr>
          <w:p>
            <w:pPr>
              <w:ind w:left="520"/>
              <w:spacing w:after="0"/>
              <w:rPr>
                <w:sz w:val="20"/>
                <w:szCs w:val="20"/>
                <w:color w:val="auto"/>
              </w:rPr>
            </w:pPr>
            <w:r>
              <w:rPr>
                <w:rFonts w:ascii="Arial" w:cs="Arial" w:eastAsia="Arial" w:hAnsi="Arial"/>
                <w:sz w:val="16"/>
                <w:szCs w:val="16"/>
                <w:color w:val="131E29"/>
              </w:rPr>
              <w:t>Deferred rent</w:t>
            </w:r>
          </w:p>
        </w:tc>
        <w:tc>
          <w:tcPr>
            <w:tcW w:w="440" w:type="dxa"/>
            <w:vAlign w:val="bottom"/>
            <w:shd w:val="clear" w:color="auto" w:fill="D2DCE5"/>
          </w:tcPr>
          <w:p>
            <w:pPr>
              <w:spacing w:after="0"/>
              <w:rPr>
                <w:sz w:val="21"/>
                <w:szCs w:val="21"/>
                <w:color w:val="auto"/>
              </w:rPr>
            </w:pPr>
          </w:p>
        </w:tc>
        <w:tc>
          <w:tcPr>
            <w:tcW w:w="1520" w:type="dxa"/>
            <w:vAlign w:val="bottom"/>
            <w:gridSpan w:val="2"/>
            <w:shd w:val="clear" w:color="auto" w:fill="D2DCE5"/>
          </w:tcPr>
          <w:p>
            <w:pPr>
              <w:jc w:val="right"/>
              <w:ind w:right="160"/>
              <w:spacing w:after="0"/>
              <w:rPr>
                <w:sz w:val="20"/>
                <w:szCs w:val="20"/>
                <w:color w:val="auto"/>
              </w:rPr>
            </w:pPr>
            <w:r>
              <w:rPr>
                <w:rFonts w:ascii="Arial" w:cs="Arial" w:eastAsia="Arial" w:hAnsi="Arial"/>
                <w:sz w:val="16"/>
                <w:szCs w:val="16"/>
                <w:color w:val="131E29"/>
              </w:rPr>
              <w:t>—</w:t>
            </w:r>
          </w:p>
        </w:tc>
        <w:tc>
          <w:tcPr>
            <w:tcW w:w="440" w:type="dxa"/>
            <w:vAlign w:val="bottom"/>
            <w:shd w:val="clear" w:color="auto" w:fill="D2DCE5"/>
          </w:tcPr>
          <w:p>
            <w:pPr>
              <w:spacing w:after="0"/>
              <w:rPr>
                <w:sz w:val="21"/>
                <w:szCs w:val="21"/>
                <w:color w:val="auto"/>
              </w:rPr>
            </w:pPr>
          </w:p>
        </w:tc>
        <w:tc>
          <w:tcPr>
            <w:tcW w:w="14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243</w:t>
            </w:r>
          </w:p>
        </w:tc>
      </w:tr>
      <w:tr>
        <w:trPr>
          <w:trHeight w:val="233"/>
        </w:trPr>
        <w:tc>
          <w:tcPr>
            <w:tcW w:w="7400" w:type="dxa"/>
            <w:vAlign w:val="bottom"/>
            <w:gridSpan w:val="2"/>
          </w:tcPr>
          <w:p>
            <w:pPr>
              <w:ind w:left="520"/>
              <w:spacing w:after="0"/>
              <w:rPr>
                <w:sz w:val="20"/>
                <w:szCs w:val="20"/>
                <w:color w:val="auto"/>
              </w:rPr>
            </w:pPr>
            <w:r>
              <w:rPr>
                <w:rFonts w:ascii="Arial" w:cs="Arial" w:eastAsia="Arial" w:hAnsi="Arial"/>
                <w:sz w:val="16"/>
                <w:szCs w:val="16"/>
                <w:color w:val="131E29"/>
              </w:rPr>
              <w:t>Other long-term liabilities</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131E29"/>
              </w:rPr>
              <w:t>(21)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131E29"/>
              </w:rPr>
              <w:t>(226)</w:t>
            </w:r>
          </w:p>
        </w:tc>
      </w:tr>
      <w:tr>
        <w:trPr>
          <w:trHeight w:val="246"/>
        </w:trPr>
        <w:tc>
          <w:tcPr>
            <w:tcW w:w="7400" w:type="dxa"/>
            <w:vAlign w:val="bottom"/>
            <w:gridSpan w:val="2"/>
            <w:shd w:val="clear" w:color="auto" w:fill="D2DCE5"/>
          </w:tcPr>
          <w:p>
            <w:pPr>
              <w:ind w:left="520"/>
              <w:spacing w:after="0"/>
              <w:rPr>
                <w:sz w:val="20"/>
                <w:szCs w:val="20"/>
                <w:color w:val="auto"/>
              </w:rPr>
            </w:pPr>
            <w:r>
              <w:rPr>
                <w:rFonts w:ascii="Arial" w:cs="Arial" w:eastAsia="Arial" w:hAnsi="Arial"/>
                <w:sz w:val="16"/>
                <w:szCs w:val="16"/>
                <w:color w:val="131E29"/>
              </w:rPr>
              <w:t>Operating lease liabilities</w:t>
            </w:r>
          </w:p>
        </w:tc>
        <w:tc>
          <w:tcPr>
            <w:tcW w:w="440" w:type="dxa"/>
            <w:vAlign w:val="bottom"/>
            <w:tcBorders>
              <w:bottom w:val="single" w:sz="8" w:color="auto"/>
            </w:tcBorders>
            <w:shd w:val="clear" w:color="auto" w:fill="D2DCE5"/>
          </w:tcPr>
          <w:p>
            <w:pPr>
              <w:spacing w:after="0"/>
              <w:rPr>
                <w:sz w:val="21"/>
                <w:szCs w:val="21"/>
                <w:color w:val="auto"/>
              </w:rPr>
            </w:pPr>
          </w:p>
        </w:tc>
        <w:tc>
          <w:tcPr>
            <w:tcW w:w="14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(6,800)</w:t>
            </w:r>
          </w:p>
        </w:tc>
        <w:tc>
          <w:tcPr>
            <w:tcW w:w="100" w:type="dxa"/>
            <w:vAlign w:val="bottom"/>
            <w:shd w:val="clear" w:color="auto" w:fill="D2DCE5"/>
          </w:tcPr>
          <w:p>
            <w:pPr>
              <w:spacing w:after="0"/>
              <w:rPr>
                <w:sz w:val="21"/>
                <w:szCs w:val="21"/>
                <w:color w:val="auto"/>
              </w:rPr>
            </w:pPr>
          </w:p>
        </w:tc>
        <w:tc>
          <w:tcPr>
            <w:tcW w:w="440" w:type="dxa"/>
            <w:vAlign w:val="bottom"/>
            <w:tcBorders>
              <w:bottom w:val="single" w:sz="8" w:color="auto"/>
            </w:tcBorders>
            <w:shd w:val="clear" w:color="auto" w:fill="D2DCE5"/>
          </w:tcPr>
          <w:p>
            <w:pPr>
              <w:spacing w:after="0"/>
              <w:rPr>
                <w:sz w:val="21"/>
                <w:szCs w:val="21"/>
                <w:color w:val="auto"/>
              </w:rPr>
            </w:pP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w:t>
            </w:r>
          </w:p>
        </w:tc>
      </w:tr>
      <w:tr>
        <w:trPr>
          <w:trHeight w:val="236"/>
        </w:trPr>
        <w:tc>
          <w:tcPr>
            <w:tcW w:w="7400" w:type="dxa"/>
            <w:vAlign w:val="bottom"/>
            <w:tcBorders>
              <w:bottom w:val="single" w:sz="8" w:color="D2DCE5"/>
            </w:tcBorders>
            <w:gridSpan w:val="2"/>
          </w:tcPr>
          <w:p>
            <w:pPr>
              <w:ind w:left="680"/>
              <w:spacing w:after="0"/>
              <w:rPr>
                <w:sz w:val="20"/>
                <w:szCs w:val="20"/>
                <w:color w:val="auto"/>
              </w:rPr>
            </w:pPr>
            <w:r>
              <w:rPr>
                <w:rFonts w:ascii="Arial" w:cs="Arial" w:eastAsia="Arial" w:hAnsi="Arial"/>
                <w:sz w:val="16"/>
                <w:szCs w:val="16"/>
                <w:color w:val="131E29"/>
              </w:rPr>
              <w:t>Net cash provided by operating activities</w:t>
            </w: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42,768</w:t>
            </w:r>
          </w:p>
        </w:tc>
        <w:tc>
          <w:tcPr>
            <w:tcW w:w="100" w:type="dxa"/>
            <w:vAlign w:val="bottom"/>
            <w:tcBorders>
              <w:bottom w:val="single" w:sz="8" w:color="D2DCE5"/>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72,304</w:t>
            </w:r>
          </w:p>
        </w:tc>
      </w:tr>
      <w:tr>
        <w:trPr>
          <w:trHeight w:val="230"/>
        </w:trPr>
        <w:tc>
          <w:tcPr>
            <w:tcW w:w="74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Cash flows from investing activities:</w:t>
            </w:r>
          </w:p>
        </w:tc>
        <w:tc>
          <w:tcPr>
            <w:tcW w:w="440" w:type="dxa"/>
            <w:vAlign w:val="bottom"/>
            <w:shd w:val="clear" w:color="auto" w:fill="D2DCE5"/>
          </w:tcPr>
          <w:p>
            <w:pPr>
              <w:spacing w:after="0"/>
              <w:rPr>
                <w:sz w:val="19"/>
                <w:szCs w:val="19"/>
                <w:color w:val="auto"/>
              </w:rPr>
            </w:pPr>
          </w:p>
        </w:tc>
        <w:tc>
          <w:tcPr>
            <w:tcW w:w="14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440" w:type="dxa"/>
            <w:vAlign w:val="bottom"/>
            <w:shd w:val="clear" w:color="auto" w:fill="D2DCE5"/>
          </w:tcPr>
          <w:p>
            <w:pPr>
              <w:spacing w:after="0"/>
              <w:rPr>
                <w:sz w:val="19"/>
                <w:szCs w:val="19"/>
                <w:color w:val="auto"/>
              </w:rPr>
            </w:pPr>
          </w:p>
        </w:tc>
        <w:tc>
          <w:tcPr>
            <w:tcW w:w="1440" w:type="dxa"/>
            <w:vAlign w:val="bottom"/>
            <w:shd w:val="clear" w:color="auto" w:fill="D2DCE5"/>
          </w:tcPr>
          <w:p>
            <w:pPr>
              <w:spacing w:after="0"/>
              <w:rPr>
                <w:sz w:val="19"/>
                <w:szCs w:val="19"/>
                <w:color w:val="auto"/>
              </w:rPr>
            </w:pPr>
          </w:p>
        </w:tc>
      </w:tr>
      <w:tr>
        <w:trPr>
          <w:trHeight w:val="233"/>
        </w:trPr>
        <w:tc>
          <w:tcPr>
            <w:tcW w:w="7400" w:type="dxa"/>
            <w:vAlign w:val="bottom"/>
            <w:gridSpan w:val="2"/>
          </w:tcPr>
          <w:p>
            <w:pPr>
              <w:ind w:left="180"/>
              <w:spacing w:after="0"/>
              <w:rPr>
                <w:sz w:val="20"/>
                <w:szCs w:val="20"/>
                <w:color w:val="auto"/>
              </w:rPr>
            </w:pPr>
            <w:r>
              <w:rPr>
                <w:rFonts w:ascii="Arial" w:cs="Arial" w:eastAsia="Arial" w:hAnsi="Arial"/>
                <w:sz w:val="16"/>
                <w:szCs w:val="16"/>
                <w:color w:val="131E29"/>
              </w:rPr>
              <w:t>Purchases of property and equipment</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131E29"/>
              </w:rPr>
              <w:t>(134,634)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131E29"/>
              </w:rPr>
              <w:t>(74,121)</w:t>
            </w:r>
          </w:p>
        </w:tc>
      </w:tr>
      <w:tr>
        <w:trPr>
          <w:trHeight w:val="253"/>
        </w:trPr>
        <w:tc>
          <w:tcPr>
            <w:tcW w:w="740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Proceeds from disposal of fixed assets</w:t>
            </w:r>
          </w:p>
        </w:tc>
        <w:tc>
          <w:tcPr>
            <w:tcW w:w="440" w:type="dxa"/>
            <w:vAlign w:val="bottom"/>
            <w:shd w:val="clear" w:color="auto" w:fill="D2DCE5"/>
          </w:tcPr>
          <w:p>
            <w:pPr>
              <w:spacing w:after="0"/>
              <w:rPr>
                <w:sz w:val="21"/>
                <w:szCs w:val="21"/>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1,274</w:t>
            </w:r>
          </w:p>
        </w:tc>
        <w:tc>
          <w:tcPr>
            <w:tcW w:w="100" w:type="dxa"/>
            <w:vAlign w:val="bottom"/>
            <w:shd w:val="clear" w:color="auto" w:fill="D2DCE5"/>
          </w:tcPr>
          <w:p>
            <w:pPr>
              <w:spacing w:after="0"/>
              <w:rPr>
                <w:sz w:val="21"/>
                <w:szCs w:val="21"/>
                <w:color w:val="auto"/>
              </w:rPr>
            </w:pPr>
          </w:p>
        </w:tc>
        <w:tc>
          <w:tcPr>
            <w:tcW w:w="440" w:type="dxa"/>
            <w:vAlign w:val="bottom"/>
            <w:shd w:val="clear" w:color="auto" w:fill="D2DCE5"/>
          </w:tcPr>
          <w:p>
            <w:pPr>
              <w:spacing w:after="0"/>
              <w:rPr>
                <w:sz w:val="21"/>
                <w:szCs w:val="21"/>
                <w:color w:val="auto"/>
              </w:rPr>
            </w:pPr>
          </w:p>
        </w:tc>
        <w:tc>
          <w:tcPr>
            <w:tcW w:w="14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2,727</w:t>
            </w:r>
          </w:p>
        </w:tc>
      </w:tr>
      <w:tr>
        <w:trPr>
          <w:trHeight w:val="237"/>
        </w:trPr>
        <w:tc>
          <w:tcPr>
            <w:tcW w:w="7400" w:type="dxa"/>
            <w:vAlign w:val="bottom"/>
            <w:tcBorders>
              <w:bottom w:val="single" w:sz="8" w:color="D2DCE5"/>
            </w:tcBorders>
            <w:gridSpan w:val="2"/>
          </w:tcPr>
          <w:p>
            <w:pPr>
              <w:ind w:left="180"/>
              <w:spacing w:after="0"/>
              <w:rPr>
                <w:sz w:val="20"/>
                <w:szCs w:val="20"/>
                <w:color w:val="auto"/>
              </w:rPr>
            </w:pPr>
            <w:r>
              <w:rPr>
                <w:rFonts w:ascii="Arial" w:cs="Arial" w:eastAsia="Arial" w:hAnsi="Arial"/>
                <w:sz w:val="16"/>
                <w:szCs w:val="16"/>
                <w:color w:val="131E29"/>
              </w:rPr>
              <w:t>Acquisition of shops from franchisees</w:t>
            </w: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(6,051)</w:t>
            </w:r>
          </w:p>
        </w:tc>
        <w:tc>
          <w:tcPr>
            <w:tcW w:w="100" w:type="dxa"/>
            <w:vAlign w:val="bottom"/>
            <w:tcBorders>
              <w:bottom w:val="single" w:sz="8" w:color="D2DCE5"/>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(5,387)</w:t>
            </w:r>
          </w:p>
        </w:tc>
      </w:tr>
      <w:tr>
        <w:trPr>
          <w:trHeight w:val="243"/>
        </w:trPr>
        <w:tc>
          <w:tcPr>
            <w:tcW w:w="7400" w:type="dxa"/>
            <w:vAlign w:val="bottom"/>
            <w:gridSpan w:val="2"/>
            <w:shd w:val="clear" w:color="auto" w:fill="D2DCE5"/>
          </w:tcPr>
          <w:p>
            <w:pPr>
              <w:ind w:left="680"/>
              <w:spacing w:after="0"/>
              <w:rPr>
                <w:sz w:val="20"/>
                <w:szCs w:val="20"/>
                <w:color w:val="auto"/>
              </w:rPr>
            </w:pPr>
            <w:r>
              <w:rPr>
                <w:rFonts w:ascii="Arial" w:cs="Arial" w:eastAsia="Arial" w:hAnsi="Arial"/>
                <w:sz w:val="16"/>
                <w:szCs w:val="16"/>
                <w:color w:val="131E29"/>
              </w:rPr>
              <w:t>Net cash used in investing activities</w:t>
            </w:r>
          </w:p>
        </w:tc>
        <w:tc>
          <w:tcPr>
            <w:tcW w:w="440" w:type="dxa"/>
            <w:vAlign w:val="bottom"/>
            <w:tcBorders>
              <w:bottom w:val="single" w:sz="8" w:color="auto"/>
            </w:tcBorders>
            <w:shd w:val="clear" w:color="auto" w:fill="D2DCE5"/>
          </w:tcPr>
          <w:p>
            <w:pPr>
              <w:spacing w:after="0"/>
              <w:rPr>
                <w:sz w:val="21"/>
                <w:szCs w:val="21"/>
                <w:color w:val="auto"/>
              </w:rPr>
            </w:pPr>
          </w:p>
        </w:tc>
        <w:tc>
          <w:tcPr>
            <w:tcW w:w="14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(139,411)</w:t>
            </w:r>
          </w:p>
        </w:tc>
        <w:tc>
          <w:tcPr>
            <w:tcW w:w="100" w:type="dxa"/>
            <w:vAlign w:val="bottom"/>
            <w:shd w:val="clear" w:color="auto" w:fill="D2DCE5"/>
          </w:tcPr>
          <w:p>
            <w:pPr>
              <w:spacing w:after="0"/>
              <w:rPr>
                <w:sz w:val="21"/>
                <w:szCs w:val="21"/>
                <w:color w:val="auto"/>
              </w:rPr>
            </w:pPr>
          </w:p>
        </w:tc>
        <w:tc>
          <w:tcPr>
            <w:tcW w:w="440" w:type="dxa"/>
            <w:vAlign w:val="bottom"/>
            <w:tcBorders>
              <w:bottom w:val="single" w:sz="8" w:color="auto"/>
            </w:tcBorders>
            <w:shd w:val="clear" w:color="auto" w:fill="D2DCE5"/>
          </w:tcPr>
          <w:p>
            <w:pPr>
              <w:spacing w:after="0"/>
              <w:rPr>
                <w:sz w:val="21"/>
                <w:szCs w:val="21"/>
                <w:color w:val="auto"/>
              </w:rPr>
            </w:pP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(76,781)</w:t>
            </w:r>
          </w:p>
        </w:tc>
      </w:tr>
      <w:tr>
        <w:trPr>
          <w:trHeight w:val="213"/>
        </w:trPr>
        <w:tc>
          <w:tcPr>
            <w:tcW w:w="7400" w:type="dxa"/>
            <w:vAlign w:val="bottom"/>
            <w:gridSpan w:val="2"/>
          </w:tcPr>
          <w:p>
            <w:pPr>
              <w:ind w:left="20"/>
              <w:spacing w:after="0"/>
              <w:rPr>
                <w:sz w:val="20"/>
                <w:szCs w:val="20"/>
                <w:color w:val="auto"/>
              </w:rPr>
            </w:pPr>
            <w:r>
              <w:rPr>
                <w:rFonts w:ascii="Arial" w:cs="Arial" w:eastAsia="Arial" w:hAnsi="Arial"/>
                <w:sz w:val="16"/>
                <w:szCs w:val="16"/>
                <w:color w:val="131E29"/>
              </w:rPr>
              <w:t>Cash flows from financing activities: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3"/>
        </w:trPr>
        <w:tc>
          <w:tcPr>
            <w:tcW w:w="740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Proceeds from line of credit</w:t>
            </w:r>
          </w:p>
        </w:tc>
        <w:tc>
          <w:tcPr>
            <w:tcW w:w="440" w:type="dxa"/>
            <w:vAlign w:val="bottom"/>
            <w:shd w:val="clear" w:color="auto" w:fill="D2DCE5"/>
          </w:tcPr>
          <w:p>
            <w:pPr>
              <w:spacing w:after="0"/>
              <w:rPr>
                <w:sz w:val="21"/>
                <w:szCs w:val="21"/>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122,705</w:t>
            </w:r>
          </w:p>
        </w:tc>
        <w:tc>
          <w:tcPr>
            <w:tcW w:w="100" w:type="dxa"/>
            <w:vAlign w:val="bottom"/>
            <w:shd w:val="clear" w:color="auto" w:fill="D2DCE5"/>
          </w:tcPr>
          <w:p>
            <w:pPr>
              <w:spacing w:after="0"/>
              <w:rPr>
                <w:sz w:val="21"/>
                <w:szCs w:val="21"/>
                <w:color w:val="auto"/>
              </w:rPr>
            </w:pPr>
          </w:p>
        </w:tc>
        <w:tc>
          <w:tcPr>
            <w:tcW w:w="440" w:type="dxa"/>
            <w:vAlign w:val="bottom"/>
            <w:shd w:val="clear" w:color="auto" w:fill="D2DCE5"/>
          </w:tcPr>
          <w:p>
            <w:pPr>
              <w:spacing w:after="0"/>
              <w:rPr>
                <w:sz w:val="21"/>
                <w:szCs w:val="21"/>
                <w:color w:val="auto"/>
              </w:rPr>
            </w:pPr>
          </w:p>
        </w:tc>
        <w:tc>
          <w:tcPr>
            <w:tcW w:w="14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35,000</w:t>
            </w:r>
          </w:p>
        </w:tc>
      </w:tr>
      <w:tr>
        <w:trPr>
          <w:trHeight w:val="233"/>
        </w:trPr>
        <w:tc>
          <w:tcPr>
            <w:tcW w:w="7400" w:type="dxa"/>
            <w:vAlign w:val="bottom"/>
            <w:gridSpan w:val="2"/>
          </w:tcPr>
          <w:p>
            <w:pPr>
              <w:ind w:left="180"/>
              <w:spacing w:after="0"/>
              <w:rPr>
                <w:sz w:val="20"/>
                <w:szCs w:val="20"/>
                <w:color w:val="auto"/>
              </w:rPr>
            </w:pPr>
            <w:r>
              <w:rPr>
                <w:rFonts w:ascii="Arial" w:cs="Arial" w:eastAsia="Arial" w:hAnsi="Arial"/>
                <w:sz w:val="16"/>
                <w:szCs w:val="16"/>
                <w:color w:val="131E29"/>
              </w:rPr>
              <w:t>Payments on line of credit</w:t>
            </w:r>
          </w:p>
        </w:tc>
        <w:tc>
          <w:tcPr>
            <w:tcW w:w="4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131E29"/>
              </w:rPr>
              <w:t>—</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131E29"/>
              </w:rPr>
              <w:t>(15,000)</w:t>
            </w:r>
          </w:p>
        </w:tc>
      </w:tr>
      <w:tr>
        <w:trPr>
          <w:trHeight w:val="253"/>
        </w:trPr>
        <w:tc>
          <w:tcPr>
            <w:tcW w:w="740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Payments on finance lease obligations</w:t>
            </w:r>
          </w:p>
        </w:tc>
        <w:tc>
          <w:tcPr>
            <w:tcW w:w="440" w:type="dxa"/>
            <w:vAlign w:val="bottom"/>
            <w:shd w:val="clear" w:color="auto" w:fill="D2DCE5"/>
          </w:tcPr>
          <w:p>
            <w:pPr>
              <w:spacing w:after="0"/>
              <w:rPr>
                <w:sz w:val="21"/>
                <w:szCs w:val="21"/>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(3,144)</w:t>
            </w:r>
          </w:p>
        </w:tc>
        <w:tc>
          <w:tcPr>
            <w:tcW w:w="100" w:type="dxa"/>
            <w:vAlign w:val="bottom"/>
            <w:shd w:val="clear" w:color="auto" w:fill="D2DCE5"/>
          </w:tcPr>
          <w:p>
            <w:pPr>
              <w:spacing w:after="0"/>
              <w:rPr>
                <w:sz w:val="21"/>
                <w:szCs w:val="21"/>
                <w:color w:val="auto"/>
              </w:rPr>
            </w:pPr>
          </w:p>
        </w:tc>
        <w:tc>
          <w:tcPr>
            <w:tcW w:w="440" w:type="dxa"/>
            <w:vAlign w:val="bottom"/>
            <w:shd w:val="clear" w:color="auto" w:fill="D2DCE5"/>
          </w:tcPr>
          <w:p>
            <w:pPr>
              <w:spacing w:after="0"/>
              <w:rPr>
                <w:sz w:val="21"/>
                <w:szCs w:val="21"/>
                <w:color w:val="auto"/>
              </w:rPr>
            </w:pPr>
          </w:p>
        </w:tc>
        <w:tc>
          <w:tcPr>
            <w:tcW w:w="14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(1,877)</w:t>
            </w:r>
          </w:p>
        </w:tc>
      </w:tr>
      <w:tr>
        <w:trPr>
          <w:trHeight w:val="233"/>
        </w:trPr>
        <w:tc>
          <w:tcPr>
            <w:tcW w:w="7400" w:type="dxa"/>
            <w:vAlign w:val="bottom"/>
            <w:gridSpan w:val="2"/>
          </w:tcPr>
          <w:p>
            <w:pPr>
              <w:ind w:left="180"/>
              <w:spacing w:after="0"/>
              <w:rPr>
                <w:sz w:val="20"/>
                <w:szCs w:val="20"/>
                <w:color w:val="auto"/>
              </w:rPr>
            </w:pPr>
            <w:r>
              <w:rPr>
                <w:rFonts w:ascii="Arial" w:cs="Arial" w:eastAsia="Arial" w:hAnsi="Arial"/>
                <w:sz w:val="16"/>
                <w:szCs w:val="16"/>
                <w:color w:val="131E29"/>
              </w:rPr>
              <w:t>Proceeds from financing lease obligations</w:t>
            </w:r>
          </w:p>
        </w:tc>
        <w:tc>
          <w:tcPr>
            <w:tcW w:w="4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131E29"/>
              </w:rPr>
              <w:t>—</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131E29"/>
              </w:rPr>
              <w:t>1,484</w:t>
            </w:r>
          </w:p>
        </w:tc>
      </w:tr>
      <w:tr>
        <w:trPr>
          <w:trHeight w:val="253"/>
        </w:trPr>
        <w:tc>
          <w:tcPr>
            <w:tcW w:w="740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Proceeds from long-term debt</w:t>
            </w:r>
          </w:p>
        </w:tc>
        <w:tc>
          <w:tcPr>
            <w:tcW w:w="440" w:type="dxa"/>
            <w:vAlign w:val="bottom"/>
            <w:shd w:val="clear" w:color="auto" w:fill="D2DCE5"/>
          </w:tcPr>
          <w:p>
            <w:pPr>
              <w:spacing w:after="0"/>
              <w:rPr>
                <w:sz w:val="21"/>
                <w:szCs w:val="21"/>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1,375</w:t>
            </w:r>
          </w:p>
        </w:tc>
        <w:tc>
          <w:tcPr>
            <w:tcW w:w="100" w:type="dxa"/>
            <w:vAlign w:val="bottom"/>
            <w:shd w:val="clear" w:color="auto" w:fill="D2DCE5"/>
          </w:tcPr>
          <w:p>
            <w:pPr>
              <w:spacing w:after="0"/>
              <w:rPr>
                <w:sz w:val="21"/>
                <w:szCs w:val="21"/>
                <w:color w:val="auto"/>
              </w:rPr>
            </w:pPr>
          </w:p>
        </w:tc>
        <w:tc>
          <w:tcPr>
            <w:tcW w:w="440" w:type="dxa"/>
            <w:vAlign w:val="bottom"/>
            <w:shd w:val="clear" w:color="auto" w:fill="D2DCE5"/>
          </w:tcPr>
          <w:p>
            <w:pPr>
              <w:spacing w:after="0"/>
              <w:rPr>
                <w:sz w:val="21"/>
                <w:szCs w:val="21"/>
                <w:color w:val="auto"/>
              </w:rPr>
            </w:pPr>
          </w:p>
        </w:tc>
        <w:tc>
          <w:tcPr>
            <w:tcW w:w="14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200,000</w:t>
            </w:r>
          </w:p>
        </w:tc>
      </w:tr>
      <w:tr>
        <w:trPr>
          <w:trHeight w:val="233"/>
        </w:trPr>
        <w:tc>
          <w:tcPr>
            <w:tcW w:w="7400" w:type="dxa"/>
            <w:vAlign w:val="bottom"/>
            <w:gridSpan w:val="2"/>
          </w:tcPr>
          <w:p>
            <w:pPr>
              <w:ind w:left="180"/>
              <w:spacing w:after="0"/>
              <w:rPr>
                <w:sz w:val="20"/>
                <w:szCs w:val="20"/>
                <w:color w:val="auto"/>
              </w:rPr>
            </w:pPr>
            <w:r>
              <w:rPr>
                <w:rFonts w:ascii="Arial" w:cs="Arial" w:eastAsia="Arial" w:hAnsi="Arial"/>
                <w:sz w:val="16"/>
                <w:szCs w:val="16"/>
                <w:color w:val="131E29"/>
              </w:rPr>
              <w:t>Payments on long-term debt</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131E29"/>
              </w:rPr>
              <w:t>(1,333)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131E29"/>
              </w:rPr>
              <w:t>(227,543)</w:t>
            </w:r>
          </w:p>
        </w:tc>
      </w:tr>
      <w:tr>
        <w:trPr>
          <w:trHeight w:val="253"/>
        </w:trPr>
        <w:tc>
          <w:tcPr>
            <w:tcW w:w="740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Payments of debt issuance costs</w:t>
            </w:r>
          </w:p>
        </w:tc>
        <w:tc>
          <w:tcPr>
            <w:tcW w:w="440" w:type="dxa"/>
            <w:vAlign w:val="bottom"/>
            <w:shd w:val="clear" w:color="auto" w:fill="D2DCE5"/>
          </w:tcPr>
          <w:p>
            <w:pPr>
              <w:spacing w:after="0"/>
              <w:rPr>
                <w:sz w:val="21"/>
                <w:szCs w:val="21"/>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(2,749)</w:t>
            </w:r>
          </w:p>
        </w:tc>
        <w:tc>
          <w:tcPr>
            <w:tcW w:w="100" w:type="dxa"/>
            <w:vAlign w:val="bottom"/>
            <w:shd w:val="clear" w:color="auto" w:fill="D2DCE5"/>
          </w:tcPr>
          <w:p>
            <w:pPr>
              <w:spacing w:after="0"/>
              <w:rPr>
                <w:sz w:val="21"/>
                <w:szCs w:val="21"/>
                <w:color w:val="auto"/>
              </w:rPr>
            </w:pPr>
          </w:p>
        </w:tc>
        <w:tc>
          <w:tcPr>
            <w:tcW w:w="440" w:type="dxa"/>
            <w:vAlign w:val="bottom"/>
            <w:shd w:val="clear" w:color="auto" w:fill="D2DCE5"/>
          </w:tcPr>
          <w:p>
            <w:pPr>
              <w:spacing w:after="0"/>
              <w:rPr>
                <w:sz w:val="21"/>
                <w:szCs w:val="21"/>
                <w:color w:val="auto"/>
              </w:rPr>
            </w:pPr>
          </w:p>
        </w:tc>
        <w:tc>
          <w:tcPr>
            <w:tcW w:w="14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(2,406)</w:t>
            </w:r>
          </w:p>
        </w:tc>
      </w:tr>
      <w:tr>
        <w:trPr>
          <w:trHeight w:val="233"/>
        </w:trPr>
        <w:tc>
          <w:tcPr>
            <w:tcW w:w="7400" w:type="dxa"/>
            <w:vAlign w:val="bottom"/>
            <w:gridSpan w:val="2"/>
          </w:tcPr>
          <w:p>
            <w:pPr>
              <w:ind w:left="180"/>
              <w:spacing w:after="0"/>
              <w:rPr>
                <w:sz w:val="20"/>
                <w:szCs w:val="20"/>
                <w:color w:val="auto"/>
              </w:rPr>
            </w:pPr>
            <w:r>
              <w:rPr>
                <w:rFonts w:ascii="Arial" w:cs="Arial" w:eastAsia="Arial" w:hAnsi="Arial"/>
                <w:sz w:val="16"/>
                <w:szCs w:val="16"/>
                <w:color w:val="131E29"/>
              </w:rPr>
              <w:t>Proceeds from initial public offering, net of offering costs</w:t>
            </w:r>
          </w:p>
        </w:tc>
        <w:tc>
          <w:tcPr>
            <w:tcW w:w="4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131E29"/>
              </w:rPr>
              <w:t>—</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131E29"/>
              </w:rPr>
              <w:t>524,858</w:t>
            </w:r>
          </w:p>
        </w:tc>
      </w:tr>
      <w:tr>
        <w:trPr>
          <w:trHeight w:val="253"/>
        </w:trPr>
        <w:tc>
          <w:tcPr>
            <w:tcW w:w="740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Distributions paid to members</w:t>
            </w:r>
          </w:p>
        </w:tc>
        <w:tc>
          <w:tcPr>
            <w:tcW w:w="440" w:type="dxa"/>
            <w:vAlign w:val="bottom"/>
            <w:shd w:val="clear" w:color="auto" w:fill="D2DCE5"/>
          </w:tcPr>
          <w:p>
            <w:pPr>
              <w:spacing w:after="0"/>
              <w:rPr>
                <w:sz w:val="21"/>
                <w:szCs w:val="21"/>
                <w:color w:val="auto"/>
              </w:rPr>
            </w:pPr>
          </w:p>
        </w:tc>
        <w:tc>
          <w:tcPr>
            <w:tcW w:w="1520" w:type="dxa"/>
            <w:vAlign w:val="bottom"/>
            <w:gridSpan w:val="2"/>
            <w:shd w:val="clear" w:color="auto" w:fill="D2DCE5"/>
          </w:tcPr>
          <w:p>
            <w:pPr>
              <w:jc w:val="right"/>
              <w:ind w:right="160"/>
              <w:spacing w:after="0"/>
              <w:rPr>
                <w:sz w:val="20"/>
                <w:szCs w:val="20"/>
                <w:color w:val="auto"/>
              </w:rPr>
            </w:pPr>
            <w:r>
              <w:rPr>
                <w:rFonts w:ascii="Arial" w:cs="Arial" w:eastAsia="Arial" w:hAnsi="Arial"/>
                <w:sz w:val="16"/>
                <w:szCs w:val="16"/>
                <w:color w:val="131E29"/>
              </w:rPr>
              <w:t>—</w:t>
            </w:r>
          </w:p>
        </w:tc>
        <w:tc>
          <w:tcPr>
            <w:tcW w:w="440" w:type="dxa"/>
            <w:vAlign w:val="bottom"/>
            <w:shd w:val="clear" w:color="auto" w:fill="D2DCE5"/>
          </w:tcPr>
          <w:p>
            <w:pPr>
              <w:spacing w:after="0"/>
              <w:rPr>
                <w:sz w:val="21"/>
                <w:szCs w:val="21"/>
                <w:color w:val="auto"/>
              </w:rPr>
            </w:pPr>
          </w:p>
        </w:tc>
        <w:tc>
          <w:tcPr>
            <w:tcW w:w="14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(213,308)</w:t>
            </w:r>
          </w:p>
        </w:tc>
      </w:tr>
      <w:tr>
        <w:trPr>
          <w:trHeight w:val="233"/>
        </w:trPr>
        <w:tc>
          <w:tcPr>
            <w:tcW w:w="7400" w:type="dxa"/>
            <w:vAlign w:val="bottom"/>
            <w:gridSpan w:val="2"/>
          </w:tcPr>
          <w:p>
            <w:pPr>
              <w:ind w:left="180"/>
              <w:spacing w:after="0"/>
              <w:rPr>
                <w:sz w:val="20"/>
                <w:szCs w:val="20"/>
                <w:color w:val="auto"/>
              </w:rPr>
            </w:pPr>
            <w:r>
              <w:rPr>
                <w:rFonts w:ascii="Arial" w:cs="Arial" w:eastAsia="Arial" w:hAnsi="Arial"/>
                <w:sz w:val="16"/>
                <w:szCs w:val="16"/>
                <w:color w:val="131E29"/>
              </w:rPr>
              <w:t>Payments to repurchase outstanding equity / member units</w:t>
            </w:r>
          </w:p>
        </w:tc>
        <w:tc>
          <w:tcPr>
            <w:tcW w:w="4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131E29"/>
              </w:rPr>
              <w:t>—</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131E29"/>
              </w:rPr>
              <w:t>(287,664)</w:t>
            </w:r>
          </w:p>
        </w:tc>
      </w:tr>
      <w:tr>
        <w:trPr>
          <w:trHeight w:val="253"/>
        </w:trPr>
        <w:tc>
          <w:tcPr>
            <w:tcW w:w="740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Payments of IPO issuance costs</w:t>
            </w:r>
          </w:p>
        </w:tc>
        <w:tc>
          <w:tcPr>
            <w:tcW w:w="440" w:type="dxa"/>
            <w:vAlign w:val="bottom"/>
            <w:shd w:val="clear" w:color="auto" w:fill="D2DCE5"/>
          </w:tcPr>
          <w:p>
            <w:pPr>
              <w:spacing w:after="0"/>
              <w:rPr>
                <w:sz w:val="21"/>
                <w:szCs w:val="21"/>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(250)</w:t>
            </w:r>
          </w:p>
        </w:tc>
        <w:tc>
          <w:tcPr>
            <w:tcW w:w="100" w:type="dxa"/>
            <w:vAlign w:val="bottom"/>
            <w:shd w:val="clear" w:color="auto" w:fill="D2DCE5"/>
          </w:tcPr>
          <w:p>
            <w:pPr>
              <w:spacing w:after="0"/>
              <w:rPr>
                <w:sz w:val="21"/>
                <w:szCs w:val="21"/>
                <w:color w:val="auto"/>
              </w:rPr>
            </w:pPr>
          </w:p>
        </w:tc>
        <w:tc>
          <w:tcPr>
            <w:tcW w:w="440" w:type="dxa"/>
            <w:vAlign w:val="bottom"/>
            <w:shd w:val="clear" w:color="auto" w:fill="D2DCE5"/>
          </w:tcPr>
          <w:p>
            <w:pPr>
              <w:spacing w:after="0"/>
              <w:rPr>
                <w:sz w:val="21"/>
                <w:szCs w:val="21"/>
                <w:color w:val="auto"/>
              </w:rPr>
            </w:pPr>
          </w:p>
        </w:tc>
        <w:tc>
          <w:tcPr>
            <w:tcW w:w="14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(3,511)</w:t>
            </w:r>
          </w:p>
        </w:tc>
      </w:tr>
      <w:tr>
        <w:trPr>
          <w:trHeight w:val="236"/>
        </w:trPr>
        <w:tc>
          <w:tcPr>
            <w:tcW w:w="7400" w:type="dxa"/>
            <w:vAlign w:val="bottom"/>
            <w:tcBorders>
              <w:bottom w:val="single" w:sz="8" w:color="D2DCE5"/>
            </w:tcBorders>
            <w:gridSpan w:val="2"/>
          </w:tcPr>
          <w:p>
            <w:pPr>
              <w:ind w:left="180"/>
              <w:spacing w:after="0"/>
              <w:rPr>
                <w:sz w:val="20"/>
                <w:szCs w:val="20"/>
                <w:color w:val="auto"/>
              </w:rPr>
            </w:pPr>
            <w:r>
              <w:rPr>
                <w:rFonts w:ascii="Arial" w:cs="Arial" w:eastAsia="Arial" w:hAnsi="Arial"/>
                <w:sz w:val="16"/>
                <w:szCs w:val="16"/>
                <w:color w:val="131E29"/>
              </w:rPr>
              <w:t>Tax withholding payments upon vesting of equity awards</w:t>
            </w: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(3,900)</w:t>
            </w:r>
          </w:p>
        </w:tc>
        <w:tc>
          <w:tcPr>
            <w:tcW w:w="100" w:type="dxa"/>
            <w:vAlign w:val="bottom"/>
            <w:tcBorders>
              <w:bottom w:val="single" w:sz="8" w:color="D2DCE5"/>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(11,333)</w:t>
            </w:r>
          </w:p>
        </w:tc>
      </w:tr>
      <w:tr>
        <w:trPr>
          <w:trHeight w:val="236"/>
        </w:trPr>
        <w:tc>
          <w:tcPr>
            <w:tcW w:w="7400" w:type="dxa"/>
            <w:vAlign w:val="bottom"/>
            <w:gridSpan w:val="2"/>
            <w:shd w:val="clear" w:color="auto" w:fill="D2DCE5"/>
          </w:tcPr>
          <w:p>
            <w:pPr>
              <w:ind w:left="680"/>
              <w:spacing w:after="0"/>
              <w:rPr>
                <w:sz w:val="20"/>
                <w:szCs w:val="20"/>
                <w:color w:val="auto"/>
              </w:rPr>
            </w:pPr>
            <w:r>
              <w:rPr>
                <w:rFonts w:ascii="Arial" w:cs="Arial" w:eastAsia="Arial" w:hAnsi="Arial"/>
                <w:sz w:val="16"/>
                <w:szCs w:val="16"/>
                <w:color w:val="131E29"/>
              </w:rPr>
              <w:t>Net cash provided by (used in) financing activities</w:t>
            </w:r>
          </w:p>
        </w:tc>
        <w:tc>
          <w:tcPr>
            <w:tcW w:w="440" w:type="dxa"/>
            <w:vAlign w:val="bottom"/>
            <w:tcBorders>
              <w:bottom w:val="single" w:sz="8" w:color="auto"/>
            </w:tcBorders>
            <w:shd w:val="clear" w:color="auto" w:fill="D2DCE5"/>
          </w:tcPr>
          <w:p>
            <w:pPr>
              <w:spacing w:after="0"/>
              <w:rPr>
                <w:sz w:val="20"/>
                <w:szCs w:val="20"/>
                <w:color w:val="auto"/>
              </w:rPr>
            </w:pPr>
          </w:p>
        </w:tc>
        <w:tc>
          <w:tcPr>
            <w:tcW w:w="14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112,704</w:t>
            </w:r>
          </w:p>
        </w:tc>
        <w:tc>
          <w:tcPr>
            <w:tcW w:w="100" w:type="dxa"/>
            <w:vAlign w:val="bottom"/>
            <w:shd w:val="clear" w:color="auto" w:fill="D2DCE5"/>
          </w:tcPr>
          <w:p>
            <w:pPr>
              <w:spacing w:after="0"/>
              <w:rPr>
                <w:sz w:val="20"/>
                <w:szCs w:val="20"/>
                <w:color w:val="auto"/>
              </w:rPr>
            </w:pPr>
          </w:p>
        </w:tc>
        <w:tc>
          <w:tcPr>
            <w:tcW w:w="440" w:type="dxa"/>
            <w:vAlign w:val="bottom"/>
            <w:tcBorders>
              <w:bottom w:val="single" w:sz="8" w:color="auto"/>
            </w:tcBorders>
            <w:shd w:val="clear" w:color="auto" w:fill="D2DCE5"/>
          </w:tcPr>
          <w:p>
            <w:pPr>
              <w:spacing w:after="0"/>
              <w:rPr>
                <w:sz w:val="20"/>
                <w:szCs w:val="20"/>
                <w:color w:val="auto"/>
              </w:rPr>
            </w:pP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(1,300)</w:t>
            </w:r>
          </w:p>
        </w:tc>
      </w:tr>
      <w:tr>
        <w:trPr>
          <w:trHeight w:val="233"/>
        </w:trPr>
        <w:tc>
          <w:tcPr>
            <w:tcW w:w="7400" w:type="dxa"/>
            <w:vAlign w:val="bottom"/>
            <w:gridSpan w:val="2"/>
          </w:tcPr>
          <w:p>
            <w:pPr>
              <w:ind w:left="840"/>
              <w:spacing w:after="0"/>
              <w:rPr>
                <w:sz w:val="20"/>
                <w:szCs w:val="20"/>
                <w:color w:val="auto"/>
              </w:rPr>
            </w:pPr>
            <w:r>
              <w:rPr>
                <w:rFonts w:ascii="Arial" w:cs="Arial" w:eastAsia="Arial" w:hAnsi="Arial"/>
                <w:sz w:val="16"/>
                <w:szCs w:val="16"/>
                <w:color w:val="131E29"/>
              </w:rPr>
              <w:t>Net increase (decrease) in cash and cash equivalents</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131E29"/>
              </w:rPr>
              <w:t>16,061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131E29"/>
              </w:rPr>
              <w:t>(5,777)</w:t>
            </w:r>
          </w:p>
        </w:tc>
      </w:tr>
      <w:tr>
        <w:trPr>
          <w:trHeight w:val="246"/>
        </w:trPr>
        <w:tc>
          <w:tcPr>
            <w:tcW w:w="74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Cash and cash equivalents, beginning of period</w:t>
            </w:r>
          </w:p>
        </w:tc>
        <w:tc>
          <w:tcPr>
            <w:tcW w:w="440" w:type="dxa"/>
            <w:vAlign w:val="bottom"/>
            <w:tcBorders>
              <w:bottom w:val="single" w:sz="8" w:color="auto"/>
            </w:tcBorders>
            <w:shd w:val="clear" w:color="auto" w:fill="D2DCE5"/>
          </w:tcPr>
          <w:p>
            <w:pPr>
              <w:spacing w:after="0"/>
              <w:rPr>
                <w:sz w:val="21"/>
                <w:szCs w:val="21"/>
                <w:color w:val="auto"/>
              </w:rPr>
            </w:pPr>
          </w:p>
        </w:tc>
        <w:tc>
          <w:tcPr>
            <w:tcW w:w="14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18,506</w:t>
            </w:r>
          </w:p>
        </w:tc>
        <w:tc>
          <w:tcPr>
            <w:tcW w:w="100" w:type="dxa"/>
            <w:vAlign w:val="bottom"/>
            <w:shd w:val="clear" w:color="auto" w:fill="D2DCE5"/>
          </w:tcPr>
          <w:p>
            <w:pPr>
              <w:spacing w:after="0"/>
              <w:rPr>
                <w:sz w:val="21"/>
                <w:szCs w:val="21"/>
                <w:color w:val="auto"/>
              </w:rPr>
            </w:pPr>
          </w:p>
        </w:tc>
        <w:tc>
          <w:tcPr>
            <w:tcW w:w="440" w:type="dxa"/>
            <w:vAlign w:val="bottom"/>
            <w:tcBorders>
              <w:bottom w:val="single" w:sz="8" w:color="auto"/>
            </w:tcBorders>
            <w:shd w:val="clear" w:color="auto" w:fill="D2DCE5"/>
          </w:tcPr>
          <w:p>
            <w:pPr>
              <w:spacing w:after="0"/>
              <w:rPr>
                <w:sz w:val="21"/>
                <w:szCs w:val="21"/>
                <w:color w:val="auto"/>
              </w:rPr>
            </w:pP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31,640</w:t>
            </w:r>
          </w:p>
        </w:tc>
      </w:tr>
      <w:tr>
        <w:trPr>
          <w:trHeight w:val="243"/>
        </w:trPr>
        <w:tc>
          <w:tcPr>
            <w:tcW w:w="7400" w:type="dxa"/>
            <w:vAlign w:val="bottom"/>
            <w:gridSpan w:val="2"/>
          </w:tcPr>
          <w:p>
            <w:pPr>
              <w:ind w:left="20"/>
              <w:spacing w:after="0"/>
              <w:rPr>
                <w:sz w:val="20"/>
                <w:szCs w:val="20"/>
                <w:color w:val="auto"/>
              </w:rPr>
            </w:pPr>
            <w:r>
              <w:rPr>
                <w:rFonts w:ascii="Arial" w:cs="Arial" w:eastAsia="Arial" w:hAnsi="Arial"/>
                <w:sz w:val="16"/>
                <w:szCs w:val="16"/>
                <w:color w:val="131E29"/>
              </w:rPr>
              <w:t>Cash and cash equivalents, end of period</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131E2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34,567</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131E2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25,863</w:t>
            </w:r>
          </w:p>
        </w:tc>
      </w:tr>
      <w:tr>
        <w:trPr>
          <w:trHeight w:val="20"/>
        </w:trPr>
        <w:tc>
          <w:tcPr>
            <w:tcW w:w="7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7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795"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131E29"/>
        </w:rPr>
        <w:t>Condensed Consolidated Statements of Cash Flows (continued)</w:t>
      </w:r>
    </w:p>
    <w:p>
      <w:pPr>
        <w:spacing w:after="0" w:line="215"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131E29"/>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31750</wp:posOffset>
            </wp:positionV>
            <wp:extent cx="24085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131E29"/>
              </w:rPr>
              <w:t>2022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131E29"/>
              </w:rPr>
              <w:t>2021</w:t>
            </w:r>
          </w:p>
        </w:tc>
      </w:tr>
      <w:tr>
        <w:trPr>
          <w:trHeight w:val="233"/>
        </w:trPr>
        <w:tc>
          <w:tcPr>
            <w:tcW w:w="7440" w:type="dxa"/>
            <w:vAlign w:val="bottom"/>
            <w:gridSpan w:val="2"/>
          </w:tcPr>
          <w:p>
            <w:pPr>
              <w:ind w:left="20"/>
              <w:spacing w:after="0"/>
              <w:rPr>
                <w:sz w:val="20"/>
                <w:szCs w:val="20"/>
                <w:color w:val="auto"/>
              </w:rPr>
            </w:pPr>
            <w:r>
              <w:rPr>
                <w:rFonts w:ascii="Arial" w:cs="Arial" w:eastAsia="Arial" w:hAnsi="Arial"/>
                <w:sz w:val="16"/>
                <w:szCs w:val="16"/>
                <w:b w:val="1"/>
                <w:bCs w:val="1"/>
                <w:color w:val="131E29"/>
              </w:rPr>
              <w:t>Supplemental disclosure of cash flow information</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3"/>
        </w:trPr>
        <w:tc>
          <w:tcPr>
            <w:tcW w:w="744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Cash paid for interest</w:t>
            </w:r>
          </w:p>
        </w:tc>
        <w:tc>
          <w:tcPr>
            <w:tcW w:w="440" w:type="dxa"/>
            <w:vAlign w:val="bottom"/>
            <w:shd w:val="clear" w:color="auto" w:fill="D2DCE5"/>
          </w:tcPr>
          <w:p>
            <w:pPr>
              <w:jc w:val="right"/>
              <w:ind w:right="239"/>
              <w:spacing w:after="0"/>
              <w:rPr>
                <w:sz w:val="20"/>
                <w:szCs w:val="20"/>
                <w:color w:val="auto"/>
              </w:rPr>
            </w:pPr>
            <w:r>
              <w:rPr>
                <w:rFonts w:ascii="Arial" w:cs="Arial" w:eastAsia="Arial" w:hAnsi="Arial"/>
                <w:sz w:val="16"/>
                <w:szCs w:val="16"/>
                <w:color w:val="131E29"/>
              </w:rPr>
              <w:t>$</w:t>
            </w:r>
          </w:p>
        </w:tc>
        <w:tc>
          <w:tcPr>
            <w:tcW w:w="14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10,134</w:t>
            </w:r>
          </w:p>
        </w:tc>
        <w:tc>
          <w:tcPr>
            <w:tcW w:w="100" w:type="dxa"/>
            <w:vAlign w:val="bottom"/>
            <w:shd w:val="clear" w:color="auto" w:fill="D2DCE5"/>
          </w:tcPr>
          <w:p>
            <w:pPr>
              <w:spacing w:after="0"/>
              <w:rPr>
                <w:sz w:val="21"/>
                <w:szCs w:val="21"/>
                <w:color w:val="auto"/>
              </w:rPr>
            </w:pPr>
          </w:p>
        </w:tc>
        <w:tc>
          <w:tcPr>
            <w:tcW w:w="420" w:type="dxa"/>
            <w:vAlign w:val="bottom"/>
            <w:shd w:val="clear" w:color="auto" w:fill="D2DCE5"/>
          </w:tcPr>
          <w:p>
            <w:pPr>
              <w:jc w:val="right"/>
              <w:ind w:right="239"/>
              <w:spacing w:after="0"/>
              <w:rPr>
                <w:sz w:val="20"/>
                <w:szCs w:val="20"/>
                <w:color w:val="auto"/>
              </w:rPr>
            </w:pPr>
            <w:r>
              <w:rPr>
                <w:rFonts w:ascii="Arial" w:cs="Arial" w:eastAsia="Arial" w:hAnsi="Arial"/>
                <w:sz w:val="16"/>
                <w:szCs w:val="16"/>
                <w:color w:val="131E29"/>
                <w:w w:val="89"/>
              </w:rPr>
              <w:t>$</w:t>
            </w:r>
          </w:p>
        </w:tc>
        <w:tc>
          <w:tcPr>
            <w:tcW w:w="14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5,567</w:t>
            </w:r>
          </w:p>
        </w:tc>
      </w:tr>
      <w:tr>
        <w:trPr>
          <w:trHeight w:val="233"/>
        </w:trPr>
        <w:tc>
          <w:tcPr>
            <w:tcW w:w="7440" w:type="dxa"/>
            <w:vAlign w:val="bottom"/>
            <w:gridSpan w:val="2"/>
          </w:tcPr>
          <w:p>
            <w:pPr>
              <w:ind w:left="180"/>
              <w:spacing w:after="0"/>
              <w:rPr>
                <w:sz w:val="20"/>
                <w:szCs w:val="20"/>
                <w:color w:val="auto"/>
              </w:rPr>
            </w:pPr>
            <w:r>
              <w:rPr>
                <w:rFonts w:ascii="Arial" w:cs="Arial" w:eastAsia="Arial" w:hAnsi="Arial"/>
                <w:sz w:val="16"/>
                <w:szCs w:val="16"/>
                <w:color w:val="131E29"/>
              </w:rPr>
              <w:t>Income taxes paid</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131E29"/>
              </w:rPr>
              <w:t>1,138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131E29"/>
              </w:rPr>
              <w:t>676</w:t>
            </w:r>
          </w:p>
        </w:tc>
      </w:tr>
      <w:tr>
        <w:trPr>
          <w:trHeight w:val="253"/>
        </w:trPr>
        <w:tc>
          <w:tcPr>
            <w:tcW w:w="744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Supplemental disclosure of noncash investing and financing activities</w:t>
            </w:r>
          </w:p>
        </w:tc>
        <w:tc>
          <w:tcPr>
            <w:tcW w:w="440" w:type="dxa"/>
            <w:vAlign w:val="bottom"/>
            <w:shd w:val="clear" w:color="auto" w:fill="D2DCE5"/>
          </w:tcPr>
          <w:p>
            <w:pPr>
              <w:spacing w:after="0"/>
              <w:rPr>
                <w:sz w:val="21"/>
                <w:szCs w:val="21"/>
                <w:color w:val="auto"/>
              </w:rPr>
            </w:pPr>
          </w:p>
        </w:tc>
        <w:tc>
          <w:tcPr>
            <w:tcW w:w="14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420" w:type="dxa"/>
            <w:vAlign w:val="bottom"/>
            <w:shd w:val="clear" w:color="auto" w:fill="D2DCE5"/>
          </w:tcPr>
          <w:p>
            <w:pPr>
              <w:spacing w:after="0"/>
              <w:rPr>
                <w:sz w:val="21"/>
                <w:szCs w:val="21"/>
                <w:color w:val="auto"/>
              </w:rPr>
            </w:pPr>
          </w:p>
        </w:tc>
        <w:tc>
          <w:tcPr>
            <w:tcW w:w="1420" w:type="dxa"/>
            <w:vAlign w:val="bottom"/>
            <w:shd w:val="clear" w:color="auto" w:fill="D2DCE5"/>
          </w:tcPr>
          <w:p>
            <w:pPr>
              <w:spacing w:after="0"/>
              <w:rPr>
                <w:sz w:val="21"/>
                <w:szCs w:val="21"/>
                <w:color w:val="auto"/>
              </w:rPr>
            </w:pPr>
          </w:p>
        </w:tc>
      </w:tr>
      <w:tr>
        <w:trPr>
          <w:trHeight w:val="233"/>
        </w:trPr>
        <w:tc>
          <w:tcPr>
            <w:tcW w:w="7440" w:type="dxa"/>
            <w:vAlign w:val="bottom"/>
            <w:gridSpan w:val="2"/>
          </w:tcPr>
          <w:p>
            <w:pPr>
              <w:ind w:left="180"/>
              <w:spacing w:after="0"/>
              <w:rPr>
                <w:sz w:val="20"/>
                <w:szCs w:val="20"/>
                <w:color w:val="auto"/>
              </w:rPr>
            </w:pPr>
            <w:r>
              <w:rPr>
                <w:rFonts w:ascii="Arial" w:cs="Arial" w:eastAsia="Arial" w:hAnsi="Arial"/>
                <w:sz w:val="16"/>
                <w:szCs w:val="16"/>
                <w:color w:val="131E29"/>
              </w:rPr>
              <w:t>Additions of property with capital leases</w:t>
            </w:r>
          </w:p>
        </w:tc>
        <w:tc>
          <w:tcPr>
            <w:tcW w:w="4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131E29"/>
              </w:rPr>
              <w:t>—</w:t>
            </w: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131E29"/>
              </w:rPr>
              <w:t>25,317</w:t>
            </w:r>
          </w:p>
        </w:tc>
      </w:tr>
      <w:tr>
        <w:trPr>
          <w:trHeight w:val="253"/>
        </w:trPr>
        <w:tc>
          <w:tcPr>
            <w:tcW w:w="744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Additions of property and equipment accrued as of end of period</w:t>
            </w:r>
          </w:p>
        </w:tc>
        <w:tc>
          <w:tcPr>
            <w:tcW w:w="440" w:type="dxa"/>
            <w:vAlign w:val="bottom"/>
            <w:shd w:val="clear" w:color="auto" w:fill="D2DCE5"/>
          </w:tcPr>
          <w:p>
            <w:pPr>
              <w:spacing w:after="0"/>
              <w:rPr>
                <w:sz w:val="21"/>
                <w:szCs w:val="21"/>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8,864</w:t>
            </w:r>
          </w:p>
        </w:tc>
        <w:tc>
          <w:tcPr>
            <w:tcW w:w="100" w:type="dxa"/>
            <w:vAlign w:val="bottom"/>
            <w:shd w:val="clear" w:color="auto" w:fill="D2DCE5"/>
          </w:tcPr>
          <w:p>
            <w:pPr>
              <w:spacing w:after="0"/>
              <w:rPr>
                <w:sz w:val="21"/>
                <w:szCs w:val="21"/>
                <w:color w:val="auto"/>
              </w:rPr>
            </w:pPr>
          </w:p>
        </w:tc>
        <w:tc>
          <w:tcPr>
            <w:tcW w:w="420" w:type="dxa"/>
            <w:vAlign w:val="bottom"/>
            <w:shd w:val="clear" w:color="auto" w:fill="D2DCE5"/>
          </w:tcPr>
          <w:p>
            <w:pPr>
              <w:spacing w:after="0"/>
              <w:rPr>
                <w:sz w:val="21"/>
                <w:szCs w:val="21"/>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2,194</w:t>
            </w:r>
          </w:p>
        </w:tc>
      </w:tr>
      <w:tr>
        <w:trPr>
          <w:trHeight w:val="233"/>
        </w:trPr>
        <w:tc>
          <w:tcPr>
            <w:tcW w:w="7440" w:type="dxa"/>
            <w:vAlign w:val="bottom"/>
            <w:gridSpan w:val="2"/>
          </w:tcPr>
          <w:p>
            <w:pPr>
              <w:ind w:left="180"/>
              <w:spacing w:after="0"/>
              <w:rPr>
                <w:sz w:val="20"/>
                <w:szCs w:val="20"/>
                <w:color w:val="auto"/>
              </w:rPr>
            </w:pPr>
            <w:r>
              <w:rPr>
                <w:rFonts w:ascii="Arial" w:cs="Arial" w:eastAsia="Arial" w:hAnsi="Arial"/>
                <w:sz w:val="16"/>
                <w:szCs w:val="16"/>
                <w:color w:val="131E29"/>
              </w:rPr>
              <w:t>Deferred offering costs accrued</w:t>
            </w:r>
          </w:p>
        </w:tc>
        <w:tc>
          <w:tcPr>
            <w:tcW w:w="4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131E29"/>
              </w:rPr>
              <w:t>—</w:t>
            </w: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131E29"/>
              </w:rPr>
              <w:t>543</w:t>
            </w:r>
          </w:p>
        </w:tc>
      </w:tr>
      <w:tr>
        <w:trPr>
          <w:trHeight w:val="253"/>
        </w:trPr>
        <w:tc>
          <w:tcPr>
            <w:tcW w:w="744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Transfer between line of credit and term loan facility</w:t>
            </w:r>
          </w:p>
        </w:tc>
        <w:tc>
          <w:tcPr>
            <w:tcW w:w="440" w:type="dxa"/>
            <w:vAlign w:val="bottom"/>
            <w:shd w:val="clear" w:color="auto" w:fill="D2DCE5"/>
          </w:tcPr>
          <w:p>
            <w:pPr>
              <w:spacing w:after="0"/>
              <w:rPr>
                <w:sz w:val="21"/>
                <w:szCs w:val="21"/>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100,000</w:t>
            </w:r>
          </w:p>
        </w:tc>
        <w:tc>
          <w:tcPr>
            <w:tcW w:w="100" w:type="dxa"/>
            <w:vAlign w:val="bottom"/>
            <w:shd w:val="clear" w:color="auto" w:fill="D2DCE5"/>
          </w:tcPr>
          <w:p>
            <w:pPr>
              <w:spacing w:after="0"/>
              <w:rPr>
                <w:sz w:val="21"/>
                <w:szCs w:val="21"/>
                <w:color w:val="auto"/>
              </w:rPr>
            </w:pPr>
          </w:p>
        </w:tc>
        <w:tc>
          <w:tcPr>
            <w:tcW w:w="420" w:type="dxa"/>
            <w:vAlign w:val="bottom"/>
            <w:shd w:val="clear" w:color="auto" w:fill="D2DCE5"/>
          </w:tcPr>
          <w:p>
            <w:pPr>
              <w:spacing w:after="0"/>
              <w:rPr>
                <w:sz w:val="21"/>
                <w:szCs w:val="21"/>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Index for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(Unaudited)</w:t>
      </w:r>
    </w:p>
    <w:p>
      <w:pPr>
        <w:spacing w:after="0" w:line="203" w:lineRule="exact"/>
        <w:rPr>
          <w:sz w:val="20"/>
          <w:szCs w:val="20"/>
          <w:color w:val="auto"/>
        </w:rPr>
      </w:pPr>
    </w:p>
    <w:p>
      <w:pPr>
        <w:ind w:left="20"/>
        <w:spacing w:after="0"/>
        <w:tabs>
          <w:tab w:leader="none" w:pos="10640" w:val="left"/>
        </w:tabs>
        <w:rPr>
          <w:sz w:val="20"/>
          <w:szCs w:val="20"/>
          <w:color w:val="auto"/>
        </w:rPr>
      </w:pPr>
      <w:r>
        <w:rPr>
          <w:rFonts w:ascii="Arial" w:cs="Arial" w:eastAsia="Arial" w:hAnsi="Arial"/>
          <w:sz w:val="18"/>
          <w:szCs w:val="18"/>
          <w:b w:val="1"/>
          <w:bCs w:val="1"/>
          <w:color w:val="131E29"/>
        </w:rPr>
        <w:t>Note</w:t>
      </w:r>
      <w:r>
        <w:rPr>
          <w:sz w:val="20"/>
          <w:szCs w:val="20"/>
          <w:color w:val="auto"/>
        </w:rPr>
        <w:tab/>
      </w:r>
      <w:r>
        <w:rPr>
          <w:rFonts w:ascii="Arial" w:cs="Arial" w:eastAsia="Arial" w:hAnsi="Arial"/>
          <w:sz w:val="18"/>
          <w:szCs w:val="18"/>
          <w:b w:val="1"/>
          <w:bCs w:val="1"/>
          <w:color w:val="131E29"/>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14</w:t>
      </w:r>
    </w:p>
    <w:p>
      <w:pPr>
        <w:ind w:left="20"/>
        <w:spacing w:after="0"/>
        <w:rPr>
          <w:sz w:val="20"/>
          <w:szCs w:val="20"/>
          <w:color w:val="auto"/>
        </w:rPr>
      </w:pPr>
      <w:r>
        <w:rPr>
          <w:rFonts w:ascii="Arial" w:cs="Arial" w:eastAsia="Arial" w:hAnsi="Arial"/>
          <w:sz w:val="18"/>
          <w:szCs w:val="18"/>
          <w:color w:val="131E29"/>
        </w:rPr>
        <w:t>NOTE 1 — Organization and Background</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15</w:t>
      </w:r>
    </w:p>
    <w:p>
      <w:pPr>
        <w:ind w:left="20"/>
        <w:spacing w:after="0"/>
        <w:rPr>
          <w:sz w:val="20"/>
          <w:szCs w:val="20"/>
          <w:color w:val="auto"/>
        </w:rPr>
      </w:pPr>
      <w:r>
        <w:rPr>
          <w:rFonts w:ascii="Arial" w:cs="Arial" w:eastAsia="Arial" w:hAnsi="Arial"/>
          <w:sz w:val="18"/>
          <w:szCs w:val="18"/>
          <w:color w:val="131E29"/>
        </w:rPr>
        <w:t>NOTE 2 — Basis of Presentation and Summary of Significant Accounting Policies</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23</w:t>
      </w:r>
    </w:p>
    <w:p>
      <w:pPr>
        <w:ind w:left="20"/>
        <w:spacing w:after="0"/>
        <w:rPr>
          <w:sz w:val="20"/>
          <w:szCs w:val="20"/>
          <w:color w:val="auto"/>
        </w:rPr>
      </w:pPr>
      <w:r>
        <w:rPr>
          <w:rFonts w:ascii="Arial" w:cs="Arial" w:eastAsia="Arial" w:hAnsi="Arial"/>
          <w:sz w:val="18"/>
          <w:szCs w:val="18"/>
          <w:color w:val="131E29"/>
        </w:rPr>
        <w:t>NOTE 3 — Revenue Recognition</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24</w:t>
      </w:r>
    </w:p>
    <w:p>
      <w:pPr>
        <w:ind w:left="20"/>
        <w:spacing w:after="0"/>
        <w:rPr>
          <w:sz w:val="20"/>
          <w:szCs w:val="20"/>
          <w:color w:val="auto"/>
        </w:rPr>
      </w:pPr>
      <w:r>
        <w:rPr>
          <w:rFonts w:ascii="Arial" w:cs="Arial" w:eastAsia="Arial" w:hAnsi="Arial"/>
          <w:sz w:val="18"/>
          <w:szCs w:val="18"/>
          <w:color w:val="131E29"/>
        </w:rPr>
        <w:t>NOTE 4 — Shop Acquisitions</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25</w:t>
      </w:r>
    </w:p>
    <w:p>
      <w:pPr>
        <w:ind w:left="20"/>
        <w:spacing w:after="0"/>
        <w:rPr>
          <w:sz w:val="20"/>
          <w:szCs w:val="20"/>
          <w:color w:val="auto"/>
        </w:rPr>
      </w:pPr>
      <w:r>
        <w:rPr>
          <w:rFonts w:ascii="Arial" w:cs="Arial" w:eastAsia="Arial" w:hAnsi="Arial"/>
          <w:sz w:val="18"/>
          <w:szCs w:val="18"/>
          <w:color w:val="131E29"/>
        </w:rPr>
        <w:t>NOTE 5 — Inventories</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26</w:t>
      </w:r>
    </w:p>
    <w:p>
      <w:pPr>
        <w:ind w:left="20"/>
        <w:spacing w:after="0"/>
        <w:rPr>
          <w:sz w:val="20"/>
          <w:szCs w:val="20"/>
          <w:color w:val="auto"/>
        </w:rPr>
      </w:pPr>
      <w:r>
        <w:rPr>
          <w:rFonts w:ascii="Arial" w:cs="Arial" w:eastAsia="Arial" w:hAnsi="Arial"/>
          <w:sz w:val="18"/>
          <w:szCs w:val="18"/>
          <w:color w:val="131E29"/>
        </w:rPr>
        <w:t>NOTE 6 — Property and Equipment</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26</w:t>
      </w:r>
    </w:p>
    <w:p>
      <w:pPr>
        <w:ind w:left="20"/>
        <w:spacing w:after="0"/>
        <w:rPr>
          <w:sz w:val="20"/>
          <w:szCs w:val="20"/>
          <w:color w:val="auto"/>
        </w:rPr>
      </w:pPr>
      <w:r>
        <w:rPr>
          <w:rFonts w:ascii="Arial" w:cs="Arial" w:eastAsia="Arial" w:hAnsi="Arial"/>
          <w:sz w:val="18"/>
          <w:szCs w:val="18"/>
          <w:color w:val="131E29"/>
        </w:rPr>
        <w:t>NOTE 7 — Intangible Assets and Goodwill</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28</w:t>
      </w:r>
    </w:p>
    <w:p>
      <w:pPr>
        <w:ind w:left="20"/>
        <w:spacing w:after="0"/>
        <w:rPr>
          <w:sz w:val="20"/>
          <w:szCs w:val="20"/>
          <w:color w:val="auto"/>
        </w:rPr>
      </w:pPr>
      <w:r>
        <w:rPr>
          <w:rFonts w:ascii="Arial" w:cs="Arial" w:eastAsia="Arial" w:hAnsi="Arial"/>
          <w:sz w:val="18"/>
          <w:szCs w:val="18"/>
          <w:color w:val="131E29"/>
        </w:rPr>
        <w:t>NOTE 8 — Leases</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32</w:t>
      </w:r>
    </w:p>
    <w:p>
      <w:pPr>
        <w:ind w:left="20"/>
        <w:spacing w:after="0"/>
        <w:rPr>
          <w:sz w:val="20"/>
          <w:szCs w:val="20"/>
          <w:color w:val="auto"/>
        </w:rPr>
      </w:pPr>
      <w:r>
        <w:rPr>
          <w:rFonts w:ascii="Arial" w:cs="Arial" w:eastAsia="Arial" w:hAnsi="Arial"/>
          <w:sz w:val="18"/>
          <w:szCs w:val="18"/>
          <w:color w:val="131E29"/>
        </w:rPr>
        <w:t>NOTE 9 — Debt</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33</w:t>
      </w:r>
    </w:p>
    <w:p>
      <w:pPr>
        <w:ind w:left="20"/>
        <w:spacing w:after="0"/>
        <w:rPr>
          <w:sz w:val="20"/>
          <w:szCs w:val="20"/>
          <w:color w:val="auto"/>
        </w:rPr>
      </w:pPr>
      <w:r>
        <w:rPr>
          <w:rFonts w:ascii="Arial" w:cs="Arial" w:eastAsia="Arial" w:hAnsi="Arial"/>
          <w:sz w:val="18"/>
          <w:szCs w:val="18"/>
          <w:color w:val="131E29"/>
        </w:rPr>
        <w:t>NOTE 10 — Fair Value Measurements</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34</w:t>
      </w:r>
    </w:p>
    <w:p>
      <w:pPr>
        <w:ind w:left="20"/>
        <w:spacing w:after="0"/>
        <w:rPr>
          <w:sz w:val="20"/>
          <w:szCs w:val="20"/>
          <w:color w:val="auto"/>
        </w:rPr>
      </w:pPr>
      <w:r>
        <w:rPr>
          <w:rFonts w:ascii="Arial" w:cs="Arial" w:eastAsia="Arial" w:hAnsi="Arial"/>
          <w:sz w:val="18"/>
          <w:szCs w:val="18"/>
          <w:color w:val="131E29"/>
        </w:rPr>
        <w:t>NOTE 11 — Derivative Financial Instruments</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35</w:t>
      </w:r>
    </w:p>
    <w:p>
      <w:pPr>
        <w:ind w:left="20"/>
        <w:spacing w:after="0"/>
        <w:rPr>
          <w:sz w:val="20"/>
          <w:szCs w:val="20"/>
          <w:color w:val="auto"/>
        </w:rPr>
      </w:pPr>
      <w:r>
        <w:rPr>
          <w:rFonts w:ascii="Arial" w:cs="Arial" w:eastAsia="Arial" w:hAnsi="Arial"/>
          <w:sz w:val="18"/>
          <w:szCs w:val="18"/>
          <w:color w:val="131E29"/>
        </w:rPr>
        <w:t>NOTE 12 — Income Taxes</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36</w:t>
      </w:r>
    </w:p>
    <w:p>
      <w:pPr>
        <w:ind w:left="20"/>
        <w:spacing w:after="0"/>
        <w:rPr>
          <w:sz w:val="20"/>
          <w:szCs w:val="20"/>
          <w:color w:val="auto"/>
        </w:rPr>
      </w:pPr>
      <w:r>
        <w:rPr>
          <w:rFonts w:ascii="Arial" w:cs="Arial" w:eastAsia="Arial" w:hAnsi="Arial"/>
          <w:sz w:val="18"/>
          <w:szCs w:val="18"/>
          <w:color w:val="131E29"/>
        </w:rPr>
        <w:t>NOTE 13 — Equity and Equity-Based Compensation</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37</w:t>
      </w:r>
    </w:p>
    <w:p>
      <w:pPr>
        <w:ind w:left="20"/>
        <w:spacing w:after="0"/>
        <w:rPr>
          <w:sz w:val="20"/>
          <w:szCs w:val="20"/>
          <w:color w:val="auto"/>
        </w:rPr>
      </w:pPr>
      <w:r>
        <w:rPr>
          <w:rFonts w:ascii="Arial" w:cs="Arial" w:eastAsia="Arial" w:hAnsi="Arial"/>
          <w:sz w:val="18"/>
          <w:szCs w:val="18"/>
          <w:color w:val="131E29"/>
        </w:rPr>
        <w:t>NOTE 14 — Non-Controlling Interests</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38</w:t>
      </w:r>
    </w:p>
    <w:p>
      <w:pPr>
        <w:ind w:left="20"/>
        <w:spacing w:after="0"/>
        <w:rPr>
          <w:sz w:val="20"/>
          <w:szCs w:val="20"/>
          <w:color w:val="auto"/>
        </w:rPr>
      </w:pPr>
      <w:r>
        <w:rPr>
          <w:rFonts w:ascii="Arial" w:cs="Arial" w:eastAsia="Arial" w:hAnsi="Arial"/>
          <w:sz w:val="18"/>
          <w:szCs w:val="18"/>
          <w:color w:val="131E29"/>
        </w:rPr>
        <w:t>NOTE 15 — Income (Loss) Per Share</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41</w:t>
      </w:r>
    </w:p>
    <w:p>
      <w:pPr>
        <w:ind w:left="20"/>
        <w:spacing w:after="0"/>
        <w:rPr>
          <w:sz w:val="20"/>
          <w:szCs w:val="20"/>
          <w:color w:val="auto"/>
        </w:rPr>
      </w:pPr>
      <w:r>
        <w:rPr>
          <w:rFonts w:ascii="Arial" w:cs="Arial" w:eastAsia="Arial" w:hAnsi="Arial"/>
          <w:sz w:val="18"/>
          <w:szCs w:val="18"/>
          <w:color w:val="131E29"/>
        </w:rPr>
        <w:t>NOTE 16 — Commitments and Contingencies</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41</w:t>
      </w:r>
    </w:p>
    <w:p>
      <w:pPr>
        <w:ind w:left="20"/>
        <w:spacing w:after="0"/>
        <w:rPr>
          <w:sz w:val="20"/>
          <w:szCs w:val="20"/>
          <w:color w:val="auto"/>
        </w:rPr>
      </w:pPr>
      <w:r>
        <w:rPr>
          <w:rFonts w:ascii="Arial" w:cs="Arial" w:eastAsia="Arial" w:hAnsi="Arial"/>
          <w:sz w:val="18"/>
          <w:szCs w:val="18"/>
          <w:color w:val="131E29"/>
        </w:rPr>
        <w:t>NOTE 17 — Related Party Transactions</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42</w:t>
      </w:r>
    </w:p>
    <w:p>
      <w:pPr>
        <w:ind w:left="20"/>
        <w:spacing w:after="0"/>
        <w:rPr>
          <w:sz w:val="20"/>
          <w:szCs w:val="20"/>
          <w:color w:val="auto"/>
        </w:rPr>
      </w:pPr>
      <w:r>
        <w:rPr>
          <w:rFonts w:ascii="Arial" w:cs="Arial" w:eastAsia="Arial" w:hAnsi="Arial"/>
          <w:sz w:val="18"/>
          <w:szCs w:val="18"/>
          <w:color w:val="131E29"/>
        </w:rPr>
        <w:t>NOTE 18 —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3" w:lineRule="exact"/>
        <w:rPr>
          <w:sz w:val="20"/>
          <w:szCs w:val="20"/>
          <w:color w:val="auto"/>
        </w:rPr>
      </w:pPr>
    </w:p>
    <w:p>
      <w:pPr>
        <w:ind w:left="2900"/>
        <w:spacing w:after="0"/>
        <w:rPr>
          <w:sz w:val="20"/>
          <w:szCs w:val="20"/>
          <w:color w:val="auto"/>
        </w:rPr>
      </w:pPr>
      <w:r>
        <w:rPr>
          <w:rFonts w:ascii="Arial" w:cs="Arial" w:eastAsia="Arial" w:hAnsi="Arial"/>
          <w:sz w:val="18"/>
          <w:szCs w:val="18"/>
          <w:color w:val="131E29"/>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 — Organization and Background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Business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Dutch Bros Inc. (the Company) is in the business of operating and franchising drive-thru coffee shops as well as the wholesale and distribution of coffee, coffee-related products and accessories. As of September 30, 2022, there were 641 shops in operation in 14 U.S. states, of which 370 were company-operated and 271 were franchised.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Organization</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Dutch Bros Inc. was formed on June 4, 2021 as a Delaware corporation for the purpose of facilitating an IPO and other related transactions in order to carry on the business of Dutch Bros OpCo. The Company is the sole managing member of Dutch Bros OpCo and operates and controls all of the business and affairs of Dutch Bros OpCo. As a result, the Company consolidates the financial results of Dutch Bros OpCo and reports a non-controlling interest representing the economic interest in Dutch Bros OpCo held by the other members of Dutch Bros OpCo. The Company’s fiscal year end is December 31.</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131E29"/>
        </w:rPr>
        <w:t>As of September 30, 2022, the Company held 100.0% of the voting interest and 35.4% of the economic interest of Dutch Bros OpCo. The Continuing Members held none of the voting interest and the remaining 64.6% of the economic interest of Dutch Bros OpCo.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Initial Public Offering</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On September 17, 2021, the Company completed its IPO of approximately 24.2 million shares of Class A common stock at a public offering price of $23.00 per share, which included approximately 3.2 million shares issued pursuant to the exercise in full of the underwriters’ option to purchase additional shares. The Company received proceeds of approximately $520.8 million, net of offering costs. The proceeds were used to purchase approximately 10.9 million newly-issued Dutch Bros OpCo Class A common units from Dutch Bros OpCo for approximately $234.4 million. The proceeds were also used to purchase approximately 11.7 million Dutch Bros OpCo Class A common units from the Continuing Members for approximately $253.3 million and approximately 1.6 million shares of Class D common stock from the Pre-IPO Blocker Holders for approximately $34.4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Reorganization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131E29"/>
        </w:rPr>
        <w:t>In connection with the IPO, the Company completed the following Reorganization Transactions:</w:t>
      </w:r>
    </w:p>
    <w:p>
      <w:pPr>
        <w:spacing w:after="0" w:line="252" w:lineRule="exact"/>
        <w:rPr>
          <w:sz w:val="20"/>
          <w:szCs w:val="20"/>
          <w:color w:val="auto"/>
        </w:rPr>
      </w:pPr>
    </w:p>
    <w:p>
      <w:pPr>
        <w:jc w:val="both"/>
        <w:ind w:left="340" w:hanging="332"/>
        <w:spacing w:after="0" w:line="254" w:lineRule="auto"/>
        <w:tabs>
          <w:tab w:leader="none" w:pos="335" w:val="left"/>
        </w:tabs>
        <w:numPr>
          <w:ilvl w:val="0"/>
          <w:numId w:val="10"/>
        </w:numPr>
        <w:rPr>
          <w:rFonts w:ascii="Arial" w:cs="Arial" w:eastAsia="Arial" w:hAnsi="Arial"/>
          <w:sz w:val="18"/>
          <w:szCs w:val="18"/>
          <w:color w:val="131E29"/>
        </w:rPr>
      </w:pPr>
      <w:r>
        <w:rPr>
          <w:rFonts w:ascii="Arial" w:cs="Arial" w:eastAsia="Arial" w:hAnsi="Arial"/>
          <w:sz w:val="18"/>
          <w:szCs w:val="18"/>
          <w:color w:val="131E29"/>
        </w:rPr>
        <w:t>Amended and restated the Second Dutch Bros OpCo Agreement to, among other things, effect a recapitalization in which (i) the outstanding Common Units were converted into Dutch Bros OpCo Class A common units paired with an equal number of either Class B voting units or Class C voting units, and (ii) the outstanding Profits Interest (PI) Units were converted into Dutch Bros OpCo Class A common units.</w:t>
      </w:r>
    </w:p>
    <w:p>
      <w:pPr>
        <w:spacing w:after="0" w:line="149" w:lineRule="exact"/>
        <w:rPr>
          <w:rFonts w:ascii="Arial" w:cs="Arial" w:eastAsia="Arial" w:hAnsi="Arial"/>
          <w:sz w:val="18"/>
          <w:szCs w:val="18"/>
          <w:color w:val="131E29"/>
        </w:rPr>
      </w:pPr>
    </w:p>
    <w:p>
      <w:pPr>
        <w:ind w:left="320" w:hanging="312"/>
        <w:spacing w:after="0"/>
        <w:tabs>
          <w:tab w:leader="none" w:pos="320" w:val="left"/>
        </w:tabs>
        <w:numPr>
          <w:ilvl w:val="0"/>
          <w:numId w:val="10"/>
        </w:numPr>
        <w:rPr>
          <w:rFonts w:ascii="Arial" w:cs="Arial" w:eastAsia="Arial" w:hAnsi="Arial"/>
          <w:sz w:val="18"/>
          <w:szCs w:val="18"/>
          <w:color w:val="131E29"/>
        </w:rPr>
      </w:pPr>
      <w:r>
        <w:rPr>
          <w:rFonts w:ascii="Arial" w:cs="Arial" w:eastAsia="Arial" w:hAnsi="Arial"/>
          <w:sz w:val="18"/>
          <w:szCs w:val="18"/>
          <w:color w:val="131E29"/>
        </w:rPr>
        <w:t>Amended and restated the Company’s certificate of incorporation to, among other things, authorize four classes of common stock.</w:t>
      </w:r>
    </w:p>
    <w:p>
      <w:pPr>
        <w:spacing w:after="0" w:line="171"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10"/>
        </w:numPr>
        <w:rPr>
          <w:rFonts w:ascii="Arial" w:cs="Arial" w:eastAsia="Arial" w:hAnsi="Arial"/>
          <w:sz w:val="18"/>
          <w:szCs w:val="18"/>
          <w:color w:val="131E29"/>
        </w:rPr>
      </w:pPr>
      <w:r>
        <w:rPr>
          <w:rFonts w:ascii="Arial" w:cs="Arial" w:eastAsia="Arial" w:hAnsi="Arial"/>
          <w:sz w:val="18"/>
          <w:szCs w:val="18"/>
          <w:color w:val="131E29"/>
        </w:rPr>
        <w:t>Acquired Dutch Bros OpCo Class A common units and Class C voting units indirectly held by the Pre-IPO Blocker Holders in exchange for shares of Class D common stock.</w:t>
      </w:r>
    </w:p>
    <w:p>
      <w:pPr>
        <w:spacing w:after="0" w:line="143" w:lineRule="exact"/>
        <w:rPr>
          <w:rFonts w:ascii="Arial" w:cs="Arial" w:eastAsia="Arial" w:hAnsi="Arial"/>
          <w:sz w:val="18"/>
          <w:szCs w:val="18"/>
          <w:color w:val="131E29"/>
        </w:rPr>
      </w:pPr>
    </w:p>
    <w:p>
      <w:pPr>
        <w:ind w:left="340" w:right="20" w:hanging="332"/>
        <w:spacing w:after="0" w:line="261" w:lineRule="auto"/>
        <w:tabs>
          <w:tab w:leader="none" w:pos="335" w:val="left"/>
        </w:tabs>
        <w:numPr>
          <w:ilvl w:val="0"/>
          <w:numId w:val="10"/>
        </w:numPr>
        <w:rPr>
          <w:rFonts w:ascii="Arial" w:cs="Arial" w:eastAsia="Arial" w:hAnsi="Arial"/>
          <w:sz w:val="18"/>
          <w:szCs w:val="18"/>
          <w:color w:val="131E29"/>
        </w:rPr>
      </w:pPr>
      <w:r>
        <w:rPr>
          <w:rFonts w:ascii="Arial" w:cs="Arial" w:eastAsia="Arial" w:hAnsi="Arial"/>
          <w:sz w:val="18"/>
          <w:szCs w:val="18"/>
          <w:color w:val="131E29"/>
        </w:rPr>
        <w:t>Contribution of Dutch Bros OpCo Class A common units, Class B voting units, and Class C voting units by Pre-IPO Dutch Bros OpCo Unitholders to the Company in exchange for Class A common stock, Class B common stock, and Class C common stock,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131E29"/>
        </w:rPr>
      </w:pPr>
      <w:r>
        <w:rPr>
          <w:rFonts w:ascii="Arial" w:cs="Arial" w:eastAsia="Arial" w:hAnsi="Arial"/>
          <w:sz w:val="18"/>
          <w:szCs w:val="18"/>
          <w:color w:val="131E29"/>
        </w:rPr>
        <w:t>Designation of the Company as managing member of Dutch Bros OpCo.</w:t>
      </w:r>
    </w:p>
    <w:p>
      <w:pPr>
        <w:spacing w:after="0" w:line="171" w:lineRule="exact"/>
        <w:rPr>
          <w:rFonts w:ascii="Arial" w:cs="Arial" w:eastAsia="Arial" w:hAnsi="Arial"/>
          <w:sz w:val="18"/>
          <w:szCs w:val="18"/>
          <w:color w:val="131E29"/>
        </w:rPr>
      </w:pPr>
    </w:p>
    <w:p>
      <w:pPr>
        <w:jc w:val="both"/>
        <w:ind w:left="340" w:hanging="332"/>
        <w:spacing w:after="0" w:line="254" w:lineRule="auto"/>
        <w:tabs>
          <w:tab w:leader="none" w:pos="335" w:val="left"/>
        </w:tabs>
        <w:numPr>
          <w:ilvl w:val="0"/>
          <w:numId w:val="11"/>
        </w:numPr>
        <w:rPr>
          <w:rFonts w:ascii="Arial" w:cs="Arial" w:eastAsia="Arial" w:hAnsi="Arial"/>
          <w:sz w:val="18"/>
          <w:szCs w:val="18"/>
          <w:color w:val="131E29"/>
        </w:rPr>
      </w:pPr>
      <w:r>
        <w:rPr>
          <w:rFonts w:ascii="Arial" w:cs="Arial" w:eastAsia="Arial" w:hAnsi="Arial"/>
          <w:sz w:val="18"/>
          <w:szCs w:val="18"/>
          <w:color w:val="131E29"/>
        </w:rPr>
        <w:t>Entered into a Reorganization Tax Receivable Agreement with the Pre-IPO Blocker Holders and an Exchange Tax Receivable Agreement with the Continuing Members (collectively, the Tax Receivable Agreements or the TRAs), which provide for payment by Dutch Bros PubCo to the Continuing Members and the Pre-IPO Blocker Holders of 85% of the benefits, if any, that Dutch Bros PubCo would be deemed to realize (calculated using certain assumptions) as a result of certain tax attributes and benefits covered by the TRAs.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2 — Basis of Presentation and 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Financial Statements Presentation</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accompanying unaudited condensed consolidated financial statements as of September 30, 2022 and for the three and nine months ended September 30, 2022 and 2021 are prepared in accordance with the rules and regulations of the Securities and Exchange Commission (the SEC) for interim financial information. Accordingly, they do not include all of the information and footnotes required by accounting principles generally accepted in the United States of America (GAAP) for complete financial statements. Therefore, the unaudited financial statements should be read in conjunction with the audited consolidated financial statements contained in our Annual Report on Form 10-K filed with the SEC and on March 11, 2022.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Immaterial Correction of Previously Issued Consolidated Financial Statements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 xml:space="preserve">Subsequent to the issuance of the Company’s 2021 consolidated financial statements, management of the Company identified an error in application of Accounting Standards Codification (ASC) 710, </w:t>
      </w:r>
      <w:r>
        <w:rPr>
          <w:rFonts w:ascii="Arial" w:cs="Arial" w:eastAsia="Arial" w:hAnsi="Arial"/>
          <w:sz w:val="18"/>
          <w:szCs w:val="18"/>
          <w:i w:val="1"/>
          <w:iCs w:val="1"/>
          <w:color w:val="131E29"/>
        </w:rPr>
        <w:t>Compensation-General</w:t>
      </w:r>
      <w:r>
        <w:rPr>
          <w:rFonts w:ascii="Arial" w:cs="Arial" w:eastAsia="Arial" w:hAnsi="Arial"/>
          <w:sz w:val="18"/>
          <w:szCs w:val="18"/>
          <w:color w:val="131E29"/>
        </w:rPr>
        <w:t>, related to accrued sick leave pay. ASC 710-10-25-7 states that an employer is not required to accrue a liability for nonvesting accumulating rights to receive sick pay benefits. Historically, the Company accrued sick leave pay expense for each employee. As unused sick leave pay does not carry forward and is not paid out upon termination, the accrued liability should not have been recorded.</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 xml:space="preserve">The Company has evaluated the effects of the corrections detailed in the table below on the previously issued consolidated financial statements, individually and in the aggregate, in accordance with the guidance in ASC 250, </w:t>
      </w:r>
      <w:r>
        <w:rPr>
          <w:rFonts w:ascii="Arial" w:cs="Arial" w:eastAsia="Arial" w:hAnsi="Arial"/>
          <w:sz w:val="18"/>
          <w:szCs w:val="18"/>
          <w:i w:val="1"/>
          <w:iCs w:val="1"/>
          <w:color w:val="131E29"/>
        </w:rPr>
        <w:t>Accounting Changes and Error Corrections.</w:t>
      </w:r>
      <w:r>
        <w:rPr>
          <w:rFonts w:ascii="Arial" w:cs="Arial" w:eastAsia="Arial" w:hAnsi="Arial"/>
          <w:sz w:val="18"/>
          <w:szCs w:val="18"/>
          <w:color w:val="131E29"/>
        </w:rPr>
        <w:t xml:space="preserve"> The Company has concluded such corrections to be immaterial to its previously issued consolidated financial statements.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While management believes the effect of the error is immaterial to the Company’s previously issued consolidated financial statements as of December 31, 2021, and for the three and nine months ended September 30, 2021, the financial statement line items impacted by this error have been corrected. In addition, the immaterial error is being corrected prospectively in the Company’s subsequent quarterly and annual filings.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131E29"/>
        </w:rPr>
        <w:t>The tables below reflect the sections of the Company’s condensed consolidated financial statements that were impacted by the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4"/>
          </w:tcPr>
          <w:p>
            <w:pPr>
              <w:spacing w:after="0"/>
              <w:rPr>
                <w:sz w:val="20"/>
                <w:szCs w:val="20"/>
                <w:color w:val="auto"/>
              </w:rPr>
            </w:pPr>
            <w:r>
              <w:rPr>
                <w:rFonts w:ascii="Arial" w:cs="Arial" w:eastAsia="Arial" w:hAnsi="Arial"/>
                <w:sz w:val="18"/>
                <w:szCs w:val="18"/>
                <w:color w:val="006098"/>
              </w:rPr>
              <w:t>Condensed Consolidated Balance Sheet:</w:t>
            </w: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3300" w:type="dxa"/>
            <w:vAlign w:val="bottom"/>
            <w:tcBorders>
              <w:top w:val="single" w:sz="8" w:color="006098"/>
            </w:tcBorders>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131E29"/>
                <w:w w:val="99"/>
              </w:rPr>
              <w:t>December 31, 2021</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6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620" w:type="dxa"/>
            <w:vAlign w:val="bottom"/>
            <w:gridSpan w:val="4"/>
          </w:tcPr>
          <w:p>
            <w:pPr>
              <w:ind w:left="20"/>
              <w:spacing w:after="0"/>
              <w:rPr>
                <w:sz w:val="20"/>
                <w:szCs w:val="20"/>
                <w:color w:val="auto"/>
              </w:rPr>
            </w:pPr>
            <w:r>
              <w:rPr>
                <w:rFonts w:ascii="Arial" w:cs="Arial" w:eastAsia="Arial" w:hAnsi="Arial"/>
                <w:sz w:val="14"/>
                <w:szCs w:val="14"/>
                <w:color w:val="131E29"/>
              </w:rPr>
              <w:t>(in thousands)</w:t>
            </w: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131E29"/>
              </w:rPr>
              <w:t>As Reported</w:t>
            </w:r>
          </w:p>
        </w:tc>
        <w:tc>
          <w:tcPr>
            <w:tcW w:w="24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131E29"/>
              </w:rPr>
              <w:t>Adjustments</w:t>
            </w:r>
          </w:p>
        </w:tc>
        <w:tc>
          <w:tcPr>
            <w:tcW w:w="220" w:type="dxa"/>
            <w:vAlign w:val="bottom"/>
          </w:tcPr>
          <w:p>
            <w:pPr>
              <w:spacing w:after="0"/>
              <w:rPr>
                <w:sz w:val="20"/>
                <w:szCs w:val="20"/>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b w:val="1"/>
                <w:bCs w:val="1"/>
                <w:color w:val="131E29"/>
              </w:rPr>
              <w:t>As Corrected</w:t>
            </w:r>
          </w:p>
        </w:tc>
        <w:tc>
          <w:tcPr>
            <w:tcW w:w="0" w:type="dxa"/>
            <w:vAlign w:val="bottom"/>
          </w:tcPr>
          <w:p>
            <w:pPr>
              <w:spacing w:after="0"/>
              <w:rPr>
                <w:sz w:val="1"/>
                <w:szCs w:val="1"/>
                <w:color w:val="auto"/>
              </w:rPr>
            </w:pPr>
          </w:p>
        </w:tc>
      </w:tr>
      <w:tr>
        <w:trPr>
          <w:trHeight w:val="26"/>
        </w:trPr>
        <w:tc>
          <w:tcPr>
            <w:tcW w:w="41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D2DCE5"/>
            </w:tcBorders>
            <w:gridSpan w:val="4"/>
            <w:shd w:val="clear" w:color="auto" w:fill="D2DCE5"/>
          </w:tcPr>
          <w:p>
            <w:pPr>
              <w:ind w:left="20"/>
              <w:spacing w:after="0"/>
              <w:rPr>
                <w:sz w:val="20"/>
                <w:szCs w:val="20"/>
                <w:color w:val="auto"/>
              </w:rPr>
            </w:pPr>
            <w:r>
              <w:rPr>
                <w:rFonts w:ascii="Arial" w:cs="Arial" w:eastAsia="Arial" w:hAnsi="Arial"/>
                <w:sz w:val="18"/>
                <w:szCs w:val="18"/>
                <w:color w:val="131E29"/>
              </w:rPr>
              <w:t>Current liabilities:</w:t>
            </w:r>
          </w:p>
        </w:tc>
        <w:tc>
          <w:tcPr>
            <w:tcW w:w="24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4"/>
          </w:tcPr>
          <w:p>
            <w:pPr>
              <w:ind w:left="180"/>
              <w:spacing w:after="0"/>
              <w:rPr>
                <w:sz w:val="20"/>
                <w:szCs w:val="20"/>
                <w:color w:val="auto"/>
              </w:rPr>
            </w:pPr>
            <w:r>
              <w:rPr>
                <w:rFonts w:ascii="Arial" w:cs="Arial" w:eastAsia="Arial" w:hAnsi="Arial"/>
                <w:sz w:val="18"/>
                <w:szCs w:val="18"/>
                <w:color w:val="131E29"/>
              </w:rPr>
              <w:t>Accrued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131E29"/>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131E29"/>
              </w:rPr>
              <w:t>24,513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131E29"/>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131E29"/>
              </w:rPr>
              <w:t>(3,543)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131E29"/>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131E29"/>
              </w:rPr>
              <w:t>20,970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D2DCE5"/>
            </w:tcBorders>
            <w:gridSpan w:val="2"/>
          </w:tcPr>
          <w:p>
            <w:pPr>
              <w:spacing w:after="0"/>
              <w:rPr>
                <w:sz w:val="2"/>
                <w:szCs w:val="2"/>
                <w:color w:val="auto"/>
              </w:rPr>
            </w:pPr>
          </w:p>
        </w:tc>
        <w:tc>
          <w:tcPr>
            <w:tcW w:w="13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D2DCE5"/>
            </w:tcBorders>
            <w:gridSpan w:val="4"/>
            <w:shd w:val="clear" w:color="auto" w:fill="D2DCE5"/>
          </w:tcPr>
          <w:p>
            <w:pPr>
              <w:ind w:left="360"/>
              <w:spacing w:after="0"/>
              <w:rPr>
                <w:sz w:val="20"/>
                <w:szCs w:val="20"/>
                <w:color w:val="auto"/>
              </w:rPr>
            </w:pPr>
            <w:r>
              <w:rPr>
                <w:rFonts w:ascii="Arial" w:cs="Arial" w:eastAsia="Arial" w:hAnsi="Arial"/>
                <w:sz w:val="18"/>
                <w:szCs w:val="18"/>
                <w:color w:val="131E29"/>
              </w:rPr>
              <w:t>Total current liabilities</w:t>
            </w:r>
          </w:p>
        </w:tc>
        <w:tc>
          <w:tcPr>
            <w:tcW w:w="240" w:type="dxa"/>
            <w:vAlign w:val="bottom"/>
            <w:tcBorders>
              <w:bottom w:val="single" w:sz="8" w:color="D2DCE5"/>
            </w:tcBorders>
            <w:shd w:val="clear" w:color="auto" w:fill="D2DCE5"/>
          </w:tcPr>
          <w:p>
            <w:pPr>
              <w:spacing w:after="0"/>
              <w:rPr>
                <w:sz w:val="22"/>
                <w:szCs w:val="22"/>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142,277</w:t>
            </w:r>
          </w:p>
        </w:tc>
        <w:tc>
          <w:tcPr>
            <w:tcW w:w="100" w:type="dxa"/>
            <w:vAlign w:val="bottom"/>
            <w:tcBorders>
              <w:bottom w:val="single" w:sz="8" w:color="D2DCE5"/>
            </w:tcBorders>
            <w:shd w:val="clear" w:color="auto" w:fill="D2DCE5"/>
          </w:tcPr>
          <w:p>
            <w:pPr>
              <w:spacing w:after="0"/>
              <w:rPr>
                <w:sz w:val="22"/>
                <w:szCs w:val="22"/>
                <w:color w:val="auto"/>
              </w:rPr>
            </w:pPr>
          </w:p>
        </w:tc>
        <w:tc>
          <w:tcPr>
            <w:tcW w:w="240" w:type="dxa"/>
            <w:vAlign w:val="bottom"/>
            <w:tcBorders>
              <w:bottom w:val="single" w:sz="8" w:color="D2DCE5"/>
            </w:tcBorders>
            <w:shd w:val="clear" w:color="auto" w:fill="D2DCE5"/>
          </w:tcPr>
          <w:p>
            <w:pPr>
              <w:spacing w:after="0"/>
              <w:rPr>
                <w:sz w:val="22"/>
                <w:szCs w:val="22"/>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(3,543)</w:t>
            </w:r>
          </w:p>
        </w:tc>
        <w:tc>
          <w:tcPr>
            <w:tcW w:w="100" w:type="dxa"/>
            <w:vAlign w:val="bottom"/>
            <w:tcBorders>
              <w:bottom w:val="single" w:sz="8" w:color="D2DCE5"/>
            </w:tcBorders>
            <w:shd w:val="clear" w:color="auto" w:fill="D2DCE5"/>
          </w:tcPr>
          <w:p>
            <w:pPr>
              <w:spacing w:after="0"/>
              <w:rPr>
                <w:sz w:val="22"/>
                <w:szCs w:val="22"/>
                <w:color w:val="auto"/>
              </w:rPr>
            </w:pPr>
          </w:p>
        </w:tc>
        <w:tc>
          <w:tcPr>
            <w:tcW w:w="220" w:type="dxa"/>
            <w:vAlign w:val="bottom"/>
            <w:tcBorders>
              <w:bottom w:val="single" w:sz="8" w:color="D2DCE5"/>
            </w:tcBorders>
            <w:shd w:val="clear" w:color="auto" w:fill="D2DCE5"/>
          </w:tcPr>
          <w:p>
            <w:pPr>
              <w:spacing w:after="0"/>
              <w:rPr>
                <w:sz w:val="22"/>
                <w:szCs w:val="22"/>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138,734</w:t>
            </w:r>
          </w:p>
        </w:tc>
        <w:tc>
          <w:tcPr>
            <w:tcW w:w="0" w:type="dxa"/>
            <w:vAlign w:val="bottom"/>
          </w:tcPr>
          <w:p>
            <w:pPr>
              <w:spacing w:after="0"/>
              <w:rPr>
                <w:sz w:val="1"/>
                <w:szCs w:val="1"/>
                <w:color w:val="auto"/>
              </w:rPr>
            </w:pPr>
          </w:p>
        </w:tc>
      </w:tr>
      <w:tr>
        <w:trPr>
          <w:trHeight w:val="237"/>
        </w:trPr>
        <w:tc>
          <w:tcPr>
            <w:tcW w:w="5620" w:type="dxa"/>
            <w:vAlign w:val="bottom"/>
            <w:gridSpan w:val="4"/>
          </w:tcPr>
          <w:p>
            <w:pPr>
              <w:ind w:left="360"/>
              <w:spacing w:after="0"/>
              <w:rPr>
                <w:sz w:val="20"/>
                <w:szCs w:val="20"/>
                <w:color w:val="auto"/>
              </w:rPr>
            </w:pPr>
            <w:r>
              <w:rPr>
                <w:rFonts w:ascii="Arial" w:cs="Arial" w:eastAsia="Arial" w:hAnsi="Arial"/>
                <w:sz w:val="18"/>
                <w:szCs w:val="18"/>
                <w:color w:val="131E29"/>
              </w:rPr>
              <w:t>Total liabilities</w:t>
            </w: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343,514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(3,543)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339,971</w:t>
            </w:r>
          </w:p>
        </w:tc>
        <w:tc>
          <w:tcPr>
            <w:tcW w:w="0" w:type="dxa"/>
            <w:vAlign w:val="bottom"/>
          </w:tcPr>
          <w:p>
            <w:pPr>
              <w:spacing w:after="0"/>
              <w:rPr>
                <w:sz w:val="1"/>
                <w:szCs w:val="1"/>
                <w:color w:val="auto"/>
              </w:rPr>
            </w:pPr>
          </w:p>
        </w:tc>
      </w:tr>
      <w:tr>
        <w:trPr>
          <w:trHeight w:val="27"/>
        </w:trPr>
        <w:tc>
          <w:tcPr>
            <w:tcW w:w="416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60" w:type="dxa"/>
            <w:vAlign w:val="bottom"/>
            <w:gridSpan w:val="2"/>
            <w:shd w:val="clear" w:color="auto" w:fill="D2DCE5"/>
          </w:tcPr>
          <w:p>
            <w:pPr>
              <w:spacing w:after="0"/>
              <w:rPr>
                <w:sz w:val="22"/>
                <w:szCs w:val="22"/>
                <w:color w:val="auto"/>
              </w:rPr>
            </w:pPr>
          </w:p>
        </w:tc>
        <w:tc>
          <w:tcPr>
            <w:tcW w:w="136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40" w:type="dxa"/>
            <w:vAlign w:val="bottom"/>
            <w:shd w:val="clear" w:color="auto" w:fill="D2DCE5"/>
          </w:tcPr>
          <w:p>
            <w:pPr>
              <w:spacing w:after="0"/>
              <w:rPr>
                <w:sz w:val="22"/>
                <w:szCs w:val="22"/>
                <w:color w:val="auto"/>
              </w:rPr>
            </w:pPr>
          </w:p>
        </w:tc>
        <w:tc>
          <w:tcPr>
            <w:tcW w:w="156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40" w:type="dxa"/>
            <w:vAlign w:val="bottom"/>
            <w:shd w:val="clear" w:color="auto" w:fill="D2DCE5"/>
          </w:tcPr>
          <w:p>
            <w:pPr>
              <w:spacing w:after="0"/>
              <w:rPr>
                <w:sz w:val="22"/>
                <w:szCs w:val="22"/>
                <w:color w:val="auto"/>
              </w:rPr>
            </w:pPr>
          </w:p>
        </w:tc>
        <w:tc>
          <w:tcPr>
            <w:tcW w:w="158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20" w:type="dxa"/>
            <w:vAlign w:val="bottom"/>
            <w:shd w:val="clear" w:color="auto" w:fill="D2DCE5"/>
          </w:tcPr>
          <w:p>
            <w:pPr>
              <w:spacing w:after="0"/>
              <w:rPr>
                <w:sz w:val="22"/>
                <w:szCs w:val="22"/>
                <w:color w:val="auto"/>
              </w:rPr>
            </w:pPr>
          </w:p>
        </w:tc>
        <w:tc>
          <w:tcPr>
            <w:tcW w:w="1580" w:type="dxa"/>
            <w:vAlign w:val="bottom"/>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gridSpan w:val="4"/>
          </w:tcPr>
          <w:p>
            <w:pPr>
              <w:ind w:left="20"/>
              <w:spacing w:after="0"/>
              <w:rPr>
                <w:sz w:val="20"/>
                <w:szCs w:val="20"/>
                <w:color w:val="auto"/>
              </w:rPr>
            </w:pPr>
            <w:r>
              <w:rPr>
                <w:rFonts w:ascii="Arial" w:cs="Arial" w:eastAsia="Arial" w:hAnsi="Arial"/>
                <w:sz w:val="18"/>
                <w:szCs w:val="18"/>
                <w:color w:val="131E29"/>
              </w:rPr>
              <w:t>Stockholders’ equity:</w:t>
            </w: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D2DCE5"/>
            </w:tcBorders>
            <w:gridSpan w:val="4"/>
            <w:shd w:val="clear" w:color="auto" w:fill="D2DCE5"/>
          </w:tcPr>
          <w:p>
            <w:pPr>
              <w:ind w:left="180"/>
              <w:spacing w:after="0"/>
              <w:rPr>
                <w:sz w:val="20"/>
                <w:szCs w:val="20"/>
                <w:color w:val="auto"/>
              </w:rPr>
            </w:pPr>
            <w:r>
              <w:rPr>
                <w:rFonts w:ascii="Arial" w:cs="Arial" w:eastAsia="Arial" w:hAnsi="Arial"/>
                <w:sz w:val="18"/>
                <w:szCs w:val="18"/>
                <w:color w:val="131E29"/>
              </w:rPr>
              <w:t>Additional paid in capital</w:t>
            </w:r>
          </w:p>
        </w:tc>
        <w:tc>
          <w:tcPr>
            <w:tcW w:w="24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106,410</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783</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107,193</w:t>
            </w:r>
          </w:p>
        </w:tc>
        <w:tc>
          <w:tcPr>
            <w:tcW w:w="0" w:type="dxa"/>
            <w:vAlign w:val="bottom"/>
          </w:tcPr>
          <w:p>
            <w:pPr>
              <w:spacing w:after="0"/>
              <w:rPr>
                <w:sz w:val="1"/>
                <w:szCs w:val="1"/>
                <w:color w:val="auto"/>
              </w:rPr>
            </w:pPr>
          </w:p>
        </w:tc>
      </w:tr>
      <w:tr>
        <w:trPr>
          <w:trHeight w:val="243"/>
        </w:trPr>
        <w:tc>
          <w:tcPr>
            <w:tcW w:w="5620" w:type="dxa"/>
            <w:vAlign w:val="bottom"/>
            <w:gridSpan w:val="4"/>
          </w:tcPr>
          <w:p>
            <w:pPr>
              <w:ind w:left="180"/>
              <w:spacing w:after="0"/>
              <w:rPr>
                <w:sz w:val="20"/>
                <w:szCs w:val="20"/>
                <w:color w:val="auto"/>
              </w:rPr>
            </w:pPr>
            <w:r>
              <w:rPr>
                <w:rFonts w:ascii="Arial" w:cs="Arial" w:eastAsia="Arial" w:hAnsi="Arial"/>
                <w:sz w:val="18"/>
                <w:szCs w:val="18"/>
                <w:color w:val="131E29"/>
              </w:rPr>
              <w:t>Accumulated deficit</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(12,914)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235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(12,679)</w:t>
            </w:r>
          </w:p>
        </w:tc>
        <w:tc>
          <w:tcPr>
            <w:tcW w:w="0" w:type="dxa"/>
            <w:vAlign w:val="bottom"/>
          </w:tcPr>
          <w:p>
            <w:pPr>
              <w:spacing w:after="0"/>
              <w:rPr>
                <w:sz w:val="1"/>
                <w:szCs w:val="1"/>
                <w:color w:val="auto"/>
              </w:rPr>
            </w:pPr>
          </w:p>
        </w:tc>
      </w:tr>
      <w:tr>
        <w:trPr>
          <w:trHeight w:val="27"/>
        </w:trPr>
        <w:tc>
          <w:tcPr>
            <w:tcW w:w="4160" w:type="dxa"/>
            <w:vAlign w:val="bottom"/>
            <w:tcBorders>
              <w:bottom w:val="single" w:sz="8" w:color="D2DCE5"/>
            </w:tcBorders>
            <w:gridSpan w:val="2"/>
          </w:tcPr>
          <w:p>
            <w:pPr>
              <w:spacing w:after="0"/>
              <w:rPr>
                <w:sz w:val="2"/>
                <w:szCs w:val="2"/>
                <w:color w:val="auto"/>
              </w:rPr>
            </w:pPr>
          </w:p>
        </w:tc>
        <w:tc>
          <w:tcPr>
            <w:tcW w:w="13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620" w:type="dxa"/>
            <w:vAlign w:val="bottom"/>
            <w:gridSpan w:val="4"/>
            <w:shd w:val="clear" w:color="auto" w:fill="D2DCE5"/>
          </w:tcPr>
          <w:p>
            <w:pPr>
              <w:ind w:left="360"/>
              <w:spacing w:after="0"/>
              <w:rPr>
                <w:sz w:val="20"/>
                <w:szCs w:val="20"/>
                <w:color w:val="auto"/>
              </w:rPr>
            </w:pPr>
            <w:r>
              <w:rPr>
                <w:rFonts w:ascii="Arial" w:cs="Arial" w:eastAsia="Arial" w:hAnsi="Arial"/>
                <w:sz w:val="18"/>
                <w:szCs w:val="18"/>
                <w:color w:val="131E29"/>
              </w:rPr>
              <w:t>Total stockholders’ equity attributable to Dutch Bros Inc. /</w:t>
            </w:r>
          </w:p>
        </w:tc>
        <w:tc>
          <w:tcPr>
            <w:tcW w:w="240" w:type="dxa"/>
            <w:vAlign w:val="bottom"/>
            <w:shd w:val="clear" w:color="auto" w:fill="D2DCE5"/>
          </w:tcPr>
          <w:p>
            <w:pPr>
              <w:spacing w:after="0"/>
              <w:rPr>
                <w:sz w:val="19"/>
                <w:szCs w:val="19"/>
                <w:color w:val="auto"/>
              </w:rPr>
            </w:pPr>
          </w:p>
        </w:tc>
        <w:tc>
          <w:tcPr>
            <w:tcW w:w="15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15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158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20" w:type="dxa"/>
            <w:vAlign w:val="bottom"/>
            <w:tcBorders>
              <w:bottom w:val="single" w:sz="8" w:color="D2DCE5"/>
            </w:tcBorders>
            <w:gridSpan w:val="4"/>
            <w:shd w:val="clear" w:color="auto" w:fill="D2DCE5"/>
          </w:tcPr>
          <w:p>
            <w:pPr>
              <w:ind w:left="360"/>
              <w:spacing w:after="0"/>
              <w:rPr>
                <w:sz w:val="20"/>
                <w:szCs w:val="20"/>
                <w:color w:val="auto"/>
              </w:rPr>
            </w:pPr>
            <w:r>
              <w:rPr>
                <w:rFonts w:ascii="Arial" w:cs="Arial" w:eastAsia="Arial" w:hAnsi="Arial"/>
                <w:sz w:val="18"/>
                <w:szCs w:val="18"/>
                <w:color w:val="131E29"/>
              </w:rPr>
              <w:t>members’ equity</w:t>
            </w:r>
          </w:p>
        </w:tc>
        <w:tc>
          <w:tcPr>
            <w:tcW w:w="240" w:type="dxa"/>
            <w:vAlign w:val="bottom"/>
            <w:tcBorders>
              <w:bottom w:val="single" w:sz="8" w:color="D2DCE5"/>
            </w:tcBorders>
            <w:shd w:val="clear" w:color="auto" w:fill="D2DCE5"/>
          </w:tcPr>
          <w:p>
            <w:pPr>
              <w:spacing w:after="0"/>
              <w:rPr>
                <w:sz w:val="19"/>
                <w:szCs w:val="19"/>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93,498</w:t>
            </w:r>
          </w:p>
        </w:tc>
        <w:tc>
          <w:tcPr>
            <w:tcW w:w="100" w:type="dxa"/>
            <w:vAlign w:val="bottom"/>
            <w:tcBorders>
              <w:bottom w:val="single" w:sz="8" w:color="D2DCE5"/>
            </w:tcBorders>
            <w:shd w:val="clear" w:color="auto" w:fill="D2DCE5"/>
          </w:tcPr>
          <w:p>
            <w:pPr>
              <w:spacing w:after="0"/>
              <w:rPr>
                <w:sz w:val="19"/>
                <w:szCs w:val="19"/>
                <w:color w:val="auto"/>
              </w:rPr>
            </w:pPr>
          </w:p>
        </w:tc>
        <w:tc>
          <w:tcPr>
            <w:tcW w:w="240" w:type="dxa"/>
            <w:vAlign w:val="bottom"/>
            <w:tcBorders>
              <w:bottom w:val="single" w:sz="8" w:color="D2DCE5"/>
            </w:tcBorders>
            <w:shd w:val="clear" w:color="auto" w:fill="D2DCE5"/>
          </w:tcPr>
          <w:p>
            <w:pPr>
              <w:spacing w:after="0"/>
              <w:rPr>
                <w:sz w:val="19"/>
                <w:szCs w:val="19"/>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1,018</w:t>
            </w:r>
          </w:p>
        </w:tc>
        <w:tc>
          <w:tcPr>
            <w:tcW w:w="100" w:type="dxa"/>
            <w:vAlign w:val="bottom"/>
            <w:tcBorders>
              <w:bottom w:val="single" w:sz="8" w:color="D2DCE5"/>
            </w:tcBorders>
            <w:shd w:val="clear" w:color="auto" w:fill="D2DCE5"/>
          </w:tcPr>
          <w:p>
            <w:pPr>
              <w:spacing w:after="0"/>
              <w:rPr>
                <w:sz w:val="19"/>
                <w:szCs w:val="19"/>
                <w:color w:val="auto"/>
              </w:rPr>
            </w:pPr>
          </w:p>
        </w:tc>
        <w:tc>
          <w:tcPr>
            <w:tcW w:w="220" w:type="dxa"/>
            <w:vAlign w:val="bottom"/>
            <w:tcBorders>
              <w:bottom w:val="single" w:sz="8" w:color="D2DCE5"/>
            </w:tcBorders>
            <w:shd w:val="clear" w:color="auto" w:fill="D2DCE5"/>
          </w:tcPr>
          <w:p>
            <w:pPr>
              <w:spacing w:after="0"/>
              <w:rPr>
                <w:sz w:val="19"/>
                <w:szCs w:val="19"/>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94,516</w:t>
            </w:r>
          </w:p>
        </w:tc>
        <w:tc>
          <w:tcPr>
            <w:tcW w:w="0" w:type="dxa"/>
            <w:vAlign w:val="bottom"/>
          </w:tcPr>
          <w:p>
            <w:pPr>
              <w:spacing w:after="0"/>
              <w:rPr>
                <w:sz w:val="1"/>
                <w:szCs w:val="1"/>
                <w:color w:val="auto"/>
              </w:rPr>
            </w:pPr>
          </w:p>
        </w:tc>
      </w:tr>
      <w:tr>
        <w:trPr>
          <w:trHeight w:val="243"/>
        </w:trPr>
        <w:tc>
          <w:tcPr>
            <w:tcW w:w="5620" w:type="dxa"/>
            <w:vAlign w:val="bottom"/>
            <w:gridSpan w:val="4"/>
          </w:tcPr>
          <w:p>
            <w:pPr>
              <w:ind w:left="20"/>
              <w:spacing w:after="0"/>
              <w:rPr>
                <w:sz w:val="20"/>
                <w:szCs w:val="20"/>
                <w:color w:val="auto"/>
              </w:rPr>
            </w:pPr>
            <w:r>
              <w:rPr>
                <w:rFonts w:ascii="Arial" w:cs="Arial" w:eastAsia="Arial" w:hAnsi="Arial"/>
                <w:sz w:val="18"/>
                <w:szCs w:val="18"/>
                <w:color w:val="131E29"/>
              </w:rPr>
              <w:t>Non-controlling interests</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116,688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2,525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119,213</w:t>
            </w:r>
          </w:p>
        </w:tc>
        <w:tc>
          <w:tcPr>
            <w:tcW w:w="0" w:type="dxa"/>
            <w:vAlign w:val="bottom"/>
          </w:tcPr>
          <w:p>
            <w:pPr>
              <w:spacing w:after="0"/>
              <w:rPr>
                <w:sz w:val="1"/>
                <w:szCs w:val="1"/>
                <w:color w:val="auto"/>
              </w:rPr>
            </w:pPr>
          </w:p>
        </w:tc>
      </w:tr>
      <w:tr>
        <w:trPr>
          <w:trHeight w:val="27"/>
        </w:trPr>
        <w:tc>
          <w:tcPr>
            <w:tcW w:w="4160" w:type="dxa"/>
            <w:vAlign w:val="bottom"/>
            <w:tcBorders>
              <w:bottom w:val="single" w:sz="8" w:color="D2DCE5"/>
            </w:tcBorders>
            <w:gridSpan w:val="2"/>
          </w:tcPr>
          <w:p>
            <w:pPr>
              <w:spacing w:after="0"/>
              <w:rPr>
                <w:sz w:val="2"/>
                <w:szCs w:val="2"/>
                <w:color w:val="auto"/>
              </w:rPr>
            </w:pPr>
          </w:p>
        </w:tc>
        <w:tc>
          <w:tcPr>
            <w:tcW w:w="13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20" w:type="dxa"/>
            <w:vAlign w:val="bottom"/>
            <w:tcBorders>
              <w:bottom w:val="single" w:sz="8" w:color="D2DCE5"/>
            </w:tcBorders>
            <w:gridSpan w:val="4"/>
            <w:shd w:val="clear" w:color="auto" w:fill="D2DCE5"/>
          </w:tcPr>
          <w:p>
            <w:pPr>
              <w:ind w:left="180"/>
              <w:spacing w:after="0"/>
              <w:rPr>
                <w:sz w:val="20"/>
                <w:szCs w:val="20"/>
                <w:color w:val="auto"/>
              </w:rPr>
            </w:pPr>
            <w:r>
              <w:rPr>
                <w:rFonts w:ascii="Arial" w:cs="Arial" w:eastAsia="Arial" w:hAnsi="Arial"/>
                <w:sz w:val="18"/>
                <w:szCs w:val="18"/>
                <w:color w:val="131E29"/>
              </w:rPr>
              <w:t>Total equity</w:t>
            </w:r>
          </w:p>
        </w:tc>
        <w:tc>
          <w:tcPr>
            <w:tcW w:w="240" w:type="dxa"/>
            <w:vAlign w:val="bottom"/>
            <w:tcBorders>
              <w:bottom w:val="single" w:sz="8" w:color="auto"/>
            </w:tcBorders>
            <w:shd w:val="clear" w:color="auto" w:fill="D2DCE5"/>
          </w:tcPr>
          <w:p>
            <w:pPr>
              <w:jc w:val="right"/>
              <w:ind w:right="50"/>
              <w:spacing w:after="0"/>
              <w:rPr>
                <w:sz w:val="20"/>
                <w:szCs w:val="20"/>
                <w:color w:val="auto"/>
              </w:rPr>
            </w:pPr>
            <w:r>
              <w:rPr>
                <w:rFonts w:ascii="Arial" w:cs="Arial" w:eastAsia="Arial" w:hAnsi="Arial"/>
                <w:sz w:val="18"/>
                <w:szCs w:val="18"/>
                <w:color w:val="131E29"/>
                <w:w w:val="79"/>
              </w:rPr>
              <w:t>$</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210,186</w:t>
            </w:r>
          </w:p>
        </w:tc>
        <w:tc>
          <w:tcPr>
            <w:tcW w:w="100" w:type="dxa"/>
            <w:vAlign w:val="bottom"/>
            <w:tcBorders>
              <w:bottom w:val="single" w:sz="8" w:color="D2DCE5"/>
            </w:tcBorders>
            <w:shd w:val="clear" w:color="auto" w:fill="D2DCE5"/>
          </w:tcPr>
          <w:p>
            <w:pPr>
              <w:spacing w:after="0"/>
              <w:rPr>
                <w:sz w:val="24"/>
                <w:szCs w:val="24"/>
                <w:color w:val="auto"/>
              </w:rPr>
            </w:pPr>
          </w:p>
        </w:tc>
        <w:tc>
          <w:tcPr>
            <w:tcW w:w="24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1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3,543</w:t>
            </w:r>
          </w:p>
        </w:tc>
        <w:tc>
          <w:tcPr>
            <w:tcW w:w="100" w:type="dxa"/>
            <w:vAlign w:val="bottom"/>
            <w:tcBorders>
              <w:bottom w:val="single" w:sz="8" w:color="D2DCE5"/>
            </w:tcBorders>
            <w:shd w:val="clear" w:color="auto" w:fill="D2DCE5"/>
          </w:tcPr>
          <w:p>
            <w:pPr>
              <w:spacing w:after="0"/>
              <w:rPr>
                <w:sz w:val="24"/>
                <w:szCs w:val="24"/>
                <w:color w:val="auto"/>
              </w:rPr>
            </w:pPr>
          </w:p>
        </w:tc>
        <w:tc>
          <w:tcPr>
            <w:tcW w:w="22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color w:val="131E29"/>
                <w:w w:val="79"/>
              </w:rPr>
              <w:t>$</w:t>
            </w:r>
          </w:p>
        </w:tc>
        <w:tc>
          <w:tcPr>
            <w:tcW w:w="1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213,729</w:t>
            </w:r>
          </w:p>
        </w:tc>
        <w:tc>
          <w:tcPr>
            <w:tcW w:w="0" w:type="dxa"/>
            <w:vAlign w:val="bottom"/>
          </w:tcPr>
          <w:p>
            <w:pPr>
              <w:spacing w:after="0"/>
              <w:rPr>
                <w:sz w:val="1"/>
                <w:szCs w:val="1"/>
                <w:color w:val="auto"/>
              </w:rPr>
            </w:pPr>
          </w:p>
        </w:tc>
      </w:tr>
      <w:tr>
        <w:trPr>
          <w:trHeight w:val="20"/>
        </w:trPr>
        <w:tc>
          <w:tcPr>
            <w:tcW w:w="5620" w:type="dxa"/>
            <w:vAlign w:val="bottom"/>
            <w:tcBorders>
              <w:top w:val="single" w:sz="8" w:color="D2DCE5"/>
              <w:bottom w:val="single" w:sz="8" w:color="D2DCE5"/>
            </w:tcBorders>
            <w:gridSpan w:val="4"/>
            <w:vMerge w:val="restart"/>
          </w:tcPr>
          <w:p>
            <w:pPr>
              <w:spacing w:after="0"/>
              <w:rPr>
                <w:sz w:val="20"/>
                <w:szCs w:val="20"/>
                <w:color w:val="auto"/>
              </w:rPr>
            </w:pPr>
            <w:r>
              <w:rPr>
                <w:rFonts w:ascii="Arial" w:cs="Arial" w:eastAsia="Arial" w:hAnsi="Arial"/>
                <w:sz w:val="18"/>
                <w:szCs w:val="18"/>
                <w:color w:val="006098"/>
              </w:rPr>
              <w:t>Condensed Consolidated Statements of Operations:</w:t>
            </w: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15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D2DCE5"/>
              <w:bottom w:val="single" w:sz="8" w:color="auto"/>
            </w:tcBorders>
          </w:tcPr>
          <w:p>
            <w:pPr>
              <w:spacing w:after="0" w:line="20" w:lineRule="exact"/>
              <w:rPr>
                <w:sz w:val="1"/>
                <w:szCs w:val="1"/>
                <w:color w:val="auto"/>
              </w:rPr>
            </w:pPr>
          </w:p>
        </w:tc>
        <w:tc>
          <w:tcPr>
            <w:tcW w:w="158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62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300" w:type="dxa"/>
            <w:vAlign w:val="bottom"/>
            <w:tcBorders>
              <w:top w:val="single" w:sz="8" w:color="006098"/>
            </w:tcBorders>
          </w:tcPr>
          <w:p>
            <w:pPr>
              <w:spacing w:after="0"/>
              <w:rPr>
                <w:sz w:val="24"/>
                <w:szCs w:val="24"/>
                <w:color w:val="auto"/>
              </w:rPr>
            </w:pPr>
          </w:p>
        </w:tc>
        <w:tc>
          <w:tcPr>
            <w:tcW w:w="860" w:type="dxa"/>
            <w:vAlign w:val="bottom"/>
            <w:tcBorders>
              <w:top w:val="single" w:sz="8" w:color="006098"/>
            </w:tcBorders>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gridSpan w:val="7"/>
          </w:tcPr>
          <w:p>
            <w:pPr>
              <w:jc w:val="center"/>
              <w:ind w:right="150"/>
              <w:spacing w:after="0"/>
              <w:rPr>
                <w:sz w:val="20"/>
                <w:szCs w:val="20"/>
                <w:color w:val="auto"/>
              </w:rPr>
            </w:pPr>
            <w:r>
              <w:rPr>
                <w:rFonts w:ascii="Arial" w:cs="Arial" w:eastAsia="Arial" w:hAnsi="Arial"/>
                <w:sz w:val="18"/>
                <w:szCs w:val="18"/>
                <w:b w:val="1"/>
                <w:bCs w:val="1"/>
                <w:color w:val="131E29"/>
                <w:w w:val="99"/>
              </w:rPr>
              <w:t>Three Months Ended September 30, 2021</w:t>
            </w:r>
          </w:p>
        </w:tc>
        <w:tc>
          <w:tcPr>
            <w:tcW w:w="0" w:type="dxa"/>
            <w:vAlign w:val="bottom"/>
          </w:tcPr>
          <w:p>
            <w:pPr>
              <w:spacing w:after="0"/>
              <w:rPr>
                <w:sz w:val="1"/>
                <w:szCs w:val="1"/>
                <w:color w:val="auto"/>
              </w:rPr>
            </w:pPr>
          </w:p>
        </w:tc>
      </w:tr>
      <w:tr>
        <w:trPr>
          <w:trHeight w:val="27"/>
        </w:trPr>
        <w:tc>
          <w:tcPr>
            <w:tcW w:w="5620" w:type="dxa"/>
            <w:vAlign w:val="bottom"/>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620" w:type="dxa"/>
            <w:vAlign w:val="bottom"/>
            <w:gridSpan w:val="4"/>
          </w:tcPr>
          <w:p>
            <w:pPr>
              <w:ind w:left="20"/>
              <w:spacing w:after="0"/>
              <w:rPr>
                <w:sz w:val="20"/>
                <w:szCs w:val="20"/>
                <w:color w:val="auto"/>
              </w:rPr>
            </w:pPr>
            <w:r>
              <w:rPr>
                <w:rFonts w:ascii="Arial" w:cs="Arial" w:eastAsia="Arial" w:hAnsi="Arial"/>
                <w:sz w:val="14"/>
                <w:szCs w:val="14"/>
                <w:color w:val="131E29"/>
              </w:rPr>
              <w:t>(in thousands)</w:t>
            </w: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131E29"/>
              </w:rPr>
              <w:t>As Reported</w:t>
            </w:r>
          </w:p>
        </w:tc>
        <w:tc>
          <w:tcPr>
            <w:tcW w:w="24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131E29"/>
              </w:rPr>
              <w:t>Adjustments</w:t>
            </w:r>
          </w:p>
        </w:tc>
        <w:tc>
          <w:tcPr>
            <w:tcW w:w="220" w:type="dxa"/>
            <w:vAlign w:val="bottom"/>
          </w:tcPr>
          <w:p>
            <w:pPr>
              <w:spacing w:after="0"/>
              <w:rPr>
                <w:sz w:val="20"/>
                <w:szCs w:val="20"/>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b w:val="1"/>
                <w:bCs w:val="1"/>
                <w:color w:val="131E29"/>
              </w:rPr>
              <w:t>As Corrected</w:t>
            </w:r>
          </w:p>
        </w:tc>
        <w:tc>
          <w:tcPr>
            <w:tcW w:w="0" w:type="dxa"/>
            <w:vAlign w:val="bottom"/>
          </w:tcPr>
          <w:p>
            <w:pPr>
              <w:spacing w:after="0"/>
              <w:rPr>
                <w:sz w:val="1"/>
                <w:szCs w:val="1"/>
                <w:color w:val="auto"/>
              </w:rPr>
            </w:pPr>
          </w:p>
        </w:tc>
      </w:tr>
      <w:tr>
        <w:trPr>
          <w:trHeight w:val="25"/>
        </w:trPr>
        <w:tc>
          <w:tcPr>
            <w:tcW w:w="55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D2DCE5"/>
            </w:tcBorders>
            <w:gridSpan w:val="4"/>
            <w:shd w:val="clear" w:color="auto" w:fill="D2DCE5"/>
          </w:tcPr>
          <w:p>
            <w:pPr>
              <w:ind w:left="20"/>
              <w:spacing w:after="0"/>
              <w:rPr>
                <w:sz w:val="20"/>
                <w:szCs w:val="20"/>
                <w:color w:val="auto"/>
              </w:rPr>
            </w:pPr>
            <w:r>
              <w:rPr>
                <w:rFonts w:ascii="Arial" w:cs="Arial" w:eastAsia="Arial" w:hAnsi="Arial"/>
                <w:sz w:val="18"/>
                <w:szCs w:val="18"/>
                <w:color w:val="131E29"/>
              </w:rPr>
              <w:t>Costs and expenses</w:t>
            </w:r>
          </w:p>
        </w:tc>
        <w:tc>
          <w:tcPr>
            <w:tcW w:w="24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4"/>
          </w:tcPr>
          <w:p>
            <w:pPr>
              <w:ind w:left="180"/>
              <w:spacing w:after="0"/>
              <w:rPr>
                <w:sz w:val="20"/>
                <w:szCs w:val="20"/>
                <w:color w:val="auto"/>
              </w:rPr>
            </w:pPr>
            <w:r>
              <w:rPr>
                <w:rFonts w:ascii="Arial" w:cs="Arial" w:eastAsia="Arial" w:hAnsi="Arial"/>
                <w:sz w:val="18"/>
                <w:szCs w:val="18"/>
                <w:color w:val="131E29"/>
              </w:rPr>
              <w:t>Cost of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131E29"/>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131E29"/>
              </w:rPr>
              <w:t>91,060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131E29"/>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131E29"/>
              </w:rPr>
              <w:t>(281)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131E29"/>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131E29"/>
              </w:rPr>
              <w:t>90,779</w:t>
            </w:r>
          </w:p>
        </w:tc>
        <w:tc>
          <w:tcPr>
            <w:tcW w:w="0" w:type="dxa"/>
            <w:vAlign w:val="bottom"/>
          </w:tcPr>
          <w:p>
            <w:pPr>
              <w:spacing w:after="0"/>
              <w:rPr>
                <w:sz w:val="1"/>
                <w:szCs w:val="1"/>
                <w:color w:val="auto"/>
              </w:rPr>
            </w:pPr>
          </w:p>
        </w:tc>
      </w:tr>
      <w:tr>
        <w:trPr>
          <w:trHeight w:val="27"/>
        </w:trPr>
        <w:tc>
          <w:tcPr>
            <w:tcW w:w="562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D2DCE5"/>
            </w:tcBorders>
            <w:gridSpan w:val="4"/>
            <w:shd w:val="clear" w:color="auto" w:fill="D2DCE5"/>
          </w:tcPr>
          <w:p>
            <w:pPr>
              <w:ind w:left="180"/>
              <w:spacing w:after="0"/>
              <w:rPr>
                <w:sz w:val="20"/>
                <w:szCs w:val="20"/>
                <w:color w:val="auto"/>
              </w:rPr>
            </w:pPr>
            <w:r>
              <w:rPr>
                <w:rFonts w:ascii="Arial" w:cs="Arial" w:eastAsia="Arial" w:hAnsi="Arial"/>
                <w:sz w:val="18"/>
                <w:szCs w:val="18"/>
                <w:color w:val="131E29"/>
              </w:rPr>
              <w:t>Selling, general and administrative</w:t>
            </w:r>
          </w:p>
        </w:tc>
        <w:tc>
          <w:tcPr>
            <w:tcW w:w="240" w:type="dxa"/>
            <w:vAlign w:val="bottom"/>
            <w:tcBorders>
              <w:bottom w:val="single" w:sz="8" w:color="D2DCE5"/>
            </w:tcBorders>
            <w:shd w:val="clear" w:color="auto" w:fill="D2DCE5"/>
          </w:tcPr>
          <w:p>
            <w:pPr>
              <w:spacing w:after="0"/>
              <w:rPr>
                <w:sz w:val="23"/>
                <w:szCs w:val="23"/>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153,727</w:t>
            </w:r>
          </w:p>
        </w:tc>
        <w:tc>
          <w:tcPr>
            <w:tcW w:w="100" w:type="dxa"/>
            <w:vAlign w:val="bottom"/>
            <w:tcBorders>
              <w:bottom w:val="single" w:sz="8" w:color="D2DCE5"/>
            </w:tcBorders>
            <w:shd w:val="clear" w:color="auto" w:fill="D2DCE5"/>
          </w:tcPr>
          <w:p>
            <w:pPr>
              <w:spacing w:after="0"/>
              <w:rPr>
                <w:sz w:val="23"/>
                <w:szCs w:val="23"/>
                <w:color w:val="auto"/>
              </w:rPr>
            </w:pPr>
          </w:p>
        </w:tc>
        <w:tc>
          <w:tcPr>
            <w:tcW w:w="240" w:type="dxa"/>
            <w:vAlign w:val="bottom"/>
            <w:tcBorders>
              <w:bottom w:val="single" w:sz="8" w:color="D2DCE5"/>
            </w:tcBorders>
            <w:shd w:val="clear" w:color="auto" w:fill="D2DCE5"/>
          </w:tcPr>
          <w:p>
            <w:pPr>
              <w:spacing w:after="0"/>
              <w:rPr>
                <w:sz w:val="23"/>
                <w:szCs w:val="23"/>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(27)</w:t>
            </w:r>
          </w:p>
        </w:tc>
        <w:tc>
          <w:tcPr>
            <w:tcW w:w="100" w:type="dxa"/>
            <w:vAlign w:val="bottom"/>
            <w:tcBorders>
              <w:bottom w:val="single" w:sz="8" w:color="D2DCE5"/>
            </w:tcBorders>
            <w:shd w:val="clear" w:color="auto" w:fill="D2DCE5"/>
          </w:tcPr>
          <w:p>
            <w:pPr>
              <w:spacing w:after="0"/>
              <w:rPr>
                <w:sz w:val="23"/>
                <w:szCs w:val="23"/>
                <w:color w:val="auto"/>
              </w:rPr>
            </w:pPr>
          </w:p>
        </w:tc>
        <w:tc>
          <w:tcPr>
            <w:tcW w:w="220" w:type="dxa"/>
            <w:vAlign w:val="bottom"/>
            <w:tcBorders>
              <w:bottom w:val="single" w:sz="8" w:color="D2DCE5"/>
            </w:tcBorders>
            <w:shd w:val="clear" w:color="auto" w:fill="D2DCE5"/>
          </w:tcPr>
          <w:p>
            <w:pPr>
              <w:spacing w:after="0"/>
              <w:rPr>
                <w:sz w:val="23"/>
                <w:szCs w:val="23"/>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153,700</w:t>
            </w:r>
          </w:p>
        </w:tc>
        <w:tc>
          <w:tcPr>
            <w:tcW w:w="0" w:type="dxa"/>
            <w:vAlign w:val="bottom"/>
          </w:tcPr>
          <w:p>
            <w:pPr>
              <w:spacing w:after="0"/>
              <w:rPr>
                <w:sz w:val="1"/>
                <w:szCs w:val="1"/>
                <w:color w:val="auto"/>
              </w:rPr>
            </w:pPr>
          </w:p>
        </w:tc>
      </w:tr>
      <w:tr>
        <w:trPr>
          <w:trHeight w:val="237"/>
        </w:trPr>
        <w:tc>
          <w:tcPr>
            <w:tcW w:w="5620" w:type="dxa"/>
            <w:vAlign w:val="bottom"/>
            <w:gridSpan w:val="4"/>
          </w:tcPr>
          <w:p>
            <w:pPr>
              <w:ind w:left="360"/>
              <w:spacing w:after="0"/>
              <w:rPr>
                <w:sz w:val="20"/>
                <w:szCs w:val="20"/>
                <w:color w:val="auto"/>
              </w:rPr>
            </w:pPr>
            <w:r>
              <w:rPr>
                <w:rFonts w:ascii="Arial" w:cs="Arial" w:eastAsia="Arial" w:hAnsi="Arial"/>
                <w:sz w:val="18"/>
                <w:szCs w:val="18"/>
                <w:color w:val="131E29"/>
              </w:rPr>
              <w:t>Total costs and expenses</w:t>
            </w: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244,787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244,479</w:t>
            </w:r>
          </w:p>
        </w:tc>
        <w:tc>
          <w:tcPr>
            <w:tcW w:w="0" w:type="dxa"/>
            <w:vAlign w:val="bottom"/>
          </w:tcPr>
          <w:p>
            <w:pPr>
              <w:spacing w:after="0"/>
              <w:rPr>
                <w:sz w:val="1"/>
                <w:szCs w:val="1"/>
                <w:color w:val="auto"/>
              </w:rPr>
            </w:pPr>
          </w:p>
        </w:tc>
      </w:tr>
      <w:tr>
        <w:trPr>
          <w:trHeight w:val="27"/>
        </w:trPr>
        <w:tc>
          <w:tcPr>
            <w:tcW w:w="562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D2DCE5"/>
            </w:tcBorders>
            <w:gridSpan w:val="4"/>
            <w:shd w:val="clear" w:color="auto" w:fill="D2DCE5"/>
          </w:tcPr>
          <w:p>
            <w:pPr>
              <w:ind w:left="20"/>
              <w:spacing w:after="0"/>
              <w:rPr>
                <w:sz w:val="20"/>
                <w:szCs w:val="20"/>
                <w:color w:val="auto"/>
              </w:rPr>
            </w:pPr>
            <w:r>
              <w:rPr>
                <w:rFonts w:ascii="Arial" w:cs="Arial" w:eastAsia="Arial" w:hAnsi="Arial"/>
                <w:sz w:val="18"/>
                <w:szCs w:val="18"/>
                <w:color w:val="131E29"/>
              </w:rPr>
              <w:t>Loss from operations</w:t>
            </w:r>
          </w:p>
        </w:tc>
        <w:tc>
          <w:tcPr>
            <w:tcW w:w="24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(114,984)</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308</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(114,676)</w:t>
            </w:r>
          </w:p>
        </w:tc>
        <w:tc>
          <w:tcPr>
            <w:tcW w:w="0" w:type="dxa"/>
            <w:vAlign w:val="bottom"/>
          </w:tcPr>
          <w:p>
            <w:pPr>
              <w:spacing w:after="0"/>
              <w:rPr>
                <w:sz w:val="1"/>
                <w:szCs w:val="1"/>
                <w:color w:val="auto"/>
              </w:rPr>
            </w:pPr>
          </w:p>
        </w:tc>
      </w:tr>
      <w:tr>
        <w:trPr>
          <w:trHeight w:val="243"/>
        </w:trPr>
        <w:tc>
          <w:tcPr>
            <w:tcW w:w="5620" w:type="dxa"/>
            <w:vAlign w:val="bottom"/>
            <w:gridSpan w:val="4"/>
          </w:tcPr>
          <w:p>
            <w:pPr>
              <w:ind w:left="20"/>
              <w:spacing w:after="0"/>
              <w:rPr>
                <w:sz w:val="20"/>
                <w:szCs w:val="20"/>
                <w:color w:val="auto"/>
              </w:rPr>
            </w:pPr>
            <w:r>
              <w:rPr>
                <w:rFonts w:ascii="Arial" w:cs="Arial" w:eastAsia="Arial" w:hAnsi="Arial"/>
                <w:sz w:val="18"/>
                <w:szCs w:val="18"/>
                <w:color w:val="131E29"/>
              </w:rPr>
              <w:t>Loss before income taxes</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(118,418)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308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(118,110)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D2DCE5"/>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5620" w:type="dxa"/>
            <w:vAlign w:val="bottom"/>
            <w:tcBorders>
              <w:bottom w:val="single" w:sz="8" w:color="D2DCE5"/>
            </w:tcBorders>
            <w:gridSpan w:val="4"/>
            <w:shd w:val="clear" w:color="auto" w:fill="D2DCE5"/>
          </w:tcPr>
          <w:p>
            <w:pPr>
              <w:ind w:left="20"/>
              <w:spacing w:after="0"/>
              <w:rPr>
                <w:sz w:val="20"/>
                <w:szCs w:val="20"/>
                <w:color w:val="auto"/>
              </w:rPr>
            </w:pPr>
            <w:r>
              <w:rPr>
                <w:rFonts w:ascii="Arial" w:cs="Arial" w:eastAsia="Arial" w:hAnsi="Arial"/>
                <w:sz w:val="18"/>
                <w:szCs w:val="18"/>
                <w:color w:val="131E29"/>
              </w:rPr>
              <w:t>Net loss</w:t>
            </w:r>
          </w:p>
        </w:tc>
        <w:tc>
          <w:tcPr>
            <w:tcW w:w="240" w:type="dxa"/>
            <w:vAlign w:val="bottom"/>
            <w:tcBorders>
              <w:bottom w:val="single" w:sz="8" w:color="auto"/>
            </w:tcBorders>
            <w:shd w:val="clear" w:color="auto" w:fill="D2DCE5"/>
          </w:tcPr>
          <w:p>
            <w:pPr>
              <w:jc w:val="right"/>
              <w:ind w:right="50"/>
              <w:spacing w:after="0"/>
              <w:rPr>
                <w:sz w:val="20"/>
                <w:szCs w:val="20"/>
                <w:color w:val="auto"/>
              </w:rPr>
            </w:pPr>
            <w:r>
              <w:rPr>
                <w:rFonts w:ascii="Arial" w:cs="Arial" w:eastAsia="Arial" w:hAnsi="Arial"/>
                <w:sz w:val="18"/>
                <w:szCs w:val="18"/>
                <w:color w:val="131E29"/>
                <w:w w:val="79"/>
              </w:rPr>
              <w:t>$</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(117,138)</w:t>
            </w:r>
          </w:p>
        </w:tc>
        <w:tc>
          <w:tcPr>
            <w:tcW w:w="100" w:type="dxa"/>
            <w:vAlign w:val="bottom"/>
            <w:tcBorders>
              <w:bottom w:val="single" w:sz="8" w:color="D2DCE5"/>
            </w:tcBorders>
            <w:shd w:val="clear" w:color="auto" w:fill="D2DCE5"/>
          </w:tcPr>
          <w:p>
            <w:pPr>
              <w:spacing w:after="0"/>
              <w:rPr>
                <w:sz w:val="22"/>
                <w:szCs w:val="22"/>
                <w:color w:val="auto"/>
              </w:rPr>
            </w:pPr>
          </w:p>
        </w:tc>
        <w:tc>
          <w:tcPr>
            <w:tcW w:w="24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1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308</w:t>
            </w:r>
          </w:p>
        </w:tc>
        <w:tc>
          <w:tcPr>
            <w:tcW w:w="100" w:type="dxa"/>
            <w:vAlign w:val="bottom"/>
            <w:tcBorders>
              <w:bottom w:val="single" w:sz="8" w:color="D2DCE5"/>
            </w:tcBorders>
            <w:shd w:val="clear" w:color="auto" w:fill="D2DCE5"/>
          </w:tcPr>
          <w:p>
            <w:pPr>
              <w:spacing w:after="0"/>
              <w:rPr>
                <w:sz w:val="22"/>
                <w:szCs w:val="22"/>
                <w:color w:val="auto"/>
              </w:rPr>
            </w:pPr>
          </w:p>
        </w:tc>
        <w:tc>
          <w:tcPr>
            <w:tcW w:w="22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color w:val="131E29"/>
                <w:w w:val="79"/>
              </w:rPr>
              <w:t>$</w:t>
            </w:r>
          </w:p>
        </w:tc>
        <w:tc>
          <w:tcPr>
            <w:tcW w:w="1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(116,830)</w:t>
            </w:r>
          </w:p>
        </w:tc>
        <w:tc>
          <w:tcPr>
            <w:tcW w:w="0" w:type="dxa"/>
            <w:vAlign w:val="bottom"/>
          </w:tcPr>
          <w:p>
            <w:pPr>
              <w:spacing w:after="0"/>
              <w:rPr>
                <w:sz w:val="1"/>
                <w:szCs w:val="1"/>
                <w:color w:val="auto"/>
              </w:rPr>
            </w:pPr>
          </w:p>
        </w:tc>
      </w:tr>
      <w:tr>
        <w:trPr>
          <w:trHeight w:val="20"/>
        </w:trPr>
        <w:tc>
          <w:tcPr>
            <w:tcW w:w="5620" w:type="dxa"/>
            <w:vAlign w:val="bottom"/>
            <w:tcBorders>
              <w:top w:val="single" w:sz="8" w:color="D2DCE5"/>
              <w:bottom w:val="single" w:sz="8" w:color="D2DCE5"/>
            </w:tcBorders>
            <w:gridSpan w:val="4"/>
            <w:vMerge w:val="restart"/>
          </w:tcPr>
          <w:p>
            <w:pPr>
              <w:ind w:left="180"/>
              <w:spacing w:after="0"/>
              <w:rPr>
                <w:sz w:val="20"/>
                <w:szCs w:val="20"/>
                <w:color w:val="auto"/>
              </w:rPr>
            </w:pPr>
            <w:r>
              <w:rPr>
                <w:rFonts w:ascii="Arial" w:cs="Arial" w:eastAsia="Arial" w:hAnsi="Arial"/>
                <w:sz w:val="17"/>
                <w:szCs w:val="17"/>
                <w:color w:val="131E29"/>
              </w:rPr>
              <w:t xml:space="preserve">Less: Net loss attributable to non-controlling interests </w:t>
            </w:r>
            <w:r>
              <w:rPr>
                <w:rFonts w:ascii="Arial" w:cs="Arial" w:eastAsia="Arial" w:hAnsi="Arial"/>
                <w:sz w:val="22"/>
                <w:szCs w:val="22"/>
                <w:color w:val="131E29"/>
                <w:vertAlign w:val="superscript"/>
              </w:rPr>
              <w:t>1</w:t>
            </w: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15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D2DCE5"/>
              <w:bottom w:val="single" w:sz="8" w:color="auto"/>
            </w:tcBorders>
          </w:tcPr>
          <w:p>
            <w:pPr>
              <w:spacing w:after="0" w:line="20" w:lineRule="exact"/>
              <w:rPr>
                <w:sz w:val="1"/>
                <w:szCs w:val="1"/>
                <w:color w:val="auto"/>
              </w:rPr>
            </w:pPr>
          </w:p>
        </w:tc>
        <w:tc>
          <w:tcPr>
            <w:tcW w:w="158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620" w:type="dxa"/>
            <w:vAlign w:val="bottom"/>
            <w:gridSpan w:val="4"/>
            <w:vMerge w:val="continue"/>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131E29"/>
              </w:rPr>
              <w:t>(31,531)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131E29"/>
              </w:rPr>
              <w:t>219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131E29"/>
              </w:rPr>
              <w:t>(31,312)</w:t>
            </w:r>
          </w:p>
        </w:tc>
        <w:tc>
          <w:tcPr>
            <w:tcW w:w="0" w:type="dxa"/>
            <w:vAlign w:val="bottom"/>
          </w:tcPr>
          <w:p>
            <w:pPr>
              <w:spacing w:after="0"/>
              <w:rPr>
                <w:sz w:val="1"/>
                <w:szCs w:val="1"/>
                <w:color w:val="auto"/>
              </w:rPr>
            </w:pPr>
          </w:p>
        </w:tc>
      </w:tr>
      <w:tr>
        <w:trPr>
          <w:trHeight w:val="101"/>
        </w:trPr>
        <w:tc>
          <w:tcPr>
            <w:tcW w:w="3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D2DCE5"/>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5620" w:type="dxa"/>
            <w:vAlign w:val="bottom"/>
            <w:gridSpan w:val="4"/>
            <w:shd w:val="clear" w:color="auto" w:fill="D2DCE5"/>
          </w:tcPr>
          <w:p>
            <w:pPr>
              <w:ind w:left="20"/>
              <w:spacing w:after="0"/>
              <w:rPr>
                <w:sz w:val="20"/>
                <w:szCs w:val="20"/>
                <w:color w:val="auto"/>
              </w:rPr>
            </w:pPr>
            <w:r>
              <w:rPr>
                <w:rFonts w:ascii="Arial" w:cs="Arial" w:eastAsia="Arial" w:hAnsi="Arial"/>
                <w:sz w:val="18"/>
                <w:szCs w:val="18"/>
                <w:color w:val="131E29"/>
              </w:rPr>
              <w:t>NET LOSS ATTRIBUTABLE TO DUTCH BROS INC.</w:t>
            </w:r>
            <w:r>
              <w:rPr>
                <w:rFonts w:ascii="Arial" w:cs="Arial" w:eastAsia="Arial" w:hAnsi="Arial"/>
                <w:sz w:val="23"/>
                <w:szCs w:val="23"/>
                <w:color w:val="131E29"/>
                <w:vertAlign w:val="superscript"/>
              </w:rPr>
              <w:t>1</w:t>
            </w:r>
          </w:p>
        </w:tc>
        <w:tc>
          <w:tcPr>
            <w:tcW w:w="240" w:type="dxa"/>
            <w:vAlign w:val="bottom"/>
            <w:vMerge w:val="restart"/>
            <w:shd w:val="clear" w:color="auto" w:fill="D2DCE5"/>
          </w:tcPr>
          <w:p>
            <w:pPr>
              <w:jc w:val="right"/>
              <w:ind w:right="50"/>
              <w:spacing w:after="0"/>
              <w:rPr>
                <w:sz w:val="20"/>
                <w:szCs w:val="20"/>
                <w:color w:val="auto"/>
              </w:rPr>
            </w:pPr>
            <w:r>
              <w:rPr>
                <w:rFonts w:ascii="Arial" w:cs="Arial" w:eastAsia="Arial" w:hAnsi="Arial"/>
                <w:sz w:val="18"/>
                <w:szCs w:val="18"/>
                <w:color w:val="131E29"/>
                <w:w w:val="79"/>
              </w:rPr>
              <w:t>$</w:t>
            </w:r>
          </w:p>
        </w:tc>
        <w:tc>
          <w:tcPr>
            <w:tcW w:w="15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(11,166)</w:t>
            </w:r>
          </w:p>
        </w:tc>
        <w:tc>
          <w:tcPr>
            <w:tcW w:w="100" w:type="dxa"/>
            <w:vAlign w:val="bottom"/>
            <w:shd w:val="clear" w:color="auto" w:fill="D2DCE5"/>
          </w:tcPr>
          <w:p>
            <w:pPr>
              <w:spacing w:after="0"/>
              <w:rPr>
                <w:sz w:val="24"/>
                <w:szCs w:val="24"/>
                <w:color w:val="auto"/>
              </w:rPr>
            </w:pPr>
          </w:p>
        </w:tc>
        <w:tc>
          <w:tcPr>
            <w:tcW w:w="24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158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89</w:t>
            </w:r>
          </w:p>
        </w:tc>
        <w:tc>
          <w:tcPr>
            <w:tcW w:w="100" w:type="dxa"/>
            <w:vAlign w:val="bottom"/>
            <w:shd w:val="clear" w:color="auto" w:fill="D2DCE5"/>
          </w:tcPr>
          <w:p>
            <w:pPr>
              <w:spacing w:after="0"/>
              <w:rPr>
                <w:sz w:val="24"/>
                <w:szCs w:val="24"/>
                <w:color w:val="auto"/>
              </w:rPr>
            </w:pPr>
          </w:p>
        </w:tc>
        <w:tc>
          <w:tcPr>
            <w:tcW w:w="22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w w:val="79"/>
              </w:rPr>
              <w:t>$</w:t>
            </w:r>
          </w:p>
        </w:tc>
        <w:tc>
          <w:tcPr>
            <w:tcW w:w="158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(11,077)</w:t>
            </w:r>
          </w:p>
        </w:tc>
        <w:tc>
          <w:tcPr>
            <w:tcW w:w="0" w:type="dxa"/>
            <w:vAlign w:val="bottom"/>
          </w:tcPr>
          <w:p>
            <w:pPr>
              <w:spacing w:after="0"/>
              <w:rPr>
                <w:sz w:val="1"/>
                <w:szCs w:val="1"/>
                <w:color w:val="auto"/>
              </w:rPr>
            </w:pPr>
          </w:p>
        </w:tc>
      </w:tr>
      <w:tr>
        <w:trPr>
          <w:trHeight w:val="111"/>
        </w:trPr>
        <w:tc>
          <w:tcPr>
            <w:tcW w:w="3300" w:type="dxa"/>
            <w:vAlign w:val="bottom"/>
            <w:tcBorders>
              <w:bottom w:val="single" w:sz="8" w:color="D2DCE5"/>
            </w:tcBorders>
            <w:shd w:val="clear" w:color="auto" w:fill="D2DCE5"/>
          </w:tcPr>
          <w:p>
            <w:pPr>
              <w:spacing w:after="0"/>
              <w:rPr>
                <w:sz w:val="9"/>
                <w:szCs w:val="9"/>
                <w:color w:val="auto"/>
              </w:rPr>
            </w:pPr>
          </w:p>
        </w:tc>
        <w:tc>
          <w:tcPr>
            <w:tcW w:w="860" w:type="dxa"/>
            <w:vAlign w:val="bottom"/>
            <w:tcBorders>
              <w:bottom w:val="single" w:sz="8" w:color="D2DCE5"/>
            </w:tcBorders>
            <w:shd w:val="clear" w:color="auto" w:fill="D2DCE5"/>
          </w:tcPr>
          <w:p>
            <w:pPr>
              <w:spacing w:after="0"/>
              <w:rPr>
                <w:sz w:val="9"/>
                <w:szCs w:val="9"/>
                <w:color w:val="auto"/>
              </w:rPr>
            </w:pPr>
          </w:p>
        </w:tc>
        <w:tc>
          <w:tcPr>
            <w:tcW w:w="1360" w:type="dxa"/>
            <w:vAlign w:val="bottom"/>
            <w:tcBorders>
              <w:bottom w:val="single" w:sz="8" w:color="D2DCE5"/>
            </w:tcBorders>
            <w:shd w:val="clear" w:color="auto" w:fill="D2DCE5"/>
          </w:tcPr>
          <w:p>
            <w:pPr>
              <w:spacing w:after="0"/>
              <w:rPr>
                <w:sz w:val="9"/>
                <w:szCs w:val="9"/>
                <w:color w:val="auto"/>
              </w:rPr>
            </w:pPr>
          </w:p>
        </w:tc>
        <w:tc>
          <w:tcPr>
            <w:tcW w:w="100" w:type="dxa"/>
            <w:vAlign w:val="bottom"/>
            <w:tcBorders>
              <w:bottom w:val="single" w:sz="8" w:color="D2DCE5"/>
            </w:tcBorders>
            <w:shd w:val="clear" w:color="auto" w:fill="D2DCE5"/>
          </w:tcPr>
          <w:p>
            <w:pPr>
              <w:spacing w:after="0"/>
              <w:rPr>
                <w:sz w:val="9"/>
                <w:szCs w:val="9"/>
                <w:color w:val="auto"/>
              </w:rPr>
            </w:pPr>
          </w:p>
        </w:tc>
        <w:tc>
          <w:tcPr>
            <w:tcW w:w="240" w:type="dxa"/>
            <w:vAlign w:val="bottom"/>
            <w:tcBorders>
              <w:bottom w:val="single" w:sz="8" w:color="D2DCE5"/>
            </w:tcBorders>
            <w:vMerge w:val="continue"/>
            <w:shd w:val="clear" w:color="auto" w:fill="D2DCE5"/>
          </w:tcPr>
          <w:p>
            <w:pPr>
              <w:spacing w:after="0"/>
              <w:rPr>
                <w:sz w:val="9"/>
                <w:szCs w:val="9"/>
                <w:color w:val="auto"/>
              </w:rPr>
            </w:pPr>
          </w:p>
        </w:tc>
        <w:tc>
          <w:tcPr>
            <w:tcW w:w="1560" w:type="dxa"/>
            <w:vAlign w:val="bottom"/>
            <w:tcBorders>
              <w:bottom w:val="single" w:sz="8" w:color="D2DCE5"/>
            </w:tcBorders>
            <w:vMerge w:val="continue"/>
            <w:shd w:val="clear" w:color="auto" w:fill="D2DCE5"/>
          </w:tcPr>
          <w:p>
            <w:pPr>
              <w:spacing w:after="0"/>
              <w:rPr>
                <w:sz w:val="9"/>
                <w:szCs w:val="9"/>
                <w:color w:val="auto"/>
              </w:rPr>
            </w:pPr>
          </w:p>
        </w:tc>
        <w:tc>
          <w:tcPr>
            <w:tcW w:w="100" w:type="dxa"/>
            <w:vAlign w:val="bottom"/>
            <w:tcBorders>
              <w:bottom w:val="single" w:sz="8" w:color="D2DCE5"/>
            </w:tcBorders>
            <w:shd w:val="clear" w:color="auto" w:fill="D2DCE5"/>
          </w:tcPr>
          <w:p>
            <w:pPr>
              <w:spacing w:after="0"/>
              <w:rPr>
                <w:sz w:val="9"/>
                <w:szCs w:val="9"/>
                <w:color w:val="auto"/>
              </w:rPr>
            </w:pPr>
          </w:p>
        </w:tc>
        <w:tc>
          <w:tcPr>
            <w:tcW w:w="240" w:type="dxa"/>
            <w:vAlign w:val="bottom"/>
            <w:tcBorders>
              <w:bottom w:val="single" w:sz="8" w:color="D2DCE5"/>
            </w:tcBorders>
            <w:vMerge w:val="continue"/>
            <w:shd w:val="clear" w:color="auto" w:fill="D2DCE5"/>
          </w:tcPr>
          <w:p>
            <w:pPr>
              <w:spacing w:after="0"/>
              <w:rPr>
                <w:sz w:val="9"/>
                <w:szCs w:val="9"/>
                <w:color w:val="auto"/>
              </w:rPr>
            </w:pPr>
          </w:p>
        </w:tc>
        <w:tc>
          <w:tcPr>
            <w:tcW w:w="1580" w:type="dxa"/>
            <w:vAlign w:val="bottom"/>
            <w:tcBorders>
              <w:bottom w:val="single" w:sz="8" w:color="D2DCE5"/>
            </w:tcBorders>
            <w:vMerge w:val="continue"/>
            <w:shd w:val="clear" w:color="auto" w:fill="D2DCE5"/>
          </w:tcPr>
          <w:p>
            <w:pPr>
              <w:spacing w:after="0"/>
              <w:rPr>
                <w:sz w:val="9"/>
                <w:szCs w:val="9"/>
                <w:color w:val="auto"/>
              </w:rPr>
            </w:pPr>
          </w:p>
        </w:tc>
        <w:tc>
          <w:tcPr>
            <w:tcW w:w="100" w:type="dxa"/>
            <w:vAlign w:val="bottom"/>
            <w:tcBorders>
              <w:bottom w:val="single" w:sz="8" w:color="D2DCE5"/>
            </w:tcBorders>
            <w:shd w:val="clear" w:color="auto" w:fill="D2DCE5"/>
          </w:tcPr>
          <w:p>
            <w:pPr>
              <w:spacing w:after="0"/>
              <w:rPr>
                <w:sz w:val="9"/>
                <w:szCs w:val="9"/>
                <w:color w:val="auto"/>
              </w:rPr>
            </w:pPr>
          </w:p>
        </w:tc>
        <w:tc>
          <w:tcPr>
            <w:tcW w:w="220" w:type="dxa"/>
            <w:vAlign w:val="bottom"/>
            <w:tcBorders>
              <w:bottom w:val="single" w:sz="8" w:color="D2DCE5"/>
            </w:tcBorders>
            <w:vMerge w:val="continue"/>
            <w:shd w:val="clear" w:color="auto" w:fill="D2DCE5"/>
          </w:tcPr>
          <w:p>
            <w:pPr>
              <w:spacing w:after="0"/>
              <w:rPr>
                <w:sz w:val="9"/>
                <w:szCs w:val="9"/>
                <w:color w:val="auto"/>
              </w:rPr>
            </w:pPr>
          </w:p>
        </w:tc>
        <w:tc>
          <w:tcPr>
            <w:tcW w:w="1580" w:type="dxa"/>
            <w:vAlign w:val="bottom"/>
            <w:tcBorders>
              <w:bottom w:val="single" w:sz="8" w:color="D2DCE5"/>
            </w:tcBorders>
            <w:vMerge w:val="continue"/>
            <w:shd w:val="clear" w:color="auto" w:fill="D2DCE5"/>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D2DCE5"/>
            </w:tcBorders>
          </w:tcPr>
          <w:p>
            <w:pPr>
              <w:spacing w:after="0" w:line="20" w:lineRule="exact"/>
              <w:rPr>
                <w:sz w:val="1"/>
                <w:szCs w:val="1"/>
                <w:color w:val="auto"/>
              </w:rPr>
            </w:pPr>
          </w:p>
        </w:tc>
        <w:tc>
          <w:tcPr>
            <w:tcW w:w="860" w:type="dxa"/>
            <w:vAlign w:val="bottom"/>
            <w:tcBorders>
              <w:top w:val="single" w:sz="8" w:color="D2DCE5"/>
            </w:tcBorders>
          </w:tcPr>
          <w:p>
            <w:pPr>
              <w:spacing w:after="0" w:line="20" w:lineRule="exact"/>
              <w:rPr>
                <w:sz w:val="1"/>
                <w:szCs w:val="1"/>
                <w:color w:val="auto"/>
              </w:rPr>
            </w:pPr>
          </w:p>
        </w:tc>
        <w:tc>
          <w:tcPr>
            <w:tcW w:w="13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77" w:lineRule="exact"/>
        <w:rPr>
          <w:sz w:val="20"/>
          <w:szCs w:val="20"/>
          <w:color w:val="auto"/>
        </w:rPr>
      </w:pPr>
    </w:p>
    <w:p>
      <w:pPr>
        <w:jc w:val="both"/>
        <w:ind w:left="180" w:hanging="172"/>
        <w:spacing w:after="0" w:line="270" w:lineRule="auto"/>
        <w:tabs>
          <w:tab w:leader="none" w:pos="187" w:val="left"/>
        </w:tabs>
        <w:numPr>
          <w:ilvl w:val="0"/>
          <w:numId w:val="12"/>
        </w:numPr>
        <w:rPr>
          <w:rFonts w:ascii="Arial" w:cs="Arial" w:eastAsia="Arial" w:hAnsi="Arial"/>
          <w:sz w:val="9"/>
          <w:szCs w:val="9"/>
          <w:color w:val="auto"/>
        </w:rPr>
      </w:pPr>
      <w:r>
        <w:rPr>
          <w:rFonts w:ascii="Arial" w:cs="Arial" w:eastAsia="Arial" w:hAnsi="Arial"/>
          <w:sz w:val="14"/>
          <w:szCs w:val="14"/>
          <w:color w:val="auto"/>
        </w:rPr>
        <w:t>Amounts and balances have been updated to reflect reclassifications based on updated timing and sequence of certain Reorganization Transactions and purchase of Dutch Bros OpCo Class A common units in connection with the IPO from previously reported figures in the Company’s Form 10-Q for the period ended September 30, 2021, as filed with the SEC on November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gridSpan w:val="7"/>
          </w:tcPr>
          <w:p>
            <w:pPr>
              <w:jc w:val="center"/>
              <w:ind w:right="150"/>
              <w:spacing w:after="0"/>
              <w:rPr>
                <w:sz w:val="20"/>
                <w:szCs w:val="20"/>
                <w:color w:val="auto"/>
              </w:rPr>
            </w:pPr>
            <w:r>
              <w:rPr>
                <w:rFonts w:ascii="Arial" w:cs="Arial" w:eastAsia="Arial" w:hAnsi="Arial"/>
                <w:sz w:val="18"/>
                <w:szCs w:val="18"/>
                <w:b w:val="1"/>
                <w:bCs w:val="1"/>
                <w:color w:val="131E29"/>
              </w:rPr>
              <w:t>Nine Months Ended September 30, 2021</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62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131E29"/>
              </w:rPr>
              <w:t>As Reported</w:t>
            </w:r>
          </w:p>
        </w:tc>
        <w:tc>
          <w:tcPr>
            <w:tcW w:w="24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131E29"/>
              </w:rPr>
              <w:t>Adjustments</w:t>
            </w:r>
          </w:p>
        </w:tc>
        <w:tc>
          <w:tcPr>
            <w:tcW w:w="220" w:type="dxa"/>
            <w:vAlign w:val="bottom"/>
          </w:tcPr>
          <w:p>
            <w:pPr>
              <w:spacing w:after="0"/>
              <w:rPr>
                <w:sz w:val="20"/>
                <w:szCs w:val="20"/>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b w:val="1"/>
                <w:bCs w:val="1"/>
                <w:color w:val="131E29"/>
              </w:rPr>
              <w:t>As Corrected</w:t>
            </w:r>
          </w:p>
        </w:tc>
        <w:tc>
          <w:tcPr>
            <w:tcW w:w="0" w:type="dxa"/>
            <w:vAlign w:val="bottom"/>
          </w:tcPr>
          <w:p>
            <w:pPr>
              <w:spacing w:after="0"/>
              <w:rPr>
                <w:sz w:val="1"/>
                <w:szCs w:val="1"/>
                <w:color w:val="auto"/>
              </w:rPr>
            </w:pPr>
          </w:p>
        </w:tc>
      </w:tr>
      <w:tr>
        <w:trPr>
          <w:trHeight w:val="26"/>
        </w:trPr>
        <w:tc>
          <w:tcPr>
            <w:tcW w:w="55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Costs and expenses</w:t>
            </w:r>
          </w:p>
        </w:tc>
        <w:tc>
          <w:tcPr>
            <w:tcW w:w="24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131E29"/>
              </w:rPr>
              <w:t>Cost of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131E29"/>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131E29"/>
              </w:rPr>
              <w:t>239,869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131E29"/>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131E29"/>
              </w:rPr>
              <w:t>(1,115)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131E29"/>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131E29"/>
              </w:rPr>
              <w:t>238,754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Selling, general and administrative</w:t>
            </w:r>
          </w:p>
        </w:tc>
        <w:tc>
          <w:tcPr>
            <w:tcW w:w="240" w:type="dxa"/>
            <w:vAlign w:val="bottom"/>
            <w:tcBorders>
              <w:bottom w:val="single" w:sz="8" w:color="D2DCE5"/>
            </w:tcBorders>
            <w:shd w:val="clear" w:color="auto" w:fill="D2DCE5"/>
          </w:tcPr>
          <w:p>
            <w:pPr>
              <w:spacing w:after="0"/>
              <w:rPr>
                <w:sz w:val="23"/>
                <w:szCs w:val="23"/>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223,595</w:t>
            </w:r>
          </w:p>
        </w:tc>
        <w:tc>
          <w:tcPr>
            <w:tcW w:w="100" w:type="dxa"/>
            <w:vAlign w:val="bottom"/>
            <w:tcBorders>
              <w:bottom w:val="single" w:sz="8" w:color="D2DCE5"/>
            </w:tcBorders>
            <w:shd w:val="clear" w:color="auto" w:fill="D2DCE5"/>
          </w:tcPr>
          <w:p>
            <w:pPr>
              <w:spacing w:after="0"/>
              <w:rPr>
                <w:sz w:val="23"/>
                <w:szCs w:val="23"/>
                <w:color w:val="auto"/>
              </w:rPr>
            </w:pPr>
          </w:p>
        </w:tc>
        <w:tc>
          <w:tcPr>
            <w:tcW w:w="240" w:type="dxa"/>
            <w:vAlign w:val="bottom"/>
            <w:tcBorders>
              <w:bottom w:val="single" w:sz="8" w:color="D2DCE5"/>
            </w:tcBorders>
            <w:shd w:val="clear" w:color="auto" w:fill="D2DCE5"/>
          </w:tcPr>
          <w:p>
            <w:pPr>
              <w:spacing w:after="0"/>
              <w:rPr>
                <w:sz w:val="23"/>
                <w:szCs w:val="23"/>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(421)</w:t>
            </w:r>
          </w:p>
        </w:tc>
        <w:tc>
          <w:tcPr>
            <w:tcW w:w="100" w:type="dxa"/>
            <w:vAlign w:val="bottom"/>
            <w:tcBorders>
              <w:bottom w:val="single" w:sz="8" w:color="D2DCE5"/>
            </w:tcBorders>
            <w:shd w:val="clear" w:color="auto" w:fill="D2DCE5"/>
          </w:tcPr>
          <w:p>
            <w:pPr>
              <w:spacing w:after="0"/>
              <w:rPr>
                <w:sz w:val="23"/>
                <w:szCs w:val="23"/>
                <w:color w:val="auto"/>
              </w:rPr>
            </w:pPr>
          </w:p>
        </w:tc>
        <w:tc>
          <w:tcPr>
            <w:tcW w:w="220" w:type="dxa"/>
            <w:vAlign w:val="bottom"/>
            <w:tcBorders>
              <w:bottom w:val="single" w:sz="8" w:color="D2DCE5"/>
            </w:tcBorders>
            <w:shd w:val="clear" w:color="auto" w:fill="D2DCE5"/>
          </w:tcPr>
          <w:p>
            <w:pPr>
              <w:spacing w:after="0"/>
              <w:rPr>
                <w:sz w:val="23"/>
                <w:szCs w:val="23"/>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223,174</w:t>
            </w:r>
          </w:p>
        </w:tc>
        <w:tc>
          <w:tcPr>
            <w:tcW w:w="0" w:type="dxa"/>
            <w:vAlign w:val="bottom"/>
          </w:tcPr>
          <w:p>
            <w:pPr>
              <w:spacing w:after="0"/>
              <w:rPr>
                <w:sz w:val="1"/>
                <w:szCs w:val="1"/>
                <w:color w:val="auto"/>
              </w:rPr>
            </w:pPr>
          </w:p>
        </w:tc>
      </w:tr>
      <w:tr>
        <w:trPr>
          <w:trHeight w:val="237"/>
        </w:trPr>
        <w:tc>
          <w:tcPr>
            <w:tcW w:w="5620" w:type="dxa"/>
            <w:vAlign w:val="bottom"/>
            <w:gridSpan w:val="2"/>
          </w:tcPr>
          <w:p>
            <w:pPr>
              <w:ind w:left="360"/>
              <w:spacing w:after="0"/>
              <w:rPr>
                <w:sz w:val="20"/>
                <w:szCs w:val="20"/>
                <w:color w:val="auto"/>
              </w:rPr>
            </w:pPr>
            <w:r>
              <w:rPr>
                <w:rFonts w:ascii="Arial" w:cs="Arial" w:eastAsia="Arial" w:hAnsi="Arial"/>
                <w:sz w:val="18"/>
                <w:szCs w:val="18"/>
                <w:color w:val="131E29"/>
              </w:rPr>
              <w:t>Total costs and expenses</w:t>
            </w: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463,464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(1,536)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461,928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Loss from operations</w:t>
            </w:r>
          </w:p>
        </w:tc>
        <w:tc>
          <w:tcPr>
            <w:tcW w:w="24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(105,668)</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1,536</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(104,132)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131E29"/>
              </w:rPr>
              <w:t>Loss before income taxes</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(112,015)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1,536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(110,479)</w:t>
            </w:r>
          </w:p>
        </w:tc>
        <w:tc>
          <w:tcPr>
            <w:tcW w:w="0" w:type="dxa"/>
            <w:vAlign w:val="bottom"/>
          </w:tcPr>
          <w:p>
            <w:pPr>
              <w:spacing w:after="0"/>
              <w:rPr>
                <w:sz w:val="1"/>
                <w:szCs w:val="1"/>
                <w:color w:val="auto"/>
              </w:rPr>
            </w:pPr>
          </w:p>
        </w:tc>
      </w:tr>
      <w:tr>
        <w:trPr>
          <w:trHeight w:val="27"/>
        </w:trPr>
        <w:tc>
          <w:tcPr>
            <w:tcW w:w="55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loss</w:t>
            </w:r>
          </w:p>
        </w:tc>
        <w:tc>
          <w:tcPr>
            <w:tcW w:w="240" w:type="dxa"/>
            <w:vAlign w:val="bottom"/>
            <w:tcBorders>
              <w:bottom w:val="single" w:sz="8" w:color="auto"/>
            </w:tcBorders>
            <w:shd w:val="clear" w:color="auto" w:fill="D2DCE5"/>
          </w:tcPr>
          <w:p>
            <w:pPr>
              <w:jc w:val="right"/>
              <w:ind w:right="50"/>
              <w:spacing w:after="0"/>
              <w:rPr>
                <w:sz w:val="20"/>
                <w:szCs w:val="20"/>
                <w:color w:val="auto"/>
              </w:rPr>
            </w:pPr>
            <w:r>
              <w:rPr>
                <w:rFonts w:ascii="Arial" w:cs="Arial" w:eastAsia="Arial" w:hAnsi="Arial"/>
                <w:sz w:val="18"/>
                <w:szCs w:val="18"/>
                <w:color w:val="131E29"/>
                <w:w w:val="79"/>
              </w:rPr>
              <w:t>$</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(111,299)</w:t>
            </w:r>
          </w:p>
        </w:tc>
        <w:tc>
          <w:tcPr>
            <w:tcW w:w="100" w:type="dxa"/>
            <w:vAlign w:val="bottom"/>
            <w:tcBorders>
              <w:bottom w:val="single" w:sz="8" w:color="D2DCE5"/>
            </w:tcBorders>
            <w:shd w:val="clear" w:color="auto" w:fill="D2DCE5"/>
          </w:tcPr>
          <w:p>
            <w:pPr>
              <w:spacing w:after="0"/>
              <w:rPr>
                <w:sz w:val="24"/>
                <w:szCs w:val="24"/>
                <w:color w:val="auto"/>
              </w:rPr>
            </w:pPr>
          </w:p>
        </w:tc>
        <w:tc>
          <w:tcPr>
            <w:tcW w:w="24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1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1,536</w:t>
            </w:r>
          </w:p>
        </w:tc>
        <w:tc>
          <w:tcPr>
            <w:tcW w:w="100" w:type="dxa"/>
            <w:vAlign w:val="bottom"/>
            <w:tcBorders>
              <w:bottom w:val="single" w:sz="8" w:color="D2DCE5"/>
            </w:tcBorders>
            <w:shd w:val="clear" w:color="auto" w:fill="D2DCE5"/>
          </w:tcPr>
          <w:p>
            <w:pPr>
              <w:spacing w:after="0"/>
              <w:rPr>
                <w:sz w:val="24"/>
                <w:szCs w:val="24"/>
                <w:color w:val="auto"/>
              </w:rPr>
            </w:pPr>
          </w:p>
        </w:tc>
        <w:tc>
          <w:tcPr>
            <w:tcW w:w="22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color w:val="131E29"/>
                <w:w w:val="79"/>
              </w:rPr>
              <w:t>$</w:t>
            </w:r>
          </w:p>
        </w:tc>
        <w:tc>
          <w:tcPr>
            <w:tcW w:w="1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(109,763)</w:t>
            </w:r>
          </w:p>
        </w:tc>
        <w:tc>
          <w:tcPr>
            <w:tcW w:w="0" w:type="dxa"/>
            <w:vAlign w:val="bottom"/>
          </w:tcPr>
          <w:p>
            <w:pPr>
              <w:spacing w:after="0"/>
              <w:rPr>
                <w:sz w:val="1"/>
                <w:szCs w:val="1"/>
                <w:color w:val="auto"/>
              </w:rPr>
            </w:pPr>
          </w:p>
        </w:tc>
      </w:tr>
      <w:tr>
        <w:trPr>
          <w:trHeight w:val="20"/>
        </w:trPr>
        <w:tc>
          <w:tcPr>
            <w:tcW w:w="5620" w:type="dxa"/>
            <w:vAlign w:val="bottom"/>
            <w:tcBorders>
              <w:top w:val="single" w:sz="8" w:color="D2DCE5"/>
              <w:bottom w:val="single" w:sz="8" w:color="D2DCE5"/>
            </w:tcBorders>
            <w:gridSpan w:val="2"/>
            <w:vMerge w:val="restart"/>
          </w:tcPr>
          <w:p>
            <w:pPr>
              <w:ind w:left="180"/>
              <w:spacing w:after="0"/>
              <w:rPr>
                <w:sz w:val="20"/>
                <w:szCs w:val="20"/>
                <w:color w:val="auto"/>
              </w:rPr>
            </w:pPr>
            <w:r>
              <w:rPr>
                <w:rFonts w:ascii="Arial" w:cs="Arial" w:eastAsia="Arial" w:hAnsi="Arial"/>
                <w:sz w:val="17"/>
                <w:szCs w:val="17"/>
                <w:color w:val="131E29"/>
              </w:rPr>
              <w:t>Less: Net loss attributable to Dutch Bros OpCo prior to the</w:t>
            </w: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15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D2DCE5"/>
              <w:bottom w:val="single" w:sz="8" w:color="auto"/>
            </w:tcBorders>
          </w:tcPr>
          <w:p>
            <w:pPr>
              <w:spacing w:after="0" w:line="20" w:lineRule="exact"/>
              <w:rPr>
                <w:sz w:val="1"/>
                <w:szCs w:val="1"/>
                <w:color w:val="auto"/>
              </w:rPr>
            </w:pPr>
          </w:p>
        </w:tc>
        <w:tc>
          <w:tcPr>
            <w:tcW w:w="158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6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131E29"/>
              </w:rPr>
              <w:t>(68,602)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131E29"/>
              </w:rPr>
              <w:t>1,228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131E29"/>
              </w:rPr>
              <w:t>(67,374)</w:t>
            </w:r>
          </w:p>
        </w:tc>
        <w:tc>
          <w:tcPr>
            <w:tcW w:w="0" w:type="dxa"/>
            <w:vAlign w:val="bottom"/>
          </w:tcPr>
          <w:p>
            <w:pPr>
              <w:spacing w:after="0"/>
              <w:rPr>
                <w:sz w:val="1"/>
                <w:szCs w:val="1"/>
                <w:color w:val="auto"/>
              </w:rPr>
            </w:pPr>
          </w:p>
        </w:tc>
      </w:tr>
      <w:tr>
        <w:trPr>
          <w:trHeight w:val="209"/>
        </w:trPr>
        <w:tc>
          <w:tcPr>
            <w:tcW w:w="5620" w:type="dxa"/>
            <w:vAlign w:val="bottom"/>
            <w:gridSpan w:val="2"/>
          </w:tcPr>
          <w:p>
            <w:pPr>
              <w:ind w:left="180"/>
              <w:spacing w:after="0"/>
              <w:rPr>
                <w:sz w:val="20"/>
                <w:szCs w:val="20"/>
                <w:color w:val="auto"/>
              </w:rPr>
            </w:pPr>
            <w:r>
              <w:rPr>
                <w:rFonts w:ascii="Arial" w:cs="Arial" w:eastAsia="Arial" w:hAnsi="Arial"/>
                <w:sz w:val="17"/>
                <w:szCs w:val="17"/>
                <w:color w:val="131E29"/>
              </w:rPr>
              <w:t>Reorganization Transactions</w:t>
            </w:r>
          </w:p>
        </w:tc>
        <w:tc>
          <w:tcPr>
            <w:tcW w:w="24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5620" w:type="dxa"/>
            <w:vAlign w:val="bottom"/>
            <w:gridSpan w:val="2"/>
            <w:shd w:val="clear" w:color="auto" w:fill="D2DCE5"/>
          </w:tcPr>
          <w:p>
            <w:pPr>
              <w:ind w:left="180"/>
              <w:spacing w:after="0"/>
              <w:rPr>
                <w:sz w:val="20"/>
                <w:szCs w:val="20"/>
                <w:color w:val="auto"/>
              </w:rPr>
            </w:pPr>
            <w:r>
              <w:rPr>
                <w:rFonts w:ascii="Arial" w:cs="Arial" w:eastAsia="Arial" w:hAnsi="Arial"/>
                <w:sz w:val="17"/>
                <w:szCs w:val="17"/>
                <w:color w:val="131E29"/>
              </w:rPr>
              <w:t xml:space="preserve">Less: Net loss attributable to non-controlling interests </w:t>
            </w:r>
            <w:r>
              <w:rPr>
                <w:rFonts w:ascii="Arial" w:cs="Arial" w:eastAsia="Arial" w:hAnsi="Arial"/>
                <w:sz w:val="22"/>
                <w:szCs w:val="22"/>
                <w:color w:val="131E29"/>
                <w:vertAlign w:val="superscript"/>
              </w:rPr>
              <w:t>1</w:t>
            </w:r>
          </w:p>
        </w:tc>
        <w:tc>
          <w:tcPr>
            <w:tcW w:w="240" w:type="dxa"/>
            <w:vAlign w:val="bottom"/>
            <w:shd w:val="clear" w:color="auto" w:fill="D2DCE5"/>
          </w:tcPr>
          <w:p>
            <w:pPr>
              <w:spacing w:after="0"/>
              <w:rPr>
                <w:sz w:val="24"/>
                <w:szCs w:val="24"/>
                <w:color w:val="auto"/>
              </w:rPr>
            </w:pPr>
          </w:p>
        </w:tc>
        <w:tc>
          <w:tcPr>
            <w:tcW w:w="15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(31,531)</w:t>
            </w:r>
          </w:p>
        </w:tc>
        <w:tc>
          <w:tcPr>
            <w:tcW w:w="100" w:type="dxa"/>
            <w:vAlign w:val="bottom"/>
            <w:shd w:val="clear" w:color="auto" w:fill="D2DCE5"/>
          </w:tcPr>
          <w:p>
            <w:pPr>
              <w:spacing w:after="0"/>
              <w:rPr>
                <w:sz w:val="24"/>
                <w:szCs w:val="24"/>
                <w:color w:val="auto"/>
              </w:rPr>
            </w:pPr>
          </w:p>
        </w:tc>
        <w:tc>
          <w:tcPr>
            <w:tcW w:w="240" w:type="dxa"/>
            <w:vAlign w:val="bottom"/>
            <w:shd w:val="clear" w:color="auto" w:fill="D2DCE5"/>
          </w:tcPr>
          <w:p>
            <w:pPr>
              <w:spacing w:after="0"/>
              <w:rPr>
                <w:sz w:val="24"/>
                <w:szCs w:val="24"/>
                <w:color w:val="auto"/>
              </w:rPr>
            </w:pPr>
          </w:p>
        </w:tc>
        <w:tc>
          <w:tcPr>
            <w:tcW w:w="158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219</w:t>
            </w:r>
          </w:p>
        </w:tc>
        <w:tc>
          <w:tcPr>
            <w:tcW w:w="100" w:type="dxa"/>
            <w:vAlign w:val="bottom"/>
            <w:shd w:val="clear" w:color="auto" w:fill="D2DCE5"/>
          </w:tcPr>
          <w:p>
            <w:pPr>
              <w:spacing w:after="0"/>
              <w:rPr>
                <w:sz w:val="24"/>
                <w:szCs w:val="24"/>
                <w:color w:val="auto"/>
              </w:rPr>
            </w:pPr>
          </w:p>
        </w:tc>
        <w:tc>
          <w:tcPr>
            <w:tcW w:w="220" w:type="dxa"/>
            <w:vAlign w:val="bottom"/>
            <w:shd w:val="clear" w:color="auto" w:fill="D2DCE5"/>
          </w:tcPr>
          <w:p>
            <w:pPr>
              <w:spacing w:after="0"/>
              <w:rPr>
                <w:sz w:val="24"/>
                <w:szCs w:val="24"/>
                <w:color w:val="auto"/>
              </w:rPr>
            </w:pPr>
          </w:p>
        </w:tc>
        <w:tc>
          <w:tcPr>
            <w:tcW w:w="158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(31,312)</w:t>
            </w:r>
          </w:p>
        </w:tc>
        <w:tc>
          <w:tcPr>
            <w:tcW w:w="0" w:type="dxa"/>
            <w:vAlign w:val="bottom"/>
          </w:tcPr>
          <w:p>
            <w:pPr>
              <w:spacing w:after="0"/>
              <w:rPr>
                <w:sz w:val="1"/>
                <w:szCs w:val="1"/>
                <w:color w:val="auto"/>
              </w:rPr>
            </w:pPr>
          </w:p>
        </w:tc>
      </w:tr>
      <w:tr>
        <w:trPr>
          <w:trHeight w:val="114"/>
        </w:trPr>
        <w:tc>
          <w:tcPr>
            <w:tcW w:w="5520" w:type="dxa"/>
            <w:vAlign w:val="bottom"/>
            <w:tcBorders>
              <w:bottom w:val="single" w:sz="8" w:color="D2DCE5"/>
            </w:tcBorders>
            <w:shd w:val="clear" w:color="auto" w:fill="D2DCE5"/>
          </w:tcPr>
          <w:p>
            <w:pPr>
              <w:spacing w:after="0"/>
              <w:rPr>
                <w:sz w:val="9"/>
                <w:szCs w:val="9"/>
                <w:color w:val="auto"/>
              </w:rPr>
            </w:pPr>
          </w:p>
        </w:tc>
        <w:tc>
          <w:tcPr>
            <w:tcW w:w="100" w:type="dxa"/>
            <w:vAlign w:val="bottom"/>
            <w:tcBorders>
              <w:bottom w:val="single" w:sz="8" w:color="D2DCE5"/>
            </w:tcBorders>
            <w:shd w:val="clear" w:color="auto" w:fill="D2DCE5"/>
          </w:tcPr>
          <w:p>
            <w:pPr>
              <w:spacing w:after="0"/>
              <w:rPr>
                <w:sz w:val="9"/>
                <w:szCs w:val="9"/>
                <w:color w:val="auto"/>
              </w:rPr>
            </w:pPr>
          </w:p>
        </w:tc>
        <w:tc>
          <w:tcPr>
            <w:tcW w:w="240" w:type="dxa"/>
            <w:vAlign w:val="bottom"/>
            <w:tcBorders>
              <w:bottom w:val="single" w:sz="8" w:color="D2DCE5"/>
            </w:tcBorders>
            <w:shd w:val="clear" w:color="auto" w:fill="D2DCE5"/>
          </w:tcPr>
          <w:p>
            <w:pPr>
              <w:spacing w:after="0"/>
              <w:rPr>
                <w:sz w:val="9"/>
                <w:szCs w:val="9"/>
                <w:color w:val="auto"/>
              </w:rPr>
            </w:pPr>
          </w:p>
        </w:tc>
        <w:tc>
          <w:tcPr>
            <w:tcW w:w="1560" w:type="dxa"/>
            <w:vAlign w:val="bottom"/>
            <w:tcBorders>
              <w:bottom w:val="single" w:sz="8" w:color="D2DCE5"/>
            </w:tcBorders>
            <w:vMerge w:val="continue"/>
            <w:shd w:val="clear" w:color="auto" w:fill="D2DCE5"/>
          </w:tcPr>
          <w:p>
            <w:pPr>
              <w:spacing w:after="0"/>
              <w:rPr>
                <w:sz w:val="9"/>
                <w:szCs w:val="9"/>
                <w:color w:val="auto"/>
              </w:rPr>
            </w:pPr>
          </w:p>
        </w:tc>
        <w:tc>
          <w:tcPr>
            <w:tcW w:w="100" w:type="dxa"/>
            <w:vAlign w:val="bottom"/>
            <w:tcBorders>
              <w:bottom w:val="single" w:sz="8" w:color="D2DCE5"/>
            </w:tcBorders>
            <w:shd w:val="clear" w:color="auto" w:fill="D2DCE5"/>
          </w:tcPr>
          <w:p>
            <w:pPr>
              <w:spacing w:after="0"/>
              <w:rPr>
                <w:sz w:val="9"/>
                <w:szCs w:val="9"/>
                <w:color w:val="auto"/>
              </w:rPr>
            </w:pPr>
          </w:p>
        </w:tc>
        <w:tc>
          <w:tcPr>
            <w:tcW w:w="240" w:type="dxa"/>
            <w:vAlign w:val="bottom"/>
            <w:tcBorders>
              <w:bottom w:val="single" w:sz="8" w:color="D2DCE5"/>
            </w:tcBorders>
            <w:shd w:val="clear" w:color="auto" w:fill="D2DCE5"/>
          </w:tcPr>
          <w:p>
            <w:pPr>
              <w:spacing w:after="0"/>
              <w:rPr>
                <w:sz w:val="9"/>
                <w:szCs w:val="9"/>
                <w:color w:val="auto"/>
              </w:rPr>
            </w:pPr>
          </w:p>
        </w:tc>
        <w:tc>
          <w:tcPr>
            <w:tcW w:w="1580" w:type="dxa"/>
            <w:vAlign w:val="bottom"/>
            <w:tcBorders>
              <w:bottom w:val="single" w:sz="8" w:color="D2DCE5"/>
            </w:tcBorders>
            <w:vMerge w:val="continue"/>
            <w:shd w:val="clear" w:color="auto" w:fill="D2DCE5"/>
          </w:tcPr>
          <w:p>
            <w:pPr>
              <w:spacing w:after="0"/>
              <w:rPr>
                <w:sz w:val="9"/>
                <w:szCs w:val="9"/>
                <w:color w:val="auto"/>
              </w:rPr>
            </w:pPr>
          </w:p>
        </w:tc>
        <w:tc>
          <w:tcPr>
            <w:tcW w:w="100" w:type="dxa"/>
            <w:vAlign w:val="bottom"/>
            <w:tcBorders>
              <w:bottom w:val="single" w:sz="8" w:color="D2DCE5"/>
            </w:tcBorders>
            <w:shd w:val="clear" w:color="auto" w:fill="D2DCE5"/>
          </w:tcPr>
          <w:p>
            <w:pPr>
              <w:spacing w:after="0"/>
              <w:rPr>
                <w:sz w:val="9"/>
                <w:szCs w:val="9"/>
                <w:color w:val="auto"/>
              </w:rPr>
            </w:pPr>
          </w:p>
        </w:tc>
        <w:tc>
          <w:tcPr>
            <w:tcW w:w="220" w:type="dxa"/>
            <w:vAlign w:val="bottom"/>
            <w:tcBorders>
              <w:bottom w:val="single" w:sz="8" w:color="D2DCE5"/>
            </w:tcBorders>
            <w:shd w:val="clear" w:color="auto" w:fill="D2DCE5"/>
          </w:tcPr>
          <w:p>
            <w:pPr>
              <w:spacing w:after="0"/>
              <w:rPr>
                <w:sz w:val="9"/>
                <w:szCs w:val="9"/>
                <w:color w:val="auto"/>
              </w:rPr>
            </w:pPr>
          </w:p>
        </w:tc>
        <w:tc>
          <w:tcPr>
            <w:tcW w:w="1580" w:type="dxa"/>
            <w:vAlign w:val="bottom"/>
            <w:tcBorders>
              <w:bottom w:val="single" w:sz="8" w:color="D2DCE5"/>
            </w:tcBorders>
            <w:vMerge w:val="continue"/>
            <w:shd w:val="clear" w:color="auto" w:fill="D2DCE5"/>
          </w:tcPr>
          <w:p>
            <w:pPr>
              <w:spacing w:after="0"/>
              <w:rPr>
                <w:sz w:val="9"/>
                <w:szCs w:val="9"/>
                <w:color w:val="auto"/>
              </w:rPr>
            </w:pPr>
          </w:p>
        </w:tc>
        <w:tc>
          <w:tcPr>
            <w:tcW w:w="0" w:type="dxa"/>
            <w:vAlign w:val="bottom"/>
          </w:tcPr>
          <w:p>
            <w:pPr>
              <w:spacing w:after="0"/>
              <w:rPr>
                <w:sz w:val="1"/>
                <w:szCs w:val="1"/>
                <w:color w:val="auto"/>
              </w:rPr>
            </w:pPr>
          </w:p>
        </w:tc>
      </w:tr>
      <w:tr>
        <w:trPr>
          <w:trHeight w:val="294"/>
        </w:trPr>
        <w:tc>
          <w:tcPr>
            <w:tcW w:w="5620" w:type="dxa"/>
            <w:vAlign w:val="bottom"/>
            <w:gridSpan w:val="2"/>
          </w:tcPr>
          <w:p>
            <w:pPr>
              <w:ind w:left="20"/>
              <w:spacing w:after="0"/>
              <w:rPr>
                <w:sz w:val="20"/>
                <w:szCs w:val="20"/>
                <w:color w:val="auto"/>
              </w:rPr>
            </w:pPr>
            <w:r>
              <w:rPr>
                <w:rFonts w:ascii="Arial" w:cs="Arial" w:eastAsia="Arial" w:hAnsi="Arial"/>
                <w:sz w:val="18"/>
                <w:szCs w:val="18"/>
                <w:color w:val="131E29"/>
              </w:rPr>
              <w:t xml:space="preserve">NET LOSS ATTRIBUTABLE TO DUTCH BROS INC. </w:t>
            </w:r>
            <w:r>
              <w:rPr>
                <w:rFonts w:ascii="Arial" w:cs="Arial" w:eastAsia="Arial" w:hAnsi="Arial"/>
                <w:sz w:val="23"/>
                <w:szCs w:val="23"/>
                <w:color w:val="131E29"/>
                <w:vertAlign w:val="superscript"/>
              </w:rPr>
              <w:t>1</w:t>
            </w: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131E29"/>
                <w:w w:val="79"/>
              </w:rPr>
              <w:t>$</w:t>
            </w:r>
          </w:p>
        </w:tc>
        <w:tc>
          <w:tcPr>
            <w:tcW w:w="15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rPr>
              <w:t>(11,166)</w:t>
            </w:r>
          </w:p>
        </w:tc>
        <w:tc>
          <w:tcPr>
            <w:tcW w:w="100" w:type="dxa"/>
            <w:vAlign w:val="bottom"/>
          </w:tcPr>
          <w:p>
            <w:pPr>
              <w:spacing w:after="0"/>
              <w:rPr>
                <w:sz w:val="24"/>
                <w:szCs w:val="24"/>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131E29"/>
                <w:w w:val="99"/>
              </w:rPr>
              <w:t>$</w:t>
            </w:r>
          </w:p>
        </w:tc>
        <w:tc>
          <w:tcPr>
            <w:tcW w:w="15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rPr>
              <w:t>89</w:t>
            </w:r>
          </w:p>
        </w:tc>
        <w:tc>
          <w:tcPr>
            <w:tcW w:w="100" w:type="dxa"/>
            <w:vAlign w:val="bottom"/>
          </w:tcPr>
          <w:p>
            <w:pPr>
              <w:spacing w:after="0"/>
              <w:rPr>
                <w:sz w:val="24"/>
                <w:szCs w:val="24"/>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131E29"/>
                <w:w w:val="79"/>
              </w:rPr>
              <w:t>$</w:t>
            </w:r>
          </w:p>
        </w:tc>
        <w:tc>
          <w:tcPr>
            <w:tcW w:w="15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rPr>
              <w:t>(11,077)</w:t>
            </w:r>
          </w:p>
        </w:tc>
        <w:tc>
          <w:tcPr>
            <w:tcW w:w="0" w:type="dxa"/>
            <w:vAlign w:val="bottom"/>
          </w:tcPr>
          <w:p>
            <w:pPr>
              <w:spacing w:after="0"/>
              <w:rPr>
                <w:sz w:val="1"/>
                <w:szCs w:val="1"/>
                <w:color w:val="auto"/>
              </w:rPr>
            </w:pPr>
          </w:p>
        </w:tc>
      </w:tr>
      <w:tr>
        <w:trPr>
          <w:trHeight w:val="64"/>
        </w:trPr>
        <w:tc>
          <w:tcPr>
            <w:tcW w:w="5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77" w:lineRule="exact"/>
        <w:rPr>
          <w:sz w:val="20"/>
          <w:szCs w:val="20"/>
          <w:color w:val="auto"/>
        </w:rPr>
      </w:pPr>
    </w:p>
    <w:p>
      <w:pPr>
        <w:jc w:val="both"/>
        <w:ind w:left="180" w:hanging="172"/>
        <w:spacing w:after="0" w:line="226" w:lineRule="auto"/>
        <w:tabs>
          <w:tab w:leader="none" w:pos="187"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Amounts and balances have been updated to reflect reclassifications based on updated timing and sequence of certain Reorganization Transactions and purchase of Dutch Bros OpCo Class A common units in connection with the IPO from previously reported figures in the Company’s Form 10-Q for the period ended September 30, 2021, as filed with the SEC on November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gridSpan w:val="4"/>
          </w:tcPr>
          <w:p>
            <w:pPr>
              <w:spacing w:after="0"/>
              <w:rPr>
                <w:sz w:val="20"/>
                <w:szCs w:val="20"/>
                <w:color w:val="auto"/>
              </w:rPr>
            </w:pPr>
            <w:r>
              <w:rPr>
                <w:rFonts w:ascii="Arial" w:cs="Arial" w:eastAsia="Arial" w:hAnsi="Arial"/>
                <w:sz w:val="18"/>
                <w:szCs w:val="18"/>
                <w:color w:val="006098"/>
              </w:rPr>
              <w:t>Condensed Consolidated Statements of Stockholders’/Members’ Equity:</w:t>
            </w: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53"/>
        </w:trPr>
        <w:tc>
          <w:tcPr>
            <w:tcW w:w="5520" w:type="dxa"/>
            <w:vAlign w:val="bottom"/>
            <w:tcBorders>
              <w:top w:val="single" w:sz="8" w:color="006098"/>
            </w:tcBorders>
          </w:tcPr>
          <w:p>
            <w:pPr>
              <w:spacing w:after="0"/>
              <w:rPr>
                <w:sz w:val="24"/>
                <w:szCs w:val="24"/>
                <w:color w:val="auto"/>
              </w:rPr>
            </w:pPr>
          </w:p>
        </w:tc>
        <w:tc>
          <w:tcPr>
            <w:tcW w:w="100" w:type="dxa"/>
            <w:vAlign w:val="bottom"/>
            <w:tcBorders>
              <w:top w:val="single" w:sz="8" w:color="006098"/>
            </w:tcBorders>
          </w:tcPr>
          <w:p>
            <w:pPr>
              <w:spacing w:after="0"/>
              <w:rPr>
                <w:sz w:val="24"/>
                <w:szCs w:val="24"/>
                <w:color w:val="auto"/>
              </w:rPr>
            </w:pPr>
          </w:p>
        </w:tc>
        <w:tc>
          <w:tcPr>
            <w:tcW w:w="140" w:type="dxa"/>
            <w:vAlign w:val="bottom"/>
            <w:tcBorders>
              <w:top w:val="single" w:sz="8" w:color="006098"/>
            </w:tcBorders>
          </w:tcPr>
          <w:p>
            <w:pPr>
              <w:spacing w:after="0"/>
              <w:rPr>
                <w:sz w:val="24"/>
                <w:szCs w:val="24"/>
                <w:color w:val="auto"/>
              </w:rPr>
            </w:pPr>
          </w:p>
        </w:tc>
        <w:tc>
          <w:tcPr>
            <w:tcW w:w="80" w:type="dxa"/>
            <w:vAlign w:val="bottom"/>
          </w:tcPr>
          <w:p>
            <w:pPr>
              <w:spacing w:after="0"/>
              <w:rPr>
                <w:sz w:val="24"/>
                <w:szCs w:val="24"/>
                <w:color w:val="auto"/>
              </w:rPr>
            </w:pPr>
          </w:p>
        </w:tc>
        <w:tc>
          <w:tcPr>
            <w:tcW w:w="5400" w:type="dxa"/>
            <w:vAlign w:val="bottom"/>
            <w:gridSpan w:val="7"/>
          </w:tcPr>
          <w:p>
            <w:pPr>
              <w:jc w:val="right"/>
              <w:ind w:right="970"/>
              <w:spacing w:after="0"/>
              <w:rPr>
                <w:sz w:val="20"/>
                <w:szCs w:val="20"/>
                <w:color w:val="auto"/>
              </w:rPr>
            </w:pPr>
            <w:r>
              <w:rPr>
                <w:rFonts w:ascii="Arial" w:cs="Arial" w:eastAsia="Arial" w:hAnsi="Arial"/>
                <w:sz w:val="18"/>
                <w:szCs w:val="18"/>
                <w:b w:val="1"/>
                <w:bCs w:val="1"/>
                <w:color w:val="131E29"/>
              </w:rPr>
              <w:t>Three Months Ended September 30, 2021</w:t>
            </w:r>
          </w:p>
        </w:tc>
      </w:tr>
      <w:tr>
        <w:trPr>
          <w:trHeight w:val="27"/>
        </w:trPr>
        <w:tc>
          <w:tcPr>
            <w:tcW w:w="562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131E29"/>
              </w:rPr>
              <w:t xml:space="preserve">As Reported </w:t>
            </w:r>
            <w:r>
              <w:rPr>
                <w:rFonts w:ascii="Arial" w:cs="Arial" w:eastAsia="Arial" w:hAnsi="Arial"/>
                <w:sz w:val="23"/>
                <w:szCs w:val="23"/>
                <w:b w:val="1"/>
                <w:bCs w:val="1"/>
                <w:color w:val="131E29"/>
                <w:vertAlign w:val="superscript"/>
              </w:rPr>
              <w:t>1</w:t>
            </w:r>
          </w:p>
        </w:tc>
        <w:tc>
          <w:tcPr>
            <w:tcW w:w="80" w:type="dxa"/>
            <w:vAlign w:val="bottom"/>
            <w:tcBorders>
              <w:bottom w:val="single" w:sz="8" w:color="D2DCE5"/>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131E29"/>
              </w:rPr>
              <w:t>Adjustments</w:t>
            </w:r>
          </w:p>
        </w:tc>
        <w:tc>
          <w:tcPr>
            <w:tcW w:w="100" w:type="dxa"/>
            <w:vAlign w:val="bottom"/>
            <w:tcBorders>
              <w:bottom w:val="single" w:sz="8" w:color="D2DCE5"/>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131E29"/>
              </w:rPr>
              <w:t>As Corrected</w:t>
            </w:r>
          </w:p>
        </w:tc>
      </w:tr>
      <w:tr>
        <w:trPr>
          <w:trHeight w:val="243"/>
        </w:trPr>
        <w:tc>
          <w:tcPr>
            <w:tcW w:w="56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i w:val="1"/>
                <w:iCs w:val="1"/>
                <w:color w:val="131E29"/>
              </w:rPr>
              <w:t>Members' Equity</w:t>
            </w:r>
          </w:p>
        </w:tc>
        <w:tc>
          <w:tcPr>
            <w:tcW w:w="14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spacing w:after="0"/>
              <w:rPr>
                <w:sz w:val="21"/>
                <w:szCs w:val="2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131E29"/>
              </w:rPr>
              <w:t>Balance, June 30, 2021</w:t>
            </w:r>
          </w:p>
        </w:tc>
        <w:tc>
          <w:tcPr>
            <w:tcW w:w="14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(127,279)</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131E29"/>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131E29"/>
              </w:rPr>
              <w:t>2,725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131E29"/>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131E29"/>
              </w:rPr>
              <w:t>(124,554)</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2"/>
        </w:trPr>
        <w:tc>
          <w:tcPr>
            <w:tcW w:w="5620" w:type="dxa"/>
            <w:vAlign w:val="bottom"/>
            <w:gridSpan w:val="2"/>
            <w:shd w:val="clear" w:color="auto" w:fill="D2DCE5"/>
          </w:tcPr>
          <w:p>
            <w:pPr>
              <w:ind w:left="360"/>
              <w:spacing w:after="0"/>
              <w:rPr>
                <w:sz w:val="20"/>
                <w:szCs w:val="20"/>
                <w:color w:val="auto"/>
              </w:rPr>
            </w:pPr>
            <w:r>
              <w:rPr>
                <w:rFonts w:ascii="Arial" w:cs="Arial" w:eastAsia="Arial" w:hAnsi="Arial"/>
                <w:sz w:val="18"/>
                <w:szCs w:val="18"/>
                <w:color w:val="131E29"/>
              </w:rPr>
              <w:t>Effect of the Reorganization Transactions and initial public</w:t>
            </w:r>
          </w:p>
        </w:tc>
        <w:tc>
          <w:tcPr>
            <w:tcW w:w="14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160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15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20" w:type="dxa"/>
            <w:vAlign w:val="bottom"/>
            <w:shd w:val="clear" w:color="auto" w:fill="D2DCE5"/>
          </w:tcPr>
          <w:p>
            <w:pPr>
              <w:spacing w:after="0"/>
              <w:rPr>
                <w:sz w:val="21"/>
                <w:szCs w:val="21"/>
                <w:color w:val="auto"/>
              </w:rPr>
            </w:pPr>
          </w:p>
        </w:tc>
        <w:tc>
          <w:tcPr>
            <w:tcW w:w="1580" w:type="dxa"/>
            <w:vAlign w:val="bottom"/>
            <w:shd w:val="clear" w:color="auto" w:fill="D2DCE5"/>
          </w:tcPr>
          <w:p>
            <w:pPr>
              <w:spacing w:after="0"/>
              <w:rPr>
                <w:sz w:val="21"/>
                <w:szCs w:val="21"/>
                <w:color w:val="auto"/>
              </w:rPr>
            </w:pPr>
          </w:p>
        </w:tc>
      </w:tr>
      <w:tr>
        <w:trPr>
          <w:trHeight w:val="224"/>
        </w:trPr>
        <w:tc>
          <w:tcPr>
            <w:tcW w:w="562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offering on non-controlling interests</w:t>
            </w:r>
          </w:p>
        </w:tc>
        <w:tc>
          <w:tcPr>
            <w:tcW w:w="140" w:type="dxa"/>
            <w:vAlign w:val="bottom"/>
            <w:tcBorders>
              <w:bottom w:val="single" w:sz="8" w:color="D2DCE5"/>
            </w:tcBorders>
            <w:shd w:val="clear" w:color="auto" w:fill="D2DCE5"/>
          </w:tcPr>
          <w:p>
            <w:pPr>
              <w:spacing w:after="0"/>
              <w:rPr>
                <w:sz w:val="19"/>
                <w:szCs w:val="19"/>
                <w:color w:val="auto"/>
              </w:rPr>
            </w:pPr>
          </w:p>
        </w:tc>
        <w:tc>
          <w:tcPr>
            <w:tcW w:w="80" w:type="dxa"/>
            <w:vAlign w:val="bottom"/>
            <w:tcBorders>
              <w:bottom w:val="single" w:sz="8" w:color="D2DCE5"/>
            </w:tcBorders>
            <w:shd w:val="clear" w:color="auto" w:fill="D2DCE5"/>
          </w:tcPr>
          <w:p>
            <w:pPr>
              <w:spacing w:after="0"/>
              <w:rPr>
                <w:sz w:val="19"/>
                <w:szCs w:val="19"/>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50,745</w:t>
            </w:r>
          </w:p>
        </w:tc>
        <w:tc>
          <w:tcPr>
            <w:tcW w:w="80" w:type="dxa"/>
            <w:vAlign w:val="bottom"/>
            <w:tcBorders>
              <w:bottom w:val="single" w:sz="8" w:color="D2DCE5"/>
            </w:tcBorders>
            <w:shd w:val="clear" w:color="auto" w:fill="D2DCE5"/>
          </w:tcPr>
          <w:p>
            <w:pPr>
              <w:spacing w:after="0"/>
              <w:rPr>
                <w:sz w:val="19"/>
                <w:szCs w:val="19"/>
                <w:color w:val="auto"/>
              </w:rPr>
            </w:pPr>
          </w:p>
        </w:tc>
        <w:tc>
          <w:tcPr>
            <w:tcW w:w="240" w:type="dxa"/>
            <w:vAlign w:val="bottom"/>
            <w:tcBorders>
              <w:bottom w:val="single" w:sz="8" w:color="D2DCE5"/>
            </w:tcBorders>
            <w:shd w:val="clear" w:color="auto" w:fill="D2DCE5"/>
          </w:tcPr>
          <w:p>
            <w:pPr>
              <w:spacing w:after="0"/>
              <w:rPr>
                <w:sz w:val="19"/>
                <w:szCs w:val="19"/>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(2,725)</w:t>
            </w:r>
          </w:p>
        </w:tc>
        <w:tc>
          <w:tcPr>
            <w:tcW w:w="100" w:type="dxa"/>
            <w:vAlign w:val="bottom"/>
            <w:tcBorders>
              <w:bottom w:val="single" w:sz="8" w:color="D2DCE5"/>
            </w:tcBorders>
            <w:shd w:val="clear" w:color="auto" w:fill="D2DCE5"/>
          </w:tcPr>
          <w:p>
            <w:pPr>
              <w:spacing w:after="0"/>
              <w:rPr>
                <w:sz w:val="19"/>
                <w:szCs w:val="19"/>
                <w:color w:val="auto"/>
              </w:rPr>
            </w:pPr>
          </w:p>
        </w:tc>
        <w:tc>
          <w:tcPr>
            <w:tcW w:w="220" w:type="dxa"/>
            <w:vAlign w:val="bottom"/>
            <w:tcBorders>
              <w:bottom w:val="single" w:sz="8" w:color="D2DCE5"/>
            </w:tcBorders>
            <w:shd w:val="clear" w:color="auto" w:fill="D2DCE5"/>
          </w:tcPr>
          <w:p>
            <w:pPr>
              <w:spacing w:after="0"/>
              <w:rPr>
                <w:sz w:val="19"/>
                <w:szCs w:val="19"/>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48,020</w:t>
            </w:r>
          </w:p>
        </w:tc>
      </w:tr>
      <w:tr>
        <w:trPr>
          <w:trHeight w:val="256"/>
        </w:trPr>
        <w:tc>
          <w:tcPr>
            <w:tcW w:w="5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0"/>
        </w:trPr>
        <w:tc>
          <w:tcPr>
            <w:tcW w:w="56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i w:val="1"/>
                <w:iCs w:val="1"/>
                <w:color w:val="131E29"/>
              </w:rPr>
              <w:t>Additional Paid-in-Capital</w:t>
            </w:r>
          </w:p>
        </w:tc>
        <w:tc>
          <w:tcPr>
            <w:tcW w:w="14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spacing w:after="0"/>
              <w:rPr>
                <w:sz w:val="21"/>
                <w:szCs w:val="21"/>
                <w:color w:val="auto"/>
              </w:rPr>
            </w:pPr>
          </w:p>
        </w:tc>
      </w:tr>
      <w:tr>
        <w:trPr>
          <w:trHeight w:val="242"/>
        </w:trPr>
        <w:tc>
          <w:tcPr>
            <w:tcW w:w="5620" w:type="dxa"/>
            <w:vAlign w:val="bottom"/>
            <w:gridSpan w:val="2"/>
          </w:tcPr>
          <w:p>
            <w:pPr>
              <w:ind w:left="360"/>
              <w:spacing w:after="0"/>
              <w:rPr>
                <w:sz w:val="20"/>
                <w:szCs w:val="20"/>
                <w:color w:val="auto"/>
              </w:rPr>
            </w:pPr>
            <w:r>
              <w:rPr>
                <w:rFonts w:ascii="Arial" w:cs="Arial" w:eastAsia="Arial" w:hAnsi="Arial"/>
                <w:sz w:val="18"/>
                <w:szCs w:val="18"/>
                <w:color w:val="131E29"/>
              </w:rPr>
              <w:t>Effect of the Reorganization Transactions and initial public</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17"/>
        </w:trPr>
        <w:tc>
          <w:tcPr>
            <w:tcW w:w="5620" w:type="dxa"/>
            <w:vAlign w:val="bottom"/>
            <w:gridSpan w:val="2"/>
          </w:tcPr>
          <w:p>
            <w:pPr>
              <w:ind w:left="360"/>
              <w:spacing w:after="0"/>
              <w:rPr>
                <w:sz w:val="20"/>
                <w:szCs w:val="20"/>
                <w:color w:val="auto"/>
              </w:rPr>
            </w:pPr>
            <w:r>
              <w:rPr>
                <w:rFonts w:ascii="Arial" w:cs="Arial" w:eastAsia="Arial" w:hAnsi="Arial"/>
                <w:sz w:val="18"/>
                <w:szCs w:val="18"/>
                <w:color w:val="131E29"/>
              </w:rPr>
              <w:t>offering on non-controlling interests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(196,515)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579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(195,936)</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2"/>
        </w:trPr>
        <w:tc>
          <w:tcPr>
            <w:tcW w:w="5620" w:type="dxa"/>
            <w:vAlign w:val="bottom"/>
            <w:gridSpan w:val="2"/>
            <w:shd w:val="clear" w:color="auto" w:fill="D2DCE5"/>
          </w:tcPr>
          <w:p>
            <w:pPr>
              <w:ind w:left="360"/>
              <w:spacing w:after="0"/>
              <w:rPr>
                <w:sz w:val="20"/>
                <w:szCs w:val="20"/>
                <w:color w:val="auto"/>
              </w:rPr>
            </w:pPr>
            <w:r>
              <w:rPr>
                <w:rFonts w:ascii="Arial" w:cs="Arial" w:eastAsia="Arial" w:hAnsi="Arial"/>
                <w:sz w:val="18"/>
                <w:szCs w:val="18"/>
                <w:color w:val="131E29"/>
              </w:rPr>
              <w:t>Purchase of OpCo Units in connection with the initial public</w:t>
            </w:r>
          </w:p>
        </w:tc>
        <w:tc>
          <w:tcPr>
            <w:tcW w:w="14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160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15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20" w:type="dxa"/>
            <w:vAlign w:val="bottom"/>
            <w:shd w:val="clear" w:color="auto" w:fill="D2DCE5"/>
          </w:tcPr>
          <w:p>
            <w:pPr>
              <w:spacing w:after="0"/>
              <w:rPr>
                <w:sz w:val="21"/>
                <w:szCs w:val="21"/>
                <w:color w:val="auto"/>
              </w:rPr>
            </w:pPr>
          </w:p>
        </w:tc>
        <w:tc>
          <w:tcPr>
            <w:tcW w:w="1580" w:type="dxa"/>
            <w:vAlign w:val="bottom"/>
            <w:shd w:val="clear" w:color="auto" w:fill="D2DCE5"/>
          </w:tcPr>
          <w:p>
            <w:pPr>
              <w:spacing w:after="0"/>
              <w:rPr>
                <w:sz w:val="21"/>
                <w:szCs w:val="21"/>
                <w:color w:val="auto"/>
              </w:rPr>
            </w:pPr>
          </w:p>
        </w:tc>
      </w:tr>
      <w:tr>
        <w:trPr>
          <w:trHeight w:val="224"/>
        </w:trPr>
        <w:tc>
          <w:tcPr>
            <w:tcW w:w="562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offering</w:t>
            </w:r>
          </w:p>
        </w:tc>
        <w:tc>
          <w:tcPr>
            <w:tcW w:w="140" w:type="dxa"/>
            <w:vAlign w:val="bottom"/>
            <w:tcBorders>
              <w:bottom w:val="single" w:sz="8" w:color="D2DCE5"/>
            </w:tcBorders>
            <w:shd w:val="clear" w:color="auto" w:fill="D2DCE5"/>
          </w:tcPr>
          <w:p>
            <w:pPr>
              <w:spacing w:after="0"/>
              <w:rPr>
                <w:sz w:val="19"/>
                <w:szCs w:val="19"/>
                <w:color w:val="auto"/>
              </w:rPr>
            </w:pPr>
          </w:p>
        </w:tc>
        <w:tc>
          <w:tcPr>
            <w:tcW w:w="80" w:type="dxa"/>
            <w:vAlign w:val="bottom"/>
            <w:tcBorders>
              <w:bottom w:val="single" w:sz="8" w:color="D2DCE5"/>
            </w:tcBorders>
            <w:shd w:val="clear" w:color="auto" w:fill="D2DCE5"/>
          </w:tcPr>
          <w:p>
            <w:pPr>
              <w:spacing w:after="0"/>
              <w:rPr>
                <w:sz w:val="19"/>
                <w:szCs w:val="19"/>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(239,622)</w:t>
            </w:r>
          </w:p>
        </w:tc>
        <w:tc>
          <w:tcPr>
            <w:tcW w:w="80" w:type="dxa"/>
            <w:vAlign w:val="bottom"/>
            <w:tcBorders>
              <w:bottom w:val="single" w:sz="8" w:color="D2DCE5"/>
            </w:tcBorders>
            <w:shd w:val="clear" w:color="auto" w:fill="D2DCE5"/>
          </w:tcPr>
          <w:p>
            <w:pPr>
              <w:spacing w:after="0"/>
              <w:rPr>
                <w:sz w:val="19"/>
                <w:szCs w:val="19"/>
                <w:color w:val="auto"/>
              </w:rPr>
            </w:pPr>
          </w:p>
        </w:tc>
        <w:tc>
          <w:tcPr>
            <w:tcW w:w="240" w:type="dxa"/>
            <w:vAlign w:val="bottom"/>
            <w:tcBorders>
              <w:bottom w:val="single" w:sz="8" w:color="D2DCE5"/>
            </w:tcBorders>
            <w:shd w:val="clear" w:color="auto" w:fill="D2DCE5"/>
          </w:tcPr>
          <w:p>
            <w:pPr>
              <w:spacing w:after="0"/>
              <w:rPr>
                <w:sz w:val="19"/>
                <w:szCs w:val="19"/>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201</w:t>
            </w:r>
          </w:p>
        </w:tc>
        <w:tc>
          <w:tcPr>
            <w:tcW w:w="100" w:type="dxa"/>
            <w:vAlign w:val="bottom"/>
            <w:tcBorders>
              <w:bottom w:val="single" w:sz="8" w:color="D2DCE5"/>
            </w:tcBorders>
            <w:shd w:val="clear" w:color="auto" w:fill="D2DCE5"/>
          </w:tcPr>
          <w:p>
            <w:pPr>
              <w:spacing w:after="0"/>
              <w:rPr>
                <w:sz w:val="19"/>
                <w:szCs w:val="19"/>
                <w:color w:val="auto"/>
              </w:rPr>
            </w:pPr>
          </w:p>
        </w:tc>
        <w:tc>
          <w:tcPr>
            <w:tcW w:w="220" w:type="dxa"/>
            <w:vAlign w:val="bottom"/>
            <w:tcBorders>
              <w:bottom w:val="single" w:sz="8" w:color="D2DCE5"/>
            </w:tcBorders>
            <w:shd w:val="clear" w:color="auto" w:fill="D2DCE5"/>
          </w:tcPr>
          <w:p>
            <w:pPr>
              <w:spacing w:after="0"/>
              <w:rPr>
                <w:sz w:val="19"/>
                <w:szCs w:val="19"/>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(239,421)</w:t>
            </w:r>
          </w:p>
        </w:tc>
      </w:tr>
      <w:tr>
        <w:trPr>
          <w:trHeight w:val="243"/>
        </w:trPr>
        <w:tc>
          <w:tcPr>
            <w:tcW w:w="5620" w:type="dxa"/>
            <w:vAlign w:val="bottom"/>
            <w:gridSpan w:val="2"/>
          </w:tcPr>
          <w:p>
            <w:pPr>
              <w:ind w:left="360"/>
              <w:spacing w:after="0"/>
              <w:rPr>
                <w:sz w:val="20"/>
                <w:szCs w:val="20"/>
                <w:color w:val="auto"/>
              </w:rPr>
            </w:pPr>
            <w:r>
              <w:rPr>
                <w:rFonts w:ascii="Arial" w:cs="Arial" w:eastAsia="Arial" w:hAnsi="Arial"/>
                <w:sz w:val="18"/>
                <w:szCs w:val="18"/>
                <w:color w:val="131E29"/>
              </w:rPr>
              <w:t>Effect of exchange of Dutch Bros OpCo Class A common units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285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289</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6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Balance, September 30, 2021</w:t>
            </w:r>
          </w:p>
        </w:tc>
        <w:tc>
          <w:tcPr>
            <w:tcW w:w="14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104,259</w:t>
            </w:r>
          </w:p>
        </w:tc>
        <w:tc>
          <w:tcPr>
            <w:tcW w:w="8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784</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105,043</w:t>
            </w:r>
          </w:p>
        </w:tc>
      </w:tr>
      <w:tr>
        <w:trPr>
          <w:trHeight w:val="270"/>
        </w:trPr>
        <w:tc>
          <w:tcPr>
            <w:tcW w:w="5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56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i w:val="1"/>
                <w:iCs w:val="1"/>
                <w:color w:val="131E29"/>
              </w:rPr>
              <w:t>Accumulated Deficit</w:t>
            </w:r>
          </w:p>
        </w:tc>
        <w:tc>
          <w:tcPr>
            <w:tcW w:w="14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spacing w:after="0"/>
              <w:rPr>
                <w:sz w:val="21"/>
                <w:szCs w:val="21"/>
                <w:color w:val="auto"/>
              </w:rPr>
            </w:pPr>
          </w:p>
        </w:tc>
      </w:tr>
      <w:tr>
        <w:trPr>
          <w:trHeight w:val="243"/>
        </w:trPr>
        <w:tc>
          <w:tcPr>
            <w:tcW w:w="5620" w:type="dxa"/>
            <w:vAlign w:val="bottom"/>
            <w:gridSpan w:val="2"/>
          </w:tcPr>
          <w:p>
            <w:pPr>
              <w:ind w:left="360"/>
              <w:spacing w:after="0"/>
              <w:rPr>
                <w:sz w:val="20"/>
                <w:szCs w:val="20"/>
                <w:color w:val="auto"/>
              </w:rPr>
            </w:pPr>
            <w:r>
              <w:rPr>
                <w:rFonts w:ascii="Arial" w:cs="Arial" w:eastAsia="Arial" w:hAnsi="Arial"/>
                <w:sz w:val="18"/>
                <w:szCs w:val="18"/>
                <w:color w:val="131E29"/>
              </w:rPr>
              <w:t>Net loss subsequent to the Reorganization Transactions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(11,166)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(11,077)</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6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Balance, September 30, 2021</w:t>
            </w:r>
          </w:p>
        </w:tc>
        <w:tc>
          <w:tcPr>
            <w:tcW w:w="14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(11,166)</w:t>
            </w:r>
          </w:p>
        </w:tc>
        <w:tc>
          <w:tcPr>
            <w:tcW w:w="8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89</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(11,077)</w:t>
            </w:r>
          </w:p>
        </w:tc>
      </w:tr>
      <w:tr>
        <w:trPr>
          <w:trHeight w:val="257"/>
        </w:trPr>
        <w:tc>
          <w:tcPr>
            <w:tcW w:w="5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0"/>
        </w:trPr>
        <w:tc>
          <w:tcPr>
            <w:tcW w:w="56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i w:val="1"/>
                <w:iCs w:val="1"/>
                <w:color w:val="131E29"/>
              </w:rPr>
              <w:t>Non-Controlling Interests</w:t>
            </w:r>
          </w:p>
        </w:tc>
        <w:tc>
          <w:tcPr>
            <w:tcW w:w="14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spacing w:after="0"/>
              <w:rPr>
                <w:sz w:val="21"/>
                <w:szCs w:val="21"/>
                <w:color w:val="auto"/>
              </w:rPr>
            </w:pPr>
          </w:p>
        </w:tc>
      </w:tr>
      <w:tr>
        <w:trPr>
          <w:trHeight w:val="242"/>
        </w:trPr>
        <w:tc>
          <w:tcPr>
            <w:tcW w:w="5620" w:type="dxa"/>
            <w:vAlign w:val="bottom"/>
            <w:gridSpan w:val="2"/>
          </w:tcPr>
          <w:p>
            <w:pPr>
              <w:ind w:left="360"/>
              <w:spacing w:after="0"/>
              <w:rPr>
                <w:sz w:val="20"/>
                <w:szCs w:val="20"/>
                <w:color w:val="auto"/>
              </w:rPr>
            </w:pPr>
            <w:r>
              <w:rPr>
                <w:rFonts w:ascii="Arial" w:cs="Arial" w:eastAsia="Arial" w:hAnsi="Arial"/>
                <w:sz w:val="18"/>
                <w:szCs w:val="18"/>
                <w:color w:val="131E29"/>
              </w:rPr>
              <w:t>Effect of the Reorganization Transactions and initial public</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17"/>
        </w:trPr>
        <w:tc>
          <w:tcPr>
            <w:tcW w:w="5620" w:type="dxa"/>
            <w:vAlign w:val="bottom"/>
            <w:gridSpan w:val="2"/>
          </w:tcPr>
          <w:p>
            <w:pPr>
              <w:ind w:left="360"/>
              <w:spacing w:after="0"/>
              <w:rPr>
                <w:sz w:val="20"/>
                <w:szCs w:val="20"/>
                <w:color w:val="auto"/>
              </w:rPr>
            </w:pPr>
            <w:r>
              <w:rPr>
                <w:rFonts w:ascii="Arial" w:cs="Arial" w:eastAsia="Arial" w:hAnsi="Arial"/>
                <w:sz w:val="18"/>
                <w:szCs w:val="18"/>
                <w:color w:val="131E29"/>
              </w:rPr>
              <w:t>offering on non-controlling interests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145,768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2,146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147,914</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2"/>
        </w:trPr>
        <w:tc>
          <w:tcPr>
            <w:tcW w:w="5620" w:type="dxa"/>
            <w:vAlign w:val="bottom"/>
            <w:gridSpan w:val="2"/>
            <w:shd w:val="clear" w:color="auto" w:fill="D2DCE5"/>
          </w:tcPr>
          <w:p>
            <w:pPr>
              <w:ind w:left="360"/>
              <w:spacing w:after="0"/>
              <w:rPr>
                <w:sz w:val="20"/>
                <w:szCs w:val="20"/>
                <w:color w:val="auto"/>
              </w:rPr>
            </w:pPr>
            <w:r>
              <w:rPr>
                <w:rFonts w:ascii="Arial" w:cs="Arial" w:eastAsia="Arial" w:hAnsi="Arial"/>
                <w:sz w:val="18"/>
                <w:szCs w:val="18"/>
                <w:color w:val="131E29"/>
              </w:rPr>
              <w:t>Purchase of OpCo Units in connection with the initial public</w:t>
            </w:r>
          </w:p>
        </w:tc>
        <w:tc>
          <w:tcPr>
            <w:tcW w:w="14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160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15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20" w:type="dxa"/>
            <w:vAlign w:val="bottom"/>
            <w:shd w:val="clear" w:color="auto" w:fill="D2DCE5"/>
          </w:tcPr>
          <w:p>
            <w:pPr>
              <w:spacing w:after="0"/>
              <w:rPr>
                <w:sz w:val="21"/>
                <w:szCs w:val="21"/>
                <w:color w:val="auto"/>
              </w:rPr>
            </w:pPr>
          </w:p>
        </w:tc>
        <w:tc>
          <w:tcPr>
            <w:tcW w:w="1580" w:type="dxa"/>
            <w:vAlign w:val="bottom"/>
            <w:shd w:val="clear" w:color="auto" w:fill="D2DCE5"/>
          </w:tcPr>
          <w:p>
            <w:pPr>
              <w:spacing w:after="0"/>
              <w:rPr>
                <w:sz w:val="21"/>
                <w:szCs w:val="21"/>
                <w:color w:val="auto"/>
              </w:rPr>
            </w:pPr>
          </w:p>
        </w:tc>
      </w:tr>
      <w:tr>
        <w:trPr>
          <w:trHeight w:val="224"/>
        </w:trPr>
        <w:tc>
          <w:tcPr>
            <w:tcW w:w="562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offering</w:t>
            </w:r>
          </w:p>
        </w:tc>
        <w:tc>
          <w:tcPr>
            <w:tcW w:w="140" w:type="dxa"/>
            <w:vAlign w:val="bottom"/>
            <w:tcBorders>
              <w:bottom w:val="single" w:sz="8" w:color="D2DCE5"/>
            </w:tcBorders>
            <w:shd w:val="clear" w:color="auto" w:fill="D2DCE5"/>
          </w:tcPr>
          <w:p>
            <w:pPr>
              <w:spacing w:after="0"/>
              <w:rPr>
                <w:sz w:val="19"/>
                <w:szCs w:val="19"/>
                <w:color w:val="auto"/>
              </w:rPr>
            </w:pPr>
          </w:p>
        </w:tc>
        <w:tc>
          <w:tcPr>
            <w:tcW w:w="80" w:type="dxa"/>
            <w:vAlign w:val="bottom"/>
            <w:tcBorders>
              <w:bottom w:val="single" w:sz="8" w:color="D2DCE5"/>
            </w:tcBorders>
            <w:shd w:val="clear" w:color="auto" w:fill="D2DCE5"/>
          </w:tcPr>
          <w:p>
            <w:pPr>
              <w:spacing w:after="0"/>
              <w:rPr>
                <w:sz w:val="19"/>
                <w:szCs w:val="19"/>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(13,648)</w:t>
            </w:r>
          </w:p>
        </w:tc>
        <w:tc>
          <w:tcPr>
            <w:tcW w:w="80" w:type="dxa"/>
            <w:vAlign w:val="bottom"/>
            <w:tcBorders>
              <w:bottom w:val="single" w:sz="8" w:color="D2DCE5"/>
            </w:tcBorders>
            <w:shd w:val="clear" w:color="auto" w:fill="D2DCE5"/>
          </w:tcPr>
          <w:p>
            <w:pPr>
              <w:spacing w:after="0"/>
              <w:rPr>
                <w:sz w:val="19"/>
                <w:szCs w:val="19"/>
                <w:color w:val="auto"/>
              </w:rPr>
            </w:pPr>
          </w:p>
        </w:tc>
        <w:tc>
          <w:tcPr>
            <w:tcW w:w="240" w:type="dxa"/>
            <w:vAlign w:val="bottom"/>
            <w:tcBorders>
              <w:bottom w:val="single" w:sz="8" w:color="D2DCE5"/>
            </w:tcBorders>
            <w:shd w:val="clear" w:color="auto" w:fill="D2DCE5"/>
          </w:tcPr>
          <w:p>
            <w:pPr>
              <w:spacing w:after="0"/>
              <w:rPr>
                <w:sz w:val="19"/>
                <w:szCs w:val="19"/>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(201)</w:t>
            </w:r>
          </w:p>
        </w:tc>
        <w:tc>
          <w:tcPr>
            <w:tcW w:w="100" w:type="dxa"/>
            <w:vAlign w:val="bottom"/>
            <w:tcBorders>
              <w:bottom w:val="single" w:sz="8" w:color="D2DCE5"/>
            </w:tcBorders>
            <w:shd w:val="clear" w:color="auto" w:fill="D2DCE5"/>
          </w:tcPr>
          <w:p>
            <w:pPr>
              <w:spacing w:after="0"/>
              <w:rPr>
                <w:sz w:val="19"/>
                <w:szCs w:val="19"/>
                <w:color w:val="auto"/>
              </w:rPr>
            </w:pPr>
          </w:p>
        </w:tc>
        <w:tc>
          <w:tcPr>
            <w:tcW w:w="220" w:type="dxa"/>
            <w:vAlign w:val="bottom"/>
            <w:tcBorders>
              <w:bottom w:val="single" w:sz="8" w:color="D2DCE5"/>
            </w:tcBorders>
            <w:shd w:val="clear" w:color="auto" w:fill="D2DCE5"/>
          </w:tcPr>
          <w:p>
            <w:pPr>
              <w:spacing w:after="0"/>
              <w:rPr>
                <w:sz w:val="19"/>
                <w:szCs w:val="19"/>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(13,849)</w:t>
            </w:r>
          </w:p>
        </w:tc>
      </w:tr>
      <w:tr>
        <w:trPr>
          <w:trHeight w:val="243"/>
        </w:trPr>
        <w:tc>
          <w:tcPr>
            <w:tcW w:w="5620" w:type="dxa"/>
            <w:vAlign w:val="bottom"/>
            <w:gridSpan w:val="2"/>
          </w:tcPr>
          <w:p>
            <w:pPr>
              <w:ind w:left="360"/>
              <w:spacing w:after="0"/>
              <w:rPr>
                <w:sz w:val="20"/>
                <w:szCs w:val="20"/>
                <w:color w:val="auto"/>
              </w:rPr>
            </w:pPr>
            <w:r>
              <w:rPr>
                <w:rFonts w:ascii="Arial" w:cs="Arial" w:eastAsia="Arial" w:hAnsi="Arial"/>
                <w:sz w:val="18"/>
                <w:szCs w:val="18"/>
                <w:color w:val="131E29"/>
              </w:rPr>
              <w:t>Net loss subsequent to the Reorganization Transactions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(31,531)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219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(31,312)</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62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Effect of exchange of Dutch Bros OpCo Class A common units</w:t>
            </w:r>
          </w:p>
        </w:tc>
        <w:tc>
          <w:tcPr>
            <w:tcW w:w="14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(285)</w:t>
            </w:r>
          </w:p>
        </w:tc>
        <w:tc>
          <w:tcPr>
            <w:tcW w:w="8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(289)</w:t>
            </w: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131E29"/>
              </w:rPr>
              <w:t>Balance, September 30, 2021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116,527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2,160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118,687</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7"/>
        </w:trPr>
        <w:tc>
          <w:tcPr>
            <w:tcW w:w="55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4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160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240" w:type="dxa"/>
            <w:vAlign w:val="bottom"/>
            <w:shd w:val="clear" w:color="auto" w:fill="D2DCE5"/>
          </w:tcPr>
          <w:p>
            <w:pPr>
              <w:spacing w:after="0"/>
              <w:rPr>
                <w:sz w:val="22"/>
                <w:szCs w:val="22"/>
                <w:color w:val="auto"/>
              </w:rPr>
            </w:pPr>
          </w:p>
        </w:tc>
        <w:tc>
          <w:tcPr>
            <w:tcW w:w="158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20" w:type="dxa"/>
            <w:vAlign w:val="bottom"/>
            <w:shd w:val="clear" w:color="auto" w:fill="D2DCE5"/>
          </w:tcPr>
          <w:p>
            <w:pPr>
              <w:spacing w:after="0"/>
              <w:rPr>
                <w:sz w:val="22"/>
                <w:szCs w:val="22"/>
                <w:color w:val="auto"/>
              </w:rPr>
            </w:pPr>
          </w:p>
        </w:tc>
        <w:tc>
          <w:tcPr>
            <w:tcW w:w="1580" w:type="dxa"/>
            <w:vAlign w:val="bottom"/>
            <w:shd w:val="clear" w:color="auto" w:fill="D2DCE5"/>
          </w:tcPr>
          <w:p>
            <w:pPr>
              <w:spacing w:after="0"/>
              <w:rPr>
                <w:sz w:val="22"/>
                <w:szCs w:val="22"/>
                <w:color w:val="auto"/>
              </w:rPr>
            </w:pP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131E29"/>
              </w:rPr>
              <w:t>Total Equity</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6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Balance, June 30, 2021</w:t>
            </w:r>
          </w:p>
        </w:tc>
        <w:tc>
          <w:tcPr>
            <w:tcW w:w="14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(127,279)</w:t>
            </w:r>
          </w:p>
        </w:tc>
        <w:tc>
          <w:tcPr>
            <w:tcW w:w="8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2,725</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(124,554)</w:t>
            </w:r>
          </w:p>
        </w:tc>
      </w:tr>
      <w:tr>
        <w:trPr>
          <w:trHeight w:val="243"/>
        </w:trPr>
        <w:tc>
          <w:tcPr>
            <w:tcW w:w="5620" w:type="dxa"/>
            <w:vAlign w:val="bottom"/>
            <w:gridSpan w:val="2"/>
          </w:tcPr>
          <w:p>
            <w:pPr>
              <w:ind w:left="360"/>
              <w:spacing w:after="0"/>
              <w:rPr>
                <w:sz w:val="20"/>
                <w:szCs w:val="20"/>
                <w:color w:val="auto"/>
              </w:rPr>
            </w:pPr>
            <w:r>
              <w:rPr>
                <w:rFonts w:ascii="Arial" w:cs="Arial" w:eastAsia="Arial" w:hAnsi="Arial"/>
                <w:sz w:val="18"/>
                <w:szCs w:val="18"/>
                <w:color w:val="131E29"/>
              </w:rPr>
              <w:t>Net loss subsequent to the Reorganization Transactions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(42,697)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308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(42,389)</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6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Balance, September 30, 2021</w:t>
            </w:r>
          </w:p>
        </w:tc>
        <w:tc>
          <w:tcPr>
            <w:tcW w:w="14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209,622</w:t>
            </w:r>
          </w:p>
        </w:tc>
        <w:tc>
          <w:tcPr>
            <w:tcW w:w="8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3,033</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212,655</w:t>
            </w:r>
          </w:p>
        </w:tc>
      </w:tr>
      <w:tr>
        <w:trPr>
          <w:trHeight w:val="311"/>
        </w:trPr>
        <w:tc>
          <w:tcPr>
            <w:tcW w:w="5520" w:type="dxa"/>
            <w:vAlign w:val="bottom"/>
          </w:tcPr>
          <w:p>
            <w:pPr>
              <w:spacing w:after="0"/>
              <w:rPr>
                <w:sz w:val="20"/>
                <w:szCs w:val="20"/>
                <w:color w:val="auto"/>
              </w:rPr>
            </w:pPr>
            <w:r>
              <w:rPr>
                <w:rFonts w:ascii="Arial" w:cs="Arial" w:eastAsia="Arial" w:hAnsi="Arial"/>
                <w:sz w:val="18"/>
                <w:szCs w:val="18"/>
                <w:color w:val="131E29"/>
              </w:rPr>
              <w:t>_________________</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167" w:lineRule="exact"/>
        <w:rPr>
          <w:sz w:val="20"/>
          <w:szCs w:val="20"/>
          <w:color w:val="auto"/>
        </w:rPr>
      </w:pPr>
    </w:p>
    <w:p>
      <w:pPr>
        <w:jc w:val="both"/>
        <w:ind w:left="180" w:hanging="172"/>
        <w:spacing w:after="0" w:line="226" w:lineRule="auto"/>
        <w:tabs>
          <w:tab w:leader="none" w:pos="187"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Amounts and balances have been updated to reflect reclassifications based on updated timing and sequence of certain Reorganization Transactions and purchase of Dutch Bros OpCo Class A common units in connection with the IPO from previously reported figures in the Company’s Form 10-Q for the period ended September 30, 2021, as filed with the SEC on November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20" w:type="dxa"/>
            <w:vAlign w:val="bottom"/>
            <w:gridSpan w:val="7"/>
          </w:tcPr>
          <w:p>
            <w:pPr>
              <w:jc w:val="right"/>
              <w:ind w:right="1010"/>
              <w:spacing w:after="0"/>
              <w:rPr>
                <w:sz w:val="20"/>
                <w:szCs w:val="20"/>
                <w:color w:val="auto"/>
              </w:rPr>
            </w:pPr>
            <w:r>
              <w:rPr>
                <w:rFonts w:ascii="Arial" w:cs="Arial" w:eastAsia="Arial" w:hAnsi="Arial"/>
                <w:sz w:val="18"/>
                <w:szCs w:val="18"/>
                <w:b w:val="1"/>
                <w:bCs w:val="1"/>
                <w:color w:val="131E29"/>
              </w:rPr>
              <w:t>Nine Months Ended September 30, 2021</w:t>
            </w:r>
          </w:p>
        </w:tc>
      </w:tr>
      <w:tr>
        <w:trPr>
          <w:trHeight w:val="27"/>
        </w:trPr>
        <w:tc>
          <w:tcPr>
            <w:tcW w:w="562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131E29"/>
              </w:rPr>
              <w:t xml:space="preserve">As Reported </w:t>
            </w:r>
            <w:r>
              <w:rPr>
                <w:rFonts w:ascii="Arial" w:cs="Arial" w:eastAsia="Arial" w:hAnsi="Arial"/>
                <w:sz w:val="23"/>
                <w:szCs w:val="23"/>
                <w:b w:val="1"/>
                <w:bCs w:val="1"/>
                <w:color w:val="131E29"/>
                <w:vertAlign w:val="superscript"/>
              </w:rPr>
              <w:t>1</w:t>
            </w:r>
          </w:p>
        </w:tc>
        <w:tc>
          <w:tcPr>
            <w:tcW w:w="100" w:type="dxa"/>
            <w:vAlign w:val="bottom"/>
            <w:tcBorders>
              <w:bottom w:val="single" w:sz="8" w:color="D2DCE5"/>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131E29"/>
              </w:rPr>
              <w:t>Adjustments</w:t>
            </w:r>
          </w:p>
        </w:tc>
        <w:tc>
          <w:tcPr>
            <w:tcW w:w="100" w:type="dxa"/>
            <w:vAlign w:val="bottom"/>
            <w:tcBorders>
              <w:bottom w:val="single" w:sz="8" w:color="D2DCE5"/>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131E29"/>
              </w:rPr>
              <w:t>As Corrected</w:t>
            </w:r>
          </w:p>
        </w:tc>
      </w:tr>
      <w:tr>
        <w:trPr>
          <w:trHeight w:val="243"/>
        </w:trPr>
        <w:tc>
          <w:tcPr>
            <w:tcW w:w="56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i w:val="1"/>
                <w:iCs w:val="1"/>
                <w:color w:val="131E29"/>
              </w:rPr>
              <w:t>Members' Equity</w:t>
            </w:r>
          </w:p>
        </w:tc>
        <w:tc>
          <w:tcPr>
            <w:tcW w:w="20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spacing w:after="0"/>
              <w:rPr>
                <w:sz w:val="21"/>
                <w:szCs w:val="2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131E29"/>
              </w:rPr>
              <w:t>Balance, December 31, 2020</w:t>
            </w:r>
          </w:p>
        </w:tc>
        <w:tc>
          <w:tcPr>
            <w:tcW w:w="200" w:type="dxa"/>
            <w:vAlign w:val="bottom"/>
          </w:tcPr>
          <w:p>
            <w:pPr>
              <w:jc w:val="right"/>
              <w:ind w:right="10"/>
              <w:spacing w:after="0"/>
              <w:rPr>
                <w:sz w:val="20"/>
                <w:szCs w:val="20"/>
                <w:color w:val="auto"/>
              </w:rPr>
            </w:pPr>
            <w:r>
              <w:rPr>
                <w:rFonts w:ascii="Arial" w:cs="Arial" w:eastAsia="Arial" w:hAnsi="Arial"/>
                <w:sz w:val="18"/>
                <w:szCs w:val="18"/>
                <w:color w:val="131E29"/>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131E29"/>
              </w:rPr>
              <w:t>75,990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131E29"/>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131E29"/>
              </w:rPr>
              <w:t>1,497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131E29"/>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131E29"/>
              </w:rPr>
              <w:t>77,487</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62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Net loss prior to the Reorganization Transactions</w:t>
            </w:r>
          </w:p>
        </w:tc>
        <w:tc>
          <w:tcPr>
            <w:tcW w:w="20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(68,602)</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1,228</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(67,374)</w:t>
            </w:r>
          </w:p>
        </w:tc>
      </w:tr>
      <w:tr>
        <w:trPr>
          <w:trHeight w:val="242"/>
        </w:trPr>
        <w:tc>
          <w:tcPr>
            <w:tcW w:w="5620" w:type="dxa"/>
            <w:vAlign w:val="bottom"/>
            <w:gridSpan w:val="2"/>
          </w:tcPr>
          <w:p>
            <w:pPr>
              <w:ind w:left="360"/>
              <w:spacing w:after="0"/>
              <w:rPr>
                <w:sz w:val="20"/>
                <w:szCs w:val="20"/>
                <w:color w:val="auto"/>
              </w:rPr>
            </w:pPr>
            <w:r>
              <w:rPr>
                <w:rFonts w:ascii="Arial" w:cs="Arial" w:eastAsia="Arial" w:hAnsi="Arial"/>
                <w:sz w:val="18"/>
                <w:szCs w:val="18"/>
                <w:color w:val="131E29"/>
              </w:rPr>
              <w:t>Effect of the Reorganization Transactions and initial public</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17"/>
        </w:trPr>
        <w:tc>
          <w:tcPr>
            <w:tcW w:w="5620" w:type="dxa"/>
            <w:vAlign w:val="bottom"/>
            <w:gridSpan w:val="2"/>
          </w:tcPr>
          <w:p>
            <w:pPr>
              <w:ind w:left="360"/>
              <w:spacing w:after="0"/>
              <w:rPr>
                <w:sz w:val="20"/>
                <w:szCs w:val="20"/>
                <w:color w:val="auto"/>
              </w:rPr>
            </w:pPr>
            <w:r>
              <w:rPr>
                <w:rFonts w:ascii="Arial" w:cs="Arial" w:eastAsia="Arial" w:hAnsi="Arial"/>
                <w:sz w:val="18"/>
                <w:szCs w:val="18"/>
                <w:color w:val="131E29"/>
              </w:rPr>
              <w:t>offering on non-controlling interests</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50,745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(2,725)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48,020</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7"/>
        </w:trPr>
        <w:tc>
          <w:tcPr>
            <w:tcW w:w="55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00" w:type="dxa"/>
            <w:vAlign w:val="bottom"/>
            <w:shd w:val="clear" w:color="auto" w:fill="D2DCE5"/>
          </w:tcPr>
          <w:p>
            <w:pPr>
              <w:spacing w:after="0"/>
              <w:rPr>
                <w:sz w:val="22"/>
                <w:szCs w:val="22"/>
                <w:color w:val="auto"/>
              </w:rPr>
            </w:pPr>
          </w:p>
        </w:tc>
        <w:tc>
          <w:tcPr>
            <w:tcW w:w="160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40" w:type="dxa"/>
            <w:vAlign w:val="bottom"/>
            <w:shd w:val="clear" w:color="auto" w:fill="D2DCE5"/>
          </w:tcPr>
          <w:p>
            <w:pPr>
              <w:spacing w:after="0"/>
              <w:rPr>
                <w:sz w:val="22"/>
                <w:szCs w:val="22"/>
                <w:color w:val="auto"/>
              </w:rPr>
            </w:pPr>
          </w:p>
        </w:tc>
        <w:tc>
          <w:tcPr>
            <w:tcW w:w="158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20" w:type="dxa"/>
            <w:vAlign w:val="bottom"/>
            <w:shd w:val="clear" w:color="auto" w:fill="D2DCE5"/>
          </w:tcPr>
          <w:p>
            <w:pPr>
              <w:spacing w:after="0"/>
              <w:rPr>
                <w:sz w:val="22"/>
                <w:szCs w:val="22"/>
                <w:color w:val="auto"/>
              </w:rPr>
            </w:pPr>
          </w:p>
        </w:tc>
        <w:tc>
          <w:tcPr>
            <w:tcW w:w="1580" w:type="dxa"/>
            <w:vAlign w:val="bottom"/>
            <w:shd w:val="clear" w:color="auto" w:fill="D2DCE5"/>
          </w:tcPr>
          <w:p>
            <w:pPr>
              <w:spacing w:after="0"/>
              <w:rPr>
                <w:sz w:val="22"/>
                <w:szCs w:val="22"/>
                <w:color w:val="auto"/>
              </w:rPr>
            </w:pP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131E29"/>
              </w:rPr>
              <w:t>Additional Paid-in-Capital</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2"/>
        </w:trPr>
        <w:tc>
          <w:tcPr>
            <w:tcW w:w="5620" w:type="dxa"/>
            <w:vAlign w:val="bottom"/>
            <w:gridSpan w:val="2"/>
            <w:shd w:val="clear" w:color="auto" w:fill="D2DCE5"/>
          </w:tcPr>
          <w:p>
            <w:pPr>
              <w:ind w:left="360"/>
              <w:spacing w:after="0"/>
              <w:rPr>
                <w:sz w:val="20"/>
                <w:szCs w:val="20"/>
                <w:color w:val="auto"/>
              </w:rPr>
            </w:pPr>
            <w:r>
              <w:rPr>
                <w:rFonts w:ascii="Arial" w:cs="Arial" w:eastAsia="Arial" w:hAnsi="Arial"/>
                <w:sz w:val="18"/>
                <w:szCs w:val="18"/>
                <w:color w:val="131E29"/>
              </w:rPr>
              <w:t>Effect of the Reorganization Transactions and initial public</w:t>
            </w:r>
          </w:p>
        </w:tc>
        <w:tc>
          <w:tcPr>
            <w:tcW w:w="200" w:type="dxa"/>
            <w:vAlign w:val="bottom"/>
            <w:shd w:val="clear" w:color="auto" w:fill="D2DCE5"/>
          </w:tcPr>
          <w:p>
            <w:pPr>
              <w:spacing w:after="0"/>
              <w:rPr>
                <w:sz w:val="21"/>
                <w:szCs w:val="21"/>
                <w:color w:val="auto"/>
              </w:rPr>
            </w:pPr>
          </w:p>
        </w:tc>
        <w:tc>
          <w:tcPr>
            <w:tcW w:w="160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15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20" w:type="dxa"/>
            <w:vAlign w:val="bottom"/>
            <w:shd w:val="clear" w:color="auto" w:fill="D2DCE5"/>
          </w:tcPr>
          <w:p>
            <w:pPr>
              <w:spacing w:after="0"/>
              <w:rPr>
                <w:sz w:val="21"/>
                <w:szCs w:val="21"/>
                <w:color w:val="auto"/>
              </w:rPr>
            </w:pPr>
          </w:p>
        </w:tc>
        <w:tc>
          <w:tcPr>
            <w:tcW w:w="1580" w:type="dxa"/>
            <w:vAlign w:val="bottom"/>
            <w:shd w:val="clear" w:color="auto" w:fill="D2DCE5"/>
          </w:tcPr>
          <w:p>
            <w:pPr>
              <w:spacing w:after="0"/>
              <w:rPr>
                <w:sz w:val="21"/>
                <w:szCs w:val="21"/>
                <w:color w:val="auto"/>
              </w:rPr>
            </w:pPr>
          </w:p>
        </w:tc>
      </w:tr>
      <w:tr>
        <w:trPr>
          <w:trHeight w:val="224"/>
        </w:trPr>
        <w:tc>
          <w:tcPr>
            <w:tcW w:w="562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offering on non-controlling interests</w:t>
            </w:r>
          </w:p>
        </w:tc>
        <w:tc>
          <w:tcPr>
            <w:tcW w:w="200" w:type="dxa"/>
            <w:vAlign w:val="bottom"/>
            <w:tcBorders>
              <w:bottom w:val="single" w:sz="8" w:color="D2DCE5"/>
            </w:tcBorders>
            <w:shd w:val="clear" w:color="auto" w:fill="D2DCE5"/>
          </w:tcPr>
          <w:p>
            <w:pPr>
              <w:spacing w:after="0"/>
              <w:rPr>
                <w:sz w:val="19"/>
                <w:szCs w:val="19"/>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(196,515)</w:t>
            </w:r>
          </w:p>
        </w:tc>
        <w:tc>
          <w:tcPr>
            <w:tcW w:w="100" w:type="dxa"/>
            <w:vAlign w:val="bottom"/>
            <w:tcBorders>
              <w:bottom w:val="single" w:sz="8" w:color="D2DCE5"/>
            </w:tcBorders>
            <w:shd w:val="clear" w:color="auto" w:fill="D2DCE5"/>
          </w:tcPr>
          <w:p>
            <w:pPr>
              <w:spacing w:after="0"/>
              <w:rPr>
                <w:sz w:val="19"/>
                <w:szCs w:val="19"/>
                <w:color w:val="auto"/>
              </w:rPr>
            </w:pPr>
          </w:p>
        </w:tc>
        <w:tc>
          <w:tcPr>
            <w:tcW w:w="240" w:type="dxa"/>
            <w:vAlign w:val="bottom"/>
            <w:tcBorders>
              <w:bottom w:val="single" w:sz="8" w:color="D2DCE5"/>
            </w:tcBorders>
            <w:shd w:val="clear" w:color="auto" w:fill="D2DCE5"/>
          </w:tcPr>
          <w:p>
            <w:pPr>
              <w:spacing w:after="0"/>
              <w:rPr>
                <w:sz w:val="19"/>
                <w:szCs w:val="19"/>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579</w:t>
            </w:r>
          </w:p>
        </w:tc>
        <w:tc>
          <w:tcPr>
            <w:tcW w:w="100" w:type="dxa"/>
            <w:vAlign w:val="bottom"/>
            <w:tcBorders>
              <w:bottom w:val="single" w:sz="8" w:color="D2DCE5"/>
            </w:tcBorders>
            <w:shd w:val="clear" w:color="auto" w:fill="D2DCE5"/>
          </w:tcPr>
          <w:p>
            <w:pPr>
              <w:spacing w:after="0"/>
              <w:rPr>
                <w:sz w:val="19"/>
                <w:szCs w:val="19"/>
                <w:color w:val="auto"/>
              </w:rPr>
            </w:pPr>
          </w:p>
        </w:tc>
        <w:tc>
          <w:tcPr>
            <w:tcW w:w="220" w:type="dxa"/>
            <w:vAlign w:val="bottom"/>
            <w:tcBorders>
              <w:bottom w:val="single" w:sz="8" w:color="D2DCE5"/>
            </w:tcBorders>
            <w:shd w:val="clear" w:color="auto" w:fill="D2DCE5"/>
          </w:tcPr>
          <w:p>
            <w:pPr>
              <w:spacing w:after="0"/>
              <w:rPr>
                <w:sz w:val="19"/>
                <w:szCs w:val="19"/>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(195,936)</w:t>
            </w:r>
          </w:p>
        </w:tc>
      </w:tr>
      <w:tr>
        <w:trPr>
          <w:trHeight w:val="242"/>
        </w:trPr>
        <w:tc>
          <w:tcPr>
            <w:tcW w:w="5620" w:type="dxa"/>
            <w:vAlign w:val="bottom"/>
            <w:gridSpan w:val="2"/>
          </w:tcPr>
          <w:p>
            <w:pPr>
              <w:ind w:left="360"/>
              <w:spacing w:after="0"/>
              <w:rPr>
                <w:sz w:val="20"/>
                <w:szCs w:val="20"/>
                <w:color w:val="auto"/>
              </w:rPr>
            </w:pPr>
            <w:r>
              <w:rPr>
                <w:rFonts w:ascii="Arial" w:cs="Arial" w:eastAsia="Arial" w:hAnsi="Arial"/>
                <w:sz w:val="18"/>
                <w:szCs w:val="18"/>
                <w:color w:val="131E29"/>
              </w:rPr>
              <w:t>Purchase of OpCo Units in connection with the initial public</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17"/>
        </w:trPr>
        <w:tc>
          <w:tcPr>
            <w:tcW w:w="5620" w:type="dxa"/>
            <w:vAlign w:val="bottom"/>
            <w:gridSpan w:val="2"/>
          </w:tcPr>
          <w:p>
            <w:pPr>
              <w:ind w:left="360"/>
              <w:spacing w:after="0"/>
              <w:rPr>
                <w:sz w:val="20"/>
                <w:szCs w:val="20"/>
                <w:color w:val="auto"/>
              </w:rPr>
            </w:pPr>
            <w:r>
              <w:rPr>
                <w:rFonts w:ascii="Arial" w:cs="Arial" w:eastAsia="Arial" w:hAnsi="Arial"/>
                <w:sz w:val="18"/>
                <w:szCs w:val="18"/>
                <w:color w:val="131E29"/>
              </w:rPr>
              <w:t>offering</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(239,622)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201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(239,421)</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62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Effect of exchange of Dutch Bros OpCo Class A common units</w:t>
            </w:r>
          </w:p>
        </w:tc>
        <w:tc>
          <w:tcPr>
            <w:tcW w:w="20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285</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289</w:t>
            </w: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131E29"/>
              </w:rPr>
              <w:t>Balance, September 30, 2021</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104,259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784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105,043</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7"/>
        </w:trPr>
        <w:tc>
          <w:tcPr>
            <w:tcW w:w="55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00" w:type="dxa"/>
            <w:vAlign w:val="bottom"/>
            <w:shd w:val="clear" w:color="auto" w:fill="D2DCE5"/>
          </w:tcPr>
          <w:p>
            <w:pPr>
              <w:spacing w:after="0"/>
              <w:rPr>
                <w:sz w:val="22"/>
                <w:szCs w:val="22"/>
                <w:color w:val="auto"/>
              </w:rPr>
            </w:pPr>
          </w:p>
        </w:tc>
        <w:tc>
          <w:tcPr>
            <w:tcW w:w="160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40" w:type="dxa"/>
            <w:vAlign w:val="bottom"/>
            <w:shd w:val="clear" w:color="auto" w:fill="D2DCE5"/>
          </w:tcPr>
          <w:p>
            <w:pPr>
              <w:spacing w:after="0"/>
              <w:rPr>
                <w:sz w:val="22"/>
                <w:szCs w:val="22"/>
                <w:color w:val="auto"/>
              </w:rPr>
            </w:pPr>
          </w:p>
        </w:tc>
        <w:tc>
          <w:tcPr>
            <w:tcW w:w="158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20" w:type="dxa"/>
            <w:vAlign w:val="bottom"/>
            <w:shd w:val="clear" w:color="auto" w:fill="D2DCE5"/>
          </w:tcPr>
          <w:p>
            <w:pPr>
              <w:spacing w:after="0"/>
              <w:rPr>
                <w:sz w:val="22"/>
                <w:szCs w:val="22"/>
                <w:color w:val="auto"/>
              </w:rPr>
            </w:pPr>
          </w:p>
        </w:tc>
        <w:tc>
          <w:tcPr>
            <w:tcW w:w="1580" w:type="dxa"/>
            <w:vAlign w:val="bottom"/>
            <w:shd w:val="clear" w:color="auto" w:fill="D2DCE5"/>
          </w:tcPr>
          <w:p>
            <w:pPr>
              <w:spacing w:after="0"/>
              <w:rPr>
                <w:sz w:val="22"/>
                <w:szCs w:val="22"/>
                <w:color w:val="auto"/>
              </w:rPr>
            </w:pP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131E29"/>
              </w:rPr>
              <w:t>Accumulated Deficit</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62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Net loss subsequent to the Reorganization Transactions</w:t>
            </w:r>
          </w:p>
        </w:tc>
        <w:tc>
          <w:tcPr>
            <w:tcW w:w="20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(11,166)</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89</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(11,077)</w:t>
            </w: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131E29"/>
              </w:rPr>
              <w:t>Balance, September 30, 2021</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(11,166)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(11,077)</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6"/>
        </w:trPr>
        <w:tc>
          <w:tcPr>
            <w:tcW w:w="55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00" w:type="dxa"/>
            <w:vAlign w:val="bottom"/>
            <w:shd w:val="clear" w:color="auto" w:fill="D2DCE5"/>
          </w:tcPr>
          <w:p>
            <w:pPr>
              <w:spacing w:after="0"/>
              <w:rPr>
                <w:sz w:val="22"/>
                <w:szCs w:val="22"/>
                <w:color w:val="auto"/>
              </w:rPr>
            </w:pPr>
          </w:p>
        </w:tc>
        <w:tc>
          <w:tcPr>
            <w:tcW w:w="160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40" w:type="dxa"/>
            <w:vAlign w:val="bottom"/>
            <w:shd w:val="clear" w:color="auto" w:fill="D2DCE5"/>
          </w:tcPr>
          <w:p>
            <w:pPr>
              <w:spacing w:after="0"/>
              <w:rPr>
                <w:sz w:val="22"/>
                <w:szCs w:val="22"/>
                <w:color w:val="auto"/>
              </w:rPr>
            </w:pPr>
          </w:p>
        </w:tc>
        <w:tc>
          <w:tcPr>
            <w:tcW w:w="158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20" w:type="dxa"/>
            <w:vAlign w:val="bottom"/>
            <w:shd w:val="clear" w:color="auto" w:fill="D2DCE5"/>
          </w:tcPr>
          <w:p>
            <w:pPr>
              <w:spacing w:after="0"/>
              <w:rPr>
                <w:sz w:val="22"/>
                <w:szCs w:val="22"/>
                <w:color w:val="auto"/>
              </w:rPr>
            </w:pPr>
          </w:p>
        </w:tc>
        <w:tc>
          <w:tcPr>
            <w:tcW w:w="1580" w:type="dxa"/>
            <w:vAlign w:val="bottom"/>
            <w:shd w:val="clear" w:color="auto" w:fill="D2DCE5"/>
          </w:tcPr>
          <w:p>
            <w:pPr>
              <w:spacing w:after="0"/>
              <w:rPr>
                <w:sz w:val="22"/>
                <w:szCs w:val="22"/>
                <w:color w:val="auto"/>
              </w:rPr>
            </w:pP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131E29"/>
              </w:rPr>
              <w:t>Non-Controlling Interests</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2"/>
        </w:trPr>
        <w:tc>
          <w:tcPr>
            <w:tcW w:w="5620" w:type="dxa"/>
            <w:vAlign w:val="bottom"/>
            <w:gridSpan w:val="2"/>
            <w:shd w:val="clear" w:color="auto" w:fill="D2DCE5"/>
          </w:tcPr>
          <w:p>
            <w:pPr>
              <w:ind w:left="360"/>
              <w:spacing w:after="0"/>
              <w:rPr>
                <w:sz w:val="20"/>
                <w:szCs w:val="20"/>
                <w:color w:val="auto"/>
              </w:rPr>
            </w:pPr>
            <w:r>
              <w:rPr>
                <w:rFonts w:ascii="Arial" w:cs="Arial" w:eastAsia="Arial" w:hAnsi="Arial"/>
                <w:sz w:val="18"/>
                <w:szCs w:val="18"/>
                <w:color w:val="131E29"/>
              </w:rPr>
              <w:t>Effect of the Reorganization Transactions and initial public</w:t>
            </w:r>
          </w:p>
        </w:tc>
        <w:tc>
          <w:tcPr>
            <w:tcW w:w="200" w:type="dxa"/>
            <w:vAlign w:val="bottom"/>
            <w:shd w:val="clear" w:color="auto" w:fill="D2DCE5"/>
          </w:tcPr>
          <w:p>
            <w:pPr>
              <w:spacing w:after="0"/>
              <w:rPr>
                <w:sz w:val="21"/>
                <w:szCs w:val="21"/>
                <w:color w:val="auto"/>
              </w:rPr>
            </w:pPr>
          </w:p>
        </w:tc>
        <w:tc>
          <w:tcPr>
            <w:tcW w:w="160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15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20" w:type="dxa"/>
            <w:vAlign w:val="bottom"/>
            <w:shd w:val="clear" w:color="auto" w:fill="D2DCE5"/>
          </w:tcPr>
          <w:p>
            <w:pPr>
              <w:spacing w:after="0"/>
              <w:rPr>
                <w:sz w:val="21"/>
                <w:szCs w:val="21"/>
                <w:color w:val="auto"/>
              </w:rPr>
            </w:pPr>
          </w:p>
        </w:tc>
        <w:tc>
          <w:tcPr>
            <w:tcW w:w="1580" w:type="dxa"/>
            <w:vAlign w:val="bottom"/>
            <w:shd w:val="clear" w:color="auto" w:fill="D2DCE5"/>
          </w:tcPr>
          <w:p>
            <w:pPr>
              <w:spacing w:after="0"/>
              <w:rPr>
                <w:sz w:val="21"/>
                <w:szCs w:val="21"/>
                <w:color w:val="auto"/>
              </w:rPr>
            </w:pPr>
          </w:p>
        </w:tc>
      </w:tr>
      <w:tr>
        <w:trPr>
          <w:trHeight w:val="224"/>
        </w:trPr>
        <w:tc>
          <w:tcPr>
            <w:tcW w:w="562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offering on non-controlling interests</w:t>
            </w:r>
          </w:p>
        </w:tc>
        <w:tc>
          <w:tcPr>
            <w:tcW w:w="200" w:type="dxa"/>
            <w:vAlign w:val="bottom"/>
            <w:tcBorders>
              <w:bottom w:val="single" w:sz="8" w:color="D2DCE5"/>
            </w:tcBorders>
            <w:shd w:val="clear" w:color="auto" w:fill="D2DCE5"/>
          </w:tcPr>
          <w:p>
            <w:pPr>
              <w:spacing w:after="0"/>
              <w:rPr>
                <w:sz w:val="19"/>
                <w:szCs w:val="19"/>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145,768</w:t>
            </w:r>
          </w:p>
        </w:tc>
        <w:tc>
          <w:tcPr>
            <w:tcW w:w="100" w:type="dxa"/>
            <w:vAlign w:val="bottom"/>
            <w:tcBorders>
              <w:bottom w:val="single" w:sz="8" w:color="D2DCE5"/>
            </w:tcBorders>
            <w:shd w:val="clear" w:color="auto" w:fill="D2DCE5"/>
          </w:tcPr>
          <w:p>
            <w:pPr>
              <w:spacing w:after="0"/>
              <w:rPr>
                <w:sz w:val="19"/>
                <w:szCs w:val="19"/>
                <w:color w:val="auto"/>
              </w:rPr>
            </w:pPr>
          </w:p>
        </w:tc>
        <w:tc>
          <w:tcPr>
            <w:tcW w:w="240" w:type="dxa"/>
            <w:vAlign w:val="bottom"/>
            <w:tcBorders>
              <w:bottom w:val="single" w:sz="8" w:color="D2DCE5"/>
            </w:tcBorders>
            <w:shd w:val="clear" w:color="auto" w:fill="D2DCE5"/>
          </w:tcPr>
          <w:p>
            <w:pPr>
              <w:spacing w:after="0"/>
              <w:rPr>
                <w:sz w:val="19"/>
                <w:szCs w:val="19"/>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2,146</w:t>
            </w:r>
          </w:p>
        </w:tc>
        <w:tc>
          <w:tcPr>
            <w:tcW w:w="100" w:type="dxa"/>
            <w:vAlign w:val="bottom"/>
            <w:tcBorders>
              <w:bottom w:val="single" w:sz="8" w:color="D2DCE5"/>
            </w:tcBorders>
            <w:shd w:val="clear" w:color="auto" w:fill="D2DCE5"/>
          </w:tcPr>
          <w:p>
            <w:pPr>
              <w:spacing w:after="0"/>
              <w:rPr>
                <w:sz w:val="19"/>
                <w:szCs w:val="19"/>
                <w:color w:val="auto"/>
              </w:rPr>
            </w:pPr>
          </w:p>
        </w:tc>
        <w:tc>
          <w:tcPr>
            <w:tcW w:w="220" w:type="dxa"/>
            <w:vAlign w:val="bottom"/>
            <w:tcBorders>
              <w:bottom w:val="single" w:sz="8" w:color="D2DCE5"/>
            </w:tcBorders>
            <w:shd w:val="clear" w:color="auto" w:fill="D2DCE5"/>
          </w:tcPr>
          <w:p>
            <w:pPr>
              <w:spacing w:after="0"/>
              <w:rPr>
                <w:sz w:val="19"/>
                <w:szCs w:val="19"/>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147,914</w:t>
            </w:r>
          </w:p>
        </w:tc>
      </w:tr>
      <w:tr>
        <w:trPr>
          <w:trHeight w:val="242"/>
        </w:trPr>
        <w:tc>
          <w:tcPr>
            <w:tcW w:w="5620" w:type="dxa"/>
            <w:vAlign w:val="bottom"/>
            <w:gridSpan w:val="2"/>
          </w:tcPr>
          <w:p>
            <w:pPr>
              <w:ind w:left="360"/>
              <w:spacing w:after="0"/>
              <w:rPr>
                <w:sz w:val="20"/>
                <w:szCs w:val="20"/>
                <w:color w:val="auto"/>
              </w:rPr>
            </w:pPr>
            <w:r>
              <w:rPr>
                <w:rFonts w:ascii="Arial" w:cs="Arial" w:eastAsia="Arial" w:hAnsi="Arial"/>
                <w:sz w:val="18"/>
                <w:szCs w:val="18"/>
                <w:color w:val="131E29"/>
              </w:rPr>
              <w:t>Purchase of OpCo Units in connection with the initial public</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17"/>
        </w:trPr>
        <w:tc>
          <w:tcPr>
            <w:tcW w:w="5620" w:type="dxa"/>
            <w:vAlign w:val="bottom"/>
            <w:gridSpan w:val="2"/>
          </w:tcPr>
          <w:p>
            <w:pPr>
              <w:ind w:left="360"/>
              <w:spacing w:after="0"/>
              <w:rPr>
                <w:sz w:val="20"/>
                <w:szCs w:val="20"/>
                <w:color w:val="auto"/>
              </w:rPr>
            </w:pPr>
            <w:r>
              <w:rPr>
                <w:rFonts w:ascii="Arial" w:cs="Arial" w:eastAsia="Arial" w:hAnsi="Arial"/>
                <w:sz w:val="18"/>
                <w:szCs w:val="18"/>
                <w:color w:val="131E29"/>
              </w:rPr>
              <w:t>offering</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(13,648)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(201)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(13,849)</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62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Net loss subsequent to the Reorganization Transactions</w:t>
            </w:r>
          </w:p>
        </w:tc>
        <w:tc>
          <w:tcPr>
            <w:tcW w:w="20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(31,531)</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219</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(31,312)</w:t>
            </w:r>
          </w:p>
        </w:tc>
      </w:tr>
      <w:tr>
        <w:trPr>
          <w:trHeight w:val="243"/>
        </w:trPr>
        <w:tc>
          <w:tcPr>
            <w:tcW w:w="5620" w:type="dxa"/>
            <w:vAlign w:val="bottom"/>
            <w:gridSpan w:val="2"/>
          </w:tcPr>
          <w:p>
            <w:pPr>
              <w:ind w:left="360"/>
              <w:spacing w:after="0"/>
              <w:rPr>
                <w:sz w:val="20"/>
                <w:szCs w:val="20"/>
                <w:color w:val="auto"/>
              </w:rPr>
            </w:pPr>
            <w:r>
              <w:rPr>
                <w:rFonts w:ascii="Arial" w:cs="Arial" w:eastAsia="Arial" w:hAnsi="Arial"/>
                <w:sz w:val="18"/>
                <w:szCs w:val="18"/>
                <w:color w:val="131E29"/>
              </w:rPr>
              <w:t>Effect of exchange of Dutch Bros OpCo Class A common units</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(285)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(289)</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6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Balance, September 30, 2021</w:t>
            </w:r>
          </w:p>
        </w:tc>
        <w:tc>
          <w:tcPr>
            <w:tcW w:w="20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116,527</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2,160</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118,687</w:t>
            </w:r>
          </w:p>
        </w:tc>
      </w:tr>
      <w:tr>
        <w:trPr>
          <w:trHeight w:val="257"/>
        </w:trPr>
        <w:tc>
          <w:tcPr>
            <w:tcW w:w="5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0"/>
        </w:trPr>
        <w:tc>
          <w:tcPr>
            <w:tcW w:w="56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i w:val="1"/>
                <w:iCs w:val="1"/>
                <w:color w:val="131E29"/>
              </w:rPr>
              <w:t>Total Equity</w:t>
            </w:r>
          </w:p>
        </w:tc>
        <w:tc>
          <w:tcPr>
            <w:tcW w:w="20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spacing w:after="0"/>
              <w:rPr>
                <w:sz w:val="21"/>
                <w:szCs w:val="2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131E29"/>
              </w:rPr>
              <w:t>Balance, December 31, 2020</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75,990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1,497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77,487</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62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Net loss prior to the Reorganization Transactions</w:t>
            </w:r>
          </w:p>
        </w:tc>
        <w:tc>
          <w:tcPr>
            <w:tcW w:w="20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(68,602)</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1,228</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(67,374)</w:t>
            </w:r>
          </w:p>
        </w:tc>
      </w:tr>
      <w:tr>
        <w:trPr>
          <w:trHeight w:val="243"/>
        </w:trPr>
        <w:tc>
          <w:tcPr>
            <w:tcW w:w="5620" w:type="dxa"/>
            <w:vAlign w:val="bottom"/>
            <w:gridSpan w:val="2"/>
          </w:tcPr>
          <w:p>
            <w:pPr>
              <w:ind w:left="360"/>
              <w:spacing w:after="0"/>
              <w:rPr>
                <w:sz w:val="20"/>
                <w:szCs w:val="20"/>
                <w:color w:val="auto"/>
              </w:rPr>
            </w:pPr>
            <w:r>
              <w:rPr>
                <w:rFonts w:ascii="Arial" w:cs="Arial" w:eastAsia="Arial" w:hAnsi="Arial"/>
                <w:sz w:val="18"/>
                <w:szCs w:val="18"/>
                <w:color w:val="131E29"/>
              </w:rPr>
              <w:t>Net loss subsequent to the Reorganization Transactions</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(42,697)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308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(42,389)</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562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Balance, September 30, 2021</w:t>
            </w:r>
          </w:p>
        </w:tc>
        <w:tc>
          <w:tcPr>
            <w:tcW w:w="200" w:type="dxa"/>
            <w:vAlign w:val="bottom"/>
            <w:shd w:val="clear" w:color="auto" w:fill="D2DCE5"/>
          </w:tcPr>
          <w:p>
            <w:pPr>
              <w:spacing w:after="0"/>
              <w:rPr>
                <w:sz w:val="21"/>
                <w:szCs w:val="21"/>
                <w:color w:val="auto"/>
              </w:rPr>
            </w:pPr>
          </w:p>
        </w:tc>
        <w:tc>
          <w:tcPr>
            <w:tcW w:w="16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209,622</w:t>
            </w: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15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3,033</w:t>
            </w:r>
          </w:p>
        </w:tc>
        <w:tc>
          <w:tcPr>
            <w:tcW w:w="100" w:type="dxa"/>
            <w:vAlign w:val="bottom"/>
            <w:shd w:val="clear" w:color="auto" w:fill="D2DCE5"/>
          </w:tcPr>
          <w:p>
            <w:pPr>
              <w:spacing w:after="0"/>
              <w:rPr>
                <w:sz w:val="21"/>
                <w:szCs w:val="21"/>
                <w:color w:val="auto"/>
              </w:rPr>
            </w:pPr>
          </w:p>
        </w:tc>
        <w:tc>
          <w:tcPr>
            <w:tcW w:w="220" w:type="dxa"/>
            <w:vAlign w:val="bottom"/>
            <w:shd w:val="clear" w:color="auto" w:fill="D2DCE5"/>
          </w:tcPr>
          <w:p>
            <w:pPr>
              <w:spacing w:after="0"/>
              <w:rPr>
                <w:sz w:val="21"/>
                <w:szCs w:val="21"/>
                <w:color w:val="auto"/>
              </w:rPr>
            </w:pPr>
          </w:p>
        </w:tc>
        <w:tc>
          <w:tcPr>
            <w:tcW w:w="15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212,655</w:t>
            </w:r>
          </w:p>
        </w:tc>
      </w:tr>
      <w:tr>
        <w:trPr>
          <w:trHeight w:val="27"/>
        </w:trPr>
        <w:tc>
          <w:tcPr>
            <w:tcW w:w="552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200" w:type="dxa"/>
            <w:vAlign w:val="bottom"/>
            <w:shd w:val="clear" w:color="auto" w:fill="D2DCE5"/>
          </w:tcPr>
          <w:p>
            <w:pPr>
              <w:spacing w:after="0"/>
              <w:rPr>
                <w:sz w:val="2"/>
                <w:szCs w:val="2"/>
                <w:color w:val="auto"/>
              </w:rPr>
            </w:pPr>
          </w:p>
        </w:tc>
        <w:tc>
          <w:tcPr>
            <w:tcW w:w="160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240" w:type="dxa"/>
            <w:vAlign w:val="bottom"/>
            <w:shd w:val="clear" w:color="auto" w:fill="D2DCE5"/>
          </w:tcPr>
          <w:p>
            <w:pPr>
              <w:spacing w:after="0"/>
              <w:rPr>
                <w:sz w:val="2"/>
                <w:szCs w:val="2"/>
                <w:color w:val="auto"/>
              </w:rPr>
            </w:pPr>
          </w:p>
        </w:tc>
        <w:tc>
          <w:tcPr>
            <w:tcW w:w="158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220" w:type="dxa"/>
            <w:vAlign w:val="bottom"/>
            <w:shd w:val="clear" w:color="auto" w:fill="D2DCE5"/>
          </w:tcPr>
          <w:p>
            <w:pPr>
              <w:spacing w:after="0"/>
              <w:rPr>
                <w:sz w:val="2"/>
                <w:szCs w:val="2"/>
                <w:color w:val="auto"/>
              </w:rPr>
            </w:pPr>
          </w:p>
        </w:tc>
        <w:tc>
          <w:tcPr>
            <w:tcW w:w="1580" w:type="dxa"/>
            <w:vAlign w:val="bottom"/>
            <w:shd w:val="clear" w:color="auto" w:fill="D2DCE5"/>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77" w:lineRule="exact"/>
        <w:rPr>
          <w:sz w:val="20"/>
          <w:szCs w:val="20"/>
          <w:color w:val="auto"/>
        </w:rPr>
      </w:pPr>
    </w:p>
    <w:p>
      <w:pPr>
        <w:jc w:val="both"/>
        <w:ind w:left="180" w:hanging="172"/>
        <w:spacing w:after="0" w:line="226" w:lineRule="auto"/>
        <w:tabs>
          <w:tab w:leader="none" w:pos="187"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Amounts and balances have been updated to reflect reclassifications based on updated timing and sequence of certain Reorganization Transactions and purchase of Dutch Bros OpCo Class A common units in connection with the IPO from previously reported figures in the Company’s Form 10-Q for the period ended September 30, 2021, as filed with the SEC on November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3"/>
          </w:tcPr>
          <w:p>
            <w:pPr>
              <w:spacing w:after="0"/>
              <w:rPr>
                <w:sz w:val="20"/>
                <w:szCs w:val="20"/>
                <w:color w:val="auto"/>
              </w:rPr>
            </w:pPr>
            <w:r>
              <w:rPr>
                <w:rFonts w:ascii="Arial" w:cs="Arial" w:eastAsia="Arial" w:hAnsi="Arial"/>
                <w:sz w:val="18"/>
                <w:szCs w:val="18"/>
                <w:color w:val="006098"/>
              </w:rPr>
              <w:t>Condensed Consolidated Statement of Cash Flows:</w:t>
            </w: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53"/>
        </w:trPr>
        <w:tc>
          <w:tcPr>
            <w:tcW w:w="4140" w:type="dxa"/>
            <w:vAlign w:val="bottom"/>
            <w:tcBorders>
              <w:top w:val="single" w:sz="8" w:color="006098"/>
            </w:tcBorders>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gridSpan w:val="7"/>
          </w:tcPr>
          <w:p>
            <w:pPr>
              <w:jc w:val="center"/>
              <w:ind w:right="150"/>
              <w:spacing w:after="0"/>
              <w:rPr>
                <w:sz w:val="20"/>
                <w:szCs w:val="20"/>
                <w:color w:val="auto"/>
              </w:rPr>
            </w:pPr>
            <w:r>
              <w:rPr>
                <w:rFonts w:ascii="Arial" w:cs="Arial" w:eastAsia="Arial" w:hAnsi="Arial"/>
                <w:sz w:val="18"/>
                <w:szCs w:val="18"/>
                <w:b w:val="1"/>
                <w:bCs w:val="1"/>
                <w:color w:val="131E29"/>
              </w:rPr>
              <w:t>Nine Months Ended September 30, 2021</w:t>
            </w:r>
          </w:p>
        </w:tc>
      </w:tr>
      <w:tr>
        <w:trPr>
          <w:trHeight w:val="27"/>
        </w:trPr>
        <w:tc>
          <w:tcPr>
            <w:tcW w:w="5620" w:type="dxa"/>
            <w:vAlign w:val="bottom"/>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8"/>
        </w:trPr>
        <w:tc>
          <w:tcPr>
            <w:tcW w:w="5620" w:type="dxa"/>
            <w:vAlign w:val="bottom"/>
            <w:gridSpan w:val="3"/>
          </w:tcPr>
          <w:p>
            <w:pPr>
              <w:ind w:left="20"/>
              <w:spacing w:after="0"/>
              <w:rPr>
                <w:sz w:val="20"/>
                <w:szCs w:val="20"/>
                <w:color w:val="auto"/>
              </w:rPr>
            </w:pPr>
            <w:r>
              <w:rPr>
                <w:rFonts w:ascii="Arial" w:cs="Arial" w:eastAsia="Arial" w:hAnsi="Arial"/>
                <w:sz w:val="14"/>
                <w:szCs w:val="14"/>
                <w:color w:val="131E29"/>
              </w:rPr>
              <w:t>(in thousands)</w:t>
            </w: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131E29"/>
              </w:rPr>
              <w:t>As Reported</w:t>
            </w:r>
          </w:p>
        </w:tc>
        <w:tc>
          <w:tcPr>
            <w:tcW w:w="24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131E29"/>
              </w:rPr>
              <w:t>Adjustments</w:t>
            </w:r>
          </w:p>
        </w:tc>
        <w:tc>
          <w:tcPr>
            <w:tcW w:w="220" w:type="dxa"/>
            <w:vAlign w:val="bottom"/>
          </w:tcPr>
          <w:p>
            <w:pPr>
              <w:spacing w:after="0"/>
              <w:rPr>
                <w:sz w:val="20"/>
                <w:szCs w:val="20"/>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b w:val="1"/>
                <w:bCs w:val="1"/>
                <w:color w:val="131E29"/>
              </w:rPr>
              <w:t>As Corrected</w:t>
            </w:r>
          </w:p>
        </w:tc>
      </w:tr>
      <w:tr>
        <w:trPr>
          <w:trHeight w:val="26"/>
        </w:trPr>
        <w:tc>
          <w:tcPr>
            <w:tcW w:w="5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8"/>
                <w:szCs w:val="18"/>
                <w:color w:val="131E29"/>
              </w:rPr>
              <w:t>Cash flows from operating activities:</w:t>
            </w:r>
          </w:p>
        </w:tc>
        <w:tc>
          <w:tcPr>
            <w:tcW w:w="24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spacing w:after="0"/>
              <w:rPr>
                <w:sz w:val="21"/>
                <w:szCs w:val="21"/>
                <w:color w:val="auto"/>
              </w:rPr>
            </w:pPr>
          </w:p>
        </w:tc>
      </w:tr>
      <w:tr>
        <w:trPr>
          <w:trHeight w:val="243"/>
        </w:trPr>
        <w:tc>
          <w:tcPr>
            <w:tcW w:w="5620" w:type="dxa"/>
            <w:vAlign w:val="bottom"/>
            <w:gridSpan w:val="3"/>
          </w:tcPr>
          <w:p>
            <w:pPr>
              <w:ind w:left="180"/>
              <w:spacing w:after="0"/>
              <w:rPr>
                <w:sz w:val="20"/>
                <w:szCs w:val="20"/>
                <w:color w:val="auto"/>
              </w:rPr>
            </w:pPr>
            <w:r>
              <w:rPr>
                <w:rFonts w:ascii="Arial" w:cs="Arial" w:eastAsia="Arial" w:hAnsi="Arial"/>
                <w:sz w:val="18"/>
                <w:szCs w:val="18"/>
                <w:color w:val="131E29"/>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131E29"/>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131E29"/>
              </w:rPr>
              <w:t>(111,299)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131E29"/>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131E29"/>
              </w:rPr>
              <w:t>1,536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131E29"/>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131E29"/>
              </w:rPr>
              <w:t>(109,763)</w:t>
            </w:r>
          </w:p>
        </w:tc>
      </w:tr>
      <w:tr>
        <w:trPr>
          <w:trHeight w:val="27"/>
        </w:trPr>
        <w:tc>
          <w:tcPr>
            <w:tcW w:w="5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62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8"/>
                <w:szCs w:val="18"/>
                <w:color w:val="131E29"/>
              </w:rPr>
              <w:t>Changes in operating assets and liabilities, net of acquisitions:</w:t>
            </w:r>
          </w:p>
        </w:tc>
        <w:tc>
          <w:tcPr>
            <w:tcW w:w="24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spacing w:after="0"/>
              <w:rPr>
                <w:sz w:val="21"/>
                <w:szCs w:val="21"/>
                <w:color w:val="auto"/>
              </w:rPr>
            </w:pPr>
          </w:p>
        </w:tc>
      </w:tr>
      <w:tr>
        <w:trPr>
          <w:trHeight w:val="243"/>
        </w:trPr>
        <w:tc>
          <w:tcPr>
            <w:tcW w:w="5620" w:type="dxa"/>
            <w:vAlign w:val="bottom"/>
            <w:gridSpan w:val="3"/>
          </w:tcPr>
          <w:p>
            <w:pPr>
              <w:ind w:left="180"/>
              <w:spacing w:after="0"/>
              <w:rPr>
                <w:sz w:val="20"/>
                <w:szCs w:val="20"/>
                <w:color w:val="auto"/>
              </w:rPr>
            </w:pPr>
            <w:r>
              <w:rPr>
                <w:rFonts w:ascii="Arial" w:cs="Arial" w:eastAsia="Arial" w:hAnsi="Arial"/>
                <w:sz w:val="18"/>
                <w:szCs w:val="18"/>
                <w:color w:val="131E29"/>
              </w:rPr>
              <w:t>Accrued liabilities</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7,888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(1,536)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6,352</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Principles of Consolidation</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 condensed consolidated financial statements include the accounts of the Company and its subsidiaries that it controls due to ownership of a majority voting interest or pursuant to accounting guidance for non-controlling interests. All intercompany transactions and balances have been eliminated in consolidation.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 of Estimates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presentation of condensed consolidated financial statements in conformity with GAAP requires management to make estimates and assumptions, primarily related to long-lived asset valuation, leases, deferred revenue, tax receivable agreements, income taxes, and equity-based compensation that affect the reported amounts of assets and liabilities and disclosure of contingent assets and liabilities at the date of the condensed consolidated financial statements and the reported amounts of revenues and expenses during the reporting period. Although management bases its estimates on historical experience and assumptions that are believed to be reasonable under the circumstances, actual results could differ from those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Reclassifications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The Company has reclassified certain amounts in prior-period financial statements to conform to the current period's presentation.</w:t>
      </w:r>
    </w:p>
    <w:p>
      <w:pPr>
        <w:spacing w:after="0" w:line="171" w:lineRule="exact"/>
        <w:rPr>
          <w:sz w:val="20"/>
          <w:szCs w:val="20"/>
          <w:color w:val="auto"/>
        </w:rPr>
      </w:pPr>
    </w:p>
    <w:p>
      <w:pPr>
        <w:ind w:left="340" w:hanging="332"/>
        <w:spacing w:after="0" w:line="261" w:lineRule="auto"/>
        <w:tabs>
          <w:tab w:leader="none" w:pos="335" w:val="left"/>
        </w:tabs>
        <w:numPr>
          <w:ilvl w:val="0"/>
          <w:numId w:val="16"/>
        </w:numPr>
        <w:rPr>
          <w:rFonts w:ascii="Arial" w:cs="Arial" w:eastAsia="Arial" w:hAnsi="Arial"/>
          <w:sz w:val="18"/>
          <w:szCs w:val="18"/>
          <w:color w:val="131E29"/>
        </w:rPr>
      </w:pPr>
      <w:r>
        <w:rPr>
          <w:rFonts w:ascii="Arial" w:cs="Arial" w:eastAsia="Arial" w:hAnsi="Arial"/>
          <w:sz w:val="18"/>
          <w:szCs w:val="18"/>
          <w:color w:val="131E29"/>
        </w:rPr>
        <w:t>NOTE 5 — Inventories: components of inventory related to our Blue Rebel energy drink have been reclassified from finished goods to raw materials.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Derivative Instruments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Company manages exposure to fluctuations in interest rates within its condensed consolidated financial statements according to a hedging policy. Under this policy, the Company may engage in interest rate swap agreements to hedge interest rate risk. A swap agreement is a contract between two parties to exchange cash flows based on specified underlying notional amounts, assets and/or indices. The Company does not enter into derivative instruments for speculative purposes.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By using swap instruments, the Company is exposed to potential credit risk. Credit risk is the failure of the counterparty to perform under the terms of the derivative contract. The Company minimizes this credit risk by entering into transactions with carefully selected, credit-worthy counterparties.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6098"/>
        </w:rPr>
        <w:t>Cash Flow Hedges</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For derivative instruments that are designated and qualify as a cash flow hedge, the derivative's gain or loss is reported as a component of other comprehensive income (OCI) and recorded in accumulated other comprehensive income (AOCI) on our condensed consolidated balance sheets. The gain or loss is subsequently reclassified into net earnings when the hedged exposure affects net earnings, 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131E29"/>
        </w:rPr>
        <w:t>line item as the underlying hedged item on the Company’s condensed consolidated statements of operations.</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131E29"/>
        </w:rPr>
        <w:t>Cash flow hedges related to anticipated transactions are designated and documented at the inception of each hedge. Cash flows from hedging transactions are classified in the same categories as the cash flows from the respective hedged items.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131E29"/>
        </w:rPr>
        <w:t>Refer to NOTE 11 — Derivative Financial Instruments for further discussion of the Company’s derivative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Leases</w:t>
      </w:r>
    </w:p>
    <w:p>
      <w:pPr>
        <w:spacing w:after="0" w:line="15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131E29"/>
        </w:rPr>
        <w:t xml:space="preserve">The Company adopted ASC Topic 842 (ASC 842), </w:t>
      </w:r>
      <w:r>
        <w:rPr>
          <w:rFonts w:ascii="Arial" w:cs="Arial" w:eastAsia="Arial" w:hAnsi="Arial"/>
          <w:sz w:val="18"/>
          <w:szCs w:val="18"/>
          <w:i w:val="1"/>
          <w:iCs w:val="1"/>
          <w:color w:val="131E29"/>
        </w:rPr>
        <w:t>Leases</w:t>
      </w:r>
      <w:r>
        <w:rPr>
          <w:rFonts w:ascii="Arial" w:cs="Arial" w:eastAsia="Arial" w:hAnsi="Arial"/>
          <w:sz w:val="18"/>
          <w:szCs w:val="18"/>
          <w:color w:val="131E29"/>
        </w:rPr>
        <w:t>, as amended, with an effective date of January 1, 2022. Details of the adoption and the Company’s accounting policies related to leases are provided in NOTE 8 — Leases.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Revenue Recognition</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131E29"/>
        </w:rPr>
        <w:t xml:space="preserve">Consolidated revenues are recognized net of any discounts, returns, allowances and sales incentives in accordance with Accounting Standard Codification (ASC) Topic 606, </w:t>
      </w:r>
      <w:r>
        <w:rPr>
          <w:rFonts w:ascii="Arial" w:cs="Arial" w:eastAsia="Arial" w:hAnsi="Arial"/>
          <w:sz w:val="18"/>
          <w:szCs w:val="18"/>
          <w:i w:val="1"/>
          <w:iCs w:val="1"/>
          <w:color w:val="131E29"/>
        </w:rPr>
        <w:t>Revenue from Contracts with Customers</w:t>
      </w:r>
      <w:r>
        <w:rPr>
          <w:rFonts w:ascii="Arial" w:cs="Arial" w:eastAsia="Arial" w:hAnsi="Arial"/>
          <w:sz w:val="18"/>
          <w:szCs w:val="18"/>
          <w:color w:val="131E29"/>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006098"/>
        </w:rPr>
        <w:t>Loyalty Programs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In February 2021, the Company transitioned from a traditional loyalty program to a digital loyalty program. Under the previous program, a customer earned a “Stamp” for each purchase at a Dutch Bros coffee shop. After accumulating a certain number of Stamps, the customer earned a reward that may be redeemed for free product that, regardless of where the related Stamps were earned, would have been honored at company-operated shops and franchised shop locations. The Company deferred revenue associated with the estimated selling price of Stamps earned by customers towards free product as each Stamp was earned, and a corresponding contract liability was established. The estimated selling price of each Stamp earned was based on the estimated value of the product for which the reward was expected to be redeemed, net of Stamps not expected to be redeemed, based on historical redemption patterns. Stamps did not expire. As a result of the COVID-19 pandemic beginning in March 2020, the Company discontinued new Stamps. The Company continued to redeem previously earned Stamps through March 2021. In February 2021, the Company released the digital loyalty program (Dutch Rewards) in which the customer earns rewards through use of the Company’s mobile app that can be redeemed for free drinks. Points collected but not redeemed expire after six months, and earned rewards expire six months after issuance. The Company defers revenue as points are accumulated and rewards are earned under the Dutch Rewards program.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006098"/>
        </w:rPr>
        <w:t>Deferred Revenue</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Deferred revenue primarily consists of the unredeemed gift card liability and unredeemed points from our Dutch Rewards loyalty program, as discussed above. Deferred revenue also includes bean and beverage sales to distributors where the performance obligation has not yet been satisfied as control has not transferred to the customer.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Vendor Incentives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 Company has entered into food and beverage supply agreements with certain major vendors. Pursuant to the terms of these arrangements, rebates are provided to the Company from the vendors based upon the dollar value of purchases for company-operated shops and franchised shops. These incentives are recognized as earned throughout the year and are classified as a reduction of cost of sales in the accompanying condensed consolidated statements of operations. Vendor incentives recognized in cost of sales were as follows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5"/>
          </w:tcPr>
          <w:p>
            <w:pPr>
              <w:ind w:left="180"/>
              <w:spacing w:after="0"/>
              <w:rPr>
                <w:sz w:val="20"/>
                <w:szCs w:val="20"/>
                <w:color w:val="auto"/>
              </w:rPr>
            </w:pPr>
            <w:r>
              <w:rPr>
                <w:rFonts w:ascii="Arial" w:cs="Arial" w:eastAsia="Arial" w:hAnsi="Arial"/>
                <w:sz w:val="18"/>
                <w:szCs w:val="18"/>
                <w:b w:val="1"/>
                <w:bCs w:val="1"/>
                <w:color w:val="131E29"/>
              </w:rPr>
              <w:t>Three Months Ended</w:t>
            </w:r>
          </w:p>
        </w:tc>
        <w:tc>
          <w:tcPr>
            <w:tcW w:w="2740" w:type="dxa"/>
            <w:vAlign w:val="bottom"/>
            <w:gridSpan w:val="6"/>
          </w:tcPr>
          <w:p>
            <w:pPr>
              <w:ind w:left="40"/>
              <w:spacing w:after="0"/>
              <w:rPr>
                <w:sz w:val="20"/>
                <w:szCs w:val="20"/>
                <w:color w:val="auto"/>
              </w:rPr>
            </w:pPr>
            <w:r>
              <w:rPr>
                <w:rFonts w:ascii="Arial" w:cs="Arial" w:eastAsia="Arial" w:hAnsi="Arial"/>
                <w:sz w:val="18"/>
                <w:szCs w:val="18"/>
                <w:b w:val="1"/>
                <w:bCs w:val="1"/>
                <w:color w:val="131E29"/>
              </w:rPr>
              <w:t>Nine Months Ended September</w:t>
            </w:r>
          </w:p>
        </w:tc>
      </w:t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5"/>
          </w:tcPr>
          <w:p>
            <w:pPr>
              <w:ind w:left="460"/>
              <w:spacing w:after="0"/>
              <w:rPr>
                <w:sz w:val="20"/>
                <w:szCs w:val="20"/>
                <w:color w:val="auto"/>
              </w:rPr>
            </w:pPr>
            <w:r>
              <w:rPr>
                <w:rFonts w:ascii="Arial" w:cs="Arial" w:eastAsia="Arial" w:hAnsi="Arial"/>
                <w:sz w:val="18"/>
                <w:szCs w:val="18"/>
                <w:b w:val="1"/>
                <w:bCs w:val="1"/>
                <w:color w:val="131E29"/>
              </w:rPr>
              <w:t>September 30,</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131E29"/>
                <w:w w:val="95"/>
              </w:rPr>
              <w:t>30,</w:t>
            </w:r>
          </w:p>
        </w:tc>
        <w:tc>
          <w:tcPr>
            <w:tcW w:w="1040" w:type="dxa"/>
            <w:vAlign w:val="bottom"/>
          </w:tcPr>
          <w:p>
            <w:pPr>
              <w:spacing w:after="0"/>
              <w:rPr>
                <w:sz w:val="20"/>
                <w:szCs w:val="20"/>
                <w:color w:val="auto"/>
              </w:rPr>
            </w:pPr>
          </w:p>
        </w:tc>
      </w:tr>
      <w:tr>
        <w:trPr>
          <w:trHeight w:val="27"/>
        </w:trPr>
        <w:tc>
          <w:tcPr>
            <w:tcW w:w="56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00" w:type="dxa"/>
            <w:vAlign w:val="bottom"/>
          </w:tcPr>
          <w:p>
            <w:pPr>
              <w:spacing w:after="0"/>
              <w:rPr>
                <w:sz w:val="20"/>
                <w:szCs w:val="20"/>
                <w:color w:val="auto"/>
              </w:rPr>
            </w:pPr>
          </w:p>
        </w:tc>
        <w:tc>
          <w:tcPr>
            <w:tcW w:w="1020" w:type="dxa"/>
            <w:vAlign w:val="bottom"/>
          </w:tcPr>
          <w:p>
            <w:pPr>
              <w:ind w:left="16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r>
      <w:tr>
        <w:trPr>
          <w:trHeight w:val="26"/>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131E29"/>
            </w:tcBorders>
          </w:tcPr>
          <w:p>
            <w:pPr>
              <w:spacing w:after="0"/>
              <w:rPr>
                <w:sz w:val="2"/>
                <w:szCs w:val="2"/>
                <w:color w:val="auto"/>
              </w:rPr>
            </w:pPr>
          </w:p>
        </w:tc>
        <w:tc>
          <w:tcPr>
            <w:tcW w:w="102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131E29"/>
            </w:tcBorders>
          </w:tcPr>
          <w:p>
            <w:pPr>
              <w:spacing w:after="0"/>
              <w:rPr>
                <w:sz w:val="2"/>
                <w:szCs w:val="2"/>
                <w:color w:val="auto"/>
              </w:rPr>
            </w:pPr>
          </w:p>
        </w:tc>
        <w:tc>
          <w:tcPr>
            <w:tcW w:w="102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3"/>
        </w:trPr>
        <w:tc>
          <w:tcPr>
            <w:tcW w:w="56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Vendor incentives</w:t>
            </w: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13,808</w:t>
            </w:r>
          </w:p>
        </w:tc>
        <w:tc>
          <w:tcPr>
            <w:tcW w:w="100" w:type="dxa"/>
            <w:vAlign w:val="bottom"/>
            <w:shd w:val="clear" w:color="auto" w:fill="D2DCE5"/>
          </w:tcPr>
          <w:p>
            <w:pPr>
              <w:spacing w:after="0"/>
              <w:rPr>
                <w:sz w:val="24"/>
                <w:szCs w:val="24"/>
                <w:color w:val="auto"/>
              </w:rPr>
            </w:pP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11,585</w:t>
            </w:r>
          </w:p>
        </w:tc>
        <w:tc>
          <w:tcPr>
            <w:tcW w:w="100" w:type="dxa"/>
            <w:vAlign w:val="bottom"/>
            <w:shd w:val="clear" w:color="auto" w:fill="D2DCE5"/>
          </w:tcPr>
          <w:p>
            <w:pPr>
              <w:spacing w:after="0"/>
              <w:rPr>
                <w:sz w:val="24"/>
                <w:szCs w:val="24"/>
                <w:color w:val="auto"/>
              </w:rPr>
            </w:pPr>
          </w:p>
        </w:tc>
        <w:tc>
          <w:tcPr>
            <w:tcW w:w="28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32,700</w:t>
            </w:r>
          </w:p>
        </w:tc>
        <w:tc>
          <w:tcPr>
            <w:tcW w:w="460" w:type="dxa"/>
            <w:vAlign w:val="bottom"/>
            <w:gridSpan w:val="3"/>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30,348</w:t>
            </w: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131E29"/>
              <w:bottom w:val="single" w:sz="8" w:color="131E29"/>
            </w:tcBorders>
          </w:tcPr>
          <w:p>
            <w:pPr>
              <w:spacing w:after="0" w:line="20" w:lineRule="exact"/>
              <w:rPr>
                <w:sz w:val="1"/>
                <w:szCs w:val="1"/>
                <w:color w:val="auto"/>
              </w:rPr>
            </w:pPr>
          </w:p>
        </w:tc>
        <w:tc>
          <w:tcPr>
            <w:tcW w:w="1020" w:type="dxa"/>
            <w:vAlign w:val="bottom"/>
            <w:tcBorders>
              <w:top w:val="single" w:sz="8" w:color="131E29"/>
              <w:bottom w:val="single" w:sz="8" w:color="131E29"/>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131E29"/>
              <w:bottom w:val="single" w:sz="8" w:color="131E29"/>
            </w:tcBorders>
          </w:tcPr>
          <w:p>
            <w:pPr>
              <w:spacing w:after="0" w:line="20" w:lineRule="exact"/>
              <w:rPr>
                <w:sz w:val="1"/>
                <w:szCs w:val="1"/>
                <w:color w:val="auto"/>
              </w:rPr>
            </w:pPr>
          </w:p>
        </w:tc>
        <w:tc>
          <w:tcPr>
            <w:tcW w:w="1020" w:type="dxa"/>
            <w:vAlign w:val="bottom"/>
            <w:tcBorders>
              <w:top w:val="single" w:sz="8" w:color="131E29"/>
              <w:bottom w:val="single" w:sz="8" w:color="131E29"/>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Advertising Expense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Advertising costs are expensed as they are incurred. Most franchise shops contribute to an advertising fund that the Company manages on behalf of the shops. Under the Company’s standard franchise agreement, the contributions received must be spent on marketing, creative efforts, media support, or other related purposes specified in the agreement. The expenditures are primarily amounts paid to third parties but may also include personnel expenses and allocated costs. Advertising expense was as follows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5"/>
          </w:tcPr>
          <w:p>
            <w:pPr>
              <w:ind w:left="180"/>
              <w:spacing w:after="0"/>
              <w:rPr>
                <w:sz w:val="20"/>
                <w:szCs w:val="20"/>
                <w:color w:val="auto"/>
              </w:rPr>
            </w:pPr>
            <w:r>
              <w:rPr>
                <w:rFonts w:ascii="Arial" w:cs="Arial" w:eastAsia="Arial" w:hAnsi="Arial"/>
                <w:sz w:val="18"/>
                <w:szCs w:val="18"/>
                <w:b w:val="1"/>
                <w:bCs w:val="1"/>
                <w:color w:val="131E29"/>
              </w:rPr>
              <w:t>Three Months Ended</w:t>
            </w:r>
          </w:p>
        </w:tc>
        <w:tc>
          <w:tcPr>
            <w:tcW w:w="2740" w:type="dxa"/>
            <w:vAlign w:val="bottom"/>
            <w:gridSpan w:val="6"/>
          </w:tcPr>
          <w:p>
            <w:pPr>
              <w:ind w:left="40"/>
              <w:spacing w:after="0"/>
              <w:rPr>
                <w:sz w:val="20"/>
                <w:szCs w:val="20"/>
                <w:color w:val="auto"/>
              </w:rPr>
            </w:pPr>
            <w:r>
              <w:rPr>
                <w:rFonts w:ascii="Arial" w:cs="Arial" w:eastAsia="Arial" w:hAnsi="Arial"/>
                <w:sz w:val="18"/>
                <w:szCs w:val="18"/>
                <w:b w:val="1"/>
                <w:bCs w:val="1"/>
                <w:color w:val="131E29"/>
              </w:rPr>
              <w:t>Nine Months Ended September</w:t>
            </w:r>
          </w:p>
        </w:tc>
      </w:t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5"/>
          </w:tcPr>
          <w:p>
            <w:pPr>
              <w:ind w:left="460"/>
              <w:spacing w:after="0"/>
              <w:rPr>
                <w:sz w:val="20"/>
                <w:szCs w:val="20"/>
                <w:color w:val="auto"/>
              </w:rPr>
            </w:pPr>
            <w:r>
              <w:rPr>
                <w:rFonts w:ascii="Arial" w:cs="Arial" w:eastAsia="Arial" w:hAnsi="Arial"/>
                <w:sz w:val="18"/>
                <w:szCs w:val="18"/>
                <w:b w:val="1"/>
                <w:bCs w:val="1"/>
                <w:color w:val="131E29"/>
              </w:rPr>
              <w:t>September 30,</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131E29"/>
                <w:w w:val="95"/>
              </w:rPr>
              <w:t>30,</w:t>
            </w:r>
          </w:p>
        </w:tc>
        <w:tc>
          <w:tcPr>
            <w:tcW w:w="1040" w:type="dxa"/>
            <w:vAlign w:val="bottom"/>
          </w:tcPr>
          <w:p>
            <w:pPr>
              <w:spacing w:after="0"/>
              <w:rPr>
                <w:sz w:val="20"/>
                <w:szCs w:val="20"/>
                <w:color w:val="auto"/>
              </w:rPr>
            </w:pPr>
          </w:p>
        </w:tc>
      </w:tr>
      <w:tr>
        <w:trPr>
          <w:trHeight w:val="27"/>
        </w:trPr>
        <w:tc>
          <w:tcPr>
            <w:tcW w:w="56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00" w:type="dxa"/>
            <w:vAlign w:val="bottom"/>
          </w:tcPr>
          <w:p>
            <w:pPr>
              <w:spacing w:after="0"/>
              <w:rPr>
                <w:sz w:val="20"/>
                <w:szCs w:val="20"/>
                <w:color w:val="auto"/>
              </w:rPr>
            </w:pPr>
          </w:p>
        </w:tc>
        <w:tc>
          <w:tcPr>
            <w:tcW w:w="1020" w:type="dxa"/>
            <w:vAlign w:val="bottom"/>
          </w:tcPr>
          <w:p>
            <w:pPr>
              <w:ind w:left="16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r>
      <w:tr>
        <w:trPr>
          <w:trHeight w:val="26"/>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3"/>
        </w:trPr>
        <w:tc>
          <w:tcPr>
            <w:tcW w:w="56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Advertising expense</w:t>
            </w: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8,158</w:t>
            </w:r>
          </w:p>
        </w:tc>
        <w:tc>
          <w:tcPr>
            <w:tcW w:w="100" w:type="dxa"/>
            <w:vAlign w:val="bottom"/>
            <w:shd w:val="clear" w:color="auto" w:fill="D2DCE5"/>
          </w:tcPr>
          <w:p>
            <w:pPr>
              <w:spacing w:after="0"/>
              <w:rPr>
                <w:sz w:val="24"/>
                <w:szCs w:val="24"/>
                <w:color w:val="auto"/>
              </w:rPr>
            </w:pP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7,602</w:t>
            </w:r>
          </w:p>
        </w:tc>
        <w:tc>
          <w:tcPr>
            <w:tcW w:w="100" w:type="dxa"/>
            <w:vAlign w:val="bottom"/>
            <w:shd w:val="clear" w:color="auto" w:fill="D2DCE5"/>
          </w:tcPr>
          <w:p>
            <w:pPr>
              <w:spacing w:after="0"/>
              <w:rPr>
                <w:sz w:val="24"/>
                <w:szCs w:val="24"/>
                <w:color w:val="auto"/>
              </w:rPr>
            </w:pPr>
          </w:p>
        </w:tc>
        <w:tc>
          <w:tcPr>
            <w:tcW w:w="28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22,840</w:t>
            </w:r>
          </w:p>
        </w:tc>
        <w:tc>
          <w:tcPr>
            <w:tcW w:w="460" w:type="dxa"/>
            <w:vAlign w:val="bottom"/>
            <w:gridSpan w:val="3"/>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19,948</w:t>
            </w: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Recently Issued Accounting Standards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 xml:space="preserve">In June 2016, the Financial Accounting Standards Board (FASB) issued Accounting Standards Update (ASU) No. 2016-13, </w:t>
      </w:r>
      <w:r>
        <w:rPr>
          <w:rFonts w:ascii="Arial" w:cs="Arial" w:eastAsia="Arial" w:hAnsi="Arial"/>
          <w:sz w:val="18"/>
          <w:szCs w:val="18"/>
          <w:i w:val="1"/>
          <w:iCs w:val="1"/>
          <w:color w:val="131E29"/>
        </w:rPr>
        <w:t>Financial</w:t>
      </w:r>
      <w:r>
        <w:rPr>
          <w:rFonts w:ascii="Arial" w:cs="Arial" w:eastAsia="Arial" w:hAnsi="Arial"/>
          <w:sz w:val="18"/>
          <w:szCs w:val="18"/>
          <w:color w:val="131E29"/>
        </w:rPr>
        <w:t xml:space="preserve"> </w:t>
      </w:r>
      <w:r>
        <w:rPr>
          <w:rFonts w:ascii="Arial" w:cs="Arial" w:eastAsia="Arial" w:hAnsi="Arial"/>
          <w:sz w:val="18"/>
          <w:szCs w:val="18"/>
          <w:i w:val="1"/>
          <w:iCs w:val="1"/>
          <w:color w:val="131E29"/>
        </w:rPr>
        <w:t>Instruments—Credit Losses (Topic 326)</w:t>
      </w:r>
      <w:r>
        <w:rPr>
          <w:rFonts w:ascii="Arial" w:cs="Arial" w:eastAsia="Arial" w:hAnsi="Arial"/>
          <w:sz w:val="18"/>
          <w:szCs w:val="18"/>
          <w:color w:val="131E29"/>
        </w:rPr>
        <w:t>:</w:t>
      </w:r>
      <w:r>
        <w:rPr>
          <w:rFonts w:ascii="Arial" w:cs="Arial" w:eastAsia="Arial" w:hAnsi="Arial"/>
          <w:sz w:val="18"/>
          <w:szCs w:val="18"/>
          <w:i w:val="1"/>
          <w:iCs w:val="1"/>
          <w:color w:val="131E29"/>
        </w:rPr>
        <w:t xml:space="preserve"> Measurement of Credit Losses on Financial Instruments</w:t>
      </w:r>
      <w:r>
        <w:rPr>
          <w:rFonts w:ascii="Arial" w:cs="Arial" w:eastAsia="Arial" w:hAnsi="Arial"/>
          <w:sz w:val="18"/>
          <w:szCs w:val="18"/>
          <w:color w:val="131E29"/>
        </w:rPr>
        <w:t>. ASU 2016-13, as amended, replaces the</w:t>
      </w:r>
      <w:r>
        <w:rPr>
          <w:rFonts w:ascii="Arial" w:cs="Arial" w:eastAsia="Arial" w:hAnsi="Arial"/>
          <w:sz w:val="18"/>
          <w:szCs w:val="18"/>
          <w:i w:val="1"/>
          <w:iCs w:val="1"/>
          <w:color w:val="131E29"/>
        </w:rPr>
        <w:t xml:space="preserve"> </w:t>
      </w:r>
      <w:r>
        <w:rPr>
          <w:rFonts w:ascii="Arial" w:cs="Arial" w:eastAsia="Arial" w:hAnsi="Arial"/>
          <w:sz w:val="18"/>
          <w:szCs w:val="18"/>
          <w:color w:val="131E29"/>
        </w:rPr>
        <w:t>incurred loss impairment methodology in current GAAP with a methodology that reflects expected credit losses and requires consideration of a broader range of reasonable and supportable information to inform credit loss estimates. For accounts receivable and other financial instruments, the Company will be required to use a forward-looking expected loss model rather than the incurred loss model for recognizing credit losses which reflects losses that are probable. ASU 2016-13, as amended, is effective for fiscal years beginning after December 15, 2022. Application of the amendments is through a cumulative-effect adjustment to retained earnings as of the effective date. The Company is evaluating the impact of this standard on its condensed consolidated financial statements.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131E29"/>
        </w:rPr>
        <w:t xml:space="preserve">In October 2021, the FASB issued ASU No. 2021-08, </w:t>
      </w:r>
      <w:r>
        <w:rPr>
          <w:rFonts w:ascii="Arial" w:cs="Arial" w:eastAsia="Arial" w:hAnsi="Arial"/>
          <w:sz w:val="18"/>
          <w:szCs w:val="18"/>
          <w:i w:val="1"/>
          <w:iCs w:val="1"/>
          <w:color w:val="131E29"/>
        </w:rPr>
        <w:t>Business Combinations (Topic 805): Accounting for Contract Assets and Contract</w:t>
      </w:r>
      <w:r>
        <w:rPr>
          <w:rFonts w:ascii="Arial" w:cs="Arial" w:eastAsia="Arial" w:hAnsi="Arial"/>
          <w:sz w:val="18"/>
          <w:szCs w:val="18"/>
          <w:color w:val="131E29"/>
        </w:rPr>
        <w:t xml:space="preserve"> </w:t>
      </w:r>
      <w:r>
        <w:rPr>
          <w:rFonts w:ascii="Arial" w:cs="Arial" w:eastAsia="Arial" w:hAnsi="Arial"/>
          <w:sz w:val="18"/>
          <w:szCs w:val="18"/>
          <w:i w:val="1"/>
          <w:iCs w:val="1"/>
          <w:color w:val="131E29"/>
        </w:rPr>
        <w:t>Liabilities from Contracts with Customers</w:t>
      </w:r>
      <w:r>
        <w:rPr>
          <w:rFonts w:ascii="Arial" w:cs="Arial" w:eastAsia="Arial" w:hAnsi="Arial"/>
          <w:sz w:val="18"/>
          <w:szCs w:val="18"/>
          <w:color w:val="131E29"/>
        </w:rPr>
        <w:t>. The amendments in this update provide specific guidance to address diversity in practice related to</w:t>
      </w:r>
    </w:p>
    <w:p>
      <w:pPr>
        <w:spacing w:after="0" w:line="2" w:lineRule="exact"/>
        <w:rPr>
          <w:sz w:val="20"/>
          <w:szCs w:val="20"/>
          <w:color w:val="auto"/>
        </w:rPr>
      </w:pPr>
    </w:p>
    <w:p>
      <w:pPr>
        <w:jc w:val="both"/>
        <w:ind w:firstLine="8"/>
        <w:spacing w:after="0" w:line="254" w:lineRule="auto"/>
        <w:tabs>
          <w:tab w:leader="none" w:pos="286" w:val="left"/>
        </w:tabs>
        <w:numPr>
          <w:ilvl w:val="0"/>
          <w:numId w:val="17"/>
        </w:numPr>
        <w:rPr>
          <w:rFonts w:ascii="Arial" w:cs="Arial" w:eastAsia="Arial" w:hAnsi="Arial"/>
          <w:sz w:val="18"/>
          <w:szCs w:val="18"/>
          <w:color w:val="131E29"/>
        </w:rPr>
      </w:pPr>
      <w:r>
        <w:rPr>
          <w:rFonts w:ascii="Arial" w:cs="Arial" w:eastAsia="Arial" w:hAnsi="Arial"/>
          <w:sz w:val="18"/>
          <w:szCs w:val="18"/>
          <w:color w:val="131E29"/>
        </w:rPr>
        <w:t>recognition of an acquired contract liability, and (2) payment terms and their effect on subsequent revenue recognized by the acquirer. The amendments in ASU 2021-08 are applied on a prospective basis, and are effective for fiscal years beginning after December 15, 2023, including interim periods within those fiscal years. Early adoption is permitted. The Company is evaluating the impact of this standard on its condensed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Recently Adopted Accounting Standards</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 xml:space="preserve">In February 2016, the FASB issued ASU No. 2016-02, </w:t>
      </w:r>
      <w:r>
        <w:rPr>
          <w:rFonts w:ascii="Arial" w:cs="Arial" w:eastAsia="Arial" w:hAnsi="Arial"/>
          <w:sz w:val="18"/>
          <w:szCs w:val="18"/>
          <w:i w:val="1"/>
          <w:iCs w:val="1"/>
          <w:color w:val="131E29"/>
        </w:rPr>
        <w:t>Leases (Topic 842</w:t>
      </w:r>
      <w:r>
        <w:rPr>
          <w:rFonts w:ascii="Arial" w:cs="Arial" w:eastAsia="Arial" w:hAnsi="Arial"/>
          <w:sz w:val="18"/>
          <w:szCs w:val="18"/>
          <w:color w:val="131E29"/>
        </w:rPr>
        <w:t>). The pronouncement requires lessees to recognize a liability for lease obligations, which represent the discounted obligation to make future lease payments, and a corresponding right-of-use asset on the balance sheet, as well as new disclosure requirements. The Company adopted Topic 842 effective January 1, 2022 using the modified transition approach. For additional information, refer to NOTE 8 —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3 — Revenue Recognition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60" w:type="dxa"/>
            <w:vAlign w:val="bottom"/>
            <w:gridSpan w:val="2"/>
          </w:tcPr>
          <w:p>
            <w:pPr>
              <w:spacing w:after="0"/>
              <w:rPr>
                <w:sz w:val="20"/>
                <w:szCs w:val="20"/>
                <w:color w:val="auto"/>
              </w:rPr>
            </w:pPr>
            <w:r>
              <w:rPr>
                <w:rFonts w:ascii="Arial" w:cs="Arial" w:eastAsia="Arial" w:hAnsi="Arial"/>
                <w:sz w:val="18"/>
                <w:szCs w:val="18"/>
                <w:b w:val="1"/>
                <w:bCs w:val="1"/>
                <w:i w:val="1"/>
                <w:iCs w:val="1"/>
                <w:color w:val="006098"/>
              </w:rPr>
              <w:t>Revenue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660" w:type="dxa"/>
            <w:vAlign w:val="bottom"/>
            <w:gridSpan w:val="2"/>
          </w:tcPr>
          <w:p>
            <w:pPr>
              <w:spacing w:after="0"/>
              <w:rPr>
                <w:sz w:val="20"/>
                <w:szCs w:val="20"/>
                <w:color w:val="auto"/>
              </w:rPr>
            </w:pPr>
            <w:r>
              <w:rPr>
                <w:rFonts w:ascii="Arial" w:cs="Arial" w:eastAsia="Arial" w:hAnsi="Arial"/>
                <w:sz w:val="18"/>
                <w:szCs w:val="18"/>
                <w:color w:val="131E29"/>
              </w:rPr>
              <w:t>The following table disaggregates revenue by major component:</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131E29"/>
                <w:w w:val="99"/>
              </w:rPr>
              <w:t>Three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7"/>
          </w:tcPr>
          <w:p>
            <w:pPr>
              <w:ind w:left="40"/>
              <w:spacing w:after="0"/>
              <w:rPr>
                <w:sz w:val="20"/>
                <w:szCs w:val="20"/>
                <w:color w:val="auto"/>
              </w:rPr>
            </w:pPr>
            <w:r>
              <w:rPr>
                <w:rFonts w:ascii="Arial" w:cs="Arial" w:eastAsia="Arial" w:hAnsi="Arial"/>
                <w:sz w:val="18"/>
                <w:szCs w:val="18"/>
                <w:b w:val="1"/>
                <w:bCs w:val="1"/>
                <w:color w:val="131E29"/>
              </w:rPr>
              <w:t>Nine Months Ended September</w:t>
            </w:r>
          </w:p>
        </w:tc>
        <w:tc>
          <w:tcPr>
            <w:tcW w:w="0" w:type="dxa"/>
            <w:vAlign w:val="bottom"/>
          </w:tcPr>
          <w:p>
            <w:pPr>
              <w:spacing w:after="0"/>
              <w:rPr>
                <w:sz w:val="1"/>
                <w:szCs w:val="1"/>
                <w:color w:val="auto"/>
              </w:rPr>
            </w:pPr>
          </w:p>
        </w:tc>
      </w:t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131E29"/>
                <w:w w:val="99"/>
              </w:rPr>
              <w:t>September 30,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131E29"/>
              </w:rPr>
              <w:t>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131E29"/>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131E29"/>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0" w:type="dxa"/>
            <w:vAlign w:val="bottom"/>
          </w:tcPr>
          <w:p>
            <w:pPr>
              <w:spacing w:after="0"/>
              <w:rPr>
                <w:sz w:val="1"/>
                <w:szCs w:val="1"/>
                <w:color w:val="auto"/>
              </w:rPr>
            </w:pPr>
          </w:p>
        </w:tc>
      </w:tr>
      <w:tr>
        <w:trPr>
          <w:trHeight w:val="26"/>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Company-operated shops</w:t>
            </w:r>
          </w:p>
        </w:tc>
        <w:tc>
          <w:tcPr>
            <w:tcW w:w="30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173,501</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131E29"/>
                <w:w w:val="99"/>
              </w:rPr>
              <w:t>$</w:t>
            </w: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108,661</w:t>
            </w:r>
          </w:p>
        </w:tc>
        <w:tc>
          <w:tcPr>
            <w:tcW w:w="20" w:type="dxa"/>
            <w:vAlign w:val="bottom"/>
            <w:tcBorders>
              <w:bottom w:val="single" w:sz="8" w:color="D2DCE5"/>
            </w:tcBorders>
            <w:shd w:val="clear" w:color="auto" w:fill="D2DCE5"/>
          </w:tcPr>
          <w:p>
            <w:pPr>
              <w:spacing w:after="0"/>
              <w:rPr>
                <w:sz w:val="21"/>
                <w:szCs w:val="21"/>
                <w:color w:val="auto"/>
              </w:rPr>
            </w:pPr>
          </w:p>
        </w:tc>
        <w:tc>
          <w:tcPr>
            <w:tcW w:w="380" w:type="dxa"/>
            <w:vAlign w:val="bottom"/>
            <w:tcBorders>
              <w:bottom w:val="single" w:sz="8" w:color="D2DCE5"/>
            </w:tcBorders>
            <w:gridSpan w:val="3"/>
            <w:shd w:val="clear" w:color="auto" w:fill="D2DCE5"/>
          </w:tcPr>
          <w:p>
            <w:pPr>
              <w:ind w:left="120"/>
              <w:spacing w:after="0"/>
              <w:rPr>
                <w:sz w:val="20"/>
                <w:szCs w:val="20"/>
                <w:color w:val="auto"/>
              </w:rPr>
            </w:pPr>
            <w:r>
              <w:rPr>
                <w:rFonts w:ascii="Arial" w:cs="Arial" w:eastAsia="Arial" w:hAnsi="Arial"/>
                <w:sz w:val="18"/>
                <w:szCs w:val="18"/>
                <w:color w:val="131E29"/>
              </w:rPr>
              <w:t>$</w:t>
            </w: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464,200</w:t>
            </w:r>
          </w:p>
        </w:tc>
        <w:tc>
          <w:tcPr>
            <w:tcW w:w="2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289,548</w:t>
            </w: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Franchising</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23,802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131E29"/>
              </w:rPr>
              <w:t>20,396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69,028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65,589</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Other</w:t>
            </w: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1,345</w:t>
            </w:r>
          </w:p>
        </w:tc>
        <w:tc>
          <w:tcPr>
            <w:tcW w:w="100" w:type="dxa"/>
            <w:vAlign w:val="bottom"/>
            <w:tcBorders>
              <w:bottom w:val="single" w:sz="8" w:color="D2DCE5"/>
            </w:tcBorders>
            <w:shd w:val="clear" w:color="auto" w:fill="D2DCE5"/>
          </w:tcPr>
          <w:p>
            <w:pPr>
              <w:spacing w:after="0"/>
              <w:rPr>
                <w:sz w:val="23"/>
                <w:szCs w:val="23"/>
                <w:color w:val="auto"/>
              </w:rPr>
            </w:pPr>
          </w:p>
        </w:tc>
        <w:tc>
          <w:tcPr>
            <w:tcW w:w="360" w:type="dxa"/>
            <w:vAlign w:val="bottom"/>
            <w:tcBorders>
              <w:bottom w:val="single" w:sz="8" w:color="D2DCE5"/>
            </w:tcBorders>
            <w:shd w:val="clear" w:color="auto" w:fill="D2DCE5"/>
          </w:tcPr>
          <w:p>
            <w:pPr>
              <w:spacing w:after="0"/>
              <w:rPr>
                <w:sz w:val="23"/>
                <w:szCs w:val="23"/>
                <w:color w:val="auto"/>
              </w:rPr>
            </w:pP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746</w:t>
            </w:r>
          </w:p>
        </w:tc>
        <w:tc>
          <w:tcPr>
            <w:tcW w:w="20" w:type="dxa"/>
            <w:vAlign w:val="bottom"/>
            <w:tcBorders>
              <w:bottom w:val="single" w:sz="8" w:color="D2DCE5"/>
            </w:tcBorders>
            <w:shd w:val="clear" w:color="auto" w:fill="D2DCE5"/>
          </w:tcPr>
          <w:p>
            <w:pPr>
              <w:spacing w:after="0"/>
              <w:rPr>
                <w:sz w:val="23"/>
                <w:szCs w:val="23"/>
                <w:color w:val="auto"/>
              </w:rPr>
            </w:pPr>
          </w:p>
        </w:tc>
        <w:tc>
          <w:tcPr>
            <w:tcW w:w="80" w:type="dxa"/>
            <w:vAlign w:val="bottom"/>
            <w:tcBorders>
              <w:bottom w:val="single" w:sz="8" w:color="D2DCE5"/>
            </w:tcBorders>
            <w:shd w:val="clear" w:color="auto" w:fill="D2DCE5"/>
          </w:tcPr>
          <w:p>
            <w:pPr>
              <w:spacing w:after="0"/>
              <w:rPr>
                <w:sz w:val="23"/>
                <w:szCs w:val="23"/>
                <w:color w:val="auto"/>
              </w:rPr>
            </w:pPr>
          </w:p>
        </w:tc>
        <w:tc>
          <w:tcPr>
            <w:tcW w:w="2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3,957</w:t>
            </w:r>
          </w:p>
        </w:tc>
        <w:tc>
          <w:tcPr>
            <w:tcW w:w="20" w:type="dxa"/>
            <w:vAlign w:val="bottom"/>
            <w:tcBorders>
              <w:bottom w:val="single" w:sz="8" w:color="D2DCE5"/>
            </w:tcBorders>
            <w:shd w:val="clear" w:color="auto" w:fill="D2DCE5"/>
          </w:tcPr>
          <w:p>
            <w:pPr>
              <w:spacing w:after="0"/>
              <w:rPr>
                <w:sz w:val="23"/>
                <w:szCs w:val="23"/>
                <w:color w:val="auto"/>
              </w:rPr>
            </w:pPr>
          </w:p>
        </w:tc>
        <w:tc>
          <w:tcPr>
            <w:tcW w:w="80" w:type="dxa"/>
            <w:vAlign w:val="bottom"/>
            <w:tcBorders>
              <w:bottom w:val="single" w:sz="8" w:color="D2DCE5"/>
            </w:tcBorders>
            <w:shd w:val="clear" w:color="auto" w:fill="D2DCE5"/>
          </w:tcPr>
          <w:p>
            <w:pPr>
              <w:spacing w:after="0"/>
              <w:rPr>
                <w:sz w:val="23"/>
                <w:szCs w:val="23"/>
                <w:color w:val="auto"/>
              </w:rPr>
            </w:pPr>
          </w:p>
        </w:tc>
        <w:tc>
          <w:tcPr>
            <w:tcW w:w="2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2,659</w:t>
            </w:r>
          </w:p>
        </w:tc>
        <w:tc>
          <w:tcPr>
            <w:tcW w:w="0" w:type="dxa"/>
            <w:vAlign w:val="bottom"/>
          </w:tcPr>
          <w:p>
            <w:pPr>
              <w:spacing w:after="0"/>
              <w:rPr>
                <w:sz w:val="1"/>
                <w:szCs w:val="1"/>
                <w:color w:val="auto"/>
              </w:rPr>
            </w:pPr>
          </w:p>
        </w:tc>
      </w:tr>
      <w:tr>
        <w:trPr>
          <w:trHeight w:val="264"/>
        </w:trPr>
        <w:tc>
          <w:tcPr>
            <w:tcW w:w="5660" w:type="dxa"/>
            <w:vAlign w:val="bottom"/>
            <w:gridSpan w:val="2"/>
          </w:tcPr>
          <w:p>
            <w:pPr>
              <w:ind w:left="140"/>
              <w:spacing w:after="0"/>
              <w:rPr>
                <w:sz w:val="20"/>
                <w:szCs w:val="20"/>
                <w:color w:val="auto"/>
              </w:rPr>
            </w:pPr>
            <w:r>
              <w:rPr>
                <w:rFonts w:ascii="Arial" w:cs="Arial" w:eastAsia="Arial" w:hAnsi="Arial"/>
                <w:sz w:val="18"/>
                <w:szCs w:val="18"/>
                <w:color w:val="131E29"/>
              </w:rPr>
              <w:t>Total revenues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198,648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131E29"/>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129,803</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131E2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537,185</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357,796</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006098"/>
              </w:rPr>
              <w:t>Deferred Revenue</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6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00" w:type="dxa"/>
            <w:vAlign w:val="bottom"/>
            <w:gridSpan w:val="8"/>
          </w:tcPr>
          <w:p>
            <w:pPr>
              <w:spacing w:after="0"/>
              <w:rPr>
                <w:sz w:val="20"/>
                <w:szCs w:val="20"/>
                <w:color w:val="auto"/>
              </w:rPr>
            </w:pPr>
            <w:r>
              <w:rPr>
                <w:rFonts w:ascii="Arial" w:cs="Arial" w:eastAsia="Arial" w:hAnsi="Arial"/>
                <w:sz w:val="18"/>
                <w:szCs w:val="18"/>
                <w:color w:val="131E29"/>
              </w:rPr>
              <w:t>Deferred revenue activity related to the Company’s loyalty and gift card programs was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7"/>
          </w:tcPr>
          <w:p>
            <w:pPr>
              <w:ind w:left="20"/>
              <w:spacing w:after="0"/>
              <w:rPr>
                <w:sz w:val="20"/>
                <w:szCs w:val="20"/>
                <w:color w:val="auto"/>
              </w:rPr>
            </w:pPr>
            <w:r>
              <w:rPr>
                <w:rFonts w:ascii="Arial" w:cs="Arial" w:eastAsia="Arial" w:hAnsi="Arial"/>
                <w:sz w:val="18"/>
                <w:szCs w:val="18"/>
                <w:b w:val="1"/>
                <w:bCs w:val="1"/>
                <w:color w:val="131E29"/>
              </w:rPr>
              <w:t>Nine Months Ended September</w:t>
            </w:r>
          </w:p>
        </w:tc>
        <w:tc>
          <w:tcPr>
            <w:tcW w:w="0" w:type="dxa"/>
            <w:vAlign w:val="bottom"/>
          </w:tcPr>
          <w:p>
            <w:pPr>
              <w:spacing w:after="0"/>
              <w:rPr>
                <w:sz w:val="1"/>
                <w:szCs w:val="1"/>
                <w:color w:val="auto"/>
              </w:rPr>
            </w:pPr>
          </w:p>
        </w:tc>
      </w:t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131E29"/>
              </w:rPr>
              <w:t>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0" w:type="dxa"/>
            <w:vAlign w:val="bottom"/>
          </w:tcPr>
          <w:p>
            <w:pPr>
              <w:spacing w:after="0"/>
              <w:rPr>
                <w:sz w:val="1"/>
                <w:szCs w:val="1"/>
                <w:color w:val="auto"/>
              </w:rPr>
            </w:pPr>
          </w:p>
        </w:tc>
      </w:tr>
      <w:tr>
        <w:trPr>
          <w:trHeight w:val="26"/>
        </w:trPr>
        <w:tc>
          <w:tcPr>
            <w:tcW w:w="5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Balance, December 31</w:t>
            </w: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94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380" w:type="dxa"/>
            <w:vAlign w:val="bottom"/>
            <w:tcBorders>
              <w:bottom w:val="single" w:sz="8" w:color="D2DCE5"/>
            </w:tcBorders>
            <w:gridSpan w:val="3"/>
            <w:shd w:val="clear" w:color="auto" w:fill="D2DCE5"/>
          </w:tcPr>
          <w:p>
            <w:pPr>
              <w:jc w:val="right"/>
              <w:ind w:right="90"/>
              <w:spacing w:after="0"/>
              <w:rPr>
                <w:sz w:val="20"/>
                <w:szCs w:val="20"/>
                <w:color w:val="auto"/>
              </w:rPr>
            </w:pPr>
            <w:r>
              <w:rPr>
                <w:rFonts w:ascii="Arial" w:cs="Arial" w:eastAsia="Arial" w:hAnsi="Arial"/>
                <w:sz w:val="18"/>
                <w:szCs w:val="18"/>
                <w:color w:val="131E29"/>
              </w:rPr>
              <w:t>$</w:t>
            </w: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22,765</w:t>
            </w:r>
          </w:p>
        </w:tc>
        <w:tc>
          <w:tcPr>
            <w:tcW w:w="2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w w:val="7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10,576</w:t>
            </w:r>
          </w:p>
        </w:tc>
        <w:tc>
          <w:tcPr>
            <w:tcW w:w="0" w:type="dxa"/>
            <w:vAlign w:val="bottom"/>
          </w:tcPr>
          <w:p>
            <w:pPr>
              <w:spacing w:after="0"/>
              <w:rPr>
                <w:sz w:val="1"/>
                <w:szCs w:val="1"/>
                <w:color w:val="auto"/>
              </w:rPr>
            </w:pPr>
          </w:p>
        </w:tc>
      </w:tr>
      <w:tr>
        <w:trPr>
          <w:trHeight w:val="243"/>
        </w:trPr>
        <w:tc>
          <w:tcPr>
            <w:tcW w:w="8400" w:type="dxa"/>
            <w:vAlign w:val="bottom"/>
            <w:gridSpan w:val="8"/>
          </w:tcPr>
          <w:p>
            <w:pPr>
              <w:ind w:left="20"/>
              <w:spacing w:after="0"/>
              <w:rPr>
                <w:sz w:val="20"/>
                <w:szCs w:val="20"/>
                <w:color w:val="auto"/>
              </w:rPr>
            </w:pPr>
            <w:r>
              <w:rPr>
                <w:rFonts w:ascii="Arial" w:cs="Arial" w:eastAsia="Arial" w:hAnsi="Arial"/>
                <w:sz w:val="18"/>
                <w:szCs w:val="18"/>
                <w:color w:val="131E29"/>
              </w:rPr>
              <w:t>Revenue deferred - gift card activations, loyalty app loads, and loyalty points and rewards earned</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186,303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122,326</w:t>
            </w:r>
          </w:p>
        </w:tc>
        <w:tc>
          <w:tcPr>
            <w:tcW w:w="0" w:type="dxa"/>
            <w:vAlign w:val="bottom"/>
          </w:tcPr>
          <w:p>
            <w:pPr>
              <w:spacing w:after="0"/>
              <w:rPr>
                <w:sz w:val="1"/>
                <w:szCs w:val="1"/>
                <w:color w:val="auto"/>
              </w:rPr>
            </w:pPr>
          </w:p>
        </w:tc>
      </w:tr>
      <w:tr>
        <w:trPr>
          <w:trHeight w:val="27"/>
        </w:trPr>
        <w:tc>
          <w:tcPr>
            <w:tcW w:w="7440" w:type="dxa"/>
            <w:vAlign w:val="bottom"/>
            <w:gridSpan w:val="6"/>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D2DCE5"/>
            </w:tcBorders>
            <w:gridSpan w:val="6"/>
            <w:shd w:val="clear" w:color="auto" w:fill="D2DCE5"/>
          </w:tcPr>
          <w:p>
            <w:pPr>
              <w:ind w:left="20"/>
              <w:spacing w:after="0"/>
              <w:rPr>
                <w:sz w:val="20"/>
                <w:szCs w:val="20"/>
                <w:color w:val="auto"/>
              </w:rPr>
            </w:pPr>
            <w:r>
              <w:rPr>
                <w:rFonts w:ascii="Arial" w:cs="Arial" w:eastAsia="Arial" w:hAnsi="Arial"/>
                <w:sz w:val="18"/>
                <w:szCs w:val="18"/>
                <w:color w:val="131E29"/>
              </w:rPr>
              <w:t>Revenue recognized - gift card, loyalty app, and loyalty rewards redemptions, and breakage</w:t>
            </w:r>
          </w:p>
        </w:tc>
        <w:tc>
          <w:tcPr>
            <w:tcW w:w="940" w:type="dxa"/>
            <w:vAlign w:val="bottom"/>
            <w:tcBorders>
              <w:bottom w:val="single" w:sz="8" w:color="D2DCE5"/>
            </w:tcBorders>
            <w:shd w:val="clear" w:color="auto" w:fill="D2DCE5"/>
          </w:tcPr>
          <w:p>
            <w:pPr>
              <w:spacing w:after="0"/>
              <w:rPr>
                <w:sz w:val="23"/>
                <w:szCs w:val="23"/>
                <w:color w:val="auto"/>
              </w:rPr>
            </w:pPr>
          </w:p>
        </w:tc>
        <w:tc>
          <w:tcPr>
            <w:tcW w:w="20" w:type="dxa"/>
            <w:vAlign w:val="bottom"/>
            <w:tcBorders>
              <w:bottom w:val="single" w:sz="8" w:color="D2DCE5"/>
            </w:tcBorders>
            <w:shd w:val="clear" w:color="auto" w:fill="D2DCE5"/>
          </w:tcPr>
          <w:p>
            <w:pPr>
              <w:spacing w:after="0"/>
              <w:rPr>
                <w:sz w:val="23"/>
                <w:szCs w:val="23"/>
                <w:color w:val="auto"/>
              </w:rPr>
            </w:pPr>
          </w:p>
        </w:tc>
        <w:tc>
          <w:tcPr>
            <w:tcW w:w="80" w:type="dxa"/>
            <w:vAlign w:val="bottom"/>
            <w:tcBorders>
              <w:bottom w:val="single" w:sz="8" w:color="D2DCE5"/>
            </w:tcBorders>
            <w:shd w:val="clear" w:color="auto" w:fill="D2DCE5"/>
          </w:tcPr>
          <w:p>
            <w:pPr>
              <w:spacing w:after="0"/>
              <w:rPr>
                <w:sz w:val="23"/>
                <w:szCs w:val="23"/>
                <w:color w:val="auto"/>
              </w:rPr>
            </w:pPr>
          </w:p>
        </w:tc>
        <w:tc>
          <w:tcPr>
            <w:tcW w:w="2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(180,538)</w:t>
            </w:r>
          </w:p>
        </w:tc>
        <w:tc>
          <w:tcPr>
            <w:tcW w:w="20" w:type="dxa"/>
            <w:vAlign w:val="bottom"/>
            <w:tcBorders>
              <w:bottom w:val="single" w:sz="8" w:color="D2DCE5"/>
            </w:tcBorders>
            <w:shd w:val="clear" w:color="auto" w:fill="D2DCE5"/>
          </w:tcPr>
          <w:p>
            <w:pPr>
              <w:spacing w:after="0"/>
              <w:rPr>
                <w:sz w:val="23"/>
                <w:szCs w:val="23"/>
                <w:color w:val="auto"/>
              </w:rPr>
            </w:pPr>
          </w:p>
        </w:tc>
        <w:tc>
          <w:tcPr>
            <w:tcW w:w="80" w:type="dxa"/>
            <w:vAlign w:val="bottom"/>
            <w:tcBorders>
              <w:bottom w:val="single" w:sz="8" w:color="D2DCE5"/>
            </w:tcBorders>
            <w:shd w:val="clear" w:color="auto" w:fill="D2DCE5"/>
          </w:tcPr>
          <w:p>
            <w:pPr>
              <w:spacing w:after="0"/>
              <w:rPr>
                <w:sz w:val="23"/>
                <w:szCs w:val="23"/>
                <w:color w:val="auto"/>
              </w:rPr>
            </w:pPr>
          </w:p>
        </w:tc>
        <w:tc>
          <w:tcPr>
            <w:tcW w:w="2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(116,967)</w:t>
            </w:r>
          </w:p>
        </w:tc>
        <w:tc>
          <w:tcPr>
            <w:tcW w:w="0" w:type="dxa"/>
            <w:vAlign w:val="bottom"/>
          </w:tcPr>
          <w:p>
            <w:pPr>
              <w:spacing w:after="0"/>
              <w:rPr>
                <w:sz w:val="1"/>
                <w:szCs w:val="1"/>
                <w:color w:val="auto"/>
              </w:rPr>
            </w:pPr>
          </w:p>
        </w:tc>
      </w:tr>
      <w:tr>
        <w:trPr>
          <w:trHeight w:val="237"/>
        </w:trPr>
        <w:tc>
          <w:tcPr>
            <w:tcW w:w="5660" w:type="dxa"/>
            <w:vAlign w:val="bottom"/>
            <w:gridSpan w:val="2"/>
          </w:tcPr>
          <w:p>
            <w:pPr>
              <w:ind w:left="20"/>
              <w:spacing w:after="0"/>
              <w:rPr>
                <w:sz w:val="20"/>
                <w:szCs w:val="20"/>
                <w:color w:val="auto"/>
              </w:rPr>
            </w:pPr>
            <w:r>
              <w:rPr>
                <w:rFonts w:ascii="Arial" w:cs="Arial" w:eastAsia="Arial" w:hAnsi="Arial"/>
                <w:sz w:val="18"/>
                <w:szCs w:val="18"/>
                <w:b w:val="1"/>
                <w:bCs w:val="1"/>
                <w:color w:val="131E29"/>
              </w:rPr>
              <w:t>Balance, September 30</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28,530</w:t>
            </w: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15,935</w:t>
            </w:r>
          </w:p>
        </w:tc>
        <w:tc>
          <w:tcPr>
            <w:tcW w:w="0" w:type="dxa"/>
            <w:vAlign w:val="bottom"/>
          </w:tcPr>
          <w:p>
            <w:pPr>
              <w:spacing w:after="0"/>
              <w:rPr>
                <w:sz w:val="1"/>
                <w:szCs w:val="1"/>
                <w:color w:val="auto"/>
              </w:rPr>
            </w:pPr>
          </w:p>
        </w:tc>
      </w:tr>
      <w:tr>
        <w:trPr>
          <w:trHeight w:val="27"/>
        </w:trPr>
        <w:tc>
          <w:tcPr>
            <w:tcW w:w="56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Less: current portion</w:t>
            </w: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spacing w:after="0"/>
              <w:rPr>
                <w:sz w:val="23"/>
                <w:szCs w:val="23"/>
                <w:color w:val="auto"/>
              </w:rPr>
            </w:pPr>
          </w:p>
        </w:tc>
        <w:tc>
          <w:tcPr>
            <w:tcW w:w="100" w:type="dxa"/>
            <w:vAlign w:val="bottom"/>
            <w:tcBorders>
              <w:bottom w:val="single" w:sz="8" w:color="D2DCE5"/>
            </w:tcBorders>
            <w:shd w:val="clear" w:color="auto" w:fill="D2DCE5"/>
          </w:tcPr>
          <w:p>
            <w:pPr>
              <w:spacing w:after="0"/>
              <w:rPr>
                <w:sz w:val="23"/>
                <w:szCs w:val="23"/>
                <w:color w:val="auto"/>
              </w:rPr>
            </w:pPr>
          </w:p>
        </w:tc>
        <w:tc>
          <w:tcPr>
            <w:tcW w:w="360" w:type="dxa"/>
            <w:vAlign w:val="bottom"/>
            <w:tcBorders>
              <w:bottom w:val="single" w:sz="8" w:color="D2DCE5"/>
            </w:tcBorders>
            <w:shd w:val="clear" w:color="auto" w:fill="D2DCE5"/>
          </w:tcPr>
          <w:p>
            <w:pPr>
              <w:spacing w:after="0"/>
              <w:rPr>
                <w:sz w:val="23"/>
                <w:szCs w:val="23"/>
                <w:color w:val="auto"/>
              </w:rPr>
            </w:pPr>
          </w:p>
        </w:tc>
        <w:tc>
          <w:tcPr>
            <w:tcW w:w="940" w:type="dxa"/>
            <w:vAlign w:val="bottom"/>
            <w:tcBorders>
              <w:bottom w:val="single" w:sz="8" w:color="D2DCE5"/>
            </w:tcBorders>
            <w:shd w:val="clear" w:color="auto" w:fill="D2DCE5"/>
          </w:tcPr>
          <w:p>
            <w:pPr>
              <w:spacing w:after="0"/>
              <w:rPr>
                <w:sz w:val="23"/>
                <w:szCs w:val="23"/>
                <w:color w:val="auto"/>
              </w:rPr>
            </w:pPr>
          </w:p>
        </w:tc>
        <w:tc>
          <w:tcPr>
            <w:tcW w:w="20" w:type="dxa"/>
            <w:vAlign w:val="bottom"/>
            <w:tcBorders>
              <w:bottom w:val="single" w:sz="8" w:color="D2DCE5"/>
            </w:tcBorders>
            <w:shd w:val="clear" w:color="auto" w:fill="D2DCE5"/>
          </w:tcPr>
          <w:p>
            <w:pPr>
              <w:spacing w:after="0"/>
              <w:rPr>
                <w:sz w:val="23"/>
                <w:szCs w:val="23"/>
                <w:color w:val="auto"/>
              </w:rPr>
            </w:pPr>
          </w:p>
        </w:tc>
        <w:tc>
          <w:tcPr>
            <w:tcW w:w="80" w:type="dxa"/>
            <w:vAlign w:val="bottom"/>
            <w:tcBorders>
              <w:bottom w:val="single" w:sz="8" w:color="D2DCE5"/>
            </w:tcBorders>
            <w:shd w:val="clear" w:color="auto" w:fill="D2DCE5"/>
          </w:tcPr>
          <w:p>
            <w:pPr>
              <w:spacing w:after="0"/>
              <w:rPr>
                <w:sz w:val="23"/>
                <w:szCs w:val="23"/>
                <w:color w:val="auto"/>
              </w:rPr>
            </w:pPr>
          </w:p>
        </w:tc>
        <w:tc>
          <w:tcPr>
            <w:tcW w:w="2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(25,371)</w:t>
            </w:r>
          </w:p>
        </w:tc>
        <w:tc>
          <w:tcPr>
            <w:tcW w:w="20" w:type="dxa"/>
            <w:vAlign w:val="bottom"/>
            <w:tcBorders>
              <w:bottom w:val="single" w:sz="8" w:color="D2DCE5"/>
            </w:tcBorders>
            <w:shd w:val="clear" w:color="auto" w:fill="D2DCE5"/>
          </w:tcPr>
          <w:p>
            <w:pPr>
              <w:spacing w:after="0"/>
              <w:rPr>
                <w:sz w:val="23"/>
                <w:szCs w:val="23"/>
                <w:color w:val="auto"/>
              </w:rPr>
            </w:pPr>
          </w:p>
        </w:tc>
        <w:tc>
          <w:tcPr>
            <w:tcW w:w="80" w:type="dxa"/>
            <w:vAlign w:val="bottom"/>
            <w:tcBorders>
              <w:bottom w:val="single" w:sz="8" w:color="D2DCE5"/>
            </w:tcBorders>
            <w:shd w:val="clear" w:color="auto" w:fill="D2DCE5"/>
          </w:tcPr>
          <w:p>
            <w:pPr>
              <w:spacing w:after="0"/>
              <w:rPr>
                <w:sz w:val="23"/>
                <w:szCs w:val="23"/>
                <w:color w:val="auto"/>
              </w:rPr>
            </w:pPr>
          </w:p>
        </w:tc>
        <w:tc>
          <w:tcPr>
            <w:tcW w:w="2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(13,681)</w:t>
            </w:r>
          </w:p>
        </w:tc>
        <w:tc>
          <w:tcPr>
            <w:tcW w:w="0" w:type="dxa"/>
            <w:vAlign w:val="bottom"/>
          </w:tcPr>
          <w:p>
            <w:pPr>
              <w:spacing w:after="0"/>
              <w:rPr>
                <w:sz w:val="1"/>
                <w:szCs w:val="1"/>
                <w:color w:val="auto"/>
              </w:rPr>
            </w:pPr>
          </w:p>
        </w:tc>
      </w:tr>
      <w:tr>
        <w:trPr>
          <w:trHeight w:val="263"/>
        </w:trPr>
        <w:tc>
          <w:tcPr>
            <w:tcW w:w="5960" w:type="dxa"/>
            <w:vAlign w:val="bottom"/>
            <w:gridSpan w:val="3"/>
          </w:tcPr>
          <w:p>
            <w:pPr>
              <w:ind w:left="140"/>
              <w:spacing w:after="0"/>
              <w:rPr>
                <w:sz w:val="20"/>
                <w:szCs w:val="20"/>
                <w:color w:val="auto"/>
              </w:rPr>
            </w:pPr>
            <w:r>
              <w:rPr>
                <w:rFonts w:ascii="Arial" w:cs="Arial" w:eastAsia="Arial" w:hAnsi="Arial"/>
                <w:sz w:val="18"/>
                <w:szCs w:val="18"/>
                <w:color w:val="131E29"/>
              </w:rPr>
              <w:t>Deferred revenue, net of current portion, gift card and loyalty programs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3,159</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2,254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Revenue recognized related to gift card redemptions that was included in deferred revenue as of the end of the previous years was $3.6 million and $3.5 million for the nine months ended September 30, 2022 and 2021, respectively. These amounts exclude cash loads and transactions for the Company’s loyalty rewards program.</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Deferred revenue also includes sales to distributors where the performance obligation has not been satisfied and control has not been transferred to the customer as of the reporting date, as well as initial unearned franchise fees from franchisees. These deferred revenues reported in the Company’s condensed consolidated balance sheets were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131E29"/>
              </w:rPr>
              <w:t>September 30,</w:t>
            </w: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0"/>
        </w:trPr>
        <w:tc>
          <w:tcPr>
            <w:tcW w:w="78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14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131E29"/>
              </w:rPr>
              <w:t>December 31, 2021</w:t>
            </w:r>
          </w:p>
        </w:tc>
      </w:tr>
      <w:tr>
        <w:trPr>
          <w:trHeight w:val="25"/>
        </w:trPr>
        <w:tc>
          <w:tcPr>
            <w:tcW w:w="77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40" w:type="dxa"/>
            <w:vAlign w:val="bottom"/>
            <w:tcBorders>
              <w:bottom w:val="single" w:sz="8" w:color="131E29"/>
            </w:tcBorders>
          </w:tcPr>
          <w:p>
            <w:pPr>
              <w:spacing w:after="0"/>
              <w:rPr>
                <w:sz w:val="2"/>
                <w:szCs w:val="2"/>
                <w:color w:val="auto"/>
              </w:rPr>
            </w:pPr>
          </w:p>
        </w:tc>
        <w:tc>
          <w:tcPr>
            <w:tcW w:w="144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Outstanding performance obligations</w:t>
            </w:r>
          </w:p>
        </w:tc>
        <w:tc>
          <w:tcPr>
            <w:tcW w:w="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79"/>
              </w:rPr>
              <w:t>$</w:t>
            </w:r>
          </w:p>
        </w:tc>
        <w:tc>
          <w:tcPr>
            <w:tcW w:w="1440" w:type="dxa"/>
            <w:vAlign w:val="bottom"/>
            <w:tcBorders>
              <w:bottom w:val="single" w:sz="8" w:color="D2DCE5"/>
            </w:tcBorders>
            <w:shd w:val="clear" w:color="auto" w:fill="D2DCE5"/>
          </w:tcPr>
          <w:p>
            <w:pPr>
              <w:jc w:val="center"/>
              <w:ind w:left="730"/>
              <w:spacing w:after="0"/>
              <w:rPr>
                <w:sz w:val="20"/>
                <w:szCs w:val="20"/>
                <w:color w:val="auto"/>
              </w:rPr>
            </w:pPr>
            <w:r>
              <w:rPr>
                <w:rFonts w:ascii="Arial" w:cs="Arial" w:eastAsia="Arial" w:hAnsi="Arial"/>
                <w:sz w:val="18"/>
                <w:szCs w:val="18"/>
                <w:color w:val="131E29"/>
              </w:rPr>
              <w:t>3,027</w:t>
            </w:r>
          </w:p>
        </w:tc>
        <w:tc>
          <w:tcPr>
            <w:tcW w:w="80" w:type="dxa"/>
            <w:vAlign w:val="bottom"/>
            <w:tcBorders>
              <w:bottom w:val="single" w:sz="8" w:color="D2DCE5"/>
            </w:tcBorders>
            <w:shd w:val="clear" w:color="auto" w:fill="D2DCE5"/>
          </w:tcPr>
          <w:p>
            <w:pPr>
              <w:spacing w:after="0"/>
              <w:rPr>
                <w:sz w:val="21"/>
                <w:szCs w:val="21"/>
                <w:color w:val="auto"/>
              </w:rPr>
            </w:pPr>
          </w:p>
        </w:tc>
        <w:tc>
          <w:tcPr>
            <w:tcW w:w="620" w:type="dxa"/>
            <w:vAlign w:val="bottom"/>
            <w:tcBorders>
              <w:bottom w:val="single" w:sz="8" w:color="D2DCE5"/>
            </w:tcBorders>
            <w:shd w:val="clear" w:color="auto" w:fill="D2DCE5"/>
          </w:tcPr>
          <w:p>
            <w:pPr>
              <w:jc w:val="right"/>
              <w:ind w:right="410"/>
              <w:spacing w:after="0"/>
              <w:rPr>
                <w:sz w:val="20"/>
                <w:szCs w:val="20"/>
                <w:color w:val="auto"/>
              </w:rPr>
            </w:pPr>
            <w:r>
              <w:rPr>
                <w:rFonts w:ascii="Arial" w:cs="Arial" w:eastAsia="Arial" w:hAnsi="Arial"/>
                <w:sz w:val="18"/>
                <w:szCs w:val="18"/>
                <w:color w:val="131E29"/>
                <w:w w:val="99"/>
              </w:rPr>
              <w:t>$</w:t>
            </w:r>
          </w:p>
        </w:tc>
        <w:tc>
          <w:tcPr>
            <w:tcW w:w="1100" w:type="dxa"/>
            <w:vAlign w:val="bottom"/>
            <w:tcBorders>
              <w:bottom w:val="single" w:sz="8" w:color="D2DCE5"/>
            </w:tcBorders>
            <w:shd w:val="clear" w:color="auto" w:fill="D2DCE5"/>
          </w:tcPr>
          <w:p>
            <w:pPr>
              <w:jc w:val="center"/>
              <w:ind w:left="410"/>
              <w:spacing w:after="0"/>
              <w:rPr>
                <w:sz w:val="20"/>
                <w:szCs w:val="20"/>
                <w:color w:val="auto"/>
              </w:rPr>
            </w:pPr>
            <w:r>
              <w:rPr>
                <w:rFonts w:ascii="Arial" w:cs="Arial" w:eastAsia="Arial" w:hAnsi="Arial"/>
                <w:sz w:val="18"/>
                <w:szCs w:val="18"/>
                <w:color w:val="131E29"/>
                <w:w w:val="97"/>
              </w:rPr>
              <w:t>2,512</w:t>
            </w:r>
          </w:p>
        </w:tc>
      </w:tr>
      <w:tr>
        <w:trPr>
          <w:trHeight w:val="243"/>
        </w:trPr>
        <w:tc>
          <w:tcPr>
            <w:tcW w:w="7860" w:type="dxa"/>
            <w:vAlign w:val="bottom"/>
            <w:gridSpan w:val="2"/>
          </w:tcPr>
          <w:p>
            <w:pPr>
              <w:ind w:left="20"/>
              <w:spacing w:after="0"/>
              <w:rPr>
                <w:sz w:val="20"/>
                <w:szCs w:val="20"/>
                <w:color w:val="auto"/>
              </w:rPr>
            </w:pPr>
            <w:r>
              <w:rPr>
                <w:rFonts w:ascii="Arial" w:cs="Arial" w:eastAsia="Arial" w:hAnsi="Arial"/>
                <w:sz w:val="18"/>
                <w:szCs w:val="18"/>
                <w:color w:val="131E29"/>
              </w:rPr>
              <w:t>Initial unearned franchise fees from franchisees</w:t>
            </w:r>
          </w:p>
        </w:tc>
        <w:tc>
          <w:tcPr>
            <w:tcW w:w="140" w:type="dxa"/>
            <w:vAlign w:val="bottom"/>
          </w:tcPr>
          <w:p>
            <w:pPr>
              <w:spacing w:after="0"/>
              <w:rPr>
                <w:sz w:val="21"/>
                <w:szCs w:val="21"/>
                <w:color w:val="auto"/>
              </w:rPr>
            </w:pPr>
          </w:p>
        </w:tc>
        <w:tc>
          <w:tcPr>
            <w:tcW w:w="1440" w:type="dxa"/>
            <w:vAlign w:val="bottom"/>
          </w:tcPr>
          <w:p>
            <w:pPr>
              <w:jc w:val="center"/>
              <w:ind w:left="730"/>
              <w:spacing w:after="0"/>
              <w:rPr>
                <w:sz w:val="20"/>
                <w:szCs w:val="20"/>
                <w:color w:val="auto"/>
              </w:rPr>
            </w:pPr>
            <w:r>
              <w:rPr>
                <w:rFonts w:ascii="Arial" w:cs="Arial" w:eastAsia="Arial" w:hAnsi="Arial"/>
                <w:sz w:val="18"/>
                <w:szCs w:val="18"/>
                <w:color w:val="131E29"/>
              </w:rPr>
              <w:t>2,390</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jc w:val="center"/>
              <w:ind w:left="410"/>
              <w:spacing w:after="0"/>
              <w:rPr>
                <w:sz w:val="20"/>
                <w:szCs w:val="20"/>
                <w:color w:val="auto"/>
              </w:rPr>
            </w:pPr>
            <w:r>
              <w:rPr>
                <w:rFonts w:ascii="Arial" w:cs="Arial" w:eastAsia="Arial" w:hAnsi="Arial"/>
                <w:sz w:val="18"/>
                <w:szCs w:val="18"/>
                <w:color w:val="131E29"/>
                <w:w w:val="97"/>
              </w:rPr>
              <w:t>2,560</w:t>
            </w:r>
          </w:p>
        </w:tc>
      </w:tr>
      <w:tr>
        <w:trPr>
          <w:trHeight w:val="27"/>
        </w:trPr>
        <w:tc>
          <w:tcPr>
            <w:tcW w:w="77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78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Total deferred revenue, excluding gift card and loyalty programs</w:t>
            </w:r>
          </w:p>
        </w:tc>
        <w:tc>
          <w:tcPr>
            <w:tcW w:w="140" w:type="dxa"/>
            <w:vAlign w:val="bottom"/>
            <w:tcBorders>
              <w:bottom w:val="single" w:sz="8" w:color="D2DCE5"/>
            </w:tcBorders>
            <w:shd w:val="clear" w:color="auto" w:fill="D2DCE5"/>
          </w:tcPr>
          <w:p>
            <w:pPr>
              <w:spacing w:after="0"/>
              <w:rPr>
                <w:sz w:val="21"/>
                <w:szCs w:val="21"/>
                <w:color w:val="auto"/>
              </w:rPr>
            </w:pPr>
          </w:p>
        </w:tc>
        <w:tc>
          <w:tcPr>
            <w:tcW w:w="1440" w:type="dxa"/>
            <w:vAlign w:val="bottom"/>
            <w:tcBorders>
              <w:bottom w:val="single" w:sz="8" w:color="D2DCE5"/>
            </w:tcBorders>
            <w:shd w:val="clear" w:color="auto" w:fill="D2DCE5"/>
          </w:tcPr>
          <w:p>
            <w:pPr>
              <w:jc w:val="center"/>
              <w:ind w:left="730"/>
              <w:spacing w:after="0"/>
              <w:rPr>
                <w:sz w:val="20"/>
                <w:szCs w:val="20"/>
                <w:color w:val="auto"/>
              </w:rPr>
            </w:pPr>
            <w:r>
              <w:rPr>
                <w:rFonts w:ascii="Arial" w:cs="Arial" w:eastAsia="Arial" w:hAnsi="Arial"/>
                <w:sz w:val="18"/>
                <w:szCs w:val="18"/>
                <w:color w:val="131E29"/>
              </w:rPr>
              <w:t>5,417</w:t>
            </w:r>
          </w:p>
        </w:tc>
        <w:tc>
          <w:tcPr>
            <w:tcW w:w="80" w:type="dxa"/>
            <w:vAlign w:val="bottom"/>
            <w:tcBorders>
              <w:bottom w:val="single" w:sz="8" w:color="D2DCE5"/>
            </w:tcBorders>
            <w:shd w:val="clear" w:color="auto" w:fill="D2DCE5"/>
          </w:tcPr>
          <w:p>
            <w:pPr>
              <w:spacing w:after="0"/>
              <w:rPr>
                <w:sz w:val="21"/>
                <w:szCs w:val="21"/>
                <w:color w:val="auto"/>
              </w:rPr>
            </w:pPr>
          </w:p>
        </w:tc>
        <w:tc>
          <w:tcPr>
            <w:tcW w:w="62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center"/>
              <w:ind w:left="410"/>
              <w:spacing w:after="0"/>
              <w:rPr>
                <w:sz w:val="20"/>
                <w:szCs w:val="20"/>
                <w:color w:val="auto"/>
              </w:rPr>
            </w:pPr>
            <w:r>
              <w:rPr>
                <w:rFonts w:ascii="Arial" w:cs="Arial" w:eastAsia="Arial" w:hAnsi="Arial"/>
                <w:sz w:val="18"/>
                <w:szCs w:val="18"/>
                <w:color w:val="131E29"/>
                <w:w w:val="97"/>
              </w:rPr>
              <w:t>5,072</w:t>
            </w:r>
          </w:p>
        </w:tc>
      </w:tr>
      <w:tr>
        <w:trPr>
          <w:trHeight w:val="243"/>
        </w:trPr>
        <w:tc>
          <w:tcPr>
            <w:tcW w:w="7860" w:type="dxa"/>
            <w:vAlign w:val="bottom"/>
            <w:gridSpan w:val="2"/>
          </w:tcPr>
          <w:p>
            <w:pPr>
              <w:ind w:left="20"/>
              <w:spacing w:after="0"/>
              <w:rPr>
                <w:sz w:val="20"/>
                <w:szCs w:val="20"/>
                <w:color w:val="auto"/>
              </w:rPr>
            </w:pPr>
            <w:r>
              <w:rPr>
                <w:rFonts w:ascii="Arial" w:cs="Arial" w:eastAsia="Arial" w:hAnsi="Arial"/>
                <w:sz w:val="18"/>
                <w:szCs w:val="18"/>
                <w:color w:val="131E29"/>
              </w:rPr>
              <w:t>Less: current portion</w:t>
            </w:r>
          </w:p>
        </w:tc>
        <w:tc>
          <w:tcPr>
            <w:tcW w:w="140" w:type="dxa"/>
            <w:vAlign w:val="bottom"/>
          </w:tcPr>
          <w:p>
            <w:pPr>
              <w:spacing w:after="0"/>
              <w:rPr>
                <w:sz w:val="21"/>
                <w:szCs w:val="21"/>
                <w:color w:val="auto"/>
              </w:rPr>
            </w:pPr>
          </w:p>
        </w:tc>
        <w:tc>
          <w:tcPr>
            <w:tcW w:w="1440" w:type="dxa"/>
            <w:vAlign w:val="bottom"/>
          </w:tcPr>
          <w:p>
            <w:pPr>
              <w:jc w:val="center"/>
              <w:ind w:left="710"/>
              <w:spacing w:after="0"/>
              <w:rPr>
                <w:sz w:val="20"/>
                <w:szCs w:val="20"/>
                <w:color w:val="auto"/>
              </w:rPr>
            </w:pPr>
            <w:r>
              <w:rPr>
                <w:rFonts w:ascii="Arial" w:cs="Arial" w:eastAsia="Arial" w:hAnsi="Arial"/>
                <w:sz w:val="18"/>
                <w:szCs w:val="18"/>
                <w:color w:val="131E29"/>
                <w:w w:val="98"/>
              </w:rPr>
              <w:t>(3,458)</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jc w:val="center"/>
              <w:ind w:left="390"/>
              <w:spacing w:after="0"/>
              <w:rPr>
                <w:sz w:val="20"/>
                <w:szCs w:val="20"/>
                <w:color w:val="auto"/>
              </w:rPr>
            </w:pPr>
            <w:r>
              <w:rPr>
                <w:rFonts w:ascii="Arial" w:cs="Arial" w:eastAsia="Arial" w:hAnsi="Arial"/>
                <w:sz w:val="18"/>
                <w:szCs w:val="18"/>
                <w:color w:val="131E29"/>
              </w:rPr>
              <w:t>(2,964)</w:t>
            </w:r>
          </w:p>
        </w:tc>
      </w:tr>
      <w:tr>
        <w:trPr>
          <w:trHeight w:val="27"/>
        </w:trPr>
        <w:tc>
          <w:tcPr>
            <w:tcW w:w="77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78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Deferred revenue, net of current portion, excluding gift card and loyalty programs</w:t>
            </w:r>
          </w:p>
        </w:tc>
        <w:tc>
          <w:tcPr>
            <w:tcW w:w="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79"/>
              </w:rPr>
              <w:t>$</w:t>
            </w:r>
          </w:p>
        </w:tc>
        <w:tc>
          <w:tcPr>
            <w:tcW w:w="1440" w:type="dxa"/>
            <w:vAlign w:val="bottom"/>
            <w:tcBorders>
              <w:bottom w:val="single" w:sz="8" w:color="auto"/>
            </w:tcBorders>
            <w:shd w:val="clear" w:color="auto" w:fill="D2DCE5"/>
          </w:tcPr>
          <w:p>
            <w:pPr>
              <w:jc w:val="center"/>
              <w:ind w:left="730"/>
              <w:spacing w:after="0"/>
              <w:rPr>
                <w:sz w:val="20"/>
                <w:szCs w:val="20"/>
                <w:color w:val="auto"/>
              </w:rPr>
            </w:pPr>
            <w:r>
              <w:rPr>
                <w:rFonts w:ascii="Arial" w:cs="Arial" w:eastAsia="Arial" w:hAnsi="Arial"/>
                <w:sz w:val="18"/>
                <w:szCs w:val="18"/>
                <w:color w:val="131E29"/>
              </w:rPr>
              <w:t>1,959</w:t>
            </w:r>
          </w:p>
        </w:tc>
        <w:tc>
          <w:tcPr>
            <w:tcW w:w="80" w:type="dxa"/>
            <w:vAlign w:val="bottom"/>
            <w:tcBorders>
              <w:bottom w:val="single" w:sz="8" w:color="D2DCE5"/>
            </w:tcBorders>
            <w:shd w:val="clear" w:color="auto" w:fill="D2DCE5"/>
          </w:tcPr>
          <w:p>
            <w:pPr>
              <w:spacing w:after="0"/>
              <w:rPr>
                <w:sz w:val="24"/>
                <w:szCs w:val="24"/>
                <w:color w:val="auto"/>
              </w:rPr>
            </w:pPr>
          </w:p>
        </w:tc>
        <w:tc>
          <w:tcPr>
            <w:tcW w:w="620" w:type="dxa"/>
            <w:vAlign w:val="bottom"/>
            <w:tcBorders>
              <w:bottom w:val="single" w:sz="8" w:color="auto"/>
            </w:tcBorders>
            <w:shd w:val="clear" w:color="auto" w:fill="D2DCE5"/>
          </w:tcPr>
          <w:p>
            <w:pPr>
              <w:jc w:val="right"/>
              <w:ind w:right="410"/>
              <w:spacing w:after="0"/>
              <w:rPr>
                <w:sz w:val="20"/>
                <w:szCs w:val="20"/>
                <w:color w:val="auto"/>
              </w:rPr>
            </w:pPr>
            <w:r>
              <w:rPr>
                <w:rFonts w:ascii="Arial" w:cs="Arial" w:eastAsia="Arial" w:hAnsi="Arial"/>
                <w:sz w:val="18"/>
                <w:szCs w:val="18"/>
                <w:color w:val="131E29"/>
                <w:w w:val="99"/>
              </w:rPr>
              <w:t>$</w:t>
            </w:r>
          </w:p>
        </w:tc>
        <w:tc>
          <w:tcPr>
            <w:tcW w:w="1100" w:type="dxa"/>
            <w:vAlign w:val="bottom"/>
            <w:tcBorders>
              <w:bottom w:val="single" w:sz="8" w:color="auto"/>
            </w:tcBorders>
            <w:shd w:val="clear" w:color="auto" w:fill="D2DCE5"/>
          </w:tcPr>
          <w:p>
            <w:pPr>
              <w:jc w:val="center"/>
              <w:ind w:left="410"/>
              <w:spacing w:after="0"/>
              <w:rPr>
                <w:sz w:val="20"/>
                <w:szCs w:val="20"/>
                <w:color w:val="auto"/>
              </w:rPr>
            </w:pPr>
            <w:r>
              <w:rPr>
                <w:rFonts w:ascii="Arial" w:cs="Arial" w:eastAsia="Arial" w:hAnsi="Arial"/>
                <w:sz w:val="18"/>
                <w:szCs w:val="18"/>
                <w:color w:val="131E29"/>
                <w:w w:val="97"/>
              </w:rPr>
              <w:t>2,108</w:t>
            </w:r>
          </w:p>
        </w:tc>
      </w:tr>
      <w:tr>
        <w:trPr>
          <w:trHeight w:val="20"/>
        </w:trPr>
        <w:tc>
          <w:tcPr>
            <w:tcW w:w="77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D2DCE5"/>
              <w:bottom w:val="single" w:sz="8" w:color="auto"/>
            </w:tcBorders>
          </w:tcPr>
          <w:p>
            <w:pPr>
              <w:spacing w:after="0" w:line="20" w:lineRule="exact"/>
              <w:rPr>
                <w:sz w:val="1"/>
                <w:szCs w:val="1"/>
                <w:color w:val="auto"/>
              </w:rPr>
            </w:pPr>
          </w:p>
        </w:tc>
        <w:tc>
          <w:tcPr>
            <w:tcW w:w="14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620" w:type="dxa"/>
            <w:vAlign w:val="bottom"/>
            <w:tcBorders>
              <w:top w:val="single" w:sz="8" w:color="D2DCE5"/>
              <w:bottom w:val="single" w:sz="8" w:color="auto"/>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131E29"/>
        </w:rPr>
        <w:t>Revenue recognized from initial unearned franchise fees was as follows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4"/>
          </w:tcPr>
          <w:p>
            <w:pPr>
              <w:ind w:left="480"/>
              <w:spacing w:after="0"/>
              <w:rPr>
                <w:sz w:val="20"/>
                <w:szCs w:val="20"/>
                <w:color w:val="auto"/>
              </w:rPr>
            </w:pPr>
            <w:r>
              <w:rPr>
                <w:rFonts w:ascii="Arial" w:cs="Arial" w:eastAsia="Arial" w:hAnsi="Arial"/>
                <w:sz w:val="18"/>
                <w:szCs w:val="18"/>
                <w:b w:val="1"/>
                <w:bCs w:val="1"/>
                <w:color w:val="131E29"/>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6"/>
          </w:tcPr>
          <w:p>
            <w:pPr>
              <w:ind w:left="40"/>
              <w:spacing w:after="0"/>
              <w:rPr>
                <w:sz w:val="20"/>
                <w:szCs w:val="20"/>
                <w:color w:val="auto"/>
              </w:rPr>
            </w:pPr>
            <w:r>
              <w:rPr>
                <w:rFonts w:ascii="Arial" w:cs="Arial" w:eastAsia="Arial" w:hAnsi="Arial"/>
                <w:sz w:val="18"/>
                <w:szCs w:val="18"/>
                <w:b w:val="1"/>
                <w:bCs w:val="1"/>
                <w:color w:val="131E29"/>
              </w:rPr>
              <w:t>Nine Months Ended September</w:t>
            </w:r>
          </w:p>
        </w:tc>
      </w:t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4"/>
          </w:tcPr>
          <w:p>
            <w:pPr>
              <w:ind w:left="760"/>
              <w:spacing w:after="0"/>
              <w:rPr>
                <w:sz w:val="20"/>
                <w:szCs w:val="20"/>
                <w:color w:val="auto"/>
              </w:rPr>
            </w:pPr>
            <w:r>
              <w:rPr>
                <w:rFonts w:ascii="Arial" w:cs="Arial" w:eastAsia="Arial" w:hAnsi="Arial"/>
                <w:sz w:val="18"/>
                <w:szCs w:val="18"/>
                <w:b w:val="1"/>
                <w:bCs w:val="1"/>
                <w:color w:val="131E29"/>
              </w:rPr>
              <w:t>September 30,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131E29"/>
                <w:w w:val="95"/>
              </w:rPr>
              <w:t>30,</w:t>
            </w:r>
          </w:p>
        </w:tc>
        <w:tc>
          <w:tcPr>
            <w:tcW w:w="1040" w:type="dxa"/>
            <w:vAlign w:val="bottom"/>
          </w:tcPr>
          <w:p>
            <w:pPr>
              <w:spacing w:after="0"/>
              <w:rPr>
                <w:sz w:val="20"/>
                <w:szCs w:val="20"/>
                <w:color w:val="auto"/>
              </w:rPr>
            </w:pPr>
          </w:p>
        </w:tc>
      </w:tr>
      <w:tr>
        <w:trPr>
          <w:trHeight w:val="27"/>
        </w:trPr>
        <w:tc>
          <w:tcPr>
            <w:tcW w:w="5660" w:type="dxa"/>
            <w:vAlign w:val="bottom"/>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900" w:type="dxa"/>
            <w:vAlign w:val="bottom"/>
          </w:tcPr>
          <w:p>
            <w:pPr>
              <w:ind w:left="460"/>
              <w:spacing w:after="0"/>
              <w:rPr>
                <w:sz w:val="20"/>
                <w:szCs w:val="20"/>
                <w:color w:val="auto"/>
              </w:rPr>
            </w:pPr>
            <w:r>
              <w:rPr>
                <w:rFonts w:ascii="Arial" w:cs="Arial" w:eastAsia="Arial" w:hAnsi="Arial"/>
                <w:sz w:val="18"/>
                <w:szCs w:val="18"/>
                <w:b w:val="1"/>
                <w:bCs w:val="1"/>
                <w:color w:val="131E29"/>
              </w:rPr>
              <w:t>2022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131E29"/>
              </w:rPr>
              <w:t>2021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r>
      <w:tr>
        <w:trPr>
          <w:trHeight w:val="26"/>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3"/>
        </w:trPr>
        <w:tc>
          <w:tcPr>
            <w:tcW w:w="56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Earned franchise fees</w:t>
            </w:r>
          </w:p>
        </w:tc>
        <w:tc>
          <w:tcPr>
            <w:tcW w:w="900" w:type="dxa"/>
            <w:vAlign w:val="bottom"/>
            <w:shd w:val="clear" w:color="auto" w:fill="D2DCE5"/>
          </w:tcPr>
          <w:p>
            <w:pPr>
              <w:jc w:val="right"/>
              <w:ind w:right="690"/>
              <w:spacing w:after="0"/>
              <w:rPr>
                <w:sz w:val="20"/>
                <w:szCs w:val="20"/>
                <w:color w:val="auto"/>
              </w:rPr>
            </w:pPr>
            <w:r>
              <w:rPr>
                <w:rFonts w:ascii="Arial" w:cs="Arial" w:eastAsia="Arial" w:hAnsi="Arial"/>
                <w:sz w:val="18"/>
                <w:szCs w:val="18"/>
                <w:color w:val="131E29"/>
                <w:w w:val="99"/>
              </w:rPr>
              <w:t>$</w:t>
            </w:r>
          </w:p>
        </w:tc>
        <w:tc>
          <w:tcPr>
            <w:tcW w:w="4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117</w:t>
            </w:r>
          </w:p>
        </w:tc>
        <w:tc>
          <w:tcPr>
            <w:tcW w:w="100" w:type="dxa"/>
            <w:vAlign w:val="bottom"/>
            <w:shd w:val="clear" w:color="auto" w:fill="D2DCE5"/>
          </w:tcPr>
          <w:p>
            <w:pPr>
              <w:spacing w:after="0"/>
              <w:rPr>
                <w:sz w:val="24"/>
                <w:szCs w:val="24"/>
                <w:color w:val="auto"/>
              </w:rPr>
            </w:pPr>
          </w:p>
        </w:tc>
        <w:tc>
          <w:tcPr>
            <w:tcW w:w="900" w:type="dxa"/>
            <w:vAlign w:val="bottom"/>
            <w:shd w:val="clear" w:color="auto" w:fill="D2DCE5"/>
          </w:tcPr>
          <w:p>
            <w:pPr>
              <w:jc w:val="right"/>
              <w:ind w:right="690"/>
              <w:spacing w:after="0"/>
              <w:rPr>
                <w:sz w:val="20"/>
                <w:szCs w:val="20"/>
                <w:color w:val="auto"/>
              </w:rPr>
            </w:pPr>
            <w:r>
              <w:rPr>
                <w:rFonts w:ascii="Arial" w:cs="Arial" w:eastAsia="Arial" w:hAnsi="Arial"/>
                <w:sz w:val="18"/>
                <w:szCs w:val="18"/>
                <w:color w:val="131E29"/>
                <w:w w:val="99"/>
              </w:rPr>
              <w:t>$</w:t>
            </w:r>
          </w:p>
        </w:tc>
        <w:tc>
          <w:tcPr>
            <w:tcW w:w="4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198</w:t>
            </w:r>
          </w:p>
        </w:tc>
        <w:tc>
          <w:tcPr>
            <w:tcW w:w="100" w:type="dxa"/>
            <w:vAlign w:val="bottom"/>
            <w:shd w:val="clear" w:color="auto" w:fill="D2DCE5"/>
          </w:tcPr>
          <w:p>
            <w:pPr>
              <w:spacing w:after="0"/>
              <w:rPr>
                <w:sz w:val="24"/>
                <w:szCs w:val="24"/>
                <w:color w:val="auto"/>
              </w:rPr>
            </w:pPr>
          </w:p>
        </w:tc>
        <w:tc>
          <w:tcPr>
            <w:tcW w:w="28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390</w:t>
            </w:r>
          </w:p>
        </w:tc>
        <w:tc>
          <w:tcPr>
            <w:tcW w:w="460" w:type="dxa"/>
            <w:vAlign w:val="bottom"/>
            <w:gridSpan w:val="3"/>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514</w:t>
            </w: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Revenue recognized from earned franchise fees that was included in unearned revenue at the beginning of the year was $0.4 million and $0.5 million for the nine months ended September 30, 2022 and 2021,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131E29"/>
        </w:rPr>
        <w:t>Future amortization of initial unearned franchise fees outstanding as of September 30, 2022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6"/>
        </w:trPr>
        <w:tc>
          <w:tcPr>
            <w:tcW w:w="9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9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Remainder of 2022</w:t>
            </w:r>
          </w:p>
        </w:tc>
        <w:tc>
          <w:tcPr>
            <w:tcW w:w="580" w:type="dxa"/>
            <w:vAlign w:val="bottom"/>
            <w:tcBorders>
              <w:bottom w:val="single" w:sz="8" w:color="D2DCE5"/>
            </w:tcBorders>
            <w:shd w:val="clear" w:color="auto" w:fill="D2DCE5"/>
          </w:tcPr>
          <w:p>
            <w:pPr>
              <w:jc w:val="right"/>
              <w:ind w:right="370"/>
              <w:spacing w:after="0"/>
              <w:rPr>
                <w:sz w:val="20"/>
                <w:szCs w:val="20"/>
                <w:color w:val="auto"/>
              </w:rPr>
            </w:pPr>
            <w:r>
              <w:rPr>
                <w:rFonts w:ascii="Arial" w:cs="Arial" w:eastAsia="Arial" w:hAnsi="Arial"/>
                <w:sz w:val="18"/>
                <w:szCs w:val="18"/>
                <w:color w:val="131E29"/>
                <w:w w:val="99"/>
              </w:rPr>
              <w:t>$</w:t>
            </w: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112</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131E29"/>
              </w:rPr>
              <w:t>2023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131E29"/>
              </w:rPr>
              <w:t>419</w:t>
            </w:r>
          </w:p>
        </w:tc>
      </w:tr>
      <w:tr>
        <w:trPr>
          <w:trHeight w:val="27"/>
        </w:trPr>
        <w:tc>
          <w:tcPr>
            <w:tcW w:w="9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2024</w:t>
            </w:r>
          </w:p>
        </w:tc>
        <w:tc>
          <w:tcPr>
            <w:tcW w:w="100" w:type="dxa"/>
            <w:vAlign w:val="bottom"/>
            <w:tcBorders>
              <w:bottom w:val="single" w:sz="8" w:color="D2DCE5"/>
            </w:tcBorders>
            <w:shd w:val="clear" w:color="auto" w:fill="D2DCE5"/>
          </w:tcPr>
          <w:p>
            <w:pPr>
              <w:spacing w:after="0"/>
              <w:rPr>
                <w:sz w:val="21"/>
                <w:szCs w:val="21"/>
                <w:color w:val="auto"/>
              </w:rPr>
            </w:pPr>
          </w:p>
        </w:tc>
        <w:tc>
          <w:tcPr>
            <w:tcW w:w="580" w:type="dxa"/>
            <w:vAlign w:val="bottom"/>
            <w:tcBorders>
              <w:bottom w:val="single" w:sz="8" w:color="D2DCE5"/>
            </w:tcBorders>
            <w:shd w:val="clear" w:color="auto" w:fill="D2DCE5"/>
          </w:tcPr>
          <w:p>
            <w:pPr>
              <w:spacing w:after="0"/>
              <w:rPr>
                <w:sz w:val="21"/>
                <w:szCs w:val="21"/>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361</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131E29"/>
              </w:rPr>
              <w:t>2025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131E29"/>
              </w:rPr>
              <w:t>307</w:t>
            </w:r>
          </w:p>
        </w:tc>
      </w:tr>
      <w:tr>
        <w:trPr>
          <w:trHeight w:val="27"/>
        </w:trPr>
        <w:tc>
          <w:tcPr>
            <w:tcW w:w="9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2026</w:t>
            </w:r>
          </w:p>
        </w:tc>
        <w:tc>
          <w:tcPr>
            <w:tcW w:w="100" w:type="dxa"/>
            <w:vAlign w:val="bottom"/>
            <w:tcBorders>
              <w:bottom w:val="single" w:sz="8" w:color="D2DCE5"/>
            </w:tcBorders>
            <w:shd w:val="clear" w:color="auto" w:fill="D2DCE5"/>
          </w:tcPr>
          <w:p>
            <w:pPr>
              <w:spacing w:after="0"/>
              <w:rPr>
                <w:sz w:val="21"/>
                <w:szCs w:val="21"/>
                <w:color w:val="auto"/>
              </w:rPr>
            </w:pPr>
          </w:p>
        </w:tc>
        <w:tc>
          <w:tcPr>
            <w:tcW w:w="580" w:type="dxa"/>
            <w:vAlign w:val="bottom"/>
            <w:tcBorders>
              <w:bottom w:val="single" w:sz="8" w:color="D2DCE5"/>
            </w:tcBorders>
            <w:shd w:val="clear" w:color="auto" w:fill="D2DCE5"/>
          </w:tcPr>
          <w:p>
            <w:pPr>
              <w:spacing w:after="0"/>
              <w:rPr>
                <w:sz w:val="21"/>
                <w:szCs w:val="21"/>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265</w:t>
            </w:r>
          </w:p>
        </w:tc>
      </w:tr>
      <w:tr>
        <w:trPr>
          <w:trHeight w:val="243"/>
        </w:trPr>
        <w:tc>
          <w:tcPr>
            <w:tcW w:w="9660" w:type="dxa"/>
            <w:vAlign w:val="bottom"/>
            <w:gridSpan w:val="2"/>
          </w:tcPr>
          <w:p>
            <w:pPr>
              <w:ind w:left="20"/>
              <w:spacing w:after="0"/>
              <w:rPr>
                <w:sz w:val="20"/>
                <w:szCs w:val="20"/>
                <w:color w:val="auto"/>
              </w:rPr>
            </w:pPr>
            <w:r>
              <w:rPr>
                <w:rFonts w:ascii="Arial" w:cs="Arial" w:eastAsia="Arial" w:hAnsi="Arial"/>
                <w:sz w:val="18"/>
                <w:szCs w:val="18"/>
                <w:color w:val="131E29"/>
              </w:rPr>
              <w:t>Thereafter</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131E29"/>
              </w:rPr>
              <w:t>926</w:t>
            </w:r>
          </w:p>
        </w:tc>
      </w:tr>
      <w:tr>
        <w:trPr>
          <w:trHeight w:val="27"/>
        </w:trPr>
        <w:tc>
          <w:tcPr>
            <w:tcW w:w="9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9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Total</w:t>
            </w:r>
          </w:p>
        </w:tc>
        <w:tc>
          <w:tcPr>
            <w:tcW w:w="580" w:type="dxa"/>
            <w:vAlign w:val="bottom"/>
            <w:tcBorders>
              <w:bottom w:val="single" w:sz="8" w:color="auto"/>
            </w:tcBorders>
            <w:shd w:val="clear" w:color="auto" w:fill="D2DCE5"/>
          </w:tcPr>
          <w:p>
            <w:pPr>
              <w:jc w:val="right"/>
              <w:ind w:right="370"/>
              <w:spacing w:after="0"/>
              <w:rPr>
                <w:sz w:val="20"/>
                <w:szCs w:val="20"/>
                <w:color w:val="auto"/>
              </w:rPr>
            </w:pPr>
            <w:r>
              <w:rPr>
                <w:rFonts w:ascii="Arial" w:cs="Arial" w:eastAsia="Arial" w:hAnsi="Arial"/>
                <w:sz w:val="18"/>
                <w:szCs w:val="18"/>
                <w:color w:val="131E29"/>
                <w:w w:val="99"/>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2,390</w:t>
            </w:r>
          </w:p>
        </w:tc>
      </w:tr>
      <w:tr>
        <w:trPr>
          <w:trHeight w:val="20"/>
        </w:trPr>
        <w:tc>
          <w:tcPr>
            <w:tcW w:w="9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4 — Shop Acquisitions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During the nine months ended September 30, 2022, the Company repurchased the franchise rights and assets of five shops from one franchisee in California. The following table summarizes the allocations of the purchase prices to the estimated fair values of assets acquired and liabilities assumed. The fair values for the 2022 acquisitions are considered preliminary and subject to change within the measurement period (up to one year from the acquisition dates), as we have not obtained all of the detailed information to finalize the opening balance sheet related to the building and leasehold improvements purchased and franchise rights reacquired.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34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131E29"/>
              </w:rPr>
              <w:t>September 30, 2022</w:t>
            </w:r>
          </w:p>
        </w:tc>
      </w:tr>
      <w:tr>
        <w:trPr>
          <w:trHeight w:val="25"/>
        </w:trPr>
        <w:tc>
          <w:tcPr>
            <w:tcW w:w="92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3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Acquisition consideration:</w:t>
            </w:r>
          </w:p>
        </w:tc>
        <w:tc>
          <w:tcPr>
            <w:tcW w:w="700" w:type="dxa"/>
            <w:vAlign w:val="bottom"/>
            <w:tcBorders>
              <w:bottom w:val="single" w:sz="8" w:color="D2DCE5"/>
            </w:tcBorders>
            <w:shd w:val="clear" w:color="auto" w:fill="D2DCE5"/>
          </w:tcPr>
          <w:p>
            <w:pPr>
              <w:spacing w:after="0"/>
              <w:rPr>
                <w:sz w:val="21"/>
                <w:szCs w:val="21"/>
                <w:color w:val="auto"/>
              </w:rPr>
            </w:pPr>
          </w:p>
        </w:tc>
        <w:tc>
          <w:tcPr>
            <w:tcW w:w="1200" w:type="dxa"/>
            <w:vAlign w:val="bottom"/>
            <w:tcBorders>
              <w:bottom w:val="single" w:sz="8" w:color="D2DCE5"/>
            </w:tcBorders>
            <w:shd w:val="clear" w:color="auto" w:fill="D2DCE5"/>
          </w:tcPr>
          <w:p>
            <w:pPr>
              <w:spacing w:after="0"/>
              <w:rPr>
                <w:sz w:val="21"/>
                <w:szCs w:val="21"/>
                <w:color w:val="auto"/>
              </w:rPr>
            </w:pP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131E29"/>
              </w:rPr>
              <w:t>Purchase price consideration</w:t>
            </w:r>
          </w:p>
        </w:tc>
        <w:tc>
          <w:tcPr>
            <w:tcW w:w="700" w:type="dxa"/>
            <w:vAlign w:val="bottom"/>
          </w:tcPr>
          <w:p>
            <w:pPr>
              <w:jc w:val="right"/>
              <w:ind w:right="490"/>
              <w:spacing w:after="0"/>
              <w:rPr>
                <w:sz w:val="20"/>
                <w:szCs w:val="20"/>
                <w:color w:val="auto"/>
              </w:rPr>
            </w:pPr>
            <w:r>
              <w:rPr>
                <w:rFonts w:ascii="Arial" w:cs="Arial" w:eastAsia="Arial" w:hAnsi="Arial"/>
                <w:sz w:val="18"/>
                <w:szCs w:val="18"/>
                <w:color w:val="131E29"/>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131E29"/>
              </w:rPr>
              <w:t>6,051</w:t>
            </w:r>
          </w:p>
        </w:tc>
      </w:tr>
      <w:tr>
        <w:trPr>
          <w:trHeight w:val="27"/>
        </w:trPr>
        <w:tc>
          <w:tcPr>
            <w:tcW w:w="92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93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Equipment and fixtures</w:t>
            </w:r>
          </w:p>
        </w:tc>
        <w:tc>
          <w:tcPr>
            <w:tcW w:w="700" w:type="dxa"/>
            <w:vAlign w:val="bottom"/>
            <w:tcBorders>
              <w:bottom w:val="single" w:sz="8" w:color="D2DCE5"/>
            </w:tcBorders>
            <w:shd w:val="clear" w:color="auto" w:fill="D2DCE5"/>
          </w:tcPr>
          <w:p>
            <w:pPr>
              <w:spacing w:after="0"/>
              <w:rPr>
                <w:sz w:val="21"/>
                <w:szCs w:val="21"/>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197</w:t>
            </w: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131E29"/>
              </w:rPr>
              <w:t>Building and leasehold improvements</w:t>
            </w:r>
          </w:p>
        </w:tc>
        <w:tc>
          <w:tcPr>
            <w:tcW w:w="7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131E29"/>
              </w:rPr>
              <w:t>1,470</w:t>
            </w:r>
          </w:p>
        </w:tc>
      </w:tr>
      <w:tr>
        <w:trPr>
          <w:trHeight w:val="27"/>
        </w:trPr>
        <w:tc>
          <w:tcPr>
            <w:tcW w:w="9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3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Inventories</w:t>
            </w:r>
          </w:p>
        </w:tc>
        <w:tc>
          <w:tcPr>
            <w:tcW w:w="700" w:type="dxa"/>
            <w:vAlign w:val="bottom"/>
            <w:tcBorders>
              <w:bottom w:val="single" w:sz="8" w:color="D2DCE5"/>
            </w:tcBorders>
            <w:shd w:val="clear" w:color="auto" w:fill="D2DCE5"/>
          </w:tcPr>
          <w:p>
            <w:pPr>
              <w:spacing w:after="0"/>
              <w:rPr>
                <w:sz w:val="21"/>
                <w:szCs w:val="21"/>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67</w:t>
            </w: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131E29"/>
              </w:rPr>
              <w:t>Other assets</w:t>
            </w:r>
          </w:p>
        </w:tc>
        <w:tc>
          <w:tcPr>
            <w:tcW w:w="7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131E29"/>
              </w:rPr>
              <w:t>6</w:t>
            </w:r>
          </w:p>
        </w:tc>
      </w:tr>
      <w:tr>
        <w:trPr>
          <w:trHeight w:val="27"/>
        </w:trPr>
        <w:tc>
          <w:tcPr>
            <w:tcW w:w="9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3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Operating lease right-of-use assets</w:t>
            </w:r>
          </w:p>
        </w:tc>
        <w:tc>
          <w:tcPr>
            <w:tcW w:w="700" w:type="dxa"/>
            <w:vAlign w:val="bottom"/>
            <w:tcBorders>
              <w:bottom w:val="single" w:sz="8" w:color="D2DCE5"/>
            </w:tcBorders>
            <w:shd w:val="clear" w:color="auto" w:fill="D2DCE5"/>
          </w:tcPr>
          <w:p>
            <w:pPr>
              <w:spacing w:after="0"/>
              <w:rPr>
                <w:sz w:val="21"/>
                <w:szCs w:val="21"/>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2,327</w:t>
            </w: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131E29"/>
              </w:rPr>
              <w:t>Reacquired franchise rights</w:t>
            </w:r>
          </w:p>
        </w:tc>
        <w:tc>
          <w:tcPr>
            <w:tcW w:w="7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131E29"/>
              </w:rPr>
              <w:t>1,735</w:t>
            </w:r>
          </w:p>
        </w:tc>
      </w:tr>
      <w:tr>
        <w:trPr>
          <w:trHeight w:val="27"/>
        </w:trPr>
        <w:tc>
          <w:tcPr>
            <w:tcW w:w="9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3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Other liabilities</w:t>
            </w:r>
          </w:p>
        </w:tc>
        <w:tc>
          <w:tcPr>
            <w:tcW w:w="700" w:type="dxa"/>
            <w:vAlign w:val="bottom"/>
            <w:tcBorders>
              <w:bottom w:val="single" w:sz="8" w:color="D2DCE5"/>
            </w:tcBorders>
            <w:shd w:val="clear" w:color="auto" w:fill="D2DCE5"/>
          </w:tcPr>
          <w:p>
            <w:pPr>
              <w:spacing w:after="0"/>
              <w:rPr>
                <w:sz w:val="21"/>
                <w:szCs w:val="21"/>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(88)</w:t>
            </w: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131E29"/>
              </w:rPr>
              <w:t>Gift card liability</w:t>
            </w:r>
          </w:p>
        </w:tc>
        <w:tc>
          <w:tcPr>
            <w:tcW w:w="7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131E29"/>
              </w:rPr>
              <w:t>(250)</w:t>
            </w:r>
          </w:p>
        </w:tc>
      </w:tr>
      <w:tr>
        <w:trPr>
          <w:trHeight w:val="27"/>
        </w:trPr>
        <w:tc>
          <w:tcPr>
            <w:tcW w:w="9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3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Operating lease obligations</w:t>
            </w:r>
          </w:p>
        </w:tc>
        <w:tc>
          <w:tcPr>
            <w:tcW w:w="700" w:type="dxa"/>
            <w:vAlign w:val="bottom"/>
            <w:tcBorders>
              <w:bottom w:val="single" w:sz="8" w:color="D2DCE5"/>
            </w:tcBorders>
            <w:shd w:val="clear" w:color="auto" w:fill="D2DCE5"/>
          </w:tcPr>
          <w:p>
            <w:pPr>
              <w:spacing w:after="0"/>
              <w:rPr>
                <w:sz w:val="23"/>
                <w:szCs w:val="23"/>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(2,327)</w:t>
            </w:r>
          </w:p>
        </w:tc>
      </w:tr>
      <w:tr>
        <w:trPr>
          <w:trHeight w:val="236"/>
        </w:trPr>
        <w:tc>
          <w:tcPr>
            <w:tcW w:w="9340" w:type="dxa"/>
            <w:vAlign w:val="bottom"/>
            <w:gridSpan w:val="2"/>
          </w:tcPr>
          <w:p>
            <w:pPr>
              <w:ind w:left="360"/>
              <w:spacing w:after="0"/>
              <w:rPr>
                <w:sz w:val="20"/>
                <w:szCs w:val="20"/>
                <w:color w:val="auto"/>
              </w:rPr>
            </w:pPr>
            <w:r>
              <w:rPr>
                <w:rFonts w:ascii="Arial" w:cs="Arial" w:eastAsia="Arial" w:hAnsi="Arial"/>
                <w:sz w:val="18"/>
                <w:szCs w:val="18"/>
                <w:color w:val="131E29"/>
              </w:rPr>
              <w:t>Net assets acquired</w:t>
            </w:r>
          </w:p>
        </w:tc>
        <w:tc>
          <w:tcPr>
            <w:tcW w:w="7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3,137</w:t>
            </w:r>
          </w:p>
        </w:tc>
      </w:tr>
      <w:tr>
        <w:trPr>
          <w:trHeight w:val="27"/>
        </w:trPr>
        <w:tc>
          <w:tcPr>
            <w:tcW w:w="92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93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Goodwill</w:t>
            </w:r>
          </w:p>
        </w:tc>
        <w:tc>
          <w:tcPr>
            <w:tcW w:w="700" w:type="dxa"/>
            <w:vAlign w:val="bottom"/>
            <w:tcBorders>
              <w:bottom w:val="single" w:sz="8" w:color="auto"/>
            </w:tcBorders>
            <w:shd w:val="clear" w:color="auto" w:fill="D2DCE5"/>
          </w:tcPr>
          <w:p>
            <w:pPr>
              <w:jc w:val="right"/>
              <w:ind w:right="490"/>
              <w:spacing w:after="0"/>
              <w:rPr>
                <w:sz w:val="20"/>
                <w:szCs w:val="20"/>
                <w:color w:val="auto"/>
              </w:rPr>
            </w:pPr>
            <w:r>
              <w:rPr>
                <w:rFonts w:ascii="Arial" w:cs="Arial" w:eastAsia="Arial" w:hAnsi="Arial"/>
                <w:sz w:val="18"/>
                <w:szCs w:val="18"/>
                <w:color w:val="131E29"/>
                <w:w w:val="99"/>
              </w:rPr>
              <w:t>$</w:t>
            </w: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2,914</w:t>
            </w:r>
          </w:p>
        </w:tc>
      </w:tr>
      <w:tr>
        <w:trPr>
          <w:trHeight w:val="20"/>
        </w:trPr>
        <w:tc>
          <w:tcPr>
            <w:tcW w:w="92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700" w:type="dxa"/>
            <w:vAlign w:val="bottom"/>
            <w:tcBorders>
              <w:top w:val="single" w:sz="8" w:color="D2DCE5"/>
              <w:bottom w:val="single" w:sz="8" w:color="auto"/>
            </w:tcBorders>
          </w:tcPr>
          <w:p>
            <w:pPr>
              <w:spacing w:after="0" w:line="20" w:lineRule="exact"/>
              <w:rPr>
                <w:sz w:val="1"/>
                <w:szCs w:val="1"/>
                <w:color w:val="auto"/>
              </w:rPr>
            </w:pPr>
          </w:p>
        </w:tc>
        <w:tc>
          <w:tcPr>
            <w:tcW w:w="120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Reacquired franchise rights acquired have weighted-average useful lives of 4.2 years at the time of purchase for the acquisitions made during the nine months ended September 30, 2022. The excess of the purchase price over the aggregate fair value of net assets acquired was allocated to goodwill and is attributable to the benefits expected as a result of the acquisitions, including sales and growth opportunities, and is expected to be fully deductible for tax purposes. Goodwill is allocated entirely to the Company-operated shops segment.</w:t>
      </w:r>
    </w:p>
    <w:p>
      <w:pPr>
        <w:spacing w:after="0" w:line="15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131E29"/>
        </w:rPr>
        <w:t>The fair value measurement of tangible and intangible assets and liabilities as of the acquisition dates is based on significant inputs not observed in the market and thus represents a Level 3 fair value measurement. Fair value measurements for reacquired franchise rights were determined using the income approach. Fair value measurements for property and equipment were determined using the cost approach.</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 results of operations for the 2022 acquisitions are included in the Company’s condensed consolidated statements of operations beginning on the dates of acquisition. Revenues of approximately $6.7 million and net income of approximately $1.2 million are included in the Company’s condensed consolidated statements of operations for the nine months ended September 30, 2022.</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following table reflects the unaudited pro forma results of the Company and the five shops purchased in 2022 as if the acquisitions had taken place as of January 1, 2021:</w:t>
      </w:r>
    </w:p>
    <w:p>
      <w:pPr>
        <w:spacing w:after="0" w:line="176"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131E29"/>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37465</wp:posOffset>
            </wp:positionV>
            <wp:extent cx="22028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Borders>
              <w:bottom w:val="single" w:sz="8" w:color="D2DCE5"/>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131E29"/>
              </w:rPr>
              <w:t>2022</w:t>
            </w:r>
          </w:p>
        </w:tc>
        <w:tc>
          <w:tcPr>
            <w:tcW w:w="100" w:type="dxa"/>
            <w:vAlign w:val="bottom"/>
            <w:tcBorders>
              <w:bottom w:val="single" w:sz="8" w:color="D2DCE5"/>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131E29"/>
              </w:rPr>
              <w:t>2021</w:t>
            </w:r>
          </w:p>
        </w:tc>
      </w:tr>
      <w:tr>
        <w:trPr>
          <w:trHeight w:val="250"/>
        </w:trPr>
        <w:tc>
          <w:tcPr>
            <w:tcW w:w="77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Revenue</w:t>
            </w:r>
          </w:p>
        </w:tc>
        <w:tc>
          <w:tcPr>
            <w:tcW w:w="380" w:type="dxa"/>
            <w:vAlign w:val="bottom"/>
            <w:tcBorders>
              <w:bottom w:val="single" w:sz="8" w:color="D2DCE5"/>
            </w:tcBorders>
            <w:shd w:val="clear" w:color="auto" w:fill="D2DCE5"/>
          </w:tcPr>
          <w:p>
            <w:pPr>
              <w:jc w:val="right"/>
              <w:ind w:right="190"/>
              <w:spacing w:after="0"/>
              <w:rPr>
                <w:sz w:val="20"/>
                <w:szCs w:val="20"/>
                <w:color w:val="auto"/>
              </w:rPr>
            </w:pPr>
            <w:r>
              <w:rPr>
                <w:rFonts w:ascii="Arial" w:cs="Arial" w:eastAsia="Arial" w:hAnsi="Arial"/>
                <w:sz w:val="18"/>
                <w:szCs w:val="18"/>
                <w:color w:val="131E29"/>
                <w:w w:val="79"/>
              </w:rPr>
              <w:t>$</w:t>
            </w:r>
          </w:p>
        </w:tc>
        <w:tc>
          <w:tcPr>
            <w:tcW w:w="13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539,136</w:t>
            </w:r>
          </w:p>
        </w:tc>
        <w:tc>
          <w:tcPr>
            <w:tcW w:w="100" w:type="dxa"/>
            <w:vAlign w:val="bottom"/>
            <w:tcBorders>
              <w:bottom w:val="single" w:sz="8" w:color="D2DCE5"/>
            </w:tcBorders>
            <w:shd w:val="clear" w:color="auto" w:fill="D2DCE5"/>
          </w:tcPr>
          <w:p>
            <w:pPr>
              <w:spacing w:after="0"/>
              <w:rPr>
                <w:sz w:val="21"/>
                <w:szCs w:val="21"/>
                <w:color w:val="auto"/>
              </w:rPr>
            </w:pPr>
          </w:p>
        </w:tc>
        <w:tc>
          <w:tcPr>
            <w:tcW w:w="400" w:type="dxa"/>
            <w:vAlign w:val="bottom"/>
            <w:tcBorders>
              <w:bottom w:val="single" w:sz="8" w:color="D2DCE5"/>
            </w:tcBorders>
            <w:shd w:val="clear" w:color="auto" w:fill="D2DCE5"/>
          </w:tcPr>
          <w:p>
            <w:pPr>
              <w:jc w:val="right"/>
              <w:ind w:right="190"/>
              <w:spacing w:after="0"/>
              <w:rPr>
                <w:sz w:val="20"/>
                <w:szCs w:val="20"/>
                <w:color w:val="auto"/>
              </w:rPr>
            </w:pPr>
            <w:r>
              <w:rPr>
                <w:rFonts w:ascii="Arial" w:cs="Arial" w:eastAsia="Arial" w:hAnsi="Arial"/>
                <w:sz w:val="18"/>
                <w:szCs w:val="18"/>
                <w:color w:val="131E29"/>
                <w:w w:val="99"/>
              </w:rPr>
              <w:t>$</w:t>
            </w:r>
          </w:p>
        </w:tc>
        <w:tc>
          <w:tcPr>
            <w:tcW w:w="12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366,564</w:t>
            </w:r>
          </w:p>
        </w:tc>
      </w:tr>
      <w:tr>
        <w:trPr>
          <w:trHeight w:val="243"/>
        </w:trPr>
        <w:tc>
          <w:tcPr>
            <w:tcW w:w="7780" w:type="dxa"/>
            <w:vAlign w:val="bottom"/>
            <w:gridSpan w:val="2"/>
          </w:tcPr>
          <w:p>
            <w:pPr>
              <w:ind w:left="20"/>
              <w:spacing w:after="0"/>
              <w:rPr>
                <w:sz w:val="20"/>
                <w:szCs w:val="20"/>
                <w:color w:val="auto"/>
              </w:rPr>
            </w:pPr>
            <w:r>
              <w:rPr>
                <w:rFonts w:ascii="Arial" w:cs="Arial" w:eastAsia="Arial" w:hAnsi="Arial"/>
                <w:sz w:val="18"/>
                <w:szCs w:val="18"/>
                <w:color w:val="131E29"/>
              </w:rPr>
              <w:t>Net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131E29"/>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131E29"/>
              </w:rPr>
              <w:t>(16,058)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131E29"/>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131E29"/>
              </w:rPr>
              <w:t>(108,218)</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5 — Inventories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40" w:type="dxa"/>
            <w:vAlign w:val="bottom"/>
            <w:gridSpan w:val="2"/>
          </w:tcPr>
          <w:p>
            <w:pPr>
              <w:spacing w:after="0"/>
              <w:rPr>
                <w:sz w:val="20"/>
                <w:szCs w:val="20"/>
                <w:color w:val="auto"/>
              </w:rPr>
            </w:pPr>
            <w:r>
              <w:rPr>
                <w:rFonts w:ascii="Arial" w:cs="Arial" w:eastAsia="Arial" w:hAnsi="Arial"/>
                <w:sz w:val="18"/>
                <w:szCs w:val="18"/>
                <w:color w:val="131E29"/>
              </w:rPr>
              <w:t>Inventories, net consist of the following:</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7"/>
        </w:trPr>
        <w:tc>
          <w:tcPr>
            <w:tcW w:w="7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131E29"/>
              </w:rPr>
              <w:t>September 30,</w:t>
            </w: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0"/>
        </w:trPr>
        <w:tc>
          <w:tcPr>
            <w:tcW w:w="784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14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131E29"/>
              </w:rPr>
              <w:t>December 31, 2021</w:t>
            </w:r>
          </w:p>
        </w:tc>
      </w:tr>
      <w:tr>
        <w:trPr>
          <w:trHeight w:val="25"/>
        </w:trPr>
        <w:tc>
          <w:tcPr>
            <w:tcW w:w="77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78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Raw materials</w:t>
            </w:r>
          </w:p>
        </w:tc>
        <w:tc>
          <w:tcPr>
            <w:tcW w:w="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16,070</w:t>
            </w:r>
          </w:p>
        </w:tc>
        <w:tc>
          <w:tcPr>
            <w:tcW w:w="100" w:type="dxa"/>
            <w:vAlign w:val="bottom"/>
            <w:tcBorders>
              <w:bottom w:val="single" w:sz="8" w:color="D2DCE5"/>
            </w:tcBorders>
            <w:shd w:val="clear" w:color="auto" w:fill="D2DCE5"/>
          </w:tcPr>
          <w:p>
            <w:pPr>
              <w:spacing w:after="0"/>
              <w:rPr>
                <w:sz w:val="21"/>
                <w:szCs w:val="21"/>
                <w:color w:val="auto"/>
              </w:rPr>
            </w:pPr>
          </w:p>
        </w:tc>
        <w:tc>
          <w:tcPr>
            <w:tcW w:w="600" w:type="dxa"/>
            <w:vAlign w:val="bottom"/>
            <w:tcBorders>
              <w:bottom w:val="single" w:sz="8" w:color="D2DCE5"/>
            </w:tcBorders>
            <w:shd w:val="clear" w:color="auto" w:fill="D2DCE5"/>
          </w:tcPr>
          <w:p>
            <w:pPr>
              <w:jc w:val="right"/>
              <w:ind w:right="390"/>
              <w:spacing w:after="0"/>
              <w:rPr>
                <w:sz w:val="20"/>
                <w:szCs w:val="20"/>
                <w:color w:val="auto"/>
              </w:rPr>
            </w:pPr>
            <w:r>
              <w:rPr>
                <w:rFonts w:ascii="Arial" w:cs="Arial" w:eastAsia="Arial" w:hAnsi="Arial"/>
                <w:sz w:val="18"/>
                <w:szCs w:val="18"/>
                <w:color w:val="131E29"/>
                <w:w w:val="99"/>
              </w:rPr>
              <w:t>$</w:t>
            </w:r>
          </w:p>
        </w:tc>
        <w:tc>
          <w:tcPr>
            <w:tcW w:w="1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8,453</w:t>
            </w:r>
          </w:p>
        </w:tc>
      </w:tr>
      <w:tr>
        <w:trPr>
          <w:trHeight w:val="243"/>
        </w:trPr>
        <w:tc>
          <w:tcPr>
            <w:tcW w:w="7840" w:type="dxa"/>
            <w:vAlign w:val="bottom"/>
            <w:gridSpan w:val="2"/>
          </w:tcPr>
          <w:p>
            <w:pPr>
              <w:ind w:left="20"/>
              <w:spacing w:after="0"/>
              <w:rPr>
                <w:sz w:val="20"/>
                <w:szCs w:val="20"/>
                <w:color w:val="auto"/>
              </w:rPr>
            </w:pPr>
            <w:r>
              <w:rPr>
                <w:rFonts w:ascii="Arial" w:cs="Arial" w:eastAsia="Arial" w:hAnsi="Arial"/>
                <w:sz w:val="18"/>
                <w:szCs w:val="18"/>
                <w:color w:val="131E29"/>
              </w:rPr>
              <w:t>Finished goods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131E29"/>
              </w:rPr>
              <w:t>17,643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131E29"/>
              </w:rPr>
              <w:t>14,892</w:t>
            </w:r>
          </w:p>
        </w:tc>
      </w:tr>
      <w:tr>
        <w:trPr>
          <w:trHeight w:val="27"/>
        </w:trPr>
        <w:tc>
          <w:tcPr>
            <w:tcW w:w="77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78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color w:val="131E29"/>
              </w:rPr>
              <w:t>Total inventories</w:t>
            </w:r>
          </w:p>
        </w:tc>
        <w:tc>
          <w:tcPr>
            <w:tcW w:w="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33,713</w:t>
            </w:r>
          </w:p>
        </w:tc>
        <w:tc>
          <w:tcPr>
            <w:tcW w:w="100" w:type="dxa"/>
            <w:vAlign w:val="bottom"/>
            <w:tcBorders>
              <w:bottom w:val="single" w:sz="8" w:color="D2DCE5"/>
            </w:tcBorders>
            <w:shd w:val="clear" w:color="auto" w:fill="D2DCE5"/>
          </w:tcPr>
          <w:p>
            <w:pPr>
              <w:spacing w:after="0"/>
              <w:rPr>
                <w:sz w:val="24"/>
                <w:szCs w:val="24"/>
                <w:color w:val="auto"/>
              </w:rPr>
            </w:pPr>
          </w:p>
        </w:tc>
        <w:tc>
          <w:tcPr>
            <w:tcW w:w="600" w:type="dxa"/>
            <w:vAlign w:val="bottom"/>
            <w:tcBorders>
              <w:bottom w:val="single" w:sz="8" w:color="auto"/>
            </w:tcBorders>
            <w:shd w:val="clear" w:color="auto" w:fill="D2DCE5"/>
          </w:tcPr>
          <w:p>
            <w:pPr>
              <w:jc w:val="right"/>
              <w:ind w:right="390"/>
              <w:spacing w:after="0"/>
              <w:rPr>
                <w:sz w:val="20"/>
                <w:szCs w:val="20"/>
                <w:color w:val="auto"/>
              </w:rPr>
            </w:pPr>
            <w:r>
              <w:rPr>
                <w:rFonts w:ascii="Arial" w:cs="Arial" w:eastAsia="Arial" w:hAnsi="Arial"/>
                <w:sz w:val="18"/>
                <w:szCs w:val="18"/>
                <w:color w:val="131E29"/>
                <w:w w:val="99"/>
              </w:rPr>
              <w:t>$</w:t>
            </w:r>
          </w:p>
        </w:tc>
        <w:tc>
          <w:tcPr>
            <w:tcW w:w="11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23,345</w:t>
            </w:r>
          </w:p>
        </w:tc>
      </w:tr>
      <w:tr>
        <w:trPr>
          <w:trHeight w:val="20"/>
        </w:trPr>
        <w:tc>
          <w:tcPr>
            <w:tcW w:w="77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D2DCE5"/>
              <w:bottom w:val="single" w:sz="8" w:color="auto"/>
            </w:tcBorders>
          </w:tcPr>
          <w:p>
            <w:pPr>
              <w:spacing w:after="0" w:line="20" w:lineRule="exact"/>
              <w:rPr>
                <w:sz w:val="1"/>
                <w:szCs w:val="1"/>
                <w:color w:val="auto"/>
              </w:rPr>
            </w:pPr>
          </w:p>
        </w:tc>
        <w:tc>
          <w:tcPr>
            <w:tcW w:w="14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600" w:type="dxa"/>
            <w:vAlign w:val="bottom"/>
            <w:tcBorders>
              <w:top w:val="single" w:sz="8" w:color="D2DCE5"/>
              <w:bottom w:val="single" w:sz="8" w:color="auto"/>
            </w:tcBorders>
          </w:tcPr>
          <w:p>
            <w:pPr>
              <w:spacing w:after="0" w:line="20" w:lineRule="exact"/>
              <w:rPr>
                <w:sz w:val="1"/>
                <w:szCs w:val="1"/>
                <w:color w:val="auto"/>
              </w:rPr>
            </w:pPr>
          </w:p>
        </w:tc>
        <w:tc>
          <w:tcPr>
            <w:tcW w:w="1120" w:type="dxa"/>
            <w:vAlign w:val="bottom"/>
            <w:tcBorders>
              <w:top w:val="single" w:sz="8" w:color="D2DCE5"/>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131E29"/>
        </w:rPr>
        <w:t>As of September 30, 2022 and December 31, 2021, reserves for inventories were $105 and $2,126,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6 — Property and Equipment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131E29"/>
        </w:rPr>
        <w:t>Property and equipment, net consists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131E29"/>
              </w:rPr>
              <w:t xml:space="preserve">Useful Life </w:t>
            </w:r>
            <w:r>
              <w:rPr>
                <w:rFonts w:ascii="Arial" w:cs="Arial" w:eastAsia="Arial" w:hAnsi="Arial"/>
                <w:sz w:val="14"/>
                <w:szCs w:val="14"/>
                <w:color w:val="131E29"/>
              </w:rPr>
              <w:t>(Years)</w:t>
            </w:r>
          </w:p>
        </w:tc>
        <w:tc>
          <w:tcPr>
            <w:tcW w:w="14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131E29"/>
              </w:rPr>
              <w:t>September 30,</w:t>
            </w:r>
          </w:p>
        </w:tc>
        <w:tc>
          <w:tcPr>
            <w:tcW w:w="17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131E29"/>
              </w:rPr>
              <w:t>December 31, 2021</w:t>
            </w:r>
          </w:p>
        </w:tc>
        <w:tc>
          <w:tcPr>
            <w:tcW w:w="0" w:type="dxa"/>
            <w:vAlign w:val="bottom"/>
          </w:tcPr>
          <w:p>
            <w:pPr>
              <w:spacing w:after="0"/>
              <w:rPr>
                <w:sz w:val="1"/>
                <w:szCs w:val="1"/>
                <w:color w:val="auto"/>
              </w:rPr>
            </w:pPr>
          </w:p>
        </w:tc>
      </w:tr>
      <w:tr>
        <w:trPr>
          <w:trHeight w:val="241"/>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3900" w:type="dxa"/>
            <w:vAlign w:val="bottom"/>
            <w:tcBorders>
              <w:bottom w:val="single" w:sz="8" w:color="auto"/>
            </w:tcBorders>
          </w:tcPr>
          <w:p>
            <w:pPr>
              <w:spacing w:after="0"/>
              <w:rPr>
                <w:sz w:val="20"/>
                <w:szCs w:val="20"/>
                <w:color w:val="auto"/>
              </w:rPr>
            </w:pPr>
          </w:p>
        </w:tc>
        <w:tc>
          <w:tcPr>
            <w:tcW w:w="100" w:type="dxa"/>
            <w:vAlign w:val="bottom"/>
            <w:tcBorders>
              <w:bottom w:val="single" w:sz="8" w:color="D2DCE5"/>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D2DCE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131E29"/>
              </w:rPr>
              <w:t>2022</w:t>
            </w:r>
          </w:p>
        </w:tc>
        <w:tc>
          <w:tcPr>
            <w:tcW w:w="80" w:type="dxa"/>
            <w:vAlign w:val="bottom"/>
            <w:tcBorders>
              <w:bottom w:val="single" w:sz="8" w:color="D2DCE5"/>
            </w:tcBorders>
          </w:tcPr>
          <w:p>
            <w:pPr>
              <w:spacing w:after="0"/>
              <w:rPr>
                <w:sz w:val="20"/>
                <w:szCs w:val="20"/>
                <w:color w:val="auto"/>
              </w:rPr>
            </w:pPr>
          </w:p>
        </w:tc>
        <w:tc>
          <w:tcPr>
            <w:tcW w:w="17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Software</w:t>
            </w:r>
          </w:p>
        </w:tc>
        <w:tc>
          <w:tcPr>
            <w:tcW w:w="390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58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3</w:t>
            </w:r>
          </w:p>
        </w:tc>
        <w:tc>
          <w:tcPr>
            <w:tcW w:w="58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79"/>
              </w:rPr>
              <w:t>$</w:t>
            </w:r>
          </w:p>
        </w:tc>
        <w:tc>
          <w:tcPr>
            <w:tcW w:w="1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7,430</w:t>
            </w:r>
          </w:p>
        </w:tc>
        <w:tc>
          <w:tcPr>
            <w:tcW w:w="8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ind w:right="350"/>
              <w:spacing w:after="0"/>
              <w:rPr>
                <w:sz w:val="20"/>
                <w:szCs w:val="20"/>
                <w:color w:val="auto"/>
              </w:rPr>
            </w:pPr>
            <w:r>
              <w:rPr>
                <w:rFonts w:ascii="Arial" w:cs="Arial" w:eastAsia="Arial" w:hAnsi="Arial"/>
                <w:sz w:val="18"/>
                <w:szCs w:val="18"/>
                <w:color w:val="131E29"/>
                <w:w w:val="99"/>
              </w:rPr>
              <w:t>$</w:t>
            </w: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7,132</w:t>
            </w:r>
          </w:p>
        </w:tc>
        <w:tc>
          <w:tcPr>
            <w:tcW w:w="0" w:type="dxa"/>
            <w:vAlign w:val="bottom"/>
          </w:tcPr>
          <w:p>
            <w:pPr>
              <w:spacing w:after="0"/>
              <w:rPr>
                <w:sz w:val="1"/>
                <w:szCs w:val="1"/>
                <w:color w:val="auto"/>
              </w:rPr>
            </w:pP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131E29"/>
              </w:rPr>
              <w:t>Equipment and fixtures</w:t>
            </w:r>
          </w:p>
        </w:tc>
        <w:tc>
          <w:tcPr>
            <w:tcW w:w="4580" w:type="dxa"/>
            <w:vAlign w:val="bottom"/>
            <w:gridSpan w:val="3"/>
          </w:tcPr>
          <w:p>
            <w:pPr>
              <w:jc w:val="center"/>
              <w:ind w:left="4078"/>
              <w:spacing w:after="0"/>
              <w:rPr>
                <w:sz w:val="20"/>
                <w:szCs w:val="20"/>
                <w:color w:val="auto"/>
              </w:rPr>
            </w:pPr>
            <w:r>
              <w:rPr>
                <w:rFonts w:ascii="Arial" w:cs="Arial" w:eastAsia="Arial" w:hAnsi="Arial"/>
                <w:sz w:val="18"/>
                <w:szCs w:val="18"/>
                <w:color w:val="131E29"/>
                <w:w w:val="99"/>
              </w:rPr>
              <w:t>3</w:t>
            </w:r>
          </w:p>
        </w:tc>
        <w:tc>
          <w:tcPr>
            <w:tcW w:w="560" w:type="dxa"/>
            <w:vAlign w:val="bottom"/>
          </w:tcPr>
          <w:p>
            <w:pPr>
              <w:jc w:val="center"/>
              <w:spacing w:after="0"/>
              <w:rPr>
                <w:sz w:val="20"/>
                <w:szCs w:val="20"/>
                <w:color w:val="auto"/>
              </w:rPr>
            </w:pPr>
            <w:r>
              <w:rPr>
                <w:rFonts w:ascii="Arial" w:cs="Arial" w:eastAsia="Arial" w:hAnsi="Arial"/>
                <w:sz w:val="11"/>
                <w:szCs w:val="11"/>
                <w:color w:val="131E29"/>
              </w:rPr>
              <w:t>—</w:t>
            </w:r>
          </w:p>
        </w:tc>
        <w:tc>
          <w:tcPr>
            <w:tcW w:w="580" w:type="dxa"/>
            <w:vAlign w:val="bottom"/>
          </w:tcPr>
          <w:p>
            <w:pPr>
              <w:jc w:val="center"/>
              <w:ind w:right="70"/>
              <w:spacing w:after="0"/>
              <w:rPr>
                <w:sz w:val="20"/>
                <w:szCs w:val="20"/>
                <w:color w:val="auto"/>
              </w:rPr>
            </w:pPr>
            <w:r>
              <w:rPr>
                <w:rFonts w:ascii="Arial" w:cs="Arial" w:eastAsia="Arial" w:hAnsi="Arial"/>
                <w:sz w:val="18"/>
                <w:szCs w:val="18"/>
                <w:color w:val="131E29"/>
                <w:w w:val="99"/>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131E29"/>
              </w:rPr>
              <w:t>85,232</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57,952</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w w:val="99"/>
              </w:rPr>
              <w:t>Leasehold improvements</w:t>
            </w:r>
          </w:p>
        </w:tc>
        <w:tc>
          <w:tcPr>
            <w:tcW w:w="4580" w:type="dxa"/>
            <w:vAlign w:val="bottom"/>
            <w:tcBorders>
              <w:bottom w:val="single" w:sz="8" w:color="D2DCE5"/>
            </w:tcBorders>
            <w:gridSpan w:val="3"/>
            <w:shd w:val="clear" w:color="auto" w:fill="D2DCE5"/>
          </w:tcPr>
          <w:p>
            <w:pPr>
              <w:jc w:val="center"/>
              <w:ind w:left="4078"/>
              <w:spacing w:after="0"/>
              <w:rPr>
                <w:sz w:val="20"/>
                <w:szCs w:val="20"/>
                <w:color w:val="auto"/>
              </w:rPr>
            </w:pPr>
            <w:r>
              <w:rPr>
                <w:rFonts w:ascii="Arial" w:cs="Arial" w:eastAsia="Arial" w:hAnsi="Arial"/>
                <w:sz w:val="18"/>
                <w:szCs w:val="18"/>
                <w:color w:val="131E29"/>
                <w:w w:val="99"/>
              </w:rPr>
              <w:t>5</w:t>
            </w:r>
          </w:p>
        </w:tc>
        <w:tc>
          <w:tcPr>
            <w:tcW w:w="56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1"/>
                <w:szCs w:val="11"/>
                <w:color w:val="131E29"/>
              </w:rPr>
              <w:t>—</w:t>
            </w:r>
          </w:p>
        </w:tc>
        <w:tc>
          <w:tcPr>
            <w:tcW w:w="580" w:type="dxa"/>
            <w:vAlign w:val="bottom"/>
            <w:tcBorders>
              <w:bottom w:val="single" w:sz="8" w:color="D2DCE5"/>
            </w:tcBorders>
            <w:shd w:val="clear" w:color="auto" w:fill="D2DCE5"/>
          </w:tcPr>
          <w:p>
            <w:pPr>
              <w:jc w:val="center"/>
              <w:ind w:right="50"/>
              <w:spacing w:after="0"/>
              <w:rPr>
                <w:sz w:val="20"/>
                <w:szCs w:val="20"/>
                <w:color w:val="auto"/>
              </w:rPr>
            </w:pPr>
            <w:r>
              <w:rPr>
                <w:rFonts w:ascii="Arial" w:cs="Arial" w:eastAsia="Arial" w:hAnsi="Arial"/>
                <w:sz w:val="18"/>
                <w:szCs w:val="18"/>
                <w:color w:val="131E29"/>
                <w:w w:val="99"/>
              </w:rPr>
              <w:t>15</w:t>
            </w: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1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26,996</w:t>
            </w:r>
          </w:p>
        </w:tc>
        <w:tc>
          <w:tcPr>
            <w:tcW w:w="8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20,744</w:t>
            </w:r>
          </w:p>
        </w:tc>
        <w:tc>
          <w:tcPr>
            <w:tcW w:w="0" w:type="dxa"/>
            <w:vAlign w:val="bottom"/>
          </w:tcPr>
          <w:p>
            <w:pPr>
              <w:spacing w:after="0"/>
              <w:rPr>
                <w:sz w:val="1"/>
                <w:szCs w:val="1"/>
                <w:color w:val="auto"/>
              </w:rPr>
            </w:pP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131E29"/>
              </w:rPr>
              <w:t>Buildings</w:t>
            </w:r>
          </w:p>
        </w:tc>
        <w:tc>
          <w:tcPr>
            <w:tcW w:w="4580" w:type="dxa"/>
            <w:vAlign w:val="bottom"/>
            <w:gridSpan w:val="3"/>
          </w:tcPr>
          <w:p>
            <w:pPr>
              <w:jc w:val="center"/>
              <w:ind w:left="4058"/>
              <w:spacing w:after="0"/>
              <w:rPr>
                <w:sz w:val="20"/>
                <w:szCs w:val="20"/>
                <w:color w:val="auto"/>
              </w:rPr>
            </w:pPr>
            <w:r>
              <w:rPr>
                <w:rFonts w:ascii="Arial" w:cs="Arial" w:eastAsia="Arial" w:hAnsi="Arial"/>
                <w:sz w:val="18"/>
                <w:szCs w:val="18"/>
                <w:color w:val="131E29"/>
                <w:w w:val="99"/>
              </w:rPr>
              <w:t>10</w:t>
            </w:r>
          </w:p>
        </w:tc>
        <w:tc>
          <w:tcPr>
            <w:tcW w:w="560" w:type="dxa"/>
            <w:vAlign w:val="bottom"/>
          </w:tcPr>
          <w:p>
            <w:pPr>
              <w:jc w:val="center"/>
              <w:spacing w:after="0"/>
              <w:rPr>
                <w:sz w:val="20"/>
                <w:szCs w:val="20"/>
                <w:color w:val="auto"/>
              </w:rPr>
            </w:pPr>
            <w:r>
              <w:rPr>
                <w:rFonts w:ascii="Arial" w:cs="Arial" w:eastAsia="Arial" w:hAnsi="Arial"/>
                <w:sz w:val="11"/>
                <w:szCs w:val="11"/>
                <w:color w:val="131E29"/>
              </w:rPr>
              <w:t>—</w:t>
            </w:r>
          </w:p>
        </w:tc>
        <w:tc>
          <w:tcPr>
            <w:tcW w:w="580" w:type="dxa"/>
            <w:vAlign w:val="bottom"/>
          </w:tcPr>
          <w:p>
            <w:pPr>
              <w:jc w:val="center"/>
              <w:ind w:right="50"/>
              <w:spacing w:after="0"/>
              <w:rPr>
                <w:sz w:val="20"/>
                <w:szCs w:val="20"/>
                <w:color w:val="auto"/>
              </w:rPr>
            </w:pPr>
            <w:r>
              <w:rPr>
                <w:rFonts w:ascii="Arial" w:cs="Arial" w:eastAsia="Arial" w:hAnsi="Arial"/>
                <w:sz w:val="18"/>
                <w:szCs w:val="18"/>
                <w:color w:val="131E29"/>
                <w:w w:val="99"/>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131E29"/>
              </w:rPr>
              <w:t>134,640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168,395</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Land</w:t>
            </w:r>
          </w:p>
        </w:tc>
        <w:tc>
          <w:tcPr>
            <w:tcW w:w="390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58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N/A</w:t>
            </w:r>
          </w:p>
        </w:tc>
        <w:tc>
          <w:tcPr>
            <w:tcW w:w="58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1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4,211</w:t>
            </w:r>
          </w:p>
        </w:tc>
        <w:tc>
          <w:tcPr>
            <w:tcW w:w="8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5,242</w:t>
            </w:r>
          </w:p>
        </w:tc>
        <w:tc>
          <w:tcPr>
            <w:tcW w:w="0" w:type="dxa"/>
            <w:vAlign w:val="bottom"/>
          </w:tcPr>
          <w:p>
            <w:pPr>
              <w:spacing w:after="0"/>
              <w:rPr>
                <w:sz w:val="1"/>
                <w:szCs w:val="1"/>
                <w:color w:val="auto"/>
              </w:rPr>
            </w:pPr>
          </w:p>
        </w:tc>
      </w:tr>
      <w:tr>
        <w:trPr>
          <w:trHeight w:val="328"/>
        </w:trPr>
        <w:tc>
          <w:tcPr>
            <w:tcW w:w="2040" w:type="dxa"/>
            <w:vAlign w:val="bottom"/>
          </w:tcPr>
          <w:p>
            <w:pPr>
              <w:ind w:left="20"/>
              <w:spacing w:after="0"/>
              <w:rPr>
                <w:sz w:val="20"/>
                <w:szCs w:val="20"/>
                <w:color w:val="auto"/>
              </w:rPr>
            </w:pPr>
            <w:r>
              <w:rPr>
                <w:rFonts w:ascii="Arial" w:cs="Arial" w:eastAsia="Arial" w:hAnsi="Arial"/>
                <w:sz w:val="18"/>
                <w:szCs w:val="18"/>
                <w:color w:val="131E29"/>
              </w:rPr>
              <w:t xml:space="preserve">Aircraft </w:t>
            </w:r>
            <w:r>
              <w:rPr>
                <w:rFonts w:ascii="Arial" w:cs="Arial" w:eastAsia="Arial" w:hAnsi="Arial"/>
                <w:sz w:val="23"/>
                <w:szCs w:val="23"/>
                <w:color w:val="131E29"/>
                <w:vertAlign w:val="superscript"/>
              </w:rPr>
              <w:t>1</w:t>
            </w: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131E29"/>
                <w:w w:val="99"/>
              </w:rPr>
              <w:t>N/A</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131E29"/>
              </w:rPr>
              <w:t>9,195</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131E29"/>
              </w:rPr>
              <w:t>9,531</w:t>
            </w:r>
          </w:p>
        </w:tc>
        <w:tc>
          <w:tcPr>
            <w:tcW w:w="0" w:type="dxa"/>
            <w:vAlign w:val="bottom"/>
          </w:tcPr>
          <w:p>
            <w:pPr>
              <w:spacing w:after="0"/>
              <w:rPr>
                <w:sz w:val="1"/>
                <w:szCs w:val="1"/>
                <w:color w:val="auto"/>
              </w:rPr>
            </w:pPr>
          </w:p>
        </w:tc>
      </w:tr>
      <w:tr>
        <w:trPr>
          <w:trHeight w:val="77"/>
        </w:trPr>
        <w:tc>
          <w:tcPr>
            <w:tcW w:w="2040" w:type="dxa"/>
            <w:vAlign w:val="bottom"/>
          </w:tcPr>
          <w:p>
            <w:pPr>
              <w:spacing w:after="0"/>
              <w:rPr>
                <w:sz w:val="6"/>
                <w:szCs w:val="6"/>
                <w:color w:val="auto"/>
              </w:rPr>
            </w:pPr>
          </w:p>
        </w:tc>
        <w:tc>
          <w:tcPr>
            <w:tcW w:w="3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Construction-in-progress</w:t>
            </w:r>
          </w:p>
        </w:tc>
        <w:tc>
          <w:tcPr>
            <w:tcW w:w="3900" w:type="dxa"/>
            <w:vAlign w:val="bottom"/>
            <w:shd w:val="clear" w:color="auto" w:fill="D2DCE5"/>
          </w:tcPr>
          <w:p>
            <w:pPr>
              <w:jc w:val="right"/>
              <w:ind w:right="3738"/>
              <w:spacing w:after="0"/>
              <w:rPr>
                <w:sz w:val="20"/>
                <w:szCs w:val="20"/>
                <w:color w:val="auto"/>
              </w:rPr>
            </w:pPr>
            <w:r>
              <w:rPr>
                <w:rFonts w:ascii="Arial" w:cs="Arial" w:eastAsia="Arial" w:hAnsi="Arial"/>
                <w:sz w:val="12"/>
                <w:szCs w:val="12"/>
                <w:color w:val="131E29"/>
                <w:w w:val="89"/>
              </w:rPr>
              <w:t>2</w:t>
            </w:r>
          </w:p>
        </w:tc>
        <w:tc>
          <w:tcPr>
            <w:tcW w:w="100" w:type="dxa"/>
            <w:vAlign w:val="bottom"/>
            <w:shd w:val="clear" w:color="auto" w:fill="D2DCE5"/>
          </w:tcPr>
          <w:p>
            <w:pPr>
              <w:spacing w:after="0"/>
              <w:rPr>
                <w:sz w:val="21"/>
                <w:szCs w:val="21"/>
                <w:color w:val="auto"/>
              </w:rPr>
            </w:pPr>
          </w:p>
        </w:tc>
        <w:tc>
          <w:tcPr>
            <w:tcW w:w="580" w:type="dxa"/>
            <w:vAlign w:val="bottom"/>
            <w:shd w:val="clear" w:color="auto" w:fill="D2DCE5"/>
          </w:tcPr>
          <w:p>
            <w:pPr>
              <w:spacing w:after="0"/>
              <w:rPr>
                <w:sz w:val="21"/>
                <w:szCs w:val="21"/>
                <w:color w:val="auto"/>
              </w:rPr>
            </w:pPr>
          </w:p>
        </w:tc>
        <w:tc>
          <w:tcPr>
            <w:tcW w:w="560" w:type="dxa"/>
            <w:vAlign w:val="bottom"/>
            <w:vMerge w:val="restart"/>
            <w:shd w:val="clear" w:color="auto" w:fill="D2DCE5"/>
          </w:tcPr>
          <w:p>
            <w:pPr>
              <w:jc w:val="center"/>
              <w:spacing w:after="0"/>
              <w:rPr>
                <w:sz w:val="20"/>
                <w:szCs w:val="20"/>
                <w:color w:val="auto"/>
              </w:rPr>
            </w:pPr>
            <w:r>
              <w:rPr>
                <w:rFonts w:ascii="Arial" w:cs="Arial" w:eastAsia="Arial" w:hAnsi="Arial"/>
                <w:sz w:val="18"/>
                <w:szCs w:val="18"/>
                <w:color w:val="131E29"/>
                <w:w w:val="99"/>
              </w:rPr>
              <w:t>N/A</w:t>
            </w:r>
          </w:p>
        </w:tc>
        <w:tc>
          <w:tcPr>
            <w:tcW w:w="5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40" w:type="dxa"/>
            <w:vAlign w:val="bottom"/>
            <w:shd w:val="clear" w:color="auto" w:fill="D2DCE5"/>
          </w:tcPr>
          <w:p>
            <w:pPr>
              <w:spacing w:after="0"/>
              <w:rPr>
                <w:sz w:val="21"/>
                <w:szCs w:val="21"/>
                <w:color w:val="auto"/>
              </w:rPr>
            </w:pPr>
          </w:p>
        </w:tc>
        <w:tc>
          <w:tcPr>
            <w:tcW w:w="14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124,185</w:t>
            </w:r>
          </w:p>
        </w:tc>
        <w:tc>
          <w:tcPr>
            <w:tcW w:w="80" w:type="dxa"/>
            <w:vAlign w:val="bottom"/>
            <w:shd w:val="clear" w:color="auto" w:fill="D2DCE5"/>
          </w:tcPr>
          <w:p>
            <w:pPr>
              <w:spacing w:after="0"/>
              <w:rPr>
                <w:sz w:val="21"/>
                <w:szCs w:val="21"/>
                <w:color w:val="auto"/>
              </w:rPr>
            </w:pPr>
          </w:p>
        </w:tc>
        <w:tc>
          <w:tcPr>
            <w:tcW w:w="560" w:type="dxa"/>
            <w:vAlign w:val="bottom"/>
            <w:shd w:val="clear" w:color="auto" w:fill="D2DCE5"/>
          </w:tcPr>
          <w:p>
            <w:pPr>
              <w:spacing w:after="0"/>
              <w:rPr>
                <w:sz w:val="21"/>
                <w:szCs w:val="21"/>
                <w:color w:val="auto"/>
              </w:rPr>
            </w:pPr>
          </w:p>
        </w:tc>
        <w:tc>
          <w:tcPr>
            <w:tcW w:w="11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88,050</w:t>
            </w:r>
          </w:p>
        </w:tc>
        <w:tc>
          <w:tcPr>
            <w:tcW w:w="0" w:type="dxa"/>
            <w:vAlign w:val="bottom"/>
          </w:tcPr>
          <w:p>
            <w:pPr>
              <w:spacing w:after="0"/>
              <w:rPr>
                <w:sz w:val="1"/>
                <w:szCs w:val="1"/>
                <w:color w:val="auto"/>
              </w:rPr>
            </w:pPr>
          </w:p>
        </w:tc>
      </w:tr>
      <w:tr>
        <w:trPr>
          <w:trHeight w:val="189"/>
        </w:trPr>
        <w:tc>
          <w:tcPr>
            <w:tcW w:w="2040" w:type="dxa"/>
            <w:vAlign w:val="bottom"/>
            <w:tcBorders>
              <w:bottom w:val="single" w:sz="8" w:color="D2DCE5"/>
            </w:tcBorders>
            <w:shd w:val="clear" w:color="auto" w:fill="D2DCE5"/>
          </w:tcPr>
          <w:p>
            <w:pPr>
              <w:spacing w:after="0"/>
              <w:rPr>
                <w:sz w:val="16"/>
                <w:szCs w:val="16"/>
                <w:color w:val="auto"/>
              </w:rPr>
            </w:pPr>
          </w:p>
        </w:tc>
        <w:tc>
          <w:tcPr>
            <w:tcW w:w="390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580" w:type="dxa"/>
            <w:vAlign w:val="bottom"/>
            <w:tcBorders>
              <w:bottom w:val="single" w:sz="8" w:color="D2DCE5"/>
            </w:tcBorders>
            <w:shd w:val="clear" w:color="auto" w:fill="D2DCE5"/>
          </w:tcPr>
          <w:p>
            <w:pPr>
              <w:spacing w:after="0"/>
              <w:rPr>
                <w:sz w:val="16"/>
                <w:szCs w:val="16"/>
                <w:color w:val="auto"/>
              </w:rPr>
            </w:pPr>
          </w:p>
        </w:tc>
        <w:tc>
          <w:tcPr>
            <w:tcW w:w="560" w:type="dxa"/>
            <w:vAlign w:val="bottom"/>
            <w:tcBorders>
              <w:bottom w:val="single" w:sz="8" w:color="D2DCE5"/>
            </w:tcBorders>
            <w:vMerge w:val="continue"/>
            <w:shd w:val="clear" w:color="auto" w:fill="D2DCE5"/>
          </w:tcPr>
          <w:p>
            <w:pPr>
              <w:spacing w:after="0"/>
              <w:rPr>
                <w:sz w:val="16"/>
                <w:szCs w:val="16"/>
                <w:color w:val="auto"/>
              </w:rPr>
            </w:pPr>
          </w:p>
        </w:tc>
        <w:tc>
          <w:tcPr>
            <w:tcW w:w="5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140" w:type="dxa"/>
            <w:vAlign w:val="bottom"/>
            <w:tcBorders>
              <w:bottom w:val="single" w:sz="8" w:color="D2DCE5"/>
            </w:tcBorders>
            <w:shd w:val="clear" w:color="auto" w:fill="D2DCE5"/>
          </w:tcPr>
          <w:p>
            <w:pPr>
              <w:spacing w:after="0"/>
              <w:rPr>
                <w:sz w:val="16"/>
                <w:szCs w:val="16"/>
                <w:color w:val="auto"/>
              </w:rPr>
            </w:pPr>
          </w:p>
        </w:tc>
        <w:tc>
          <w:tcPr>
            <w:tcW w:w="1440" w:type="dxa"/>
            <w:vAlign w:val="bottom"/>
            <w:tcBorders>
              <w:bottom w:val="single" w:sz="8" w:color="D2DCE5"/>
            </w:tcBorders>
            <w:vMerge w:val="continue"/>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560" w:type="dxa"/>
            <w:vAlign w:val="bottom"/>
            <w:tcBorders>
              <w:bottom w:val="single" w:sz="8" w:color="D2DCE5"/>
            </w:tcBorders>
            <w:shd w:val="clear" w:color="auto" w:fill="D2DCE5"/>
          </w:tcPr>
          <w:p>
            <w:pPr>
              <w:spacing w:after="0"/>
              <w:rPr>
                <w:sz w:val="16"/>
                <w:szCs w:val="16"/>
                <w:color w:val="auto"/>
              </w:rPr>
            </w:pPr>
          </w:p>
        </w:tc>
        <w:tc>
          <w:tcPr>
            <w:tcW w:w="1160" w:type="dxa"/>
            <w:vAlign w:val="bottom"/>
            <w:tcBorders>
              <w:bottom w:val="single" w:sz="8" w:color="D2DCE5"/>
            </w:tcBorders>
            <w:vMerge w:val="continue"/>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20" w:type="dxa"/>
            <w:vAlign w:val="bottom"/>
            <w:gridSpan w:val="4"/>
          </w:tcPr>
          <w:p>
            <w:pPr>
              <w:ind w:left="20"/>
              <w:spacing w:after="0"/>
              <w:rPr>
                <w:sz w:val="20"/>
                <w:szCs w:val="20"/>
                <w:color w:val="auto"/>
              </w:rPr>
            </w:pPr>
            <w:r>
              <w:rPr>
                <w:rFonts w:ascii="Arial" w:cs="Arial" w:eastAsia="Arial" w:hAnsi="Arial"/>
                <w:sz w:val="18"/>
                <w:szCs w:val="18"/>
                <w:color w:val="131E29"/>
              </w:rPr>
              <w:t>Property and equipment, gross</w:t>
            </w: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391,889</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357,046</w:t>
            </w:r>
          </w:p>
        </w:tc>
        <w:tc>
          <w:tcPr>
            <w:tcW w:w="0" w:type="dxa"/>
            <w:vAlign w:val="bottom"/>
          </w:tcPr>
          <w:p>
            <w:pPr>
              <w:spacing w:after="0"/>
              <w:rPr>
                <w:sz w:val="1"/>
                <w:szCs w:val="1"/>
                <w:color w:val="auto"/>
              </w:rPr>
            </w:pPr>
          </w:p>
        </w:tc>
      </w:tr>
      <w:tr>
        <w:trPr>
          <w:trHeight w:val="27"/>
        </w:trPr>
        <w:tc>
          <w:tcPr>
            <w:tcW w:w="5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D2DCE5"/>
            </w:tcBorders>
            <w:gridSpan w:val="4"/>
            <w:shd w:val="clear" w:color="auto" w:fill="D2DCE5"/>
          </w:tcPr>
          <w:p>
            <w:pPr>
              <w:ind w:left="20"/>
              <w:spacing w:after="0"/>
              <w:rPr>
                <w:sz w:val="20"/>
                <w:szCs w:val="20"/>
                <w:color w:val="auto"/>
              </w:rPr>
            </w:pPr>
            <w:r>
              <w:rPr>
                <w:rFonts w:ascii="Arial" w:cs="Arial" w:eastAsia="Arial" w:hAnsi="Arial"/>
                <w:sz w:val="18"/>
                <w:szCs w:val="18"/>
                <w:color w:val="131E29"/>
              </w:rPr>
              <w:t>Less: accumulated depreciation</w:t>
            </w:r>
          </w:p>
        </w:tc>
        <w:tc>
          <w:tcPr>
            <w:tcW w:w="560" w:type="dxa"/>
            <w:vAlign w:val="bottom"/>
            <w:tcBorders>
              <w:bottom w:val="single" w:sz="8" w:color="D2DCE5"/>
            </w:tcBorders>
            <w:shd w:val="clear" w:color="auto" w:fill="D2DCE5"/>
          </w:tcPr>
          <w:p>
            <w:pPr>
              <w:spacing w:after="0"/>
              <w:rPr>
                <w:sz w:val="23"/>
                <w:szCs w:val="23"/>
                <w:color w:val="auto"/>
              </w:rPr>
            </w:pPr>
          </w:p>
        </w:tc>
        <w:tc>
          <w:tcPr>
            <w:tcW w:w="580" w:type="dxa"/>
            <w:vAlign w:val="bottom"/>
            <w:tcBorders>
              <w:bottom w:val="single" w:sz="8" w:color="D2DCE5"/>
            </w:tcBorders>
            <w:shd w:val="clear" w:color="auto" w:fill="D2DCE5"/>
          </w:tcPr>
          <w:p>
            <w:pPr>
              <w:spacing w:after="0"/>
              <w:rPr>
                <w:sz w:val="23"/>
                <w:szCs w:val="23"/>
                <w:color w:val="auto"/>
              </w:rPr>
            </w:pPr>
          </w:p>
        </w:tc>
        <w:tc>
          <w:tcPr>
            <w:tcW w:w="100" w:type="dxa"/>
            <w:vAlign w:val="bottom"/>
            <w:tcBorders>
              <w:bottom w:val="single" w:sz="8" w:color="D2DCE5"/>
            </w:tcBorders>
            <w:shd w:val="clear" w:color="auto" w:fill="D2DCE5"/>
          </w:tcPr>
          <w:p>
            <w:pPr>
              <w:spacing w:after="0"/>
              <w:rPr>
                <w:sz w:val="23"/>
                <w:szCs w:val="23"/>
                <w:color w:val="auto"/>
              </w:rPr>
            </w:pPr>
          </w:p>
        </w:tc>
        <w:tc>
          <w:tcPr>
            <w:tcW w:w="140" w:type="dxa"/>
            <w:vAlign w:val="bottom"/>
            <w:tcBorders>
              <w:bottom w:val="single" w:sz="8" w:color="D2DCE5"/>
            </w:tcBorders>
            <w:shd w:val="clear" w:color="auto" w:fill="D2DCE5"/>
          </w:tcPr>
          <w:p>
            <w:pPr>
              <w:spacing w:after="0"/>
              <w:rPr>
                <w:sz w:val="23"/>
                <w:szCs w:val="23"/>
                <w:color w:val="auto"/>
              </w:rPr>
            </w:pPr>
          </w:p>
        </w:tc>
        <w:tc>
          <w:tcPr>
            <w:tcW w:w="1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(64,289)</w:t>
            </w:r>
          </w:p>
        </w:tc>
        <w:tc>
          <w:tcPr>
            <w:tcW w:w="80" w:type="dxa"/>
            <w:vAlign w:val="bottom"/>
            <w:tcBorders>
              <w:bottom w:val="single" w:sz="8" w:color="D2DCE5"/>
            </w:tcBorders>
            <w:shd w:val="clear" w:color="auto" w:fill="D2DCE5"/>
          </w:tcPr>
          <w:p>
            <w:pPr>
              <w:spacing w:after="0"/>
              <w:rPr>
                <w:sz w:val="23"/>
                <w:szCs w:val="23"/>
                <w:color w:val="auto"/>
              </w:rPr>
            </w:pPr>
          </w:p>
        </w:tc>
        <w:tc>
          <w:tcPr>
            <w:tcW w:w="5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(55,048)</w:t>
            </w:r>
          </w:p>
        </w:tc>
        <w:tc>
          <w:tcPr>
            <w:tcW w:w="0" w:type="dxa"/>
            <w:vAlign w:val="bottom"/>
          </w:tcPr>
          <w:p>
            <w:pPr>
              <w:spacing w:after="0"/>
              <w:rPr>
                <w:sz w:val="1"/>
                <w:szCs w:val="1"/>
                <w:color w:val="auto"/>
              </w:rPr>
            </w:pPr>
          </w:p>
        </w:tc>
      </w:tr>
      <w:tr>
        <w:trPr>
          <w:trHeight w:val="263"/>
        </w:trPr>
        <w:tc>
          <w:tcPr>
            <w:tcW w:w="6620" w:type="dxa"/>
            <w:vAlign w:val="bottom"/>
            <w:gridSpan w:val="4"/>
          </w:tcPr>
          <w:p>
            <w:pPr>
              <w:ind w:left="140"/>
              <w:spacing w:after="0"/>
              <w:rPr>
                <w:sz w:val="20"/>
                <w:szCs w:val="20"/>
                <w:color w:val="auto"/>
              </w:rPr>
            </w:pPr>
            <w:r>
              <w:rPr>
                <w:rFonts w:ascii="Arial" w:cs="Arial" w:eastAsia="Arial" w:hAnsi="Arial"/>
                <w:sz w:val="18"/>
                <w:szCs w:val="18"/>
                <w:color w:val="131E29"/>
              </w:rPr>
              <w:t>Property and equipment, net</w:t>
            </w: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327,600</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131E29"/>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301,998</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8"/>
                <w:szCs w:val="18"/>
                <w:color w:val="131E29"/>
              </w:rPr>
              <w:t>_______________</w:t>
            </w: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2040" w:type="dxa"/>
            <w:vAlign w:val="bottom"/>
            <w:vMerge w:val="continue"/>
          </w:tcPr>
          <w:p>
            <w:pPr>
              <w:spacing w:after="0"/>
              <w:rPr>
                <w:sz w:val="24"/>
                <w:szCs w:val="24"/>
                <w:color w:val="auto"/>
              </w:rPr>
            </w:pP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Aircraft is depreciated under the consumption method.</w:t>
      </w:r>
    </w:p>
    <w:p>
      <w:pPr>
        <w:spacing w:after="0" w:line="119"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19"/>
          <w:szCs w:val="19"/>
          <w:color w:val="131E29"/>
          <w:vertAlign w:val="superscript"/>
        </w:rPr>
      </w:pPr>
      <w:r>
        <w:rPr>
          <w:rFonts w:ascii="Arial" w:cs="Arial" w:eastAsia="Arial" w:hAnsi="Arial"/>
          <w:sz w:val="14"/>
          <w:szCs w:val="14"/>
          <w:color w:val="131E29"/>
        </w:rPr>
        <w:t>Construction-in-progress primarily consists of construction and equipment costs for new and existing shops.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131E29"/>
        </w:rPr>
        <w:t>Depreciation expense included in the Company’s condensed consolidated statements of operations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131E29"/>
                <w:w w:val="99"/>
              </w:rPr>
              <w:t>Three Months Ended</w:t>
            </w:r>
          </w:p>
        </w:tc>
        <w:tc>
          <w:tcPr>
            <w:tcW w:w="2740" w:type="dxa"/>
            <w:vAlign w:val="bottom"/>
            <w:gridSpan w:val="6"/>
          </w:tcPr>
          <w:p>
            <w:pPr>
              <w:ind w:left="40"/>
              <w:spacing w:after="0"/>
              <w:rPr>
                <w:sz w:val="20"/>
                <w:szCs w:val="20"/>
                <w:color w:val="auto"/>
              </w:rPr>
            </w:pPr>
            <w:r>
              <w:rPr>
                <w:rFonts w:ascii="Arial" w:cs="Arial" w:eastAsia="Arial" w:hAnsi="Arial"/>
                <w:sz w:val="18"/>
                <w:szCs w:val="18"/>
                <w:b w:val="1"/>
                <w:bCs w:val="1"/>
                <w:color w:val="131E29"/>
              </w:rPr>
              <w:t>Nine Months Ended September</w:t>
            </w:r>
          </w:p>
        </w:tc>
      </w:t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131E29"/>
                <w:w w:val="99"/>
              </w:rPr>
              <w:t>September 30,</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131E29"/>
                <w:w w:val="95"/>
              </w:rPr>
              <w:t>30,</w:t>
            </w:r>
          </w:p>
        </w:tc>
        <w:tc>
          <w:tcPr>
            <w:tcW w:w="1040" w:type="dxa"/>
            <w:vAlign w:val="bottom"/>
          </w:tcPr>
          <w:p>
            <w:pPr>
              <w:spacing w:after="0"/>
              <w:rPr>
                <w:sz w:val="20"/>
                <w:szCs w:val="20"/>
                <w:color w:val="auto"/>
              </w:rPr>
            </w:pPr>
          </w:p>
        </w:tc>
      </w:tr>
      <w:tr>
        <w:trPr>
          <w:trHeight w:val="27"/>
        </w:trPr>
        <w:tc>
          <w:tcPr>
            <w:tcW w:w="56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r>
      <w:tr>
        <w:trPr>
          <w:trHeight w:val="25"/>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30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6,932</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5,048</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18,486</w:t>
            </w:r>
          </w:p>
        </w:tc>
        <w:tc>
          <w:tcPr>
            <w:tcW w:w="460" w:type="dxa"/>
            <w:vAlign w:val="bottom"/>
            <w:tcBorders>
              <w:bottom w:val="single" w:sz="8" w:color="D2DCE5"/>
            </w:tcBorders>
            <w:gridSpan w:val="3"/>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13,186</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Selling, general and administrative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702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700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2,114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1,962</w:t>
            </w: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3"/>
        </w:trPr>
        <w:tc>
          <w:tcPr>
            <w:tcW w:w="56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Total depreciation expense</w:t>
            </w: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7,634</w:t>
            </w:r>
          </w:p>
        </w:tc>
        <w:tc>
          <w:tcPr>
            <w:tcW w:w="100" w:type="dxa"/>
            <w:vAlign w:val="bottom"/>
            <w:shd w:val="clear" w:color="auto" w:fill="D2DCE5"/>
          </w:tcPr>
          <w:p>
            <w:pPr>
              <w:spacing w:after="0"/>
              <w:rPr>
                <w:sz w:val="24"/>
                <w:szCs w:val="24"/>
                <w:color w:val="auto"/>
              </w:rPr>
            </w:pP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5,748</w:t>
            </w:r>
          </w:p>
        </w:tc>
        <w:tc>
          <w:tcPr>
            <w:tcW w:w="100" w:type="dxa"/>
            <w:vAlign w:val="bottom"/>
            <w:shd w:val="clear" w:color="auto" w:fill="D2DCE5"/>
          </w:tcPr>
          <w:p>
            <w:pPr>
              <w:spacing w:after="0"/>
              <w:rPr>
                <w:sz w:val="24"/>
                <w:szCs w:val="24"/>
                <w:color w:val="auto"/>
              </w:rPr>
            </w:pPr>
          </w:p>
        </w:tc>
        <w:tc>
          <w:tcPr>
            <w:tcW w:w="28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20,600</w:t>
            </w:r>
          </w:p>
        </w:tc>
        <w:tc>
          <w:tcPr>
            <w:tcW w:w="460" w:type="dxa"/>
            <w:vAlign w:val="bottom"/>
            <w:gridSpan w:val="3"/>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15,148</w:t>
            </w: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131E29"/>
        </w:rPr>
        <w:t>No impairment charges were recognized for the nine months ended September 30, 2022 and 2021.</w:t>
      </w:r>
    </w:p>
    <w:p>
      <w:pPr>
        <w:sectPr>
          <w:pgSz w:w="11900" w:h="16838" w:orient="portrait"/>
          <w:cols w:equalWidth="0" w:num="1">
            <w:col w:w="11240"/>
          </w:cols>
          <w:pgMar w:left="320" w:top="144" w:right="33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00416B"/>
        </w:rPr>
        <w:t>NOTE 7 — Intangible Assets and Goodwill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131E29"/>
        </w:rPr>
        <w:t>The details of the intangible assets are as follows:</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Reacquired franchise rights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Less: accumulated amortization</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color w:val="131E29"/>
        </w:rPr>
        <w:t>Intangibles,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131E29"/>
                <w:w w:val="99"/>
              </w:rPr>
              <w:t>Weighted-average</w:t>
            </w:r>
          </w:p>
        </w:tc>
        <w:tc>
          <w:tcPr>
            <w:tcW w:w="14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131E29"/>
              </w:rPr>
              <w:t>September 30,</w:t>
            </w: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9"/>
        </w:trPr>
        <w:tc>
          <w:tcPr>
            <w:tcW w:w="2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131E29"/>
              </w:rPr>
              <w:t xml:space="preserve">amortization period </w:t>
            </w:r>
            <w:r>
              <w:rPr>
                <w:rFonts w:ascii="Arial" w:cs="Arial" w:eastAsia="Arial" w:hAnsi="Arial"/>
                <w:sz w:val="14"/>
                <w:szCs w:val="14"/>
                <w:color w:val="131E29"/>
              </w:rPr>
              <w:t>(in years)</w:t>
            </w:r>
          </w:p>
        </w:tc>
        <w:tc>
          <w:tcPr>
            <w:tcW w:w="14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131E29"/>
              </w:rPr>
              <w:t>December 31, 2021</w:t>
            </w:r>
          </w:p>
        </w:tc>
      </w:tr>
      <w:tr>
        <w:trPr>
          <w:trHeight w:val="27"/>
        </w:trPr>
        <w:tc>
          <w:tcPr>
            <w:tcW w:w="2500" w:type="dxa"/>
            <w:vAlign w:val="bottom"/>
            <w:tcBorders>
              <w:bottom w:val="single" w:sz="8" w:color="131E29"/>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131E29"/>
            </w:tcBorders>
          </w:tcPr>
          <w:p>
            <w:pPr>
              <w:spacing w:after="0"/>
              <w:rPr>
                <w:sz w:val="2"/>
                <w:szCs w:val="2"/>
                <w:color w:val="auto"/>
              </w:rPr>
            </w:pPr>
          </w:p>
        </w:tc>
        <w:tc>
          <w:tcPr>
            <w:tcW w:w="1440" w:type="dxa"/>
            <w:vAlign w:val="bottom"/>
            <w:tcBorders>
              <w:bottom w:val="single" w:sz="8" w:color="131E29"/>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131E29"/>
            </w:tcBorders>
          </w:tcPr>
          <w:p>
            <w:pPr>
              <w:spacing w:after="0"/>
              <w:rPr>
                <w:sz w:val="2"/>
                <w:szCs w:val="2"/>
                <w:color w:val="auto"/>
              </w:rPr>
            </w:pPr>
          </w:p>
        </w:tc>
        <w:tc>
          <w:tcPr>
            <w:tcW w:w="1160" w:type="dxa"/>
            <w:vAlign w:val="bottom"/>
            <w:tcBorders>
              <w:bottom w:val="single" w:sz="8" w:color="131E29"/>
            </w:tcBorders>
          </w:tcPr>
          <w:p>
            <w:pPr>
              <w:spacing w:after="0"/>
              <w:rPr>
                <w:sz w:val="2"/>
                <w:szCs w:val="2"/>
                <w:color w:val="auto"/>
              </w:rPr>
            </w:pPr>
          </w:p>
        </w:tc>
      </w:tr>
      <w:tr>
        <w:trPr>
          <w:trHeight w:val="236"/>
        </w:trPr>
        <w:tc>
          <w:tcPr>
            <w:tcW w:w="2500" w:type="dxa"/>
            <w:vAlign w:val="bottom"/>
          </w:tcPr>
          <w:p>
            <w:pPr>
              <w:jc w:val="center"/>
              <w:spacing w:after="0"/>
              <w:rPr>
                <w:sz w:val="20"/>
                <w:szCs w:val="20"/>
                <w:color w:val="auto"/>
              </w:rPr>
            </w:pPr>
            <w:r>
              <w:rPr>
                <w:rFonts w:ascii="Arial" w:cs="Arial" w:eastAsia="Arial" w:hAnsi="Arial"/>
                <w:sz w:val="18"/>
                <w:szCs w:val="18"/>
                <w:color w:val="131E29"/>
              </w:rPr>
              <w:t>3.6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131E29"/>
              </w:rPr>
              <w:t>27,049</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131E29"/>
                <w:w w:val="99"/>
              </w:rPr>
              <w:t>$</w:t>
            </w:r>
          </w:p>
        </w:tc>
        <w:tc>
          <w:tcPr>
            <w:tcW w:w="1160" w:type="dxa"/>
            <w:vAlign w:val="bottom"/>
          </w:tcPr>
          <w:p>
            <w:pPr>
              <w:jc w:val="center"/>
              <w:ind w:left="370"/>
              <w:spacing w:after="0"/>
              <w:rPr>
                <w:sz w:val="20"/>
                <w:szCs w:val="20"/>
                <w:color w:val="auto"/>
              </w:rPr>
            </w:pPr>
            <w:r>
              <w:rPr>
                <w:rFonts w:ascii="Arial" w:cs="Arial" w:eastAsia="Arial" w:hAnsi="Arial"/>
                <w:sz w:val="18"/>
                <w:szCs w:val="18"/>
                <w:color w:val="131E29"/>
                <w:w w:val="98"/>
              </w:rPr>
              <w:t>25,314</w:t>
            </w:r>
          </w:p>
        </w:tc>
      </w:tr>
      <w:tr>
        <w:trPr>
          <w:trHeight w:val="270"/>
        </w:trPr>
        <w:tc>
          <w:tcPr>
            <w:tcW w:w="2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131E29"/>
              </w:rPr>
              <w:t>(17,223)</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jc w:val="center"/>
              <w:ind w:left="350"/>
              <w:spacing w:after="0"/>
              <w:rPr>
                <w:sz w:val="20"/>
                <w:szCs w:val="20"/>
                <w:color w:val="auto"/>
              </w:rPr>
            </w:pPr>
            <w:r>
              <w:rPr>
                <w:rFonts w:ascii="Arial" w:cs="Arial" w:eastAsia="Arial" w:hAnsi="Arial"/>
                <w:sz w:val="18"/>
                <w:szCs w:val="18"/>
                <w:color w:val="131E29"/>
              </w:rPr>
              <w:t>(14,211)</w:t>
            </w:r>
          </w:p>
        </w:tc>
      </w:tr>
      <w:tr>
        <w:trPr>
          <w:trHeight w:val="27"/>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6"/>
        </w:trPr>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131E29"/>
              </w:rPr>
              <w:t>9,826</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131E29"/>
                <w:w w:val="99"/>
              </w:rPr>
              <w:t>$</w:t>
            </w:r>
          </w:p>
        </w:tc>
        <w:tc>
          <w:tcPr>
            <w:tcW w:w="1160" w:type="dxa"/>
            <w:vAlign w:val="bottom"/>
          </w:tcPr>
          <w:p>
            <w:pPr>
              <w:jc w:val="center"/>
              <w:ind w:left="370"/>
              <w:spacing w:after="0"/>
              <w:rPr>
                <w:sz w:val="20"/>
                <w:szCs w:val="20"/>
                <w:color w:val="auto"/>
              </w:rPr>
            </w:pPr>
            <w:r>
              <w:rPr>
                <w:rFonts w:ascii="Arial" w:cs="Arial" w:eastAsia="Arial" w:hAnsi="Arial"/>
                <w:sz w:val="18"/>
                <w:szCs w:val="18"/>
                <w:color w:val="131E29"/>
                <w:w w:val="98"/>
              </w:rPr>
              <w:t>11,103</w:t>
            </w:r>
          </w:p>
        </w:tc>
      </w:tr>
      <w:tr>
        <w:trPr>
          <w:trHeight w:val="27"/>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-213995</wp:posOffset>
            </wp:positionV>
            <wp:extent cx="7132320" cy="1974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-565150</wp:posOffset>
            </wp:positionV>
            <wp:extent cx="713232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20" w:space="720"/>
            <w:col w:w="6000"/>
          </w:cols>
          <w:pgMar w:left="320" w:top="1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131E29"/>
        </w:rPr>
        <w:t>Amortization expense included in the Company’s condensed consolidated statements of operations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3"/>
          </w:tcPr>
          <w:p>
            <w:pPr>
              <w:ind w:left="180"/>
              <w:spacing w:after="0"/>
              <w:rPr>
                <w:sz w:val="20"/>
                <w:szCs w:val="20"/>
                <w:color w:val="auto"/>
              </w:rPr>
            </w:pPr>
            <w:r>
              <w:rPr>
                <w:rFonts w:ascii="Arial" w:cs="Arial" w:eastAsia="Arial" w:hAnsi="Arial"/>
                <w:sz w:val="18"/>
                <w:szCs w:val="18"/>
                <w:b w:val="1"/>
                <w:bCs w:val="1"/>
                <w:color w:val="131E29"/>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7"/>
          </w:tcPr>
          <w:p>
            <w:pPr>
              <w:ind w:left="40"/>
              <w:spacing w:after="0"/>
              <w:rPr>
                <w:sz w:val="20"/>
                <w:szCs w:val="20"/>
                <w:color w:val="auto"/>
              </w:rPr>
            </w:pPr>
            <w:r>
              <w:rPr>
                <w:rFonts w:ascii="Arial" w:cs="Arial" w:eastAsia="Arial" w:hAnsi="Arial"/>
                <w:sz w:val="18"/>
                <w:szCs w:val="18"/>
                <w:b w:val="1"/>
                <w:bCs w:val="1"/>
                <w:color w:val="131E29"/>
              </w:rPr>
              <w:t>Nine Months Ended September</w:t>
            </w:r>
          </w:p>
        </w:tc>
      </w:t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3"/>
          </w:tcPr>
          <w:p>
            <w:pPr>
              <w:ind w:left="460"/>
              <w:spacing w:after="0"/>
              <w:rPr>
                <w:sz w:val="20"/>
                <w:szCs w:val="20"/>
                <w:color w:val="auto"/>
              </w:rPr>
            </w:pPr>
            <w:r>
              <w:rPr>
                <w:rFonts w:ascii="Arial" w:cs="Arial" w:eastAsia="Arial" w:hAnsi="Arial"/>
                <w:sz w:val="18"/>
                <w:szCs w:val="18"/>
                <w:b w:val="1"/>
                <w:bCs w:val="1"/>
                <w:color w:val="131E29"/>
              </w:rPr>
              <w:t>September 30,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131E29"/>
              </w:rPr>
              <w:t>30,</w:t>
            </w:r>
          </w:p>
        </w:tc>
        <w:tc>
          <w:tcPr>
            <w:tcW w:w="1040" w:type="dxa"/>
            <w:vAlign w:val="bottom"/>
          </w:tcPr>
          <w:p>
            <w:pPr>
              <w:spacing w:after="0"/>
              <w:rPr>
                <w:sz w:val="20"/>
                <w:szCs w:val="20"/>
                <w:color w:val="auto"/>
              </w:rPr>
            </w:pPr>
          </w:p>
        </w:tc>
      </w:tr>
      <w:tr>
        <w:trPr>
          <w:trHeight w:val="27"/>
        </w:trPr>
        <w:tc>
          <w:tcPr>
            <w:tcW w:w="56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00" w:type="dxa"/>
            <w:vAlign w:val="bottom"/>
          </w:tcPr>
          <w:p>
            <w:pPr>
              <w:spacing w:after="0"/>
              <w:rPr>
                <w:sz w:val="20"/>
                <w:szCs w:val="20"/>
                <w:color w:val="auto"/>
              </w:rPr>
            </w:pPr>
          </w:p>
        </w:tc>
        <w:tc>
          <w:tcPr>
            <w:tcW w:w="1020" w:type="dxa"/>
            <w:vAlign w:val="bottom"/>
          </w:tcPr>
          <w:p>
            <w:pPr>
              <w:ind w:left="16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131E29"/>
              </w:rPr>
              <w:t>2021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r>
      <w:tr>
        <w:trPr>
          <w:trHeight w:val="26"/>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1,055</w:t>
            </w:r>
          </w:p>
        </w:tc>
        <w:tc>
          <w:tcPr>
            <w:tcW w:w="100" w:type="dxa"/>
            <w:vAlign w:val="bottom"/>
            <w:tcBorders>
              <w:bottom w:val="single" w:sz="8" w:color="D2DCE5"/>
            </w:tcBorders>
            <w:shd w:val="clear" w:color="auto" w:fill="D2DCE5"/>
          </w:tcPr>
          <w:p>
            <w:pPr>
              <w:spacing w:after="0"/>
              <w:rPr>
                <w:sz w:val="24"/>
                <w:szCs w:val="24"/>
                <w:color w:val="auto"/>
              </w:rPr>
            </w:pPr>
          </w:p>
        </w:tc>
        <w:tc>
          <w:tcPr>
            <w:tcW w:w="900" w:type="dxa"/>
            <w:vAlign w:val="bottom"/>
            <w:tcBorders>
              <w:bottom w:val="single" w:sz="8" w:color="auto"/>
            </w:tcBorders>
            <w:shd w:val="clear" w:color="auto" w:fill="D2DCE5"/>
          </w:tcPr>
          <w:p>
            <w:pPr>
              <w:jc w:val="right"/>
              <w:ind w:right="690"/>
              <w:spacing w:after="0"/>
              <w:rPr>
                <w:sz w:val="20"/>
                <w:szCs w:val="20"/>
                <w:color w:val="auto"/>
              </w:rPr>
            </w:pPr>
            <w:r>
              <w:rPr>
                <w:rFonts w:ascii="Arial" w:cs="Arial" w:eastAsia="Arial" w:hAnsi="Arial"/>
                <w:sz w:val="18"/>
                <w:szCs w:val="18"/>
                <w:color w:val="131E29"/>
                <w:w w:val="99"/>
              </w:rPr>
              <w:t>$</w:t>
            </w:r>
          </w:p>
        </w:tc>
        <w:tc>
          <w:tcPr>
            <w:tcW w:w="4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948</w:t>
            </w:r>
          </w:p>
        </w:tc>
        <w:tc>
          <w:tcPr>
            <w:tcW w:w="10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ind w:left="20"/>
              <w:spacing w:after="0"/>
              <w:rPr>
                <w:sz w:val="20"/>
                <w:szCs w:val="20"/>
                <w:color w:val="auto"/>
              </w:rPr>
            </w:pPr>
            <w:r>
              <w:rPr>
                <w:rFonts w:ascii="Arial" w:cs="Arial" w:eastAsia="Arial" w:hAnsi="Arial"/>
                <w:sz w:val="18"/>
                <w:szCs w:val="18"/>
                <w:color w:val="131E29"/>
              </w:rPr>
              <w:t>$</w:t>
            </w:r>
          </w:p>
        </w:tc>
        <w:tc>
          <w:tcPr>
            <w:tcW w:w="1040" w:type="dxa"/>
            <w:vAlign w:val="bottom"/>
            <w:tcBorders>
              <w:bottom w:val="single" w:sz="8" w:color="auto"/>
            </w:tcBorders>
            <w:gridSpan w:val="3"/>
            <w:shd w:val="clear" w:color="auto" w:fill="D2DCE5"/>
          </w:tcPr>
          <w:p>
            <w:pPr>
              <w:jc w:val="right"/>
              <w:ind w:right="80"/>
              <w:spacing w:after="0"/>
              <w:rPr>
                <w:sz w:val="20"/>
                <w:szCs w:val="20"/>
                <w:color w:val="auto"/>
              </w:rPr>
            </w:pPr>
            <w:r>
              <w:rPr>
                <w:rFonts w:ascii="Arial" w:cs="Arial" w:eastAsia="Arial" w:hAnsi="Arial"/>
                <w:sz w:val="18"/>
                <w:szCs w:val="18"/>
                <w:color w:val="131E29"/>
              </w:rPr>
              <w:t>3,012</w:t>
            </w:r>
          </w:p>
        </w:tc>
        <w:tc>
          <w:tcPr>
            <w:tcW w:w="10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2,579</w:t>
            </w: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320" w:type="dxa"/>
            <w:vAlign w:val="bottom"/>
            <w:tcBorders>
              <w:top w:val="single" w:sz="8" w:color="D2DCE5"/>
              <w:bottom w:val="single" w:sz="8" w:color="auto"/>
            </w:tcBorders>
            <w:gridSpan w:val="2"/>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320" w:type="dxa"/>
            <w:vAlign w:val="bottom"/>
            <w:tcBorders>
              <w:top w:val="single" w:sz="8" w:color="D2DCE5"/>
              <w:bottom w:val="single" w:sz="8" w:color="auto"/>
            </w:tcBorders>
            <w:gridSpan w:val="2"/>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060" w:type="dxa"/>
            <w:vAlign w:val="bottom"/>
            <w:tcBorders>
              <w:top w:val="single" w:sz="8" w:color="D2DCE5"/>
              <w:bottom w:val="single" w:sz="8" w:color="auto"/>
            </w:tcBorders>
            <w:gridSpan w:val="2"/>
          </w:tcPr>
          <w:p>
            <w:pPr>
              <w:spacing w:after="0" w:line="20" w:lineRule="exact"/>
              <w:rPr>
                <w:sz w:val="1"/>
                <w:szCs w:val="1"/>
                <w:color w:val="auto"/>
              </w:rPr>
            </w:pPr>
          </w:p>
        </w:tc>
        <w:tc>
          <w:tcPr>
            <w:tcW w:w="100" w:type="dxa"/>
            <w:vAlign w:val="bottom"/>
            <w:tcBorders>
              <w:top w:val="single" w:sz="8" w:color="D2DCE5"/>
              <w:bottom w:val="single" w:sz="8" w:color="auto"/>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r>
        <w:trPr>
          <w:trHeight w:val="419"/>
        </w:trPr>
        <w:tc>
          <w:tcPr>
            <w:tcW w:w="9920" w:type="dxa"/>
            <w:vAlign w:val="bottom"/>
            <w:gridSpan w:val="13"/>
          </w:tcPr>
          <w:p>
            <w:pPr>
              <w:spacing w:after="0"/>
              <w:rPr>
                <w:sz w:val="20"/>
                <w:szCs w:val="20"/>
                <w:color w:val="auto"/>
              </w:rPr>
            </w:pPr>
            <w:r>
              <w:rPr>
                <w:rFonts w:ascii="Arial" w:cs="Arial" w:eastAsia="Arial" w:hAnsi="Arial"/>
                <w:sz w:val="18"/>
                <w:szCs w:val="18"/>
                <w:color w:val="131E29"/>
              </w:rPr>
              <w:t>The estimated future amortization expense of the reacquired franchise rights as of September 30, 2022 is as follows: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3"/>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
        </w:trPr>
        <w:tc>
          <w:tcPr>
            <w:tcW w:w="5660" w:type="dxa"/>
            <w:vAlign w:val="bottom"/>
            <w:tcBorders>
              <w:bottom w:val="single" w:sz="8" w:color="131E29"/>
            </w:tcBorders>
            <w:gridSpan w:val="2"/>
          </w:tcPr>
          <w:p>
            <w:pPr>
              <w:spacing w:after="0"/>
              <w:rPr>
                <w:sz w:val="2"/>
                <w:szCs w:val="2"/>
                <w:color w:val="auto"/>
              </w:rPr>
            </w:pPr>
          </w:p>
        </w:tc>
        <w:tc>
          <w:tcPr>
            <w:tcW w:w="300" w:type="dxa"/>
            <w:vAlign w:val="bottom"/>
            <w:tcBorders>
              <w:bottom w:val="single" w:sz="8" w:color="131E29"/>
            </w:tcBorders>
          </w:tcPr>
          <w:p>
            <w:pPr>
              <w:spacing w:after="0"/>
              <w:rPr>
                <w:sz w:val="2"/>
                <w:szCs w:val="2"/>
                <w:color w:val="auto"/>
              </w:rPr>
            </w:pPr>
          </w:p>
        </w:tc>
        <w:tc>
          <w:tcPr>
            <w:tcW w:w="102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900" w:type="dxa"/>
            <w:vAlign w:val="bottom"/>
            <w:tcBorders>
              <w:bottom w:val="single" w:sz="8" w:color="131E29"/>
            </w:tcBorders>
          </w:tcPr>
          <w:p>
            <w:pPr>
              <w:spacing w:after="0"/>
              <w:rPr>
                <w:sz w:val="2"/>
                <w:szCs w:val="2"/>
                <w:color w:val="auto"/>
              </w:rPr>
            </w:pPr>
          </w:p>
        </w:tc>
        <w:tc>
          <w:tcPr>
            <w:tcW w:w="42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280" w:type="dxa"/>
            <w:vAlign w:val="bottom"/>
            <w:tcBorders>
              <w:bottom w:val="single" w:sz="8" w:color="131E29"/>
            </w:tcBorders>
          </w:tcPr>
          <w:p>
            <w:pPr>
              <w:spacing w:after="0"/>
              <w:rPr>
                <w:sz w:val="2"/>
                <w:szCs w:val="2"/>
                <w:color w:val="auto"/>
              </w:rPr>
            </w:pPr>
          </w:p>
        </w:tc>
        <w:tc>
          <w:tcPr>
            <w:tcW w:w="78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Remainder of 2022</w:t>
            </w: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900" w:type="dxa"/>
            <w:vAlign w:val="bottom"/>
            <w:tcBorders>
              <w:bottom w:val="single" w:sz="8" w:color="D2DCE5"/>
            </w:tcBorders>
            <w:shd w:val="clear" w:color="auto" w:fill="D2DCE5"/>
          </w:tcPr>
          <w:p>
            <w:pPr>
              <w:spacing w:after="0"/>
              <w:rPr>
                <w:sz w:val="21"/>
                <w:szCs w:val="21"/>
                <w:color w:val="auto"/>
              </w:rPr>
            </w:pPr>
          </w:p>
        </w:tc>
        <w:tc>
          <w:tcPr>
            <w:tcW w:w="4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gridSpan w:val="3"/>
            <w:shd w:val="clear" w:color="auto" w:fill="D2DCE5"/>
          </w:tcPr>
          <w:p>
            <w:pPr>
              <w:jc w:val="right"/>
              <w:ind w:right="40"/>
              <w:spacing w:after="0"/>
              <w:rPr>
                <w:sz w:val="20"/>
                <w:szCs w:val="20"/>
                <w:color w:val="auto"/>
              </w:rPr>
            </w:pPr>
            <w:r>
              <w:rPr>
                <w:rFonts w:ascii="Arial" w:cs="Arial" w:eastAsia="Arial" w:hAnsi="Arial"/>
                <w:sz w:val="18"/>
                <w:szCs w:val="18"/>
                <w:color w:val="131E29"/>
              </w:rPr>
              <w:t>$</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1,022</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131E29"/>
              </w:rPr>
              <w:t>2023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3,389</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2024</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900" w:type="dxa"/>
            <w:vAlign w:val="bottom"/>
            <w:tcBorders>
              <w:bottom w:val="single" w:sz="8" w:color="D2DCE5"/>
            </w:tcBorders>
            <w:shd w:val="clear" w:color="auto" w:fill="D2DCE5"/>
          </w:tcPr>
          <w:p>
            <w:pPr>
              <w:spacing w:after="0"/>
              <w:rPr>
                <w:sz w:val="21"/>
                <w:szCs w:val="21"/>
                <w:color w:val="auto"/>
              </w:rPr>
            </w:pPr>
          </w:p>
        </w:tc>
        <w:tc>
          <w:tcPr>
            <w:tcW w:w="4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78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2,469</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131E29"/>
              </w:rPr>
              <w:t>2025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1,435</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2026</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900" w:type="dxa"/>
            <w:vAlign w:val="bottom"/>
            <w:tcBorders>
              <w:bottom w:val="single" w:sz="8" w:color="D2DCE5"/>
            </w:tcBorders>
            <w:shd w:val="clear" w:color="auto" w:fill="D2DCE5"/>
          </w:tcPr>
          <w:p>
            <w:pPr>
              <w:spacing w:after="0"/>
              <w:rPr>
                <w:sz w:val="21"/>
                <w:szCs w:val="21"/>
                <w:color w:val="auto"/>
              </w:rPr>
            </w:pPr>
          </w:p>
        </w:tc>
        <w:tc>
          <w:tcPr>
            <w:tcW w:w="4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78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681</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Thereafter</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830</w:t>
            </w:r>
          </w:p>
        </w:tc>
      </w:tr>
      <w:tr>
        <w:trPr>
          <w:trHeight w:val="27"/>
        </w:trPr>
        <w:tc>
          <w:tcPr>
            <w:tcW w:w="5660" w:type="dxa"/>
            <w:vAlign w:val="bottom"/>
            <w:tcBorders>
              <w:bottom w:val="single" w:sz="8" w:color="D2DCE5"/>
            </w:tcBorders>
            <w:gridSpan w:val="2"/>
          </w:tcPr>
          <w:p>
            <w:pPr>
              <w:spacing w:after="0"/>
              <w:rPr>
                <w:sz w:val="2"/>
                <w:szCs w:val="2"/>
                <w:color w:val="auto"/>
              </w:rPr>
            </w:pPr>
          </w:p>
        </w:tc>
        <w:tc>
          <w:tcPr>
            <w:tcW w:w="300" w:type="dxa"/>
            <w:vAlign w:val="bottom"/>
            <w:tcBorders>
              <w:bottom w:val="single" w:sz="8" w:color="D2DCE5"/>
            </w:tcBorders>
          </w:tcPr>
          <w:p>
            <w:pPr>
              <w:spacing w:after="0"/>
              <w:rPr>
                <w:sz w:val="2"/>
                <w:szCs w:val="2"/>
                <w:color w:val="auto"/>
              </w:rPr>
            </w:pPr>
          </w:p>
        </w:tc>
        <w:tc>
          <w:tcPr>
            <w:tcW w:w="10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00" w:type="dxa"/>
            <w:vAlign w:val="bottom"/>
            <w:tcBorders>
              <w:bottom w:val="single" w:sz="8" w:color="D2DCE5"/>
            </w:tcBorders>
          </w:tcPr>
          <w:p>
            <w:pPr>
              <w:spacing w:after="0"/>
              <w:rPr>
                <w:sz w:val="2"/>
                <w:szCs w:val="2"/>
                <w:color w:val="auto"/>
              </w:rPr>
            </w:pPr>
          </w:p>
        </w:tc>
        <w:tc>
          <w:tcPr>
            <w:tcW w:w="4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D2DCE5"/>
            </w:tcBorders>
          </w:tcPr>
          <w:p>
            <w:pPr>
              <w:spacing w:after="0"/>
              <w:rPr>
                <w:sz w:val="2"/>
                <w:szCs w:val="2"/>
                <w:color w:val="auto"/>
              </w:rPr>
            </w:pPr>
          </w:p>
        </w:tc>
        <w:tc>
          <w:tcPr>
            <w:tcW w:w="78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280" w:type="dxa"/>
            <w:vAlign w:val="bottom"/>
            <w:tcBorders>
              <w:bottom w:val="single" w:sz="8" w:color="131E29"/>
            </w:tcBorders>
          </w:tcPr>
          <w:p>
            <w:pPr>
              <w:spacing w:after="0"/>
              <w:rPr>
                <w:sz w:val="2"/>
                <w:szCs w:val="2"/>
                <w:color w:val="auto"/>
              </w:rPr>
            </w:pPr>
          </w:p>
        </w:tc>
        <w:tc>
          <w:tcPr>
            <w:tcW w:w="1040" w:type="dxa"/>
            <w:vAlign w:val="bottom"/>
            <w:tcBorders>
              <w:bottom w:val="single" w:sz="8" w:color="131E29"/>
            </w:tcBorders>
          </w:tcPr>
          <w:p>
            <w:pPr>
              <w:spacing w:after="0"/>
              <w:rPr>
                <w:sz w:val="2"/>
                <w:szCs w:val="2"/>
                <w:color w:val="auto"/>
              </w:rPr>
            </w:pPr>
          </w:p>
        </w:tc>
      </w:tr>
      <w:tr>
        <w:trPr>
          <w:trHeight w:val="283"/>
        </w:trPr>
        <w:tc>
          <w:tcPr>
            <w:tcW w:w="566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Total</w:t>
            </w:r>
          </w:p>
        </w:tc>
        <w:tc>
          <w:tcPr>
            <w:tcW w:w="300" w:type="dxa"/>
            <w:vAlign w:val="bottom"/>
            <w:shd w:val="clear" w:color="auto" w:fill="D2DCE5"/>
          </w:tcPr>
          <w:p>
            <w:pPr>
              <w:spacing w:after="0"/>
              <w:rPr>
                <w:sz w:val="24"/>
                <w:szCs w:val="24"/>
                <w:color w:val="auto"/>
              </w:rPr>
            </w:pPr>
          </w:p>
        </w:tc>
        <w:tc>
          <w:tcPr>
            <w:tcW w:w="1020" w:type="dxa"/>
            <w:vAlign w:val="bottom"/>
            <w:shd w:val="clear" w:color="auto" w:fill="D2DCE5"/>
          </w:tcPr>
          <w:p>
            <w:pPr>
              <w:spacing w:after="0"/>
              <w:rPr>
                <w:sz w:val="24"/>
                <w:szCs w:val="24"/>
                <w:color w:val="auto"/>
              </w:rPr>
            </w:pPr>
          </w:p>
        </w:tc>
        <w:tc>
          <w:tcPr>
            <w:tcW w:w="100" w:type="dxa"/>
            <w:vAlign w:val="bottom"/>
            <w:shd w:val="clear" w:color="auto" w:fill="D2DCE5"/>
          </w:tcPr>
          <w:p>
            <w:pPr>
              <w:spacing w:after="0"/>
              <w:rPr>
                <w:sz w:val="24"/>
                <w:szCs w:val="24"/>
                <w:color w:val="auto"/>
              </w:rPr>
            </w:pPr>
          </w:p>
        </w:tc>
        <w:tc>
          <w:tcPr>
            <w:tcW w:w="900" w:type="dxa"/>
            <w:vAlign w:val="bottom"/>
            <w:shd w:val="clear" w:color="auto" w:fill="D2DCE5"/>
          </w:tcPr>
          <w:p>
            <w:pPr>
              <w:spacing w:after="0"/>
              <w:rPr>
                <w:sz w:val="24"/>
                <w:szCs w:val="24"/>
                <w:color w:val="auto"/>
              </w:rPr>
            </w:pPr>
          </w:p>
        </w:tc>
        <w:tc>
          <w:tcPr>
            <w:tcW w:w="420" w:type="dxa"/>
            <w:vAlign w:val="bottom"/>
            <w:shd w:val="clear" w:color="auto" w:fill="D2DCE5"/>
          </w:tcPr>
          <w:p>
            <w:pPr>
              <w:spacing w:after="0"/>
              <w:rPr>
                <w:sz w:val="24"/>
                <w:szCs w:val="24"/>
                <w:color w:val="auto"/>
              </w:rPr>
            </w:pPr>
          </w:p>
        </w:tc>
        <w:tc>
          <w:tcPr>
            <w:tcW w:w="100" w:type="dxa"/>
            <w:vAlign w:val="bottom"/>
            <w:shd w:val="clear" w:color="auto" w:fill="D2DCE5"/>
          </w:tcPr>
          <w:p>
            <w:pPr>
              <w:spacing w:after="0"/>
              <w:rPr>
                <w:sz w:val="24"/>
                <w:szCs w:val="24"/>
                <w:color w:val="auto"/>
              </w:rPr>
            </w:pPr>
          </w:p>
        </w:tc>
        <w:tc>
          <w:tcPr>
            <w:tcW w:w="280" w:type="dxa"/>
            <w:vAlign w:val="bottom"/>
            <w:shd w:val="clear" w:color="auto" w:fill="D2DCE5"/>
          </w:tcPr>
          <w:p>
            <w:pPr>
              <w:spacing w:after="0"/>
              <w:rPr>
                <w:sz w:val="24"/>
                <w:szCs w:val="24"/>
                <w:color w:val="auto"/>
              </w:rPr>
            </w:pPr>
          </w:p>
        </w:tc>
        <w:tc>
          <w:tcPr>
            <w:tcW w:w="1040" w:type="dxa"/>
            <w:vAlign w:val="bottom"/>
            <w:gridSpan w:val="3"/>
            <w:shd w:val="clear" w:color="auto" w:fill="D2DCE5"/>
          </w:tcPr>
          <w:p>
            <w:pPr>
              <w:jc w:val="right"/>
              <w:ind w:right="40"/>
              <w:spacing w:after="0"/>
              <w:rPr>
                <w:sz w:val="20"/>
                <w:szCs w:val="20"/>
                <w:color w:val="auto"/>
              </w:rPr>
            </w:pPr>
            <w:r>
              <w:rPr>
                <w:rFonts w:ascii="Arial" w:cs="Arial" w:eastAsia="Arial" w:hAnsi="Arial"/>
                <w:sz w:val="18"/>
                <w:szCs w:val="18"/>
                <w:color w:val="131E29"/>
              </w:rPr>
              <w:t>$</w:t>
            </w:r>
          </w:p>
        </w:tc>
        <w:tc>
          <w:tcPr>
            <w:tcW w:w="100" w:type="dxa"/>
            <w:vAlign w:val="bottom"/>
            <w:shd w:val="clear" w:color="auto" w:fill="D2DCE5"/>
          </w:tcPr>
          <w:p>
            <w:pPr>
              <w:spacing w:after="0"/>
              <w:rPr>
                <w:sz w:val="24"/>
                <w:szCs w:val="24"/>
                <w:color w:val="auto"/>
              </w:rPr>
            </w:pPr>
          </w:p>
        </w:tc>
        <w:tc>
          <w:tcPr>
            <w:tcW w:w="280" w:type="dxa"/>
            <w:vAlign w:val="bottom"/>
            <w:shd w:val="clear" w:color="auto" w:fill="D2DCE5"/>
          </w:tcPr>
          <w:p>
            <w:pPr>
              <w:spacing w:after="0"/>
              <w:rPr>
                <w:sz w:val="24"/>
                <w:szCs w:val="24"/>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9,826</w:t>
            </w: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tcBorders>
          </w:tcPr>
          <w:p>
            <w:pPr>
              <w:spacing w:after="0" w:line="20" w:lineRule="exact"/>
              <w:rPr>
                <w:sz w:val="1"/>
                <w:szCs w:val="1"/>
                <w:color w:val="auto"/>
              </w:rPr>
            </w:pPr>
          </w:p>
        </w:tc>
        <w:tc>
          <w:tcPr>
            <w:tcW w:w="10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900" w:type="dxa"/>
            <w:vAlign w:val="bottom"/>
            <w:tcBorders>
              <w:top w:val="single" w:sz="8" w:color="D2DCE5"/>
            </w:tcBorders>
          </w:tcPr>
          <w:p>
            <w:pPr>
              <w:spacing w:after="0" w:line="20" w:lineRule="exact"/>
              <w:rPr>
                <w:sz w:val="1"/>
                <w:szCs w:val="1"/>
                <w:color w:val="auto"/>
              </w:rPr>
            </w:pPr>
          </w:p>
        </w:tc>
        <w:tc>
          <w:tcPr>
            <w:tcW w:w="4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tcBorders>
          </w:tcPr>
          <w:p>
            <w:pPr>
              <w:spacing w:after="0" w:line="20" w:lineRule="exact"/>
              <w:rPr>
                <w:sz w:val="1"/>
                <w:szCs w:val="1"/>
                <w:color w:val="auto"/>
              </w:rPr>
            </w:pPr>
          </w:p>
        </w:tc>
        <w:tc>
          <w:tcPr>
            <w:tcW w:w="7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131E29"/>
              <w:bottom w:val="single" w:sz="8" w:color="131E29"/>
            </w:tcBorders>
          </w:tcPr>
          <w:p>
            <w:pPr>
              <w:spacing w:after="0" w:line="20" w:lineRule="exact"/>
              <w:rPr>
                <w:sz w:val="1"/>
                <w:szCs w:val="1"/>
                <w:color w:val="auto"/>
              </w:rPr>
            </w:pPr>
          </w:p>
        </w:tc>
        <w:tc>
          <w:tcPr>
            <w:tcW w:w="100" w:type="dxa"/>
            <w:vAlign w:val="bottom"/>
            <w:tcBorders>
              <w:top w:val="single" w:sz="8" w:color="131E29"/>
              <w:bottom w:val="single" w:sz="8" w:color="131E29"/>
            </w:tcBorders>
          </w:tcPr>
          <w:p>
            <w:pPr>
              <w:spacing w:after="0" w:line="20" w:lineRule="exact"/>
              <w:rPr>
                <w:sz w:val="1"/>
                <w:szCs w:val="1"/>
                <w:color w:val="auto"/>
              </w:rPr>
            </w:pPr>
          </w:p>
        </w:tc>
        <w:tc>
          <w:tcPr>
            <w:tcW w:w="280" w:type="dxa"/>
            <w:vAlign w:val="bottom"/>
            <w:tcBorders>
              <w:top w:val="single" w:sz="8" w:color="131E29"/>
              <w:bottom w:val="single" w:sz="8" w:color="131E29"/>
            </w:tcBorders>
          </w:tcPr>
          <w:p>
            <w:pPr>
              <w:spacing w:after="0" w:line="20" w:lineRule="exact"/>
              <w:rPr>
                <w:sz w:val="1"/>
                <w:szCs w:val="1"/>
                <w:color w:val="auto"/>
              </w:rPr>
            </w:pPr>
          </w:p>
        </w:tc>
        <w:tc>
          <w:tcPr>
            <w:tcW w:w="1040" w:type="dxa"/>
            <w:vAlign w:val="bottom"/>
            <w:tcBorders>
              <w:top w:val="single" w:sz="8" w:color="131E29"/>
              <w:bottom w:val="single" w:sz="8" w:color="131E29"/>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Goodwill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131E29"/>
        </w:rPr>
        <w:t>Goodwill is allocated entirely to the Company-operated shops segment. The carrying amount and activity of goodwill was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5"/>
        </w:trPr>
        <w:tc>
          <w:tcPr>
            <w:tcW w:w="9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Balance, December 31, 2021</w:t>
            </w:r>
          </w:p>
        </w:tc>
        <w:tc>
          <w:tcPr>
            <w:tcW w:w="540" w:type="dxa"/>
            <w:vAlign w:val="bottom"/>
            <w:tcBorders>
              <w:bottom w:val="single" w:sz="8" w:color="D2DCE5"/>
            </w:tcBorders>
            <w:shd w:val="clear" w:color="auto" w:fill="D2DCE5"/>
          </w:tcPr>
          <w:p>
            <w:pPr>
              <w:jc w:val="right"/>
              <w:ind w:right="33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18,715</w:t>
            </w:r>
          </w:p>
        </w:tc>
      </w:tr>
      <w:tr>
        <w:trPr>
          <w:trHeight w:val="243"/>
        </w:trPr>
        <w:tc>
          <w:tcPr>
            <w:tcW w:w="9660" w:type="dxa"/>
            <w:vAlign w:val="bottom"/>
            <w:gridSpan w:val="2"/>
          </w:tcPr>
          <w:p>
            <w:pPr>
              <w:ind w:left="20"/>
              <w:spacing w:after="0"/>
              <w:rPr>
                <w:sz w:val="20"/>
                <w:szCs w:val="20"/>
                <w:color w:val="auto"/>
              </w:rPr>
            </w:pPr>
            <w:r>
              <w:rPr>
                <w:rFonts w:ascii="Arial" w:cs="Arial" w:eastAsia="Arial" w:hAnsi="Arial"/>
                <w:sz w:val="18"/>
                <w:szCs w:val="18"/>
                <w:color w:val="131E29"/>
              </w:rPr>
              <w:t>Business combinations</w:t>
            </w: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2,914</w:t>
            </w:r>
          </w:p>
        </w:tc>
      </w:tr>
      <w:tr>
        <w:trPr>
          <w:trHeight w:val="27"/>
        </w:trPr>
        <w:tc>
          <w:tcPr>
            <w:tcW w:w="9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9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Balance, September 30, 2022</w:t>
            </w:r>
          </w:p>
        </w:tc>
        <w:tc>
          <w:tcPr>
            <w:tcW w:w="540" w:type="dxa"/>
            <w:vAlign w:val="bottom"/>
            <w:tcBorders>
              <w:bottom w:val="single" w:sz="8" w:color="auto"/>
            </w:tcBorders>
            <w:shd w:val="clear" w:color="auto" w:fill="D2DCE5"/>
          </w:tcPr>
          <w:p>
            <w:pPr>
              <w:jc w:val="right"/>
              <w:ind w:right="33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21,629</w:t>
            </w:r>
          </w:p>
        </w:tc>
      </w:tr>
      <w:tr>
        <w:trPr>
          <w:trHeight w:val="20"/>
        </w:trPr>
        <w:tc>
          <w:tcPr>
            <w:tcW w:w="9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4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131E29"/>
        </w:rPr>
        <w:t>No impairment charges were recognized for the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8 — Leases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Adoption of ASC 842</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Company adopted ASC 842, as amended, using the modified retrospective transition method with an effective date of January 1, 2022. The modified retrospective approach permits a company to use its effective date as the date of initial application to apply the standard to its leases, and, therefore, not restate comparative prior period financial information. As such, results for reporting periods beginning on or after January 1, 2022 are presented under ASC 842. Prior period amounts were not revised and continue to be reported in accordance with ASC Topic 840 (ASC 840). Further, disclosures required under the new standard will not be provided for dates and periods prior to January 1, 2022. The adoption of the lease standard resulted in a cumulative adjustment to opening equity of $0.4 million, as provided in the table below.</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Subsequent to the Company’s January 1, 2022 adoption of the lease standard, the Company continued to review relevant lease contract elements and improve business processes, which resulted in adjustments to the Company’s adoption entries and presentation. The impacts of the adjustments were recorded in the nine months ended September 30, 2022, and are presented in the table below and in the condensed consolidated financial statements.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Upon adoption, the Company recognized operating lease liabilities of $ 152.8 million based on the present value of the remaining lease payments for existing operating leases, and right-of-use assets of $150.7 million, net of reductions for the impacts of deferred rents. As part of the transition, the Company derecognized all landlord funded lease incentives and deemed landlord financing liabilities, including capital assets related to previous sale and leaseback transactions which were remeasured under ASC 842.</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standard provides several optional practical expedients in transition. The Company elected the package of practical expedients, which permits it to not reassess, under the new standard, the Company's prior conclusions about lease identification, lease classification and initial direct costs. As such, the Company applied the modified retrospective transition method as of the adoption date to those lease contracts for which it had taken possession of the property as of January 1, 2022.</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 Company also elected the practical expedient pertaining to land easements and did not elect the practical expedient related to use-of-hindsight. The new standard also provides practical expedients for an entity’s ongoing accounting. The Company elected the short-term lease recognition exemption and also the practical expedient to not separate lease and non-lease components for all its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Upon transition, the Company recorded the following increases (decreases) to the respective line items on its condensed consolidated balance sheet: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131E29"/>
                <w:w w:val="99"/>
              </w:rPr>
              <w:t>Adjustments as of</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2"/>
          </w:tcPr>
          <w:p>
            <w:pPr>
              <w:jc w:val="center"/>
              <w:spacing w:after="0"/>
              <w:rPr>
                <w:sz w:val="20"/>
                <w:szCs w:val="20"/>
                <w:color w:val="auto"/>
              </w:rPr>
            </w:pPr>
            <w:r>
              <w:rPr>
                <w:rFonts w:ascii="Arial" w:cs="Arial" w:eastAsia="Arial" w:hAnsi="Arial"/>
                <w:sz w:val="18"/>
                <w:szCs w:val="18"/>
                <w:b w:val="1"/>
                <w:bCs w:val="1"/>
                <w:color w:val="131E29"/>
                <w:w w:val="99"/>
              </w:rPr>
              <w:t>Cumulative Adjustments as</w:t>
            </w:r>
          </w:p>
        </w:tc>
      </w:tr>
      <w:tr>
        <w:trPr>
          <w:trHeight w:val="216"/>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131E29"/>
                <w:w w:val="99"/>
              </w:rPr>
              <w:t>January 1, 2022</w:t>
            </w: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131E29"/>
                <w:w w:val="98"/>
              </w:rPr>
              <w:t>Subsequent</w:t>
            </w:r>
          </w:p>
        </w:tc>
        <w:tc>
          <w:tcPr>
            <w:tcW w:w="200" w:type="dxa"/>
            <w:vAlign w:val="bottom"/>
          </w:tcPr>
          <w:p>
            <w:pPr>
              <w:spacing w:after="0"/>
              <w:rPr>
                <w:sz w:val="18"/>
                <w:szCs w:val="18"/>
                <w:color w:val="auto"/>
              </w:rPr>
            </w:pPr>
          </w:p>
        </w:tc>
        <w:tc>
          <w:tcPr>
            <w:tcW w:w="2240" w:type="dxa"/>
            <w:vAlign w:val="bottom"/>
          </w:tcPr>
          <w:p>
            <w:pPr>
              <w:jc w:val="center"/>
              <w:ind w:right="98"/>
              <w:spacing w:after="0"/>
              <w:rPr>
                <w:sz w:val="20"/>
                <w:szCs w:val="20"/>
                <w:color w:val="auto"/>
              </w:rPr>
            </w:pPr>
            <w:r>
              <w:rPr>
                <w:rFonts w:ascii="Arial" w:cs="Arial" w:eastAsia="Arial" w:hAnsi="Arial"/>
                <w:sz w:val="18"/>
                <w:szCs w:val="18"/>
                <w:b w:val="1"/>
                <w:bCs w:val="1"/>
                <w:color w:val="131E29"/>
                <w:w w:val="99"/>
              </w:rPr>
              <w:t>of September 30, 2022</w:t>
            </w:r>
          </w:p>
        </w:tc>
      </w:tr>
      <w:tr>
        <w:trPr>
          <w:trHeight w:val="240"/>
        </w:trPr>
        <w:tc>
          <w:tcPr>
            <w:tcW w:w="478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22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131E29"/>
                <w:w w:val="99"/>
              </w:rPr>
              <w:t>(As Reported)</w:t>
            </w:r>
          </w:p>
        </w:tc>
        <w:tc>
          <w:tcPr>
            <w:tcW w:w="20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131E29"/>
              </w:rPr>
              <w:t>Adjustments</w:t>
            </w:r>
          </w:p>
        </w:tc>
        <w:tc>
          <w:tcPr>
            <w:tcW w:w="200" w:type="dxa"/>
            <w:vAlign w:val="bottom"/>
          </w:tcPr>
          <w:p>
            <w:pPr>
              <w:spacing w:after="0"/>
              <w:rPr>
                <w:sz w:val="20"/>
                <w:szCs w:val="20"/>
                <w:color w:val="auto"/>
              </w:rPr>
            </w:pPr>
          </w:p>
        </w:tc>
        <w:tc>
          <w:tcPr>
            <w:tcW w:w="2240" w:type="dxa"/>
            <w:vAlign w:val="bottom"/>
          </w:tcPr>
          <w:p>
            <w:pPr>
              <w:jc w:val="center"/>
              <w:ind w:right="98"/>
              <w:spacing w:after="0"/>
              <w:rPr>
                <w:sz w:val="20"/>
                <w:szCs w:val="20"/>
                <w:color w:val="auto"/>
              </w:rPr>
            </w:pPr>
            <w:r>
              <w:rPr>
                <w:rFonts w:ascii="Arial" w:cs="Arial" w:eastAsia="Arial" w:hAnsi="Arial"/>
                <w:sz w:val="18"/>
                <w:szCs w:val="18"/>
                <w:b w:val="1"/>
                <w:bCs w:val="1"/>
                <w:color w:val="131E29"/>
              </w:rPr>
              <w:t>(As Corrected)</w:t>
            </w:r>
          </w:p>
        </w:tc>
      </w:tr>
      <w:tr>
        <w:trPr>
          <w:trHeight w:val="26"/>
        </w:trPr>
        <w:tc>
          <w:tcPr>
            <w:tcW w:w="468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202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7"/>
        </w:trPr>
        <w:tc>
          <w:tcPr>
            <w:tcW w:w="47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Property and equipment, net</w:t>
            </w:r>
          </w:p>
        </w:tc>
        <w:tc>
          <w:tcPr>
            <w:tcW w:w="220" w:type="dxa"/>
            <w:vAlign w:val="bottom"/>
            <w:shd w:val="clear" w:color="auto" w:fill="D2DCE5"/>
          </w:tcPr>
          <w:p>
            <w:pPr>
              <w:jc w:val="right"/>
              <w:ind w:right="39"/>
              <w:spacing w:after="0"/>
              <w:rPr>
                <w:sz w:val="20"/>
                <w:szCs w:val="20"/>
                <w:color w:val="auto"/>
              </w:rPr>
            </w:pPr>
            <w:r>
              <w:rPr>
                <w:rFonts w:ascii="Arial" w:cs="Arial" w:eastAsia="Arial" w:hAnsi="Arial"/>
                <w:sz w:val="16"/>
                <w:szCs w:val="16"/>
                <w:color w:val="131E29"/>
                <w:w w:val="89"/>
              </w:rPr>
              <w:t>$</w:t>
            </w: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(79,821)</w:t>
            </w:r>
          </w:p>
        </w:tc>
        <w:tc>
          <w:tcPr>
            <w:tcW w:w="80" w:type="dxa"/>
            <w:vAlign w:val="bottom"/>
            <w:shd w:val="clear" w:color="auto" w:fill="D2DCE5"/>
          </w:tcPr>
          <w:p>
            <w:pPr>
              <w:spacing w:after="0"/>
              <w:rPr>
                <w:sz w:val="20"/>
                <w:szCs w:val="20"/>
                <w:color w:val="auto"/>
              </w:rPr>
            </w:pPr>
          </w:p>
        </w:tc>
        <w:tc>
          <w:tcPr>
            <w:tcW w:w="2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w:t>
            </w:r>
          </w:p>
        </w:tc>
        <w:tc>
          <w:tcPr>
            <w:tcW w:w="14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(6,171)</w:t>
            </w:r>
          </w:p>
        </w:tc>
        <w:tc>
          <w:tcPr>
            <w:tcW w:w="80" w:type="dxa"/>
            <w:vAlign w:val="bottom"/>
            <w:shd w:val="clear" w:color="auto" w:fill="D2DCE5"/>
          </w:tcPr>
          <w:p>
            <w:pPr>
              <w:spacing w:after="0"/>
              <w:rPr>
                <w:sz w:val="20"/>
                <w:szCs w:val="20"/>
                <w:color w:val="auto"/>
              </w:rPr>
            </w:pPr>
          </w:p>
        </w:tc>
        <w:tc>
          <w:tcPr>
            <w:tcW w:w="2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w:t>
            </w:r>
          </w:p>
        </w:tc>
        <w:tc>
          <w:tcPr>
            <w:tcW w:w="22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(85,992)</w:t>
            </w:r>
          </w:p>
        </w:tc>
      </w:tr>
      <w:tr>
        <w:trPr>
          <w:trHeight w:val="233"/>
        </w:trPr>
        <w:tc>
          <w:tcPr>
            <w:tcW w:w="4780" w:type="dxa"/>
            <w:vAlign w:val="bottom"/>
            <w:gridSpan w:val="2"/>
          </w:tcPr>
          <w:p>
            <w:pPr>
              <w:ind w:left="20"/>
              <w:spacing w:after="0"/>
              <w:rPr>
                <w:sz w:val="20"/>
                <w:szCs w:val="20"/>
                <w:color w:val="auto"/>
              </w:rPr>
            </w:pPr>
            <w:r>
              <w:rPr>
                <w:rFonts w:ascii="Arial" w:cs="Arial" w:eastAsia="Arial" w:hAnsi="Arial"/>
                <w:sz w:val="16"/>
                <w:szCs w:val="16"/>
                <w:color w:val="131E29"/>
              </w:rPr>
              <w:t>Finance lease right-of-use assets</w:t>
            </w:r>
          </w:p>
        </w:tc>
        <w:tc>
          <w:tcPr>
            <w:tcW w:w="22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111,826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131E29"/>
              </w:rPr>
              <w:t>3,745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131E29"/>
              </w:rPr>
              <w:t>115,571</w:t>
            </w:r>
          </w:p>
        </w:tc>
      </w:tr>
      <w:tr>
        <w:trPr>
          <w:trHeight w:val="253"/>
        </w:trPr>
        <w:tc>
          <w:tcPr>
            <w:tcW w:w="47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Operating lease right-of-use assets</w:t>
            </w:r>
          </w:p>
        </w:tc>
        <w:tc>
          <w:tcPr>
            <w:tcW w:w="220" w:type="dxa"/>
            <w:vAlign w:val="bottom"/>
            <w:shd w:val="clear" w:color="auto" w:fill="D2DCE5"/>
          </w:tcPr>
          <w:p>
            <w:pPr>
              <w:spacing w:after="0"/>
              <w:rPr>
                <w:sz w:val="21"/>
                <w:szCs w:val="21"/>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150,689</w:t>
            </w:r>
          </w:p>
        </w:tc>
        <w:tc>
          <w:tcPr>
            <w:tcW w:w="80" w:type="dxa"/>
            <w:vAlign w:val="bottom"/>
            <w:shd w:val="clear" w:color="auto" w:fill="D2DCE5"/>
          </w:tcPr>
          <w:p>
            <w:pPr>
              <w:spacing w:after="0"/>
              <w:rPr>
                <w:sz w:val="21"/>
                <w:szCs w:val="21"/>
                <w:color w:val="auto"/>
              </w:rPr>
            </w:pPr>
          </w:p>
        </w:tc>
        <w:tc>
          <w:tcPr>
            <w:tcW w:w="200" w:type="dxa"/>
            <w:vAlign w:val="bottom"/>
            <w:shd w:val="clear" w:color="auto" w:fill="D2DCE5"/>
          </w:tcPr>
          <w:p>
            <w:pPr>
              <w:spacing w:after="0"/>
              <w:rPr>
                <w:sz w:val="21"/>
                <w:szCs w:val="21"/>
                <w:color w:val="auto"/>
              </w:rPr>
            </w:pPr>
          </w:p>
        </w:tc>
        <w:tc>
          <w:tcPr>
            <w:tcW w:w="1500" w:type="dxa"/>
            <w:vAlign w:val="bottom"/>
            <w:gridSpan w:val="2"/>
            <w:shd w:val="clear" w:color="auto" w:fill="D2DCE5"/>
          </w:tcPr>
          <w:p>
            <w:pPr>
              <w:jc w:val="right"/>
              <w:ind w:right="160"/>
              <w:spacing w:after="0"/>
              <w:rPr>
                <w:sz w:val="20"/>
                <w:szCs w:val="20"/>
                <w:color w:val="auto"/>
              </w:rPr>
            </w:pPr>
            <w:r>
              <w:rPr>
                <w:rFonts w:ascii="Arial" w:cs="Arial" w:eastAsia="Arial" w:hAnsi="Arial"/>
                <w:sz w:val="16"/>
                <w:szCs w:val="16"/>
                <w:color w:val="131E29"/>
              </w:rPr>
              <w:t>—</w:t>
            </w:r>
          </w:p>
        </w:tc>
        <w:tc>
          <w:tcPr>
            <w:tcW w:w="200" w:type="dxa"/>
            <w:vAlign w:val="bottom"/>
            <w:shd w:val="clear" w:color="auto" w:fill="D2DCE5"/>
          </w:tcPr>
          <w:p>
            <w:pPr>
              <w:spacing w:after="0"/>
              <w:rPr>
                <w:sz w:val="21"/>
                <w:szCs w:val="21"/>
                <w:color w:val="auto"/>
              </w:rPr>
            </w:pPr>
          </w:p>
        </w:tc>
        <w:tc>
          <w:tcPr>
            <w:tcW w:w="22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150,689</w:t>
            </w:r>
          </w:p>
        </w:tc>
      </w:tr>
      <w:tr>
        <w:trPr>
          <w:trHeight w:val="233"/>
        </w:trPr>
        <w:tc>
          <w:tcPr>
            <w:tcW w:w="4780" w:type="dxa"/>
            <w:vAlign w:val="bottom"/>
            <w:gridSpan w:val="2"/>
          </w:tcPr>
          <w:p>
            <w:pPr>
              <w:ind w:left="20"/>
              <w:spacing w:after="0"/>
              <w:rPr>
                <w:sz w:val="20"/>
                <w:szCs w:val="20"/>
                <w:color w:val="auto"/>
              </w:rPr>
            </w:pPr>
            <w:r>
              <w:rPr>
                <w:rFonts w:ascii="Arial" w:cs="Arial" w:eastAsia="Arial" w:hAnsi="Arial"/>
                <w:sz w:val="16"/>
                <w:szCs w:val="16"/>
                <w:color w:val="131E29"/>
              </w:rPr>
              <w:t>Deferred rent</w:t>
            </w:r>
          </w:p>
        </w:tc>
        <w:tc>
          <w:tcPr>
            <w:tcW w:w="22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(3,153)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131E29"/>
              </w:rPr>
              <w:t>—</w:t>
            </w:r>
          </w:p>
        </w:tc>
        <w:tc>
          <w:tcPr>
            <w:tcW w:w="20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131E29"/>
              </w:rPr>
              <w:t>(3,153)</w:t>
            </w:r>
          </w:p>
        </w:tc>
      </w:tr>
      <w:tr>
        <w:trPr>
          <w:trHeight w:val="253"/>
        </w:trPr>
        <w:tc>
          <w:tcPr>
            <w:tcW w:w="47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Current portion of finance lease obligations</w:t>
            </w:r>
          </w:p>
        </w:tc>
        <w:tc>
          <w:tcPr>
            <w:tcW w:w="220" w:type="dxa"/>
            <w:vAlign w:val="bottom"/>
            <w:shd w:val="clear" w:color="auto" w:fill="D2DCE5"/>
          </w:tcPr>
          <w:p>
            <w:pPr>
              <w:spacing w:after="0"/>
              <w:rPr>
                <w:sz w:val="21"/>
                <w:szCs w:val="21"/>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607</w:t>
            </w:r>
          </w:p>
        </w:tc>
        <w:tc>
          <w:tcPr>
            <w:tcW w:w="80" w:type="dxa"/>
            <w:vAlign w:val="bottom"/>
            <w:shd w:val="clear" w:color="auto" w:fill="D2DCE5"/>
          </w:tcPr>
          <w:p>
            <w:pPr>
              <w:spacing w:after="0"/>
              <w:rPr>
                <w:sz w:val="21"/>
                <w:szCs w:val="21"/>
                <w:color w:val="auto"/>
              </w:rPr>
            </w:pPr>
          </w:p>
        </w:tc>
        <w:tc>
          <w:tcPr>
            <w:tcW w:w="200" w:type="dxa"/>
            <w:vAlign w:val="bottom"/>
            <w:shd w:val="clear" w:color="auto" w:fill="D2DCE5"/>
          </w:tcPr>
          <w:p>
            <w:pPr>
              <w:spacing w:after="0"/>
              <w:rPr>
                <w:sz w:val="21"/>
                <w:szCs w:val="21"/>
                <w:color w:val="auto"/>
              </w:rPr>
            </w:pPr>
          </w:p>
        </w:tc>
        <w:tc>
          <w:tcPr>
            <w:tcW w:w="1500" w:type="dxa"/>
            <w:vAlign w:val="bottom"/>
            <w:gridSpan w:val="2"/>
            <w:shd w:val="clear" w:color="auto" w:fill="D2DCE5"/>
          </w:tcPr>
          <w:p>
            <w:pPr>
              <w:jc w:val="right"/>
              <w:ind w:right="160"/>
              <w:spacing w:after="0"/>
              <w:rPr>
                <w:sz w:val="20"/>
                <w:szCs w:val="20"/>
                <w:color w:val="auto"/>
              </w:rPr>
            </w:pPr>
            <w:r>
              <w:rPr>
                <w:rFonts w:ascii="Arial" w:cs="Arial" w:eastAsia="Arial" w:hAnsi="Arial"/>
                <w:sz w:val="16"/>
                <w:szCs w:val="16"/>
                <w:color w:val="131E29"/>
              </w:rPr>
              <w:t>—</w:t>
            </w:r>
          </w:p>
        </w:tc>
        <w:tc>
          <w:tcPr>
            <w:tcW w:w="200" w:type="dxa"/>
            <w:vAlign w:val="bottom"/>
            <w:shd w:val="clear" w:color="auto" w:fill="D2DCE5"/>
          </w:tcPr>
          <w:p>
            <w:pPr>
              <w:spacing w:after="0"/>
              <w:rPr>
                <w:sz w:val="21"/>
                <w:szCs w:val="21"/>
                <w:color w:val="auto"/>
              </w:rPr>
            </w:pPr>
          </w:p>
        </w:tc>
        <w:tc>
          <w:tcPr>
            <w:tcW w:w="22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607</w:t>
            </w:r>
          </w:p>
        </w:tc>
      </w:tr>
      <w:tr>
        <w:trPr>
          <w:trHeight w:val="233"/>
        </w:trPr>
        <w:tc>
          <w:tcPr>
            <w:tcW w:w="4780" w:type="dxa"/>
            <w:vAlign w:val="bottom"/>
            <w:gridSpan w:val="2"/>
          </w:tcPr>
          <w:p>
            <w:pPr>
              <w:ind w:left="20"/>
              <w:spacing w:after="0"/>
              <w:rPr>
                <w:sz w:val="20"/>
                <w:szCs w:val="20"/>
                <w:color w:val="auto"/>
              </w:rPr>
            </w:pPr>
            <w:r>
              <w:rPr>
                <w:rFonts w:ascii="Arial" w:cs="Arial" w:eastAsia="Arial" w:hAnsi="Arial"/>
                <w:sz w:val="16"/>
                <w:szCs w:val="16"/>
                <w:color w:val="131E29"/>
              </w:rPr>
              <w:t>Current portion of operating lease obligations</w:t>
            </w:r>
          </w:p>
        </w:tc>
        <w:tc>
          <w:tcPr>
            <w:tcW w:w="22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8,430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131E29"/>
              </w:rPr>
              <w:t>—</w:t>
            </w:r>
          </w:p>
        </w:tc>
        <w:tc>
          <w:tcPr>
            <w:tcW w:w="20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131E29"/>
              </w:rPr>
              <w:t>8,430</w:t>
            </w:r>
          </w:p>
        </w:tc>
      </w:tr>
      <w:tr>
        <w:trPr>
          <w:trHeight w:val="253"/>
        </w:trPr>
        <w:tc>
          <w:tcPr>
            <w:tcW w:w="47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Current portion of long-term debt</w:t>
            </w:r>
          </w:p>
        </w:tc>
        <w:tc>
          <w:tcPr>
            <w:tcW w:w="220" w:type="dxa"/>
            <w:vAlign w:val="bottom"/>
            <w:shd w:val="clear" w:color="auto" w:fill="D2DCE5"/>
          </w:tcPr>
          <w:p>
            <w:pPr>
              <w:spacing w:after="0"/>
              <w:rPr>
                <w:sz w:val="21"/>
                <w:szCs w:val="21"/>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(46)</w:t>
            </w:r>
          </w:p>
        </w:tc>
        <w:tc>
          <w:tcPr>
            <w:tcW w:w="80" w:type="dxa"/>
            <w:vAlign w:val="bottom"/>
            <w:shd w:val="clear" w:color="auto" w:fill="D2DCE5"/>
          </w:tcPr>
          <w:p>
            <w:pPr>
              <w:spacing w:after="0"/>
              <w:rPr>
                <w:sz w:val="21"/>
                <w:szCs w:val="21"/>
                <w:color w:val="auto"/>
              </w:rPr>
            </w:pPr>
          </w:p>
        </w:tc>
        <w:tc>
          <w:tcPr>
            <w:tcW w:w="200" w:type="dxa"/>
            <w:vAlign w:val="bottom"/>
            <w:shd w:val="clear" w:color="auto" w:fill="D2DCE5"/>
          </w:tcPr>
          <w:p>
            <w:pPr>
              <w:spacing w:after="0"/>
              <w:rPr>
                <w:sz w:val="21"/>
                <w:szCs w:val="21"/>
                <w:color w:val="auto"/>
              </w:rPr>
            </w:pPr>
          </w:p>
        </w:tc>
        <w:tc>
          <w:tcPr>
            <w:tcW w:w="1500" w:type="dxa"/>
            <w:vAlign w:val="bottom"/>
            <w:gridSpan w:val="2"/>
            <w:shd w:val="clear" w:color="auto" w:fill="D2DCE5"/>
          </w:tcPr>
          <w:p>
            <w:pPr>
              <w:jc w:val="right"/>
              <w:ind w:right="160"/>
              <w:spacing w:after="0"/>
              <w:rPr>
                <w:sz w:val="20"/>
                <w:szCs w:val="20"/>
                <w:color w:val="auto"/>
              </w:rPr>
            </w:pPr>
            <w:r>
              <w:rPr>
                <w:rFonts w:ascii="Arial" w:cs="Arial" w:eastAsia="Arial" w:hAnsi="Arial"/>
                <w:sz w:val="16"/>
                <w:szCs w:val="16"/>
                <w:color w:val="131E29"/>
              </w:rPr>
              <w:t>—</w:t>
            </w:r>
          </w:p>
        </w:tc>
        <w:tc>
          <w:tcPr>
            <w:tcW w:w="200" w:type="dxa"/>
            <w:vAlign w:val="bottom"/>
            <w:shd w:val="clear" w:color="auto" w:fill="D2DCE5"/>
          </w:tcPr>
          <w:p>
            <w:pPr>
              <w:spacing w:after="0"/>
              <w:rPr>
                <w:sz w:val="21"/>
                <w:szCs w:val="21"/>
                <w:color w:val="auto"/>
              </w:rPr>
            </w:pPr>
          </w:p>
        </w:tc>
        <w:tc>
          <w:tcPr>
            <w:tcW w:w="22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(46)</w:t>
            </w:r>
          </w:p>
        </w:tc>
      </w:tr>
      <w:tr>
        <w:trPr>
          <w:trHeight w:val="233"/>
        </w:trPr>
        <w:tc>
          <w:tcPr>
            <w:tcW w:w="4780" w:type="dxa"/>
            <w:vAlign w:val="bottom"/>
            <w:gridSpan w:val="2"/>
          </w:tcPr>
          <w:p>
            <w:pPr>
              <w:ind w:left="20"/>
              <w:spacing w:after="0"/>
              <w:rPr>
                <w:sz w:val="20"/>
                <w:szCs w:val="20"/>
                <w:color w:val="auto"/>
              </w:rPr>
            </w:pPr>
            <w:r>
              <w:rPr>
                <w:rFonts w:ascii="Arial" w:cs="Arial" w:eastAsia="Arial" w:hAnsi="Arial"/>
                <w:sz w:val="16"/>
                <w:szCs w:val="16"/>
                <w:color w:val="131E29"/>
              </w:rPr>
              <w:t>Finance lease obligations, net of current portion</w:t>
            </w:r>
          </w:p>
        </w:tc>
        <w:tc>
          <w:tcPr>
            <w:tcW w:w="22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32,534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131E29"/>
              </w:rPr>
              <w:t>—</w:t>
            </w:r>
          </w:p>
        </w:tc>
        <w:tc>
          <w:tcPr>
            <w:tcW w:w="20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131E29"/>
              </w:rPr>
              <w:t>32,534</w:t>
            </w:r>
          </w:p>
        </w:tc>
      </w:tr>
      <w:tr>
        <w:trPr>
          <w:trHeight w:val="228"/>
        </w:trPr>
        <w:tc>
          <w:tcPr>
            <w:tcW w:w="47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Operating lease obligations, net of</w:t>
            </w:r>
          </w:p>
        </w:tc>
        <w:tc>
          <w:tcPr>
            <w:tcW w:w="220" w:type="dxa"/>
            <w:vAlign w:val="bottom"/>
            <w:shd w:val="clear" w:color="auto" w:fill="D2DCE5"/>
          </w:tcPr>
          <w:p>
            <w:pPr>
              <w:spacing w:after="0"/>
              <w:rPr>
                <w:sz w:val="19"/>
                <w:szCs w:val="19"/>
                <w:color w:val="auto"/>
              </w:rPr>
            </w:pPr>
          </w:p>
        </w:tc>
        <w:tc>
          <w:tcPr>
            <w:tcW w:w="20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14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2240" w:type="dxa"/>
            <w:vAlign w:val="bottom"/>
            <w:shd w:val="clear" w:color="auto" w:fill="D2DCE5"/>
          </w:tcPr>
          <w:p>
            <w:pPr>
              <w:spacing w:after="0"/>
              <w:rPr>
                <w:sz w:val="19"/>
                <w:szCs w:val="19"/>
                <w:color w:val="auto"/>
              </w:rPr>
            </w:pPr>
          </w:p>
        </w:tc>
      </w:tr>
      <w:tr>
        <w:trPr>
          <w:trHeight w:val="228"/>
        </w:trPr>
        <w:tc>
          <w:tcPr>
            <w:tcW w:w="47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current portion</w:t>
            </w:r>
          </w:p>
        </w:tc>
        <w:tc>
          <w:tcPr>
            <w:tcW w:w="220" w:type="dxa"/>
            <w:vAlign w:val="bottom"/>
            <w:shd w:val="clear" w:color="auto" w:fill="D2DCE5"/>
          </w:tcPr>
          <w:p>
            <w:pPr>
              <w:spacing w:after="0"/>
              <w:rPr>
                <w:sz w:val="19"/>
                <w:szCs w:val="19"/>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144,405</w:t>
            </w:r>
          </w:p>
        </w:tc>
        <w:tc>
          <w:tcPr>
            <w:tcW w:w="8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1500" w:type="dxa"/>
            <w:vAlign w:val="bottom"/>
            <w:gridSpan w:val="2"/>
            <w:shd w:val="clear" w:color="auto" w:fill="D2DCE5"/>
          </w:tcPr>
          <w:p>
            <w:pPr>
              <w:jc w:val="right"/>
              <w:ind w:right="160"/>
              <w:spacing w:after="0"/>
              <w:rPr>
                <w:sz w:val="20"/>
                <w:szCs w:val="20"/>
                <w:color w:val="auto"/>
              </w:rPr>
            </w:pPr>
            <w:r>
              <w:rPr>
                <w:rFonts w:ascii="Arial" w:cs="Arial" w:eastAsia="Arial" w:hAnsi="Arial"/>
                <w:sz w:val="16"/>
                <w:szCs w:val="16"/>
                <w:color w:val="131E29"/>
              </w:rPr>
              <w:t>—</w:t>
            </w:r>
          </w:p>
        </w:tc>
        <w:tc>
          <w:tcPr>
            <w:tcW w:w="200" w:type="dxa"/>
            <w:vAlign w:val="bottom"/>
            <w:shd w:val="clear" w:color="auto" w:fill="D2DCE5"/>
          </w:tcPr>
          <w:p>
            <w:pPr>
              <w:spacing w:after="0"/>
              <w:rPr>
                <w:sz w:val="19"/>
                <w:szCs w:val="19"/>
                <w:color w:val="auto"/>
              </w:rPr>
            </w:pPr>
          </w:p>
        </w:tc>
        <w:tc>
          <w:tcPr>
            <w:tcW w:w="22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144,405</w:t>
            </w:r>
          </w:p>
        </w:tc>
      </w:tr>
      <w:tr>
        <w:trPr>
          <w:trHeight w:val="233"/>
        </w:trPr>
        <w:tc>
          <w:tcPr>
            <w:tcW w:w="4780" w:type="dxa"/>
            <w:vAlign w:val="bottom"/>
            <w:gridSpan w:val="2"/>
          </w:tcPr>
          <w:p>
            <w:pPr>
              <w:ind w:left="20"/>
              <w:spacing w:after="0"/>
              <w:rPr>
                <w:sz w:val="20"/>
                <w:szCs w:val="20"/>
                <w:color w:val="auto"/>
              </w:rPr>
            </w:pPr>
            <w:r>
              <w:rPr>
                <w:rFonts w:ascii="Arial" w:cs="Arial" w:eastAsia="Arial" w:hAnsi="Arial"/>
                <w:sz w:val="16"/>
                <w:szCs w:val="16"/>
                <w:color w:val="131E29"/>
              </w:rPr>
              <w:t>Long-term debt, net of current portion</w:t>
            </w:r>
          </w:p>
        </w:tc>
        <w:tc>
          <w:tcPr>
            <w:tcW w:w="22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(1,426)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131E29"/>
              </w:rPr>
              <w:t>(1,506)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131E29"/>
              </w:rPr>
              <w:t>(2,932)</w:t>
            </w:r>
          </w:p>
        </w:tc>
      </w:tr>
      <w:tr>
        <w:trPr>
          <w:trHeight w:val="253"/>
        </w:trPr>
        <w:tc>
          <w:tcPr>
            <w:tcW w:w="47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Accumulated deficit</w:t>
            </w:r>
          </w:p>
        </w:tc>
        <w:tc>
          <w:tcPr>
            <w:tcW w:w="220" w:type="dxa"/>
            <w:vAlign w:val="bottom"/>
            <w:shd w:val="clear" w:color="auto" w:fill="D2DCE5"/>
          </w:tcPr>
          <w:p>
            <w:pPr>
              <w:spacing w:after="0"/>
              <w:rPr>
                <w:sz w:val="21"/>
                <w:szCs w:val="21"/>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386</w:t>
            </w:r>
          </w:p>
        </w:tc>
        <w:tc>
          <w:tcPr>
            <w:tcW w:w="80" w:type="dxa"/>
            <w:vAlign w:val="bottom"/>
            <w:shd w:val="clear" w:color="auto" w:fill="D2DCE5"/>
          </w:tcPr>
          <w:p>
            <w:pPr>
              <w:spacing w:after="0"/>
              <w:rPr>
                <w:sz w:val="21"/>
                <w:szCs w:val="21"/>
                <w:color w:val="auto"/>
              </w:rPr>
            </w:pPr>
          </w:p>
        </w:tc>
        <w:tc>
          <w:tcPr>
            <w:tcW w:w="200" w:type="dxa"/>
            <w:vAlign w:val="bottom"/>
            <w:shd w:val="clear" w:color="auto" w:fill="D2DCE5"/>
          </w:tcPr>
          <w:p>
            <w:pPr>
              <w:spacing w:after="0"/>
              <w:rPr>
                <w:sz w:val="21"/>
                <w:szCs w:val="21"/>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(264)</w:t>
            </w:r>
          </w:p>
        </w:tc>
        <w:tc>
          <w:tcPr>
            <w:tcW w:w="80" w:type="dxa"/>
            <w:vAlign w:val="bottom"/>
            <w:shd w:val="clear" w:color="auto" w:fill="D2DCE5"/>
          </w:tcPr>
          <w:p>
            <w:pPr>
              <w:spacing w:after="0"/>
              <w:rPr>
                <w:sz w:val="21"/>
                <w:szCs w:val="21"/>
                <w:color w:val="auto"/>
              </w:rPr>
            </w:pPr>
          </w:p>
        </w:tc>
        <w:tc>
          <w:tcPr>
            <w:tcW w:w="200" w:type="dxa"/>
            <w:vAlign w:val="bottom"/>
            <w:shd w:val="clear" w:color="auto" w:fill="D2DCE5"/>
          </w:tcPr>
          <w:p>
            <w:pPr>
              <w:spacing w:after="0"/>
              <w:rPr>
                <w:sz w:val="21"/>
                <w:szCs w:val="21"/>
                <w:color w:val="auto"/>
              </w:rPr>
            </w:pPr>
          </w:p>
        </w:tc>
        <w:tc>
          <w:tcPr>
            <w:tcW w:w="22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122</w:t>
            </w:r>
          </w:p>
        </w:tc>
      </w:tr>
      <w:tr>
        <w:trPr>
          <w:trHeight w:val="223"/>
        </w:trPr>
        <w:tc>
          <w:tcPr>
            <w:tcW w:w="4780" w:type="dxa"/>
            <w:vAlign w:val="bottom"/>
            <w:gridSpan w:val="2"/>
          </w:tcPr>
          <w:p>
            <w:pPr>
              <w:ind w:left="20"/>
              <w:spacing w:after="0"/>
              <w:rPr>
                <w:sz w:val="20"/>
                <w:szCs w:val="20"/>
                <w:color w:val="auto"/>
              </w:rPr>
            </w:pPr>
            <w:r>
              <w:rPr>
                <w:rFonts w:ascii="Arial" w:cs="Arial" w:eastAsia="Arial" w:hAnsi="Arial"/>
                <w:sz w:val="16"/>
                <w:szCs w:val="16"/>
                <w:color w:val="131E29"/>
              </w:rPr>
              <w:t>Non-controlling interests</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957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131E29"/>
              </w:rPr>
              <w:t>(656)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131E29"/>
              </w:rPr>
              <w:t>301</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Nature of Leases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Company leases all of its domestic company-operated shops, warehouse facilities, headquarters buildings, and certain equipment under various non-cancelable lease agreements that expire on various dates through 2041. The Company evaluates contracts entered into to determine whether the contract involves the use of property or equipment, which is either explicitly or implicitly identified in the contract. The Company evaluates whether it controls the use of the asset, which is determined by assessing whether it obtains substantially all economic benefits from the use of the asset, and whether the Company has the right to direct the use of the asset. If these criteria are met, a lease has been identified and has a term greater than one year, the Company accounts for the contract under the requirements of ASC 842.</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Lease commencement is determined when the Company takes possession of a leased asset, at which time the Company also determines the lease classification as an operating or finance lease. The Company’s real estate leases consist of commercial ground leases (land only) and build-to-suit leases (land and building).</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The real estate leases are a combination of both operating and finance leases, depending on evaluation of the lease terms. Generally, the Company’s real estate leases have an initial term of 15 years and typically include two to three renewal options of five-years each. These renewal options are included in the lease term when it is reasonably certain that the option will be exercised. For commercial ground leases, one five-year renewal is included in the Company’s initial lease term calculations. The Company’s real estate leases typically provide for fixed minimum rent payments. For operating leases, the Company recognizes lease expense on a straight-line basis over the lease term from the date the Company takes possession of the leased property. Lease expense incurred before a lease commences is included in the calculation of the right-of-use asset. Once a lease commences, the Company records lease expense in cost of sales on the Company’s condensed consolidated statements of operations. Variable lease costs generally include payments for additional rent such as real estate taxes, insurance, and common area maintenance, and are excluded from the measurement of the lease liability. Variable lease costs are included in cost of sales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Company calculates right-of-use assets and lease liabilities based on the present value of the fixed lease payments, including any estimated lease incentives, at lease commencement using its incremental borrowing rate, applied on a portfolio basis. As the rate implicit in the Company’s leases cannot be readily determined, the discount rate used to measure the lease liability is equal to the rate the Company would pay on a collateralized basis to borrow an amount equal to the lease payments under similar terms.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 Company expends cash for leasehold improvements to build out and equip its leased premises. For certain leases, a portion of the leasehold improvements and building costs are reimbursed by landlords as landlord incentives pursuant to agreed-upon terms in the Company’s lease agreements. Landlord incentives, if obtained, are received in cash after the Company takes possession of the property, and as the Company meets required milestones during the construction of the property. The Company includes these amounts in the measurement of the initial right-of-use asset and lease liability.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131E29"/>
        </w:rPr>
        <w:t>A summary of finance and operating lease right-of-use assets and lease liabilities as of September 30, 2022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70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5600" w:type="dxa"/>
            <w:vAlign w:val="bottom"/>
            <w:gridSpan w:val="2"/>
          </w:tcPr>
          <w:p>
            <w:pPr>
              <w:ind w:left="1520"/>
              <w:spacing w:after="0"/>
              <w:rPr>
                <w:sz w:val="20"/>
                <w:szCs w:val="20"/>
                <w:color w:val="auto"/>
              </w:rPr>
            </w:pPr>
            <w:r>
              <w:rPr>
                <w:rFonts w:ascii="Arial" w:cs="Arial" w:eastAsia="Arial" w:hAnsi="Arial"/>
                <w:sz w:val="18"/>
                <w:szCs w:val="18"/>
                <w:b w:val="1"/>
                <w:bCs w:val="1"/>
                <w:color w:val="131E29"/>
              </w:rPr>
              <w:t>Balance Sheet Classification</w:t>
            </w:r>
          </w:p>
        </w:tc>
        <w:tc>
          <w:tcPr>
            <w:tcW w:w="120" w:type="dxa"/>
            <w:vAlign w:val="bottom"/>
          </w:tcPr>
          <w:p>
            <w:pPr>
              <w:spacing w:after="0"/>
              <w:rPr>
                <w:sz w:val="20"/>
                <w:szCs w:val="20"/>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b w:val="1"/>
                <w:bCs w:val="1"/>
                <w:color w:val="131E29"/>
                <w:w w:val="98"/>
              </w:rPr>
              <w:t>September 30, 2022</w:t>
            </w:r>
          </w:p>
        </w:tc>
      </w:tr>
      <w:tr>
        <w:trPr>
          <w:trHeight w:val="26"/>
        </w:trPr>
        <w:tc>
          <w:tcPr>
            <w:tcW w:w="36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37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Right-of-use assets</w:t>
            </w:r>
          </w:p>
        </w:tc>
        <w:tc>
          <w:tcPr>
            <w:tcW w:w="550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1820" w:type="dxa"/>
            <w:vAlign w:val="bottom"/>
            <w:tcBorders>
              <w:bottom w:val="single" w:sz="8" w:color="D2DCE5"/>
            </w:tcBorders>
            <w:shd w:val="clear" w:color="auto" w:fill="D2DCE5"/>
          </w:tcPr>
          <w:p>
            <w:pPr>
              <w:spacing w:after="0"/>
              <w:rPr>
                <w:sz w:val="21"/>
                <w:szCs w:val="21"/>
                <w:color w:val="auto"/>
              </w:rPr>
            </w:pPr>
          </w:p>
        </w:tc>
      </w:tr>
      <w:tr>
        <w:trPr>
          <w:trHeight w:val="243"/>
        </w:trPr>
        <w:tc>
          <w:tcPr>
            <w:tcW w:w="3700" w:type="dxa"/>
            <w:vAlign w:val="bottom"/>
            <w:gridSpan w:val="2"/>
          </w:tcPr>
          <w:p>
            <w:pPr>
              <w:ind w:left="180"/>
              <w:spacing w:after="0"/>
              <w:rPr>
                <w:sz w:val="20"/>
                <w:szCs w:val="20"/>
                <w:color w:val="auto"/>
              </w:rPr>
            </w:pPr>
            <w:r>
              <w:rPr>
                <w:rFonts w:ascii="Arial" w:cs="Arial" w:eastAsia="Arial" w:hAnsi="Arial"/>
                <w:sz w:val="18"/>
                <w:szCs w:val="18"/>
                <w:color w:val="131E29"/>
              </w:rPr>
              <w:t>Finance leases</w:t>
            </w:r>
          </w:p>
        </w:tc>
        <w:tc>
          <w:tcPr>
            <w:tcW w:w="5600" w:type="dxa"/>
            <w:vAlign w:val="bottom"/>
            <w:gridSpan w:val="2"/>
          </w:tcPr>
          <w:p>
            <w:pPr>
              <w:ind w:left="20"/>
              <w:spacing w:after="0"/>
              <w:rPr>
                <w:sz w:val="20"/>
                <w:szCs w:val="20"/>
                <w:color w:val="auto"/>
              </w:rPr>
            </w:pPr>
            <w:r>
              <w:rPr>
                <w:rFonts w:ascii="Arial" w:cs="Arial" w:eastAsia="Arial" w:hAnsi="Arial"/>
                <w:sz w:val="18"/>
                <w:szCs w:val="18"/>
                <w:color w:val="131E29"/>
              </w:rPr>
              <w:t>Finance lease right-of-use assets, net</w:t>
            </w:r>
          </w:p>
        </w:tc>
        <w:tc>
          <w:tcPr>
            <w:tcW w:w="12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131E29"/>
              </w:rPr>
              <w:t>214,903</w:t>
            </w: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7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Operating leases</w:t>
            </w:r>
          </w:p>
        </w:tc>
        <w:tc>
          <w:tcPr>
            <w:tcW w:w="56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Operating lease right-of-use assets, net</w:t>
            </w:r>
          </w:p>
        </w:tc>
        <w:tc>
          <w:tcPr>
            <w:tcW w:w="120" w:type="dxa"/>
            <w:vAlign w:val="bottom"/>
            <w:tcBorders>
              <w:bottom w:val="single" w:sz="8" w:color="D2DCE5"/>
            </w:tcBorders>
            <w:shd w:val="clear" w:color="auto" w:fill="D2DCE5"/>
          </w:tcPr>
          <w:p>
            <w:pPr>
              <w:spacing w:after="0"/>
              <w:rPr>
                <w:sz w:val="23"/>
                <w:szCs w:val="23"/>
                <w:color w:val="auto"/>
              </w:rPr>
            </w:pPr>
          </w:p>
        </w:tc>
        <w:tc>
          <w:tcPr>
            <w:tcW w:w="18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165,682</w:t>
            </w:r>
          </w:p>
        </w:tc>
      </w:tr>
      <w:tr>
        <w:trPr>
          <w:trHeight w:val="263"/>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131E29"/>
              </w:rPr>
              <w:t>Total right-of-use assets</w:t>
            </w:r>
          </w:p>
        </w:tc>
        <w:tc>
          <w:tcPr>
            <w:tcW w:w="5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380,585</w:t>
            </w:r>
          </w:p>
        </w:tc>
      </w:tr>
      <w:tr>
        <w:trPr>
          <w:trHeight w:val="20"/>
        </w:trPr>
        <w:tc>
          <w:tcPr>
            <w:tcW w:w="362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550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36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55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1820" w:type="dxa"/>
            <w:vAlign w:val="bottom"/>
            <w:shd w:val="clear" w:color="auto" w:fill="D2DCE5"/>
          </w:tcPr>
          <w:p>
            <w:pPr>
              <w:spacing w:after="0"/>
              <w:rPr>
                <w:sz w:val="19"/>
                <w:szCs w:val="19"/>
                <w:color w:val="auto"/>
              </w:rPr>
            </w:pPr>
          </w:p>
        </w:tc>
      </w:tr>
      <w:tr>
        <w:trPr>
          <w:trHeight w:val="243"/>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131E29"/>
              </w:rPr>
              <w:t>Lease liabilities</w:t>
            </w:r>
          </w:p>
        </w:tc>
        <w:tc>
          <w:tcPr>
            <w:tcW w:w="5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Finance leases</w:t>
            </w:r>
          </w:p>
        </w:tc>
        <w:tc>
          <w:tcPr>
            <w:tcW w:w="56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Current portion of finance lease obligations</w:t>
            </w:r>
          </w:p>
        </w:tc>
        <w:tc>
          <w:tcPr>
            <w:tcW w:w="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8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7,004</w:t>
            </w:r>
          </w:p>
        </w:tc>
      </w:tr>
      <w:tr>
        <w:trPr>
          <w:trHeight w:val="243"/>
        </w:trPr>
        <w:tc>
          <w:tcPr>
            <w:tcW w:w="3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131E29"/>
              </w:rPr>
              <w:t>Finance lease obligations, net of current portion</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131E29"/>
              </w:rPr>
              <w:t>209,257</w:t>
            </w: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6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55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1820" w:type="dxa"/>
            <w:vAlign w:val="bottom"/>
            <w:shd w:val="clear" w:color="auto" w:fill="D2DCE5"/>
          </w:tcPr>
          <w:p>
            <w:pPr>
              <w:spacing w:after="0"/>
              <w:rPr>
                <w:sz w:val="23"/>
                <w:szCs w:val="23"/>
                <w:color w:val="auto"/>
              </w:rPr>
            </w:pPr>
          </w:p>
        </w:tc>
      </w:tr>
      <w:tr>
        <w:trPr>
          <w:trHeight w:val="243"/>
        </w:trPr>
        <w:tc>
          <w:tcPr>
            <w:tcW w:w="3700" w:type="dxa"/>
            <w:vAlign w:val="bottom"/>
            <w:gridSpan w:val="2"/>
          </w:tcPr>
          <w:p>
            <w:pPr>
              <w:ind w:left="180"/>
              <w:spacing w:after="0"/>
              <w:rPr>
                <w:sz w:val="20"/>
                <w:szCs w:val="20"/>
                <w:color w:val="auto"/>
              </w:rPr>
            </w:pPr>
            <w:r>
              <w:rPr>
                <w:rFonts w:ascii="Arial" w:cs="Arial" w:eastAsia="Arial" w:hAnsi="Arial"/>
                <w:sz w:val="18"/>
                <w:szCs w:val="18"/>
                <w:color w:val="131E29"/>
              </w:rPr>
              <w:t>Operating leases</w:t>
            </w:r>
          </w:p>
        </w:tc>
        <w:tc>
          <w:tcPr>
            <w:tcW w:w="5600" w:type="dxa"/>
            <w:vAlign w:val="bottom"/>
            <w:gridSpan w:val="2"/>
          </w:tcPr>
          <w:p>
            <w:pPr>
              <w:ind w:left="20"/>
              <w:spacing w:after="0"/>
              <w:rPr>
                <w:sz w:val="20"/>
                <w:szCs w:val="20"/>
                <w:color w:val="auto"/>
              </w:rPr>
            </w:pPr>
            <w:r>
              <w:rPr>
                <w:rFonts w:ascii="Arial" w:cs="Arial" w:eastAsia="Arial" w:hAnsi="Arial"/>
                <w:sz w:val="18"/>
                <w:szCs w:val="18"/>
                <w:color w:val="131E29"/>
              </w:rPr>
              <w:t>Current portion of operating lease obligations</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131E29"/>
              </w:rPr>
              <w:t>9,462</w:t>
            </w: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620" w:type="dxa"/>
            <w:vAlign w:val="bottom"/>
            <w:tcBorders>
              <w:bottom w:val="single" w:sz="8" w:color="D2DCE5"/>
            </w:tcBorders>
            <w:shd w:val="clear" w:color="auto" w:fill="D2DCE5"/>
          </w:tcPr>
          <w:p>
            <w:pPr>
              <w:spacing w:after="0"/>
              <w:rPr>
                <w:sz w:val="23"/>
                <w:szCs w:val="23"/>
                <w:color w:val="auto"/>
              </w:rPr>
            </w:pPr>
          </w:p>
        </w:tc>
        <w:tc>
          <w:tcPr>
            <w:tcW w:w="80" w:type="dxa"/>
            <w:vAlign w:val="bottom"/>
            <w:tcBorders>
              <w:bottom w:val="single" w:sz="8" w:color="D2DCE5"/>
            </w:tcBorders>
            <w:shd w:val="clear" w:color="auto" w:fill="D2DCE5"/>
          </w:tcPr>
          <w:p>
            <w:pPr>
              <w:spacing w:after="0"/>
              <w:rPr>
                <w:sz w:val="23"/>
                <w:szCs w:val="23"/>
                <w:color w:val="auto"/>
              </w:rPr>
            </w:pPr>
          </w:p>
        </w:tc>
        <w:tc>
          <w:tcPr>
            <w:tcW w:w="56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Operating lease obligations, net of current portion</w:t>
            </w:r>
          </w:p>
        </w:tc>
        <w:tc>
          <w:tcPr>
            <w:tcW w:w="120" w:type="dxa"/>
            <w:vAlign w:val="bottom"/>
            <w:tcBorders>
              <w:bottom w:val="single" w:sz="8" w:color="D2DCE5"/>
            </w:tcBorders>
            <w:shd w:val="clear" w:color="auto" w:fill="D2DCE5"/>
          </w:tcPr>
          <w:p>
            <w:pPr>
              <w:spacing w:after="0"/>
              <w:rPr>
                <w:sz w:val="23"/>
                <w:szCs w:val="23"/>
                <w:color w:val="auto"/>
              </w:rPr>
            </w:pPr>
          </w:p>
        </w:tc>
        <w:tc>
          <w:tcPr>
            <w:tcW w:w="18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157,319</w:t>
            </w:r>
          </w:p>
        </w:tc>
      </w:tr>
      <w:tr>
        <w:trPr>
          <w:trHeight w:val="264"/>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131E29"/>
              </w:rPr>
              <w:t>Total lease liabilities</w:t>
            </w:r>
          </w:p>
        </w:tc>
        <w:tc>
          <w:tcPr>
            <w:tcW w:w="5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383,042</w:t>
            </w:r>
          </w:p>
        </w:tc>
      </w:tr>
      <w:tr>
        <w:trPr>
          <w:trHeight w:val="20"/>
        </w:trPr>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131E29"/>
        </w:rPr>
        <w:t>The components of lease cost were as follows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gridSpan w:val="2"/>
          </w:tcPr>
          <w:p>
            <w:pPr>
              <w:ind w:left="480"/>
              <w:spacing w:after="0"/>
              <w:rPr>
                <w:sz w:val="20"/>
                <w:szCs w:val="20"/>
                <w:color w:val="auto"/>
              </w:rPr>
            </w:pPr>
            <w:r>
              <w:rPr>
                <w:rFonts w:ascii="Arial" w:cs="Arial" w:eastAsia="Arial" w:hAnsi="Arial"/>
                <w:sz w:val="18"/>
                <w:szCs w:val="18"/>
                <w:b w:val="1"/>
                <w:bCs w:val="1"/>
                <w:color w:val="131E29"/>
              </w:rPr>
              <w:t>Statement of Operations</w:t>
            </w:r>
          </w:p>
        </w:tc>
        <w:tc>
          <w:tcPr>
            <w:tcW w:w="20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131E29"/>
                <w:w w:val="99"/>
              </w:rPr>
              <w:t>Three Months Ended</w:t>
            </w:r>
          </w:p>
        </w:tc>
        <w:tc>
          <w:tcPr>
            <w:tcW w:w="14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b w:val="1"/>
                <w:bCs w:val="1"/>
                <w:color w:val="131E29"/>
                <w:w w:val="98"/>
              </w:rPr>
              <w:t>Nine Months Ended</w:t>
            </w:r>
          </w:p>
        </w:tc>
      </w:tr>
      <w:tr>
        <w:trPr>
          <w:trHeight w:val="240"/>
        </w:trPr>
        <w:tc>
          <w:tcPr>
            <w:tcW w:w="414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140" w:type="dxa"/>
            <w:vAlign w:val="bottom"/>
            <w:gridSpan w:val="2"/>
          </w:tcPr>
          <w:p>
            <w:pPr>
              <w:ind w:left="940"/>
              <w:spacing w:after="0"/>
              <w:rPr>
                <w:sz w:val="20"/>
                <w:szCs w:val="20"/>
                <w:color w:val="auto"/>
              </w:rPr>
            </w:pPr>
            <w:r>
              <w:rPr>
                <w:rFonts w:ascii="Arial" w:cs="Arial" w:eastAsia="Arial" w:hAnsi="Arial"/>
                <w:sz w:val="18"/>
                <w:szCs w:val="18"/>
                <w:b w:val="1"/>
                <w:bCs w:val="1"/>
                <w:color w:val="131E29"/>
              </w:rPr>
              <w:t>Classification</w:t>
            </w:r>
          </w:p>
        </w:tc>
        <w:tc>
          <w:tcPr>
            <w:tcW w:w="120" w:type="dxa"/>
            <w:vAlign w:val="bottom"/>
          </w:tcPr>
          <w:p>
            <w:pPr>
              <w:spacing w:after="0"/>
              <w:rPr>
                <w:sz w:val="20"/>
                <w:szCs w:val="20"/>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131E29"/>
              </w:rPr>
              <w:t>September 30, 2022</w:t>
            </w:r>
          </w:p>
        </w:tc>
        <w:tc>
          <w:tcPr>
            <w:tcW w:w="140" w:type="dxa"/>
            <w:vAlign w:val="bottom"/>
          </w:tcPr>
          <w:p>
            <w:pPr>
              <w:spacing w:after="0"/>
              <w:rPr>
                <w:sz w:val="20"/>
                <w:szCs w:val="20"/>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b w:val="1"/>
                <w:bCs w:val="1"/>
                <w:color w:val="131E29"/>
                <w:w w:val="98"/>
              </w:rPr>
              <w:t>September 30, 2022</w:t>
            </w:r>
          </w:p>
        </w:tc>
      </w:tr>
      <w:tr>
        <w:trPr>
          <w:trHeight w:val="25"/>
        </w:trPr>
        <w:tc>
          <w:tcPr>
            <w:tcW w:w="4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Finance lease cost</w:t>
            </w:r>
          </w:p>
        </w:tc>
        <w:tc>
          <w:tcPr>
            <w:tcW w:w="30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182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1800" w:type="dxa"/>
            <w:vAlign w:val="bottom"/>
            <w:tcBorders>
              <w:bottom w:val="single" w:sz="8" w:color="D2DCE5"/>
            </w:tcBorders>
            <w:shd w:val="clear" w:color="auto" w:fill="D2DCE5"/>
          </w:tcPr>
          <w:p>
            <w:pPr>
              <w:spacing w:after="0"/>
              <w:rPr>
                <w:sz w:val="21"/>
                <w:szCs w:val="21"/>
                <w:color w:val="auto"/>
              </w:rPr>
            </w:pPr>
          </w:p>
        </w:tc>
      </w:tr>
      <w:tr>
        <w:trPr>
          <w:trHeight w:val="243"/>
        </w:trPr>
        <w:tc>
          <w:tcPr>
            <w:tcW w:w="4140" w:type="dxa"/>
            <w:vAlign w:val="bottom"/>
            <w:gridSpan w:val="2"/>
          </w:tcPr>
          <w:p>
            <w:pPr>
              <w:ind w:left="180"/>
              <w:spacing w:after="0"/>
              <w:rPr>
                <w:sz w:val="20"/>
                <w:szCs w:val="20"/>
                <w:color w:val="auto"/>
              </w:rPr>
            </w:pPr>
            <w:r>
              <w:rPr>
                <w:rFonts w:ascii="Arial" w:cs="Arial" w:eastAsia="Arial" w:hAnsi="Arial"/>
                <w:sz w:val="18"/>
                <w:szCs w:val="18"/>
                <w:color w:val="131E29"/>
              </w:rPr>
              <w:t>Amortization of right-of-use assets</w:t>
            </w:r>
          </w:p>
        </w:tc>
        <w:tc>
          <w:tcPr>
            <w:tcW w:w="3140" w:type="dxa"/>
            <w:vAlign w:val="bottom"/>
            <w:gridSpan w:val="2"/>
          </w:tcPr>
          <w:p>
            <w:pPr>
              <w:ind w:left="20"/>
              <w:spacing w:after="0"/>
              <w:rPr>
                <w:sz w:val="20"/>
                <w:szCs w:val="20"/>
                <w:color w:val="auto"/>
              </w:rPr>
            </w:pPr>
            <w:r>
              <w:rPr>
                <w:rFonts w:ascii="Arial" w:cs="Arial" w:eastAsia="Arial" w:hAnsi="Arial"/>
                <w:sz w:val="18"/>
                <w:szCs w:val="18"/>
                <w:color w:val="131E29"/>
              </w:rPr>
              <w:t>Cost of sales</w:t>
            </w:r>
          </w:p>
        </w:tc>
        <w:tc>
          <w:tcPr>
            <w:tcW w:w="12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131E29"/>
              </w:rPr>
              <w:t>3,121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131E29"/>
              </w:rPr>
              <w:t>7,919</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41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Interest on lease liabilities</w:t>
            </w:r>
          </w:p>
        </w:tc>
        <w:tc>
          <w:tcPr>
            <w:tcW w:w="31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Interest expense</w:t>
            </w:r>
          </w:p>
        </w:tc>
        <w:tc>
          <w:tcPr>
            <w:tcW w:w="120" w:type="dxa"/>
            <w:vAlign w:val="bottom"/>
            <w:tcBorders>
              <w:bottom w:val="single" w:sz="8" w:color="D2DCE5"/>
            </w:tcBorders>
            <w:shd w:val="clear" w:color="auto" w:fill="D2DCE5"/>
          </w:tcPr>
          <w:p>
            <w:pPr>
              <w:spacing w:after="0"/>
              <w:rPr>
                <w:sz w:val="23"/>
                <w:szCs w:val="23"/>
                <w:color w:val="auto"/>
              </w:rPr>
            </w:pPr>
          </w:p>
        </w:tc>
        <w:tc>
          <w:tcPr>
            <w:tcW w:w="18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2,482</w:t>
            </w:r>
          </w:p>
        </w:tc>
        <w:tc>
          <w:tcPr>
            <w:tcW w:w="80" w:type="dxa"/>
            <w:vAlign w:val="bottom"/>
            <w:tcBorders>
              <w:bottom w:val="single" w:sz="8" w:color="D2DCE5"/>
            </w:tcBorders>
            <w:shd w:val="clear" w:color="auto" w:fill="D2DCE5"/>
          </w:tcPr>
          <w:p>
            <w:pPr>
              <w:spacing w:after="0"/>
              <w:rPr>
                <w:sz w:val="23"/>
                <w:szCs w:val="23"/>
                <w:color w:val="auto"/>
              </w:rPr>
            </w:pPr>
          </w:p>
        </w:tc>
        <w:tc>
          <w:tcPr>
            <w:tcW w:w="140" w:type="dxa"/>
            <w:vAlign w:val="bottom"/>
            <w:tcBorders>
              <w:bottom w:val="single" w:sz="8" w:color="D2DCE5"/>
            </w:tcBorders>
            <w:shd w:val="clear" w:color="auto" w:fill="D2DCE5"/>
          </w:tcPr>
          <w:p>
            <w:pPr>
              <w:spacing w:after="0"/>
              <w:rPr>
                <w:sz w:val="23"/>
                <w:szCs w:val="23"/>
                <w:color w:val="auto"/>
              </w:rPr>
            </w:pPr>
          </w:p>
        </w:tc>
        <w:tc>
          <w:tcPr>
            <w:tcW w:w="18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6,261</w:t>
            </w:r>
          </w:p>
        </w:tc>
      </w:tr>
      <w:tr>
        <w:trPr>
          <w:trHeight w:val="237"/>
        </w:trPr>
        <w:tc>
          <w:tcPr>
            <w:tcW w:w="4140" w:type="dxa"/>
            <w:vAlign w:val="bottom"/>
            <w:gridSpan w:val="2"/>
          </w:tcPr>
          <w:p>
            <w:pPr>
              <w:ind w:left="360"/>
              <w:spacing w:after="0"/>
              <w:rPr>
                <w:sz w:val="20"/>
                <w:szCs w:val="20"/>
                <w:color w:val="auto"/>
              </w:rPr>
            </w:pPr>
            <w:r>
              <w:rPr>
                <w:rFonts w:ascii="Arial" w:cs="Arial" w:eastAsia="Arial" w:hAnsi="Arial"/>
                <w:sz w:val="18"/>
                <w:szCs w:val="18"/>
                <w:color w:val="131E29"/>
              </w:rPr>
              <w:t>Total finance lease cost</w:t>
            </w: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5,603</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14,180</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6"/>
        </w:trPr>
        <w:tc>
          <w:tcPr>
            <w:tcW w:w="404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304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20" w:type="dxa"/>
            <w:vAlign w:val="bottom"/>
            <w:shd w:val="clear" w:color="auto" w:fill="D2DCE5"/>
          </w:tcPr>
          <w:p>
            <w:pPr>
              <w:spacing w:after="0"/>
              <w:rPr>
                <w:sz w:val="22"/>
                <w:szCs w:val="22"/>
                <w:color w:val="auto"/>
              </w:rPr>
            </w:pPr>
          </w:p>
        </w:tc>
        <w:tc>
          <w:tcPr>
            <w:tcW w:w="182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140" w:type="dxa"/>
            <w:vAlign w:val="bottom"/>
            <w:shd w:val="clear" w:color="auto" w:fill="D2DCE5"/>
          </w:tcPr>
          <w:p>
            <w:pPr>
              <w:spacing w:after="0"/>
              <w:rPr>
                <w:sz w:val="22"/>
                <w:szCs w:val="22"/>
                <w:color w:val="auto"/>
              </w:rPr>
            </w:pPr>
          </w:p>
        </w:tc>
        <w:tc>
          <w:tcPr>
            <w:tcW w:w="1800" w:type="dxa"/>
            <w:vAlign w:val="bottom"/>
            <w:shd w:val="clear" w:color="auto" w:fill="D2DCE5"/>
          </w:tcPr>
          <w:p>
            <w:pPr>
              <w:spacing w:after="0"/>
              <w:rPr>
                <w:sz w:val="22"/>
                <w:szCs w:val="22"/>
                <w:color w:val="auto"/>
              </w:rPr>
            </w:pPr>
          </w:p>
        </w:tc>
      </w:tr>
      <w:tr>
        <w:trPr>
          <w:trHeight w:val="243"/>
        </w:trPr>
        <w:tc>
          <w:tcPr>
            <w:tcW w:w="4140" w:type="dxa"/>
            <w:vAlign w:val="bottom"/>
            <w:gridSpan w:val="2"/>
          </w:tcPr>
          <w:p>
            <w:pPr>
              <w:ind w:left="20"/>
              <w:spacing w:after="0"/>
              <w:rPr>
                <w:sz w:val="20"/>
                <w:szCs w:val="20"/>
                <w:color w:val="auto"/>
              </w:rPr>
            </w:pPr>
            <w:r>
              <w:rPr>
                <w:rFonts w:ascii="Arial" w:cs="Arial" w:eastAsia="Arial" w:hAnsi="Arial"/>
                <w:sz w:val="18"/>
                <w:szCs w:val="18"/>
                <w:color w:val="131E29"/>
              </w:rPr>
              <w:t>Operating lease cost</w:t>
            </w:r>
          </w:p>
        </w:tc>
        <w:tc>
          <w:tcPr>
            <w:tcW w:w="3140" w:type="dxa"/>
            <w:vAlign w:val="bottom"/>
            <w:gridSpan w:val="2"/>
          </w:tcPr>
          <w:p>
            <w:pPr>
              <w:ind w:left="20"/>
              <w:spacing w:after="0"/>
              <w:rPr>
                <w:sz w:val="20"/>
                <w:szCs w:val="20"/>
                <w:color w:val="auto"/>
              </w:rPr>
            </w:pPr>
            <w:r>
              <w:rPr>
                <w:rFonts w:ascii="Arial" w:cs="Arial" w:eastAsia="Arial" w:hAnsi="Arial"/>
                <w:sz w:val="18"/>
                <w:szCs w:val="18"/>
                <w:color w:val="131E29"/>
              </w:rPr>
              <w:t>Cost of sales</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131E29"/>
              </w:rPr>
              <w:t>4,228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131E29"/>
              </w:rPr>
              <w:t>12,109</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40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0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18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1800" w:type="dxa"/>
            <w:vAlign w:val="bottom"/>
            <w:shd w:val="clear" w:color="auto" w:fill="D2DCE5"/>
          </w:tcPr>
          <w:p>
            <w:pPr>
              <w:spacing w:after="0"/>
              <w:rPr>
                <w:sz w:val="23"/>
                <w:szCs w:val="23"/>
                <w:color w:val="auto"/>
              </w:rPr>
            </w:pPr>
          </w:p>
        </w:tc>
      </w:tr>
      <w:tr>
        <w:trPr>
          <w:trHeight w:val="243"/>
        </w:trPr>
        <w:tc>
          <w:tcPr>
            <w:tcW w:w="4140" w:type="dxa"/>
            <w:vAlign w:val="bottom"/>
            <w:gridSpan w:val="2"/>
          </w:tcPr>
          <w:p>
            <w:pPr>
              <w:ind w:left="20"/>
              <w:spacing w:after="0"/>
              <w:rPr>
                <w:sz w:val="20"/>
                <w:szCs w:val="20"/>
                <w:color w:val="auto"/>
              </w:rPr>
            </w:pPr>
            <w:r>
              <w:rPr>
                <w:rFonts w:ascii="Arial" w:cs="Arial" w:eastAsia="Arial" w:hAnsi="Arial"/>
                <w:sz w:val="18"/>
                <w:szCs w:val="18"/>
                <w:color w:val="131E29"/>
              </w:rPr>
              <w:t>Variable lease cost</w:t>
            </w:r>
          </w:p>
        </w:tc>
        <w:tc>
          <w:tcPr>
            <w:tcW w:w="3140" w:type="dxa"/>
            <w:vAlign w:val="bottom"/>
            <w:gridSpan w:val="2"/>
          </w:tcPr>
          <w:p>
            <w:pPr>
              <w:ind w:left="20"/>
              <w:spacing w:after="0"/>
              <w:rPr>
                <w:sz w:val="20"/>
                <w:szCs w:val="20"/>
                <w:color w:val="auto"/>
              </w:rPr>
            </w:pPr>
            <w:r>
              <w:rPr>
                <w:rFonts w:ascii="Arial" w:cs="Arial" w:eastAsia="Arial" w:hAnsi="Arial"/>
                <w:sz w:val="18"/>
                <w:szCs w:val="18"/>
                <w:color w:val="131E29"/>
              </w:rPr>
              <w:t>Cost of sales</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131E29"/>
              </w:rPr>
              <w:t>566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131E29"/>
              </w:rPr>
              <w:t>1,625</w:t>
            </w:r>
          </w:p>
        </w:tc>
      </w:tr>
      <w:tr>
        <w:trPr>
          <w:trHeight w:val="27"/>
        </w:trPr>
        <w:tc>
          <w:tcPr>
            <w:tcW w:w="40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89"/>
        </w:trPr>
        <w:tc>
          <w:tcPr>
            <w:tcW w:w="41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Total lease cost</w:t>
            </w:r>
          </w:p>
        </w:tc>
        <w:tc>
          <w:tcPr>
            <w:tcW w:w="3040" w:type="dxa"/>
            <w:vAlign w:val="bottom"/>
            <w:tcBorders>
              <w:bottom w:val="single" w:sz="8" w:color="D2DCE5"/>
            </w:tcBorders>
            <w:shd w:val="clear" w:color="auto" w:fill="D2DCE5"/>
          </w:tcPr>
          <w:p>
            <w:pPr>
              <w:spacing w:after="0"/>
              <w:rPr>
                <w:sz w:val="24"/>
                <w:szCs w:val="24"/>
                <w:color w:val="auto"/>
              </w:rPr>
            </w:pPr>
          </w:p>
        </w:tc>
        <w:tc>
          <w:tcPr>
            <w:tcW w:w="100" w:type="dxa"/>
            <w:vAlign w:val="bottom"/>
            <w:tcBorders>
              <w:bottom w:val="single" w:sz="8" w:color="D2DCE5"/>
            </w:tcBorders>
            <w:shd w:val="clear" w:color="auto" w:fill="D2DCE5"/>
          </w:tcPr>
          <w:p>
            <w:pPr>
              <w:spacing w:after="0"/>
              <w:rPr>
                <w:sz w:val="24"/>
                <w:szCs w:val="24"/>
                <w:color w:val="auto"/>
              </w:rPr>
            </w:pPr>
          </w:p>
        </w:tc>
        <w:tc>
          <w:tcPr>
            <w:tcW w:w="1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8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10,397</w:t>
            </w:r>
          </w:p>
        </w:tc>
        <w:tc>
          <w:tcPr>
            <w:tcW w:w="80" w:type="dxa"/>
            <w:vAlign w:val="bottom"/>
            <w:tcBorders>
              <w:bottom w:val="single" w:sz="8" w:color="D2DCE5"/>
            </w:tcBorders>
            <w:shd w:val="clear" w:color="auto" w:fill="D2DCE5"/>
          </w:tcPr>
          <w:p>
            <w:pPr>
              <w:spacing w:after="0"/>
              <w:rPr>
                <w:sz w:val="24"/>
                <w:szCs w:val="24"/>
                <w:color w:val="auto"/>
              </w:rPr>
            </w:pPr>
          </w:p>
        </w:tc>
        <w:tc>
          <w:tcPr>
            <w:tcW w:w="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8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27,914</w:t>
            </w:r>
          </w:p>
        </w:tc>
      </w:tr>
      <w:tr>
        <w:trPr>
          <w:trHeight w:val="20"/>
        </w:trPr>
        <w:tc>
          <w:tcPr>
            <w:tcW w:w="40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D2DCE5"/>
              <w:bottom w:val="single" w:sz="8" w:color="auto"/>
            </w:tcBorders>
          </w:tcPr>
          <w:p>
            <w:pPr>
              <w:spacing w:after="0" w:line="20" w:lineRule="exact"/>
              <w:rPr>
                <w:sz w:val="1"/>
                <w:szCs w:val="1"/>
                <w:color w:val="auto"/>
              </w:rPr>
            </w:pPr>
          </w:p>
        </w:tc>
        <w:tc>
          <w:tcPr>
            <w:tcW w:w="18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D2DCE5"/>
              <w:bottom w:val="single" w:sz="8" w:color="auto"/>
            </w:tcBorders>
          </w:tcPr>
          <w:p>
            <w:pPr>
              <w:spacing w:after="0" w:line="20" w:lineRule="exact"/>
              <w:rPr>
                <w:sz w:val="1"/>
                <w:szCs w:val="1"/>
                <w:color w:val="auto"/>
              </w:rPr>
            </w:pPr>
          </w:p>
        </w:tc>
        <w:tc>
          <w:tcPr>
            <w:tcW w:w="180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131E29"/>
        </w:rPr>
        <w:t>Future minimum lease payments for finance and operating lease liabilities as of September 30, 2022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2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80" w:type="dxa"/>
            <w:vAlign w:val="bottom"/>
          </w:tcPr>
          <w:p>
            <w:pPr>
              <w:spacing w:after="0"/>
              <w:rPr>
                <w:sz w:val="20"/>
                <w:szCs w:val="20"/>
                <w:color w:val="auto"/>
              </w:rPr>
            </w:pPr>
          </w:p>
        </w:tc>
        <w:tc>
          <w:tcPr>
            <w:tcW w:w="1660" w:type="dxa"/>
            <w:vAlign w:val="bottom"/>
            <w:gridSpan w:val="2"/>
          </w:tcPr>
          <w:p>
            <w:pPr>
              <w:ind w:left="240"/>
              <w:spacing w:after="0"/>
              <w:rPr>
                <w:sz w:val="20"/>
                <w:szCs w:val="20"/>
                <w:color w:val="auto"/>
              </w:rPr>
            </w:pPr>
            <w:r>
              <w:rPr>
                <w:rFonts w:ascii="Arial" w:cs="Arial" w:eastAsia="Arial" w:hAnsi="Arial"/>
                <w:sz w:val="18"/>
                <w:szCs w:val="18"/>
                <w:b w:val="1"/>
                <w:bCs w:val="1"/>
                <w:color w:val="131E29"/>
              </w:rPr>
              <w:t>Finance</w:t>
            </w:r>
          </w:p>
        </w:tc>
        <w:tc>
          <w:tcPr>
            <w:tcW w:w="320" w:type="dxa"/>
            <w:vAlign w:val="bottom"/>
          </w:tcPr>
          <w:p>
            <w:pPr>
              <w:spacing w:after="0"/>
              <w:rPr>
                <w:sz w:val="20"/>
                <w:szCs w:val="20"/>
                <w:color w:val="auto"/>
              </w:rPr>
            </w:pPr>
          </w:p>
        </w:tc>
        <w:tc>
          <w:tcPr>
            <w:tcW w:w="1620" w:type="dxa"/>
            <w:vAlign w:val="bottom"/>
          </w:tcPr>
          <w:p>
            <w:pPr>
              <w:jc w:val="right"/>
              <w:ind w:right="450"/>
              <w:spacing w:after="0"/>
              <w:rPr>
                <w:sz w:val="20"/>
                <w:szCs w:val="20"/>
                <w:color w:val="auto"/>
              </w:rPr>
            </w:pPr>
            <w:r>
              <w:rPr>
                <w:rFonts w:ascii="Arial" w:cs="Arial" w:eastAsia="Arial" w:hAnsi="Arial"/>
                <w:sz w:val="18"/>
                <w:szCs w:val="18"/>
                <w:b w:val="1"/>
                <w:bCs w:val="1"/>
                <w:color w:val="131E29"/>
              </w:rPr>
              <w:t>Operating</w:t>
            </w:r>
          </w:p>
        </w:tc>
      </w:tr>
      <w:tr>
        <w:trPr>
          <w:trHeight w:val="26"/>
        </w:trPr>
        <w:tc>
          <w:tcPr>
            <w:tcW w:w="7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72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Remainder of 2022</w:t>
            </w:r>
          </w:p>
        </w:tc>
        <w:tc>
          <w:tcPr>
            <w:tcW w:w="38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color w:val="131E29"/>
                <w:w w:val="99"/>
              </w:rPr>
              <w:t>$</w:t>
            </w: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4,882</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4,363</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131E29"/>
              </w:rPr>
              <w:t>2023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17,527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131E29"/>
              </w:rPr>
              <w:t>15,601</w:t>
            </w:r>
          </w:p>
        </w:tc>
      </w:tr>
      <w:tr>
        <w:trPr>
          <w:trHeight w:val="27"/>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1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2024</w:t>
            </w:r>
          </w:p>
        </w:tc>
        <w:tc>
          <w:tcPr>
            <w:tcW w:w="100" w:type="dxa"/>
            <w:vAlign w:val="bottom"/>
            <w:tcBorders>
              <w:bottom w:val="single" w:sz="8" w:color="D2DCE5"/>
            </w:tcBorders>
            <w:shd w:val="clear" w:color="auto" w:fill="D2DCE5"/>
          </w:tcPr>
          <w:p>
            <w:pPr>
              <w:spacing w:after="0"/>
              <w:rPr>
                <w:sz w:val="21"/>
                <w:szCs w:val="21"/>
                <w:color w:val="auto"/>
              </w:rPr>
            </w:pPr>
          </w:p>
        </w:tc>
        <w:tc>
          <w:tcPr>
            <w:tcW w:w="38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18,185</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15,291</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131E29"/>
              </w:rPr>
              <w:t>2025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18,417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131E29"/>
              </w:rPr>
              <w:t>15,009</w:t>
            </w:r>
          </w:p>
        </w:tc>
      </w:tr>
      <w:tr>
        <w:trPr>
          <w:trHeight w:val="27"/>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1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2026</w:t>
            </w:r>
          </w:p>
        </w:tc>
        <w:tc>
          <w:tcPr>
            <w:tcW w:w="100" w:type="dxa"/>
            <w:vAlign w:val="bottom"/>
            <w:tcBorders>
              <w:bottom w:val="single" w:sz="8" w:color="D2DCE5"/>
            </w:tcBorders>
            <w:shd w:val="clear" w:color="auto" w:fill="D2DCE5"/>
          </w:tcPr>
          <w:p>
            <w:pPr>
              <w:spacing w:after="0"/>
              <w:rPr>
                <w:sz w:val="21"/>
                <w:szCs w:val="21"/>
                <w:color w:val="auto"/>
              </w:rPr>
            </w:pPr>
          </w:p>
        </w:tc>
        <w:tc>
          <w:tcPr>
            <w:tcW w:w="38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18,741</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14,868</w:t>
            </w:r>
          </w:p>
        </w:tc>
      </w:tr>
      <w:tr>
        <w:trPr>
          <w:trHeight w:val="243"/>
        </w:trPr>
        <w:tc>
          <w:tcPr>
            <w:tcW w:w="7260" w:type="dxa"/>
            <w:vAlign w:val="bottom"/>
            <w:gridSpan w:val="2"/>
          </w:tcPr>
          <w:p>
            <w:pPr>
              <w:ind w:left="20"/>
              <w:spacing w:after="0"/>
              <w:rPr>
                <w:sz w:val="20"/>
                <w:szCs w:val="20"/>
                <w:color w:val="auto"/>
              </w:rPr>
            </w:pPr>
            <w:r>
              <w:rPr>
                <w:rFonts w:ascii="Arial" w:cs="Arial" w:eastAsia="Arial" w:hAnsi="Arial"/>
                <w:sz w:val="18"/>
                <w:szCs w:val="18"/>
                <w:color w:val="131E29"/>
              </w:rPr>
              <w:t>Thereafter</w:t>
            </w:r>
          </w:p>
        </w:tc>
        <w:tc>
          <w:tcPr>
            <w:tcW w:w="3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246,068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131E29"/>
              </w:rPr>
              <w:t>161,592</w:t>
            </w:r>
          </w:p>
        </w:tc>
      </w:tr>
      <w:tr>
        <w:trPr>
          <w:trHeight w:val="27"/>
        </w:trPr>
        <w:tc>
          <w:tcPr>
            <w:tcW w:w="71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8"/>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Total</w:t>
            </w:r>
          </w:p>
        </w:tc>
        <w:tc>
          <w:tcPr>
            <w:tcW w:w="380" w:type="dxa"/>
            <w:vAlign w:val="bottom"/>
            <w:tcBorders>
              <w:bottom w:val="single" w:sz="8" w:color="auto"/>
            </w:tcBorders>
            <w:shd w:val="clear" w:color="auto" w:fill="D2DCE5"/>
          </w:tcPr>
          <w:p>
            <w:pPr>
              <w:jc w:val="right"/>
              <w:ind w:right="170"/>
              <w:spacing w:after="0"/>
              <w:rPr>
                <w:sz w:val="20"/>
                <w:szCs w:val="20"/>
                <w:color w:val="auto"/>
              </w:rPr>
            </w:pPr>
            <w:r>
              <w:rPr>
                <w:rFonts w:ascii="Arial" w:cs="Arial" w:eastAsia="Arial" w:hAnsi="Arial"/>
                <w:sz w:val="18"/>
                <w:szCs w:val="18"/>
                <w:color w:val="131E29"/>
                <w:w w:val="99"/>
              </w:rPr>
              <w:t>$</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323,820</w:t>
            </w:r>
          </w:p>
        </w:tc>
        <w:tc>
          <w:tcPr>
            <w:tcW w:w="100" w:type="dxa"/>
            <w:vAlign w:val="bottom"/>
            <w:tcBorders>
              <w:bottom w:val="single" w:sz="8" w:color="D2DCE5"/>
            </w:tcBorders>
            <w:shd w:val="clear" w:color="auto" w:fill="D2DCE5"/>
          </w:tcPr>
          <w:p>
            <w:pPr>
              <w:spacing w:after="0"/>
              <w:rPr>
                <w:sz w:val="24"/>
                <w:szCs w:val="24"/>
                <w:color w:val="auto"/>
              </w:rPr>
            </w:pPr>
          </w:p>
        </w:tc>
        <w:tc>
          <w:tcPr>
            <w:tcW w:w="320" w:type="dxa"/>
            <w:vAlign w:val="bottom"/>
            <w:tcBorders>
              <w:bottom w:val="single" w:sz="8" w:color="auto"/>
            </w:tcBorders>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226,724</w:t>
            </w:r>
          </w:p>
        </w:tc>
      </w:tr>
      <w:tr>
        <w:trPr>
          <w:trHeight w:val="20"/>
        </w:trPr>
        <w:tc>
          <w:tcPr>
            <w:tcW w:w="71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80" w:type="dxa"/>
            <w:vAlign w:val="bottom"/>
            <w:tcBorders>
              <w:top w:val="single" w:sz="8" w:color="D2DCE5"/>
              <w:bottom w:val="single" w:sz="8" w:color="auto"/>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620" w:type="dxa"/>
            <w:vAlign w:val="bottom"/>
            <w:tcBorders>
              <w:top w:val="single" w:sz="8" w:color="D2DCE5"/>
              <w:bottom w:val="single" w:sz="8" w:color="auto"/>
            </w:tcBorders>
          </w:tcPr>
          <w:p>
            <w:pPr>
              <w:spacing w:after="0" w:line="20" w:lineRule="exact"/>
              <w:rPr>
                <w:sz w:val="1"/>
                <w:szCs w:val="1"/>
                <w:color w:val="auto"/>
              </w:rPr>
            </w:pPr>
          </w:p>
        </w:tc>
      </w:tr>
      <w:tr>
        <w:trPr>
          <w:trHeight w:val="217"/>
        </w:trPr>
        <w:tc>
          <w:tcPr>
            <w:tcW w:w="7260" w:type="dxa"/>
            <w:vAlign w:val="bottom"/>
            <w:gridSpan w:val="2"/>
          </w:tcPr>
          <w:p>
            <w:pPr>
              <w:ind w:left="20"/>
              <w:spacing w:after="0"/>
              <w:rPr>
                <w:sz w:val="20"/>
                <w:szCs w:val="20"/>
                <w:color w:val="auto"/>
              </w:rPr>
            </w:pPr>
            <w:r>
              <w:rPr>
                <w:rFonts w:ascii="Arial" w:cs="Arial" w:eastAsia="Arial" w:hAnsi="Arial"/>
                <w:sz w:val="18"/>
                <w:szCs w:val="18"/>
                <w:color w:val="131E29"/>
              </w:rPr>
              <w:t>Less: imputed interest</w:t>
            </w:r>
          </w:p>
        </w:tc>
        <w:tc>
          <w:tcPr>
            <w:tcW w:w="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(107,559)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131E29"/>
              </w:rPr>
              <w:t>(59,943)</w:t>
            </w:r>
          </w:p>
        </w:tc>
      </w:tr>
      <w:tr>
        <w:trPr>
          <w:trHeight w:val="27"/>
        </w:trPr>
        <w:tc>
          <w:tcPr>
            <w:tcW w:w="71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Present value of minimum lease payments</w:t>
            </w:r>
          </w:p>
        </w:tc>
        <w:tc>
          <w:tcPr>
            <w:tcW w:w="38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216,261</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166,781</w:t>
            </w:r>
          </w:p>
        </w:tc>
      </w:tr>
      <w:tr>
        <w:trPr>
          <w:trHeight w:val="243"/>
        </w:trPr>
        <w:tc>
          <w:tcPr>
            <w:tcW w:w="7260" w:type="dxa"/>
            <w:vAlign w:val="bottom"/>
            <w:gridSpan w:val="2"/>
          </w:tcPr>
          <w:p>
            <w:pPr>
              <w:ind w:left="20"/>
              <w:spacing w:after="0"/>
              <w:rPr>
                <w:sz w:val="20"/>
                <w:szCs w:val="20"/>
                <w:color w:val="auto"/>
              </w:rPr>
            </w:pPr>
            <w:r>
              <w:rPr>
                <w:rFonts w:ascii="Arial" w:cs="Arial" w:eastAsia="Arial" w:hAnsi="Arial"/>
                <w:sz w:val="18"/>
                <w:szCs w:val="18"/>
                <w:color w:val="131E29"/>
              </w:rPr>
              <w:t>Less: current portion</w:t>
            </w:r>
          </w:p>
        </w:tc>
        <w:tc>
          <w:tcPr>
            <w:tcW w:w="3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(7,004)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131E29"/>
              </w:rPr>
              <w:t>(9,462)</w:t>
            </w:r>
          </w:p>
        </w:tc>
      </w:tr>
      <w:tr>
        <w:trPr>
          <w:trHeight w:val="27"/>
        </w:trPr>
        <w:tc>
          <w:tcPr>
            <w:tcW w:w="71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8"/>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Lease liabilities, net of current portion</w:t>
            </w:r>
          </w:p>
        </w:tc>
        <w:tc>
          <w:tcPr>
            <w:tcW w:w="380" w:type="dxa"/>
            <w:vAlign w:val="bottom"/>
            <w:tcBorders>
              <w:bottom w:val="single" w:sz="8" w:color="auto"/>
            </w:tcBorders>
            <w:shd w:val="clear" w:color="auto" w:fill="D2DCE5"/>
          </w:tcPr>
          <w:p>
            <w:pPr>
              <w:jc w:val="right"/>
              <w:ind w:right="170"/>
              <w:spacing w:after="0"/>
              <w:rPr>
                <w:sz w:val="20"/>
                <w:szCs w:val="20"/>
                <w:color w:val="auto"/>
              </w:rPr>
            </w:pPr>
            <w:r>
              <w:rPr>
                <w:rFonts w:ascii="Arial" w:cs="Arial" w:eastAsia="Arial" w:hAnsi="Arial"/>
                <w:sz w:val="18"/>
                <w:szCs w:val="18"/>
                <w:color w:val="131E29"/>
                <w:w w:val="99"/>
              </w:rPr>
              <w:t>$</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209,257</w:t>
            </w:r>
          </w:p>
        </w:tc>
        <w:tc>
          <w:tcPr>
            <w:tcW w:w="100" w:type="dxa"/>
            <w:vAlign w:val="bottom"/>
            <w:tcBorders>
              <w:bottom w:val="single" w:sz="8" w:color="D2DCE5"/>
            </w:tcBorders>
            <w:shd w:val="clear" w:color="auto" w:fill="D2DCE5"/>
          </w:tcPr>
          <w:p>
            <w:pPr>
              <w:spacing w:after="0"/>
              <w:rPr>
                <w:sz w:val="24"/>
                <w:szCs w:val="24"/>
                <w:color w:val="auto"/>
              </w:rPr>
            </w:pPr>
          </w:p>
        </w:tc>
        <w:tc>
          <w:tcPr>
            <w:tcW w:w="320" w:type="dxa"/>
            <w:vAlign w:val="bottom"/>
            <w:tcBorders>
              <w:bottom w:val="single" w:sz="8" w:color="auto"/>
            </w:tcBorders>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157,319</w:t>
            </w:r>
          </w:p>
        </w:tc>
      </w:tr>
      <w:tr>
        <w:trPr>
          <w:trHeight w:val="20"/>
        </w:trPr>
        <w:tc>
          <w:tcPr>
            <w:tcW w:w="71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80" w:type="dxa"/>
            <w:vAlign w:val="bottom"/>
            <w:tcBorders>
              <w:top w:val="single" w:sz="8" w:color="D2DCE5"/>
              <w:bottom w:val="single" w:sz="8" w:color="auto"/>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620" w:type="dxa"/>
            <w:vAlign w:val="bottom"/>
            <w:tcBorders>
              <w:top w:val="single" w:sz="8" w:color="D2DCE5"/>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131E29"/>
        </w:rPr>
        <w:t>Future minimum lease payments under noncancellable operating leases and capital lease liabilities as of December 31, 2021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2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400" w:type="dxa"/>
            <w:vAlign w:val="bottom"/>
          </w:tcPr>
          <w:p>
            <w:pPr>
              <w:spacing w:after="0"/>
              <w:rPr>
                <w:sz w:val="20"/>
                <w:szCs w:val="20"/>
                <w:color w:val="auto"/>
              </w:rPr>
            </w:pPr>
          </w:p>
        </w:tc>
        <w:tc>
          <w:tcPr>
            <w:tcW w:w="1540" w:type="dxa"/>
            <w:vAlign w:val="bottom"/>
          </w:tcPr>
          <w:p>
            <w:pPr>
              <w:jc w:val="right"/>
              <w:ind w:right="590"/>
              <w:spacing w:after="0"/>
              <w:rPr>
                <w:sz w:val="20"/>
                <w:szCs w:val="20"/>
                <w:color w:val="auto"/>
              </w:rPr>
            </w:pPr>
            <w:r>
              <w:rPr>
                <w:rFonts w:ascii="Arial" w:cs="Arial" w:eastAsia="Arial" w:hAnsi="Arial"/>
                <w:sz w:val="18"/>
                <w:szCs w:val="18"/>
                <w:b w:val="1"/>
                <w:bCs w:val="1"/>
                <w:color w:val="131E29"/>
              </w:rPr>
              <w:t>Capital</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ind w:right="450"/>
              <w:spacing w:after="0"/>
              <w:rPr>
                <w:sz w:val="20"/>
                <w:szCs w:val="20"/>
                <w:color w:val="auto"/>
              </w:rPr>
            </w:pPr>
            <w:r>
              <w:rPr>
                <w:rFonts w:ascii="Arial" w:cs="Arial" w:eastAsia="Arial" w:hAnsi="Arial"/>
                <w:sz w:val="18"/>
                <w:szCs w:val="18"/>
                <w:b w:val="1"/>
                <w:bCs w:val="1"/>
                <w:color w:val="131E29"/>
              </w:rPr>
              <w:t>Operating</w:t>
            </w:r>
          </w:p>
        </w:tc>
      </w:tr>
      <w:tr>
        <w:trPr>
          <w:trHeight w:val="26"/>
        </w:trPr>
        <w:tc>
          <w:tcPr>
            <w:tcW w:w="7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2022</w:t>
            </w:r>
          </w:p>
        </w:tc>
        <w:tc>
          <w:tcPr>
            <w:tcW w:w="100" w:type="dxa"/>
            <w:vAlign w:val="bottom"/>
            <w:tcBorders>
              <w:bottom w:val="single" w:sz="8" w:color="D2DCE5"/>
            </w:tcBorders>
            <w:shd w:val="clear" w:color="auto" w:fill="D2DCE5"/>
          </w:tcPr>
          <w:p>
            <w:pPr>
              <w:spacing w:after="0"/>
              <w:rPr>
                <w:sz w:val="21"/>
                <w:szCs w:val="21"/>
                <w:color w:val="auto"/>
              </w:rPr>
            </w:pPr>
          </w:p>
        </w:tc>
        <w:tc>
          <w:tcPr>
            <w:tcW w:w="400" w:type="dxa"/>
            <w:vAlign w:val="bottom"/>
            <w:tcBorders>
              <w:bottom w:val="single" w:sz="8" w:color="D2DCE5"/>
            </w:tcBorders>
            <w:shd w:val="clear" w:color="auto" w:fill="D2DCE5"/>
          </w:tcPr>
          <w:p>
            <w:pPr>
              <w:jc w:val="right"/>
              <w:ind w:right="190"/>
              <w:spacing w:after="0"/>
              <w:rPr>
                <w:sz w:val="20"/>
                <w:szCs w:val="20"/>
                <w:color w:val="auto"/>
              </w:rPr>
            </w:pPr>
            <w:r>
              <w:rPr>
                <w:rFonts w:ascii="Arial" w:cs="Arial" w:eastAsia="Arial" w:hAnsi="Arial"/>
                <w:sz w:val="18"/>
                <w:szCs w:val="18"/>
                <w:color w:val="131E29"/>
                <w:w w:val="99"/>
              </w:rPr>
              <w:t>$</w:t>
            </w:r>
          </w:p>
        </w:tc>
        <w:tc>
          <w:tcPr>
            <w:tcW w:w="1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8,824</w:t>
            </w:r>
          </w:p>
        </w:tc>
        <w:tc>
          <w:tcPr>
            <w:tcW w:w="420" w:type="dxa"/>
            <w:vAlign w:val="bottom"/>
            <w:tcBorders>
              <w:bottom w:val="single" w:sz="8" w:color="D2DCE5"/>
            </w:tcBorders>
            <w:gridSpan w:val="2"/>
            <w:shd w:val="clear" w:color="auto" w:fill="D2DCE5"/>
          </w:tcPr>
          <w:p>
            <w:pPr>
              <w:jc w:val="right"/>
              <w:ind w:right="200"/>
              <w:spacing w:after="0"/>
              <w:rPr>
                <w:sz w:val="20"/>
                <w:szCs w:val="20"/>
                <w:color w:val="auto"/>
              </w:rPr>
            </w:pPr>
            <w:r>
              <w:rPr>
                <w:rFonts w:ascii="Arial" w:cs="Arial" w:eastAsia="Arial" w:hAnsi="Arial"/>
                <w:sz w:val="18"/>
                <w:szCs w:val="18"/>
                <w:color w:val="131E29"/>
              </w:rPr>
              <w:t>$</w:t>
            </w: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12,398</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131E29"/>
              </w:rPr>
              <w:t>2023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131E29"/>
              </w:rPr>
              <w:t>8,672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131E29"/>
              </w:rPr>
              <w:t>12,002</w:t>
            </w:r>
          </w:p>
        </w:tc>
      </w:tr>
      <w:tr>
        <w:trPr>
          <w:trHeight w:val="27"/>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1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2024</w:t>
            </w:r>
          </w:p>
        </w:tc>
        <w:tc>
          <w:tcPr>
            <w:tcW w:w="100" w:type="dxa"/>
            <w:vAlign w:val="bottom"/>
            <w:tcBorders>
              <w:bottom w:val="single" w:sz="8" w:color="D2DCE5"/>
            </w:tcBorders>
            <w:shd w:val="clear" w:color="auto" w:fill="D2DCE5"/>
          </w:tcPr>
          <w:p>
            <w:pPr>
              <w:spacing w:after="0"/>
              <w:rPr>
                <w:sz w:val="21"/>
                <w:szCs w:val="21"/>
                <w:color w:val="auto"/>
              </w:rPr>
            </w:pPr>
          </w:p>
        </w:tc>
        <w:tc>
          <w:tcPr>
            <w:tcW w:w="400" w:type="dxa"/>
            <w:vAlign w:val="bottom"/>
            <w:tcBorders>
              <w:bottom w:val="single" w:sz="8" w:color="D2DCE5"/>
            </w:tcBorders>
            <w:shd w:val="clear" w:color="auto" w:fill="D2DCE5"/>
          </w:tcPr>
          <w:p>
            <w:pPr>
              <w:spacing w:after="0"/>
              <w:rPr>
                <w:sz w:val="21"/>
                <w:szCs w:val="21"/>
                <w:color w:val="auto"/>
              </w:rPr>
            </w:pPr>
          </w:p>
        </w:tc>
        <w:tc>
          <w:tcPr>
            <w:tcW w:w="1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8,743</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11,699</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131E29"/>
              </w:rPr>
              <w:t>2025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131E29"/>
              </w:rPr>
              <w:t>8,926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131E29"/>
              </w:rPr>
              <w:t>11,420</w:t>
            </w:r>
          </w:p>
        </w:tc>
      </w:tr>
      <w:tr>
        <w:trPr>
          <w:trHeight w:val="27"/>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1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2026</w:t>
            </w:r>
          </w:p>
        </w:tc>
        <w:tc>
          <w:tcPr>
            <w:tcW w:w="100" w:type="dxa"/>
            <w:vAlign w:val="bottom"/>
            <w:tcBorders>
              <w:bottom w:val="single" w:sz="8" w:color="D2DCE5"/>
            </w:tcBorders>
            <w:shd w:val="clear" w:color="auto" w:fill="D2DCE5"/>
          </w:tcPr>
          <w:p>
            <w:pPr>
              <w:spacing w:after="0"/>
              <w:rPr>
                <w:sz w:val="21"/>
                <w:szCs w:val="21"/>
                <w:color w:val="auto"/>
              </w:rPr>
            </w:pPr>
          </w:p>
        </w:tc>
        <w:tc>
          <w:tcPr>
            <w:tcW w:w="400" w:type="dxa"/>
            <w:vAlign w:val="bottom"/>
            <w:tcBorders>
              <w:bottom w:val="single" w:sz="8" w:color="D2DCE5"/>
            </w:tcBorders>
            <w:shd w:val="clear" w:color="auto" w:fill="D2DCE5"/>
          </w:tcPr>
          <w:p>
            <w:pPr>
              <w:spacing w:after="0"/>
              <w:rPr>
                <w:sz w:val="21"/>
                <w:szCs w:val="21"/>
                <w:color w:val="auto"/>
              </w:rPr>
            </w:pPr>
          </w:p>
        </w:tc>
        <w:tc>
          <w:tcPr>
            <w:tcW w:w="1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9,229</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11,297</w:t>
            </w:r>
          </w:p>
        </w:tc>
      </w:tr>
      <w:tr>
        <w:trPr>
          <w:trHeight w:val="243"/>
        </w:trPr>
        <w:tc>
          <w:tcPr>
            <w:tcW w:w="7260" w:type="dxa"/>
            <w:vAlign w:val="bottom"/>
            <w:gridSpan w:val="2"/>
          </w:tcPr>
          <w:p>
            <w:pPr>
              <w:ind w:left="20"/>
              <w:spacing w:after="0"/>
              <w:rPr>
                <w:sz w:val="20"/>
                <w:szCs w:val="20"/>
                <w:color w:val="auto"/>
              </w:rPr>
            </w:pPr>
            <w:r>
              <w:rPr>
                <w:rFonts w:ascii="Arial" w:cs="Arial" w:eastAsia="Arial" w:hAnsi="Arial"/>
                <w:sz w:val="18"/>
                <w:szCs w:val="18"/>
                <w:color w:val="131E29"/>
              </w:rPr>
              <w:t>Thereafter</w:t>
            </w:r>
          </w:p>
        </w:tc>
        <w:tc>
          <w:tcPr>
            <w:tcW w:w="4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131E29"/>
              </w:rPr>
              <w:t>85,985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131E29"/>
              </w:rPr>
              <w:t>125,774</w:t>
            </w:r>
          </w:p>
        </w:tc>
      </w:tr>
      <w:tr>
        <w:trPr>
          <w:trHeight w:val="27"/>
        </w:trPr>
        <w:tc>
          <w:tcPr>
            <w:tcW w:w="71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4"/>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Total</w:t>
            </w:r>
          </w:p>
        </w:tc>
        <w:tc>
          <w:tcPr>
            <w:tcW w:w="400" w:type="dxa"/>
            <w:vAlign w:val="bottom"/>
            <w:shd w:val="clear" w:color="auto" w:fill="D2DCE5"/>
          </w:tcPr>
          <w:p>
            <w:pPr>
              <w:jc w:val="right"/>
              <w:ind w:right="190"/>
              <w:spacing w:after="0"/>
              <w:rPr>
                <w:sz w:val="20"/>
                <w:szCs w:val="20"/>
                <w:color w:val="auto"/>
              </w:rPr>
            </w:pPr>
            <w:r>
              <w:rPr>
                <w:rFonts w:ascii="Arial" w:cs="Arial" w:eastAsia="Arial" w:hAnsi="Arial"/>
                <w:sz w:val="18"/>
                <w:szCs w:val="18"/>
                <w:color w:val="131E29"/>
                <w:w w:val="99"/>
              </w:rPr>
              <w:t>$</w:t>
            </w:r>
          </w:p>
        </w:tc>
        <w:tc>
          <w:tcPr>
            <w:tcW w:w="15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130,379</w:t>
            </w:r>
          </w:p>
        </w:tc>
        <w:tc>
          <w:tcPr>
            <w:tcW w:w="420" w:type="dxa"/>
            <w:vAlign w:val="bottom"/>
            <w:gridSpan w:val="2"/>
            <w:shd w:val="clear" w:color="auto" w:fill="D2DCE5"/>
          </w:tcPr>
          <w:p>
            <w:pPr>
              <w:jc w:val="right"/>
              <w:ind w:right="200"/>
              <w:spacing w:after="0"/>
              <w:rPr>
                <w:sz w:val="20"/>
                <w:szCs w:val="20"/>
                <w:color w:val="auto"/>
              </w:rPr>
            </w:pPr>
            <w:r>
              <w:rPr>
                <w:rFonts w:ascii="Arial" w:cs="Arial" w:eastAsia="Arial" w:hAnsi="Arial"/>
                <w:sz w:val="18"/>
                <w:szCs w:val="18"/>
                <w:color w:val="131E29"/>
              </w:rPr>
              <w:t>$</w:t>
            </w:r>
          </w:p>
        </w:tc>
        <w:tc>
          <w:tcPr>
            <w:tcW w:w="16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184,590</w:t>
            </w:r>
          </w:p>
        </w:tc>
      </w:tr>
      <w:tr>
        <w:trPr>
          <w:trHeight w:val="20"/>
        </w:trPr>
        <w:tc>
          <w:tcPr>
            <w:tcW w:w="71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260" w:type="dxa"/>
            <w:vAlign w:val="bottom"/>
            <w:gridSpan w:val="2"/>
          </w:tcPr>
          <w:p>
            <w:pPr>
              <w:ind w:left="20"/>
              <w:spacing w:after="0"/>
              <w:rPr>
                <w:sz w:val="20"/>
                <w:szCs w:val="20"/>
                <w:color w:val="auto"/>
              </w:rPr>
            </w:pPr>
            <w:r>
              <w:rPr>
                <w:rFonts w:ascii="Arial" w:cs="Arial" w:eastAsia="Arial" w:hAnsi="Arial"/>
                <w:sz w:val="18"/>
                <w:szCs w:val="18"/>
                <w:color w:val="131E29"/>
              </w:rPr>
              <w:t>Less: imputed interest</w:t>
            </w:r>
          </w:p>
        </w:tc>
        <w:tc>
          <w:tcPr>
            <w:tcW w:w="4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131E29"/>
              </w:rPr>
              <w:t>(47,402)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7"/>
        </w:trPr>
        <w:tc>
          <w:tcPr>
            <w:tcW w:w="71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D2DCE5"/>
            </w:tcBorders>
          </w:tcPr>
          <w:p>
            <w:pPr>
              <w:spacing w:after="0"/>
              <w:rPr>
                <w:sz w:val="2"/>
                <w:szCs w:val="2"/>
                <w:color w:val="auto"/>
              </w:rPr>
            </w:pPr>
          </w:p>
        </w:tc>
        <w:tc>
          <w:tcPr>
            <w:tcW w:w="1620" w:type="dxa"/>
            <w:vAlign w:val="bottom"/>
            <w:tcBorders>
              <w:bottom w:val="single" w:sz="8" w:color="D2DCE5"/>
            </w:tcBorders>
          </w:tcPr>
          <w:p>
            <w:pPr>
              <w:spacing w:after="0"/>
              <w:rPr>
                <w:sz w:val="2"/>
                <w:szCs w:val="2"/>
                <w:color w:val="auto"/>
              </w:rPr>
            </w:pPr>
          </w:p>
        </w:tc>
      </w:tr>
      <w:tr>
        <w:trPr>
          <w:trHeight w:val="243"/>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Present value of minimum lease payments</w:t>
            </w:r>
          </w:p>
        </w:tc>
        <w:tc>
          <w:tcPr>
            <w:tcW w:w="400" w:type="dxa"/>
            <w:vAlign w:val="bottom"/>
            <w:tcBorders>
              <w:bottom w:val="single" w:sz="8" w:color="D2DCE5"/>
            </w:tcBorders>
            <w:shd w:val="clear" w:color="auto" w:fill="D2DCE5"/>
          </w:tcPr>
          <w:p>
            <w:pPr>
              <w:spacing w:after="0"/>
              <w:rPr>
                <w:sz w:val="21"/>
                <w:szCs w:val="21"/>
                <w:color w:val="auto"/>
              </w:rPr>
            </w:pPr>
          </w:p>
        </w:tc>
        <w:tc>
          <w:tcPr>
            <w:tcW w:w="1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82,977</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620" w:type="dxa"/>
            <w:vAlign w:val="bottom"/>
            <w:tcBorders>
              <w:bottom w:val="single" w:sz="8" w:color="D2DCE5"/>
            </w:tcBorders>
            <w:shd w:val="clear" w:color="auto" w:fill="D2DCE5"/>
          </w:tcPr>
          <w:p>
            <w:pPr>
              <w:spacing w:after="0"/>
              <w:rPr>
                <w:sz w:val="21"/>
                <w:szCs w:val="21"/>
                <w:color w:val="auto"/>
              </w:rPr>
            </w:pPr>
          </w:p>
        </w:tc>
      </w:tr>
      <w:tr>
        <w:trPr>
          <w:trHeight w:val="243"/>
        </w:trPr>
        <w:tc>
          <w:tcPr>
            <w:tcW w:w="7260" w:type="dxa"/>
            <w:vAlign w:val="bottom"/>
            <w:gridSpan w:val="2"/>
          </w:tcPr>
          <w:p>
            <w:pPr>
              <w:ind w:left="20"/>
              <w:spacing w:after="0"/>
              <w:rPr>
                <w:sz w:val="20"/>
                <w:szCs w:val="20"/>
                <w:color w:val="auto"/>
              </w:rPr>
            </w:pPr>
            <w:r>
              <w:rPr>
                <w:rFonts w:ascii="Arial" w:cs="Arial" w:eastAsia="Arial" w:hAnsi="Arial"/>
                <w:sz w:val="18"/>
                <w:szCs w:val="18"/>
                <w:color w:val="131E29"/>
              </w:rPr>
              <w:t>Less: current portion</w:t>
            </w:r>
          </w:p>
        </w:tc>
        <w:tc>
          <w:tcPr>
            <w:tcW w:w="4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131E29"/>
              </w:rPr>
              <w:t>(3,389)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71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D2DCE5"/>
            </w:tcBorders>
          </w:tcPr>
          <w:p>
            <w:pPr>
              <w:spacing w:after="0"/>
              <w:rPr>
                <w:sz w:val="2"/>
                <w:szCs w:val="2"/>
                <w:color w:val="auto"/>
              </w:rPr>
            </w:pPr>
          </w:p>
        </w:tc>
        <w:tc>
          <w:tcPr>
            <w:tcW w:w="1620" w:type="dxa"/>
            <w:vAlign w:val="bottom"/>
            <w:tcBorders>
              <w:bottom w:val="single" w:sz="8" w:color="D2DCE5"/>
            </w:tcBorders>
          </w:tcPr>
          <w:p>
            <w:pPr>
              <w:spacing w:after="0"/>
              <w:rPr>
                <w:sz w:val="2"/>
                <w:szCs w:val="2"/>
                <w:color w:val="auto"/>
              </w:rPr>
            </w:pPr>
          </w:p>
        </w:tc>
      </w:tr>
      <w:tr>
        <w:trPr>
          <w:trHeight w:val="289"/>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Lease liabilities, net of current portion</w:t>
            </w:r>
          </w:p>
        </w:tc>
        <w:tc>
          <w:tcPr>
            <w:tcW w:w="400" w:type="dxa"/>
            <w:vAlign w:val="bottom"/>
            <w:tcBorders>
              <w:bottom w:val="single" w:sz="8" w:color="auto"/>
            </w:tcBorders>
            <w:shd w:val="clear" w:color="auto" w:fill="D2DCE5"/>
          </w:tcPr>
          <w:p>
            <w:pPr>
              <w:jc w:val="right"/>
              <w:ind w:right="190"/>
              <w:spacing w:after="0"/>
              <w:rPr>
                <w:sz w:val="20"/>
                <w:szCs w:val="20"/>
                <w:color w:val="auto"/>
              </w:rPr>
            </w:pPr>
            <w:r>
              <w:rPr>
                <w:rFonts w:ascii="Arial" w:cs="Arial" w:eastAsia="Arial" w:hAnsi="Arial"/>
                <w:sz w:val="18"/>
                <w:szCs w:val="18"/>
                <w:color w:val="131E29"/>
                <w:w w:val="99"/>
              </w:rPr>
              <w:t>$</w:t>
            </w:r>
          </w:p>
        </w:tc>
        <w:tc>
          <w:tcPr>
            <w:tcW w:w="15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79,588</w:t>
            </w:r>
          </w:p>
        </w:tc>
        <w:tc>
          <w:tcPr>
            <w:tcW w:w="100" w:type="dxa"/>
            <w:vAlign w:val="bottom"/>
            <w:tcBorders>
              <w:bottom w:val="single" w:sz="8" w:color="D2DCE5"/>
            </w:tcBorders>
            <w:shd w:val="clear" w:color="auto" w:fill="D2DCE5"/>
          </w:tcPr>
          <w:p>
            <w:pPr>
              <w:spacing w:after="0"/>
              <w:rPr>
                <w:sz w:val="24"/>
                <w:szCs w:val="24"/>
                <w:color w:val="auto"/>
              </w:rPr>
            </w:pPr>
          </w:p>
        </w:tc>
        <w:tc>
          <w:tcPr>
            <w:tcW w:w="320" w:type="dxa"/>
            <w:vAlign w:val="bottom"/>
            <w:tcBorders>
              <w:bottom w:val="single" w:sz="8" w:color="D2DCE5"/>
            </w:tcBorders>
            <w:shd w:val="clear" w:color="auto" w:fill="D2DCE5"/>
          </w:tcPr>
          <w:p>
            <w:pPr>
              <w:spacing w:after="0"/>
              <w:rPr>
                <w:sz w:val="24"/>
                <w:szCs w:val="24"/>
                <w:color w:val="auto"/>
              </w:rPr>
            </w:pPr>
          </w:p>
        </w:tc>
        <w:tc>
          <w:tcPr>
            <w:tcW w:w="1620" w:type="dxa"/>
            <w:vAlign w:val="bottom"/>
            <w:tcBorders>
              <w:bottom w:val="single" w:sz="8" w:color="D2DCE5"/>
            </w:tcBorders>
            <w:shd w:val="clear" w:color="auto" w:fill="D2DCE5"/>
          </w:tcPr>
          <w:p>
            <w:pPr>
              <w:spacing w:after="0"/>
              <w:rPr>
                <w:sz w:val="24"/>
                <w:szCs w:val="24"/>
                <w:color w:val="auto"/>
              </w:rPr>
            </w:pPr>
          </w:p>
        </w:tc>
      </w:tr>
      <w:tr>
        <w:trPr>
          <w:trHeight w:val="20"/>
        </w:trPr>
        <w:tc>
          <w:tcPr>
            <w:tcW w:w="71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00" w:type="dxa"/>
            <w:vAlign w:val="bottom"/>
            <w:tcBorders>
              <w:top w:val="single" w:sz="8" w:color="D2DCE5"/>
              <w:bottom w:val="single" w:sz="8" w:color="auto"/>
            </w:tcBorders>
          </w:tcPr>
          <w:p>
            <w:pPr>
              <w:spacing w:after="0" w:line="20" w:lineRule="exact"/>
              <w:rPr>
                <w:sz w:val="1"/>
                <w:szCs w:val="1"/>
                <w:color w:val="auto"/>
              </w:rPr>
            </w:pPr>
          </w:p>
        </w:tc>
        <w:tc>
          <w:tcPr>
            <w:tcW w:w="15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tcBorders>
          </w:tcPr>
          <w:p>
            <w:pPr>
              <w:spacing w:after="0" w:line="20" w:lineRule="exact"/>
              <w:rPr>
                <w:sz w:val="1"/>
                <w:szCs w:val="1"/>
                <w:color w:val="auto"/>
              </w:rPr>
            </w:pPr>
          </w:p>
        </w:tc>
        <w:tc>
          <w:tcPr>
            <w:tcW w:w="1620" w:type="dxa"/>
            <w:vAlign w:val="bottom"/>
            <w:tcBorders>
              <w:top w:val="single" w:sz="8" w:color="D2DCE5"/>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131E29"/>
        </w:rPr>
        <w:t>A summary of lease terms and discount rates for finance and operating leases as of September 30, 2022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ind w:left="120"/>
              <w:spacing w:after="0"/>
              <w:rPr>
                <w:sz w:val="20"/>
                <w:szCs w:val="20"/>
                <w:color w:val="auto"/>
              </w:rPr>
            </w:pPr>
            <w:r>
              <w:rPr>
                <w:rFonts w:ascii="Arial" w:cs="Arial" w:eastAsia="Arial" w:hAnsi="Arial"/>
                <w:sz w:val="18"/>
                <w:szCs w:val="18"/>
                <w:b w:val="1"/>
                <w:bCs w:val="1"/>
                <w:color w:val="131E29"/>
              </w:rPr>
              <w:t>September 30, 2022</w:t>
            </w:r>
          </w:p>
        </w:tc>
      </w:tr>
      <w:tr>
        <w:trPr>
          <w:trHeight w:val="27"/>
        </w:trPr>
        <w:tc>
          <w:tcPr>
            <w:tcW w:w="926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93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Weighted-average remaining lease term (years)</w:t>
            </w:r>
          </w:p>
        </w:tc>
        <w:tc>
          <w:tcPr>
            <w:tcW w:w="1900" w:type="dxa"/>
            <w:vAlign w:val="bottom"/>
            <w:tcBorders>
              <w:bottom w:val="single" w:sz="8" w:color="D2DCE5"/>
            </w:tcBorders>
            <w:shd w:val="clear" w:color="auto" w:fill="D2DCE5"/>
          </w:tcPr>
          <w:p>
            <w:pPr>
              <w:spacing w:after="0"/>
              <w:rPr>
                <w:sz w:val="21"/>
                <w:szCs w:val="21"/>
                <w:color w:val="auto"/>
              </w:rPr>
            </w:pP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131E29"/>
              </w:rPr>
              <w:t>Finance leases</w:t>
            </w:r>
          </w:p>
        </w:tc>
        <w:tc>
          <w:tcPr>
            <w:tcW w:w="1900" w:type="dxa"/>
            <w:vAlign w:val="bottom"/>
          </w:tcPr>
          <w:p>
            <w:pPr>
              <w:jc w:val="center"/>
              <w:spacing w:after="0"/>
              <w:rPr>
                <w:sz w:val="20"/>
                <w:szCs w:val="20"/>
                <w:color w:val="auto"/>
              </w:rPr>
            </w:pPr>
            <w:r>
              <w:rPr>
                <w:rFonts w:ascii="Arial" w:cs="Arial" w:eastAsia="Arial" w:hAnsi="Arial"/>
                <w:sz w:val="18"/>
                <w:szCs w:val="18"/>
                <w:color w:val="131E29"/>
              </w:rPr>
              <w:t>16.2</w:t>
            </w:r>
          </w:p>
        </w:tc>
      </w:tr>
      <w:tr>
        <w:trPr>
          <w:trHeight w:val="27"/>
        </w:trPr>
        <w:tc>
          <w:tcPr>
            <w:tcW w:w="9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3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Operating leases</w:t>
            </w:r>
          </w:p>
        </w:tc>
        <w:tc>
          <w:tcPr>
            <w:tcW w:w="19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rPr>
              <w:t>15.1</w:t>
            </w:r>
          </w:p>
        </w:tc>
      </w:tr>
      <w:tr>
        <w:trPr>
          <w:trHeight w:val="270"/>
        </w:trPr>
        <w:tc>
          <w:tcPr>
            <w:tcW w:w="9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50"/>
        </w:trPr>
        <w:tc>
          <w:tcPr>
            <w:tcW w:w="93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Weighted-average discount rate (percentages)</w:t>
            </w:r>
          </w:p>
        </w:tc>
        <w:tc>
          <w:tcPr>
            <w:tcW w:w="1900" w:type="dxa"/>
            <w:vAlign w:val="bottom"/>
            <w:tcBorders>
              <w:bottom w:val="single" w:sz="8" w:color="D2DCE5"/>
            </w:tcBorders>
            <w:shd w:val="clear" w:color="auto" w:fill="D2DCE5"/>
          </w:tcPr>
          <w:p>
            <w:pPr>
              <w:spacing w:after="0"/>
              <w:rPr>
                <w:sz w:val="21"/>
                <w:szCs w:val="21"/>
                <w:color w:val="auto"/>
              </w:rPr>
            </w:pP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131E29"/>
              </w:rPr>
              <w:t>Finance leases</w:t>
            </w:r>
          </w:p>
        </w:tc>
        <w:tc>
          <w:tcPr>
            <w:tcW w:w="1900" w:type="dxa"/>
            <w:vAlign w:val="bottom"/>
          </w:tcPr>
          <w:p>
            <w:pPr>
              <w:jc w:val="center"/>
              <w:spacing w:after="0"/>
              <w:rPr>
                <w:sz w:val="20"/>
                <w:szCs w:val="20"/>
                <w:color w:val="auto"/>
              </w:rPr>
            </w:pPr>
            <w:r>
              <w:rPr>
                <w:rFonts w:ascii="Arial" w:cs="Arial" w:eastAsia="Arial" w:hAnsi="Arial"/>
                <w:sz w:val="18"/>
                <w:szCs w:val="18"/>
                <w:color w:val="131E29"/>
                <w:w w:val="97"/>
              </w:rPr>
              <w:t>5.2%</w:t>
            </w:r>
          </w:p>
        </w:tc>
      </w:tr>
      <w:tr>
        <w:trPr>
          <w:trHeight w:val="27"/>
        </w:trPr>
        <w:tc>
          <w:tcPr>
            <w:tcW w:w="9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3"/>
        </w:trPr>
        <w:tc>
          <w:tcPr>
            <w:tcW w:w="934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Operating leases</w:t>
            </w:r>
          </w:p>
        </w:tc>
        <w:tc>
          <w:tcPr>
            <w:tcW w:w="1900" w:type="dxa"/>
            <w:vAlign w:val="bottom"/>
            <w:shd w:val="clear" w:color="auto" w:fill="D2DCE5"/>
          </w:tcPr>
          <w:p>
            <w:pPr>
              <w:jc w:val="center"/>
              <w:spacing w:after="0"/>
              <w:rPr>
                <w:sz w:val="20"/>
                <w:szCs w:val="20"/>
                <w:color w:val="auto"/>
              </w:rPr>
            </w:pPr>
            <w:r>
              <w:rPr>
                <w:rFonts w:ascii="Arial" w:cs="Arial" w:eastAsia="Arial" w:hAnsi="Arial"/>
                <w:sz w:val="18"/>
                <w:szCs w:val="18"/>
                <w:color w:val="131E29"/>
                <w:w w:val="97"/>
              </w:rPr>
              <w:t>4.1%</w:t>
            </w:r>
          </w:p>
        </w:tc>
      </w:tr>
      <w:tr>
        <w:trPr>
          <w:trHeight w:val="27"/>
        </w:trPr>
        <w:tc>
          <w:tcPr>
            <w:tcW w:w="9260" w:type="dxa"/>
            <w:vAlign w:val="bottom"/>
            <w:shd w:val="clear" w:color="auto" w:fill="D2DCE5"/>
          </w:tcPr>
          <w:p>
            <w:pPr>
              <w:spacing w:after="0"/>
              <w:rPr>
                <w:sz w:val="2"/>
                <w:szCs w:val="2"/>
                <w:color w:val="auto"/>
              </w:rPr>
            </w:pPr>
          </w:p>
        </w:tc>
        <w:tc>
          <w:tcPr>
            <w:tcW w:w="80" w:type="dxa"/>
            <w:vAlign w:val="bottom"/>
            <w:shd w:val="clear" w:color="auto" w:fill="D2DCE5"/>
          </w:tcPr>
          <w:p>
            <w:pPr>
              <w:spacing w:after="0"/>
              <w:rPr>
                <w:sz w:val="2"/>
                <w:szCs w:val="2"/>
                <w:color w:val="auto"/>
              </w:rPr>
            </w:pPr>
          </w:p>
        </w:tc>
        <w:tc>
          <w:tcPr>
            <w:tcW w:w="1900" w:type="dxa"/>
            <w:vAlign w:val="bottom"/>
            <w:shd w:val="clear" w:color="auto" w:fill="D2DCE5"/>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131E29"/>
        </w:rPr>
        <w:t>Supplemental cash flow information related to leases as of September 30, 2022 is as follows for the period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tcPr>
          <w:p>
            <w:pPr>
              <w:jc w:val="right"/>
              <w:ind w:right="339"/>
              <w:spacing w:after="0"/>
              <w:rPr>
                <w:sz w:val="20"/>
                <w:szCs w:val="20"/>
                <w:color w:val="auto"/>
              </w:rPr>
            </w:pPr>
            <w:r>
              <w:rPr>
                <w:rFonts w:ascii="Arial" w:cs="Arial" w:eastAsia="Arial" w:hAnsi="Arial"/>
                <w:sz w:val="16"/>
                <w:szCs w:val="16"/>
                <w:b w:val="1"/>
                <w:bCs w:val="1"/>
                <w:color w:val="131E29"/>
              </w:rPr>
              <w:t>Nine Months Ended</w:t>
            </w:r>
          </w:p>
        </w:tc>
      </w:tr>
      <w:tr>
        <w:trPr>
          <w:trHeight w:val="222"/>
        </w:trPr>
        <w:tc>
          <w:tcPr>
            <w:tcW w:w="890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260" w:type="dxa"/>
            <w:vAlign w:val="bottom"/>
          </w:tcPr>
          <w:p>
            <w:pPr>
              <w:spacing w:after="0"/>
              <w:rPr>
                <w:sz w:val="19"/>
                <w:szCs w:val="19"/>
                <w:color w:val="auto"/>
              </w:rPr>
            </w:pPr>
          </w:p>
        </w:tc>
        <w:tc>
          <w:tcPr>
            <w:tcW w:w="2080" w:type="dxa"/>
            <w:vAlign w:val="bottom"/>
          </w:tcPr>
          <w:p>
            <w:pPr>
              <w:jc w:val="right"/>
              <w:ind w:right="339"/>
              <w:spacing w:after="0"/>
              <w:rPr>
                <w:sz w:val="20"/>
                <w:szCs w:val="20"/>
                <w:color w:val="auto"/>
              </w:rPr>
            </w:pPr>
            <w:r>
              <w:rPr>
                <w:rFonts w:ascii="Arial" w:cs="Arial" w:eastAsia="Arial" w:hAnsi="Arial"/>
                <w:sz w:val="16"/>
                <w:szCs w:val="16"/>
                <w:b w:val="1"/>
                <w:bCs w:val="1"/>
                <w:color w:val="131E29"/>
              </w:rPr>
              <w:t>September 30, 2022</w:t>
            </w:r>
          </w:p>
        </w:tc>
      </w:tr>
      <w:tr>
        <w:trPr>
          <w:trHeight w:val="26"/>
        </w:trPr>
        <w:tc>
          <w:tcPr>
            <w:tcW w:w="88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7"/>
        </w:trPr>
        <w:tc>
          <w:tcPr>
            <w:tcW w:w="890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Cash paid for amounts included in the measurement of lease liabilities</w:t>
            </w:r>
          </w:p>
        </w:tc>
        <w:tc>
          <w:tcPr>
            <w:tcW w:w="260" w:type="dxa"/>
            <w:vAlign w:val="bottom"/>
            <w:shd w:val="clear" w:color="auto" w:fill="D2DCE5"/>
          </w:tcPr>
          <w:p>
            <w:pPr>
              <w:spacing w:after="0"/>
              <w:rPr>
                <w:sz w:val="20"/>
                <w:szCs w:val="20"/>
                <w:color w:val="auto"/>
              </w:rPr>
            </w:pPr>
          </w:p>
        </w:tc>
        <w:tc>
          <w:tcPr>
            <w:tcW w:w="2080" w:type="dxa"/>
            <w:vAlign w:val="bottom"/>
            <w:shd w:val="clear" w:color="auto" w:fill="D2DCE5"/>
          </w:tcPr>
          <w:p>
            <w:pPr>
              <w:spacing w:after="0"/>
              <w:rPr>
                <w:sz w:val="20"/>
                <w:szCs w:val="20"/>
                <w:color w:val="auto"/>
              </w:rPr>
            </w:pPr>
          </w:p>
        </w:tc>
      </w:tr>
      <w:tr>
        <w:trPr>
          <w:trHeight w:val="233"/>
        </w:trPr>
        <w:tc>
          <w:tcPr>
            <w:tcW w:w="8900" w:type="dxa"/>
            <w:vAlign w:val="bottom"/>
            <w:gridSpan w:val="2"/>
          </w:tcPr>
          <w:p>
            <w:pPr>
              <w:ind w:left="180"/>
              <w:spacing w:after="0"/>
              <w:rPr>
                <w:sz w:val="20"/>
                <w:szCs w:val="20"/>
                <w:color w:val="auto"/>
              </w:rPr>
            </w:pPr>
            <w:r>
              <w:rPr>
                <w:rFonts w:ascii="Arial" w:cs="Arial" w:eastAsia="Arial" w:hAnsi="Arial"/>
                <w:sz w:val="16"/>
                <w:szCs w:val="16"/>
                <w:color w:val="131E29"/>
              </w:rPr>
              <w:t>Operating cash flows from finance leases</w:t>
            </w:r>
          </w:p>
        </w:tc>
        <w:tc>
          <w:tcPr>
            <w:tcW w:w="260" w:type="dxa"/>
            <w:vAlign w:val="bottom"/>
          </w:tcPr>
          <w:p>
            <w:pPr>
              <w:jc w:val="right"/>
              <w:ind w:right="59"/>
              <w:spacing w:after="0"/>
              <w:rPr>
                <w:sz w:val="20"/>
                <w:szCs w:val="20"/>
                <w:color w:val="auto"/>
              </w:rPr>
            </w:pPr>
            <w:r>
              <w:rPr>
                <w:rFonts w:ascii="Arial" w:cs="Arial" w:eastAsia="Arial" w:hAnsi="Arial"/>
                <w:sz w:val="16"/>
                <w:szCs w:val="16"/>
                <w:color w:val="131E29"/>
              </w:rPr>
              <w:t>$</w:t>
            </w:r>
          </w:p>
        </w:tc>
        <w:tc>
          <w:tcPr>
            <w:tcW w:w="2080" w:type="dxa"/>
            <w:vAlign w:val="bottom"/>
          </w:tcPr>
          <w:p>
            <w:pPr>
              <w:jc w:val="right"/>
              <w:spacing w:after="0"/>
              <w:rPr>
                <w:sz w:val="20"/>
                <w:szCs w:val="20"/>
                <w:color w:val="auto"/>
              </w:rPr>
            </w:pPr>
            <w:r>
              <w:rPr>
                <w:rFonts w:ascii="Arial" w:cs="Arial" w:eastAsia="Arial" w:hAnsi="Arial"/>
                <w:sz w:val="16"/>
                <w:szCs w:val="16"/>
                <w:color w:val="131E29"/>
              </w:rPr>
              <w:t>6,261</w:t>
            </w:r>
          </w:p>
        </w:tc>
      </w:tr>
      <w:tr>
        <w:trPr>
          <w:trHeight w:val="253"/>
        </w:trPr>
        <w:tc>
          <w:tcPr>
            <w:tcW w:w="890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Operating cash flows from operating leases</w:t>
            </w:r>
          </w:p>
        </w:tc>
        <w:tc>
          <w:tcPr>
            <w:tcW w:w="260" w:type="dxa"/>
            <w:vAlign w:val="bottom"/>
            <w:shd w:val="clear" w:color="auto" w:fill="D2DCE5"/>
          </w:tcPr>
          <w:p>
            <w:pPr>
              <w:spacing w:after="0"/>
              <w:rPr>
                <w:sz w:val="21"/>
                <w:szCs w:val="21"/>
                <w:color w:val="auto"/>
              </w:rPr>
            </w:pPr>
          </w:p>
        </w:tc>
        <w:tc>
          <w:tcPr>
            <w:tcW w:w="20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11,611</w:t>
            </w:r>
          </w:p>
        </w:tc>
      </w:tr>
      <w:tr>
        <w:trPr>
          <w:trHeight w:val="233"/>
        </w:trPr>
        <w:tc>
          <w:tcPr>
            <w:tcW w:w="8900" w:type="dxa"/>
            <w:vAlign w:val="bottom"/>
            <w:gridSpan w:val="2"/>
          </w:tcPr>
          <w:p>
            <w:pPr>
              <w:ind w:left="180"/>
              <w:spacing w:after="0"/>
              <w:rPr>
                <w:sz w:val="20"/>
                <w:szCs w:val="20"/>
                <w:color w:val="auto"/>
              </w:rPr>
            </w:pPr>
            <w:r>
              <w:rPr>
                <w:rFonts w:ascii="Arial" w:cs="Arial" w:eastAsia="Arial" w:hAnsi="Arial"/>
                <w:sz w:val="16"/>
                <w:szCs w:val="16"/>
                <w:color w:val="131E29"/>
              </w:rPr>
              <w:t>Financing cash flows from finance leases</w:t>
            </w:r>
          </w:p>
        </w:tc>
        <w:tc>
          <w:tcPr>
            <w:tcW w:w="26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131E29"/>
              </w:rPr>
              <w:t>3,144</w:t>
            </w:r>
          </w:p>
        </w:tc>
      </w:tr>
      <w:tr>
        <w:trPr>
          <w:trHeight w:val="304"/>
        </w:trPr>
        <w:tc>
          <w:tcPr>
            <w:tcW w:w="890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 xml:space="preserve">Right-of-use assets obtained in exchange for lease obligations </w:t>
            </w:r>
            <w:r>
              <w:rPr>
                <w:rFonts w:ascii="Arial" w:cs="Arial" w:eastAsia="Arial" w:hAnsi="Arial"/>
                <w:sz w:val="21"/>
                <w:szCs w:val="21"/>
                <w:b w:val="1"/>
                <w:bCs w:val="1"/>
                <w:color w:val="131E29"/>
                <w:vertAlign w:val="superscript"/>
              </w:rPr>
              <w:t>1</w:t>
            </w:r>
          </w:p>
        </w:tc>
        <w:tc>
          <w:tcPr>
            <w:tcW w:w="260" w:type="dxa"/>
            <w:vAlign w:val="bottom"/>
            <w:shd w:val="clear" w:color="auto" w:fill="D2DCE5"/>
          </w:tcPr>
          <w:p>
            <w:pPr>
              <w:spacing w:after="0"/>
              <w:rPr>
                <w:sz w:val="24"/>
                <w:szCs w:val="24"/>
                <w:color w:val="auto"/>
              </w:rPr>
            </w:pPr>
          </w:p>
        </w:tc>
        <w:tc>
          <w:tcPr>
            <w:tcW w:w="2080" w:type="dxa"/>
            <w:vAlign w:val="bottom"/>
            <w:shd w:val="clear" w:color="auto" w:fill="D2DCE5"/>
          </w:tcPr>
          <w:p>
            <w:pPr>
              <w:spacing w:after="0"/>
              <w:rPr>
                <w:sz w:val="24"/>
                <w:szCs w:val="24"/>
                <w:color w:val="auto"/>
              </w:rPr>
            </w:pPr>
          </w:p>
        </w:tc>
      </w:tr>
      <w:tr>
        <w:trPr>
          <w:trHeight w:val="111"/>
        </w:trPr>
        <w:tc>
          <w:tcPr>
            <w:tcW w:w="8800" w:type="dxa"/>
            <w:vAlign w:val="bottom"/>
            <w:shd w:val="clear" w:color="auto" w:fill="D2DCE5"/>
          </w:tcPr>
          <w:p>
            <w:pPr>
              <w:spacing w:after="0"/>
              <w:rPr>
                <w:sz w:val="9"/>
                <w:szCs w:val="9"/>
                <w:color w:val="auto"/>
              </w:rPr>
            </w:pPr>
          </w:p>
        </w:tc>
        <w:tc>
          <w:tcPr>
            <w:tcW w:w="100" w:type="dxa"/>
            <w:vAlign w:val="bottom"/>
            <w:shd w:val="clear" w:color="auto" w:fill="D2DCE5"/>
          </w:tcPr>
          <w:p>
            <w:pPr>
              <w:spacing w:after="0"/>
              <w:rPr>
                <w:sz w:val="9"/>
                <w:szCs w:val="9"/>
                <w:color w:val="auto"/>
              </w:rPr>
            </w:pPr>
          </w:p>
        </w:tc>
        <w:tc>
          <w:tcPr>
            <w:tcW w:w="260" w:type="dxa"/>
            <w:vAlign w:val="bottom"/>
            <w:shd w:val="clear" w:color="auto" w:fill="D2DCE5"/>
          </w:tcPr>
          <w:p>
            <w:pPr>
              <w:spacing w:after="0"/>
              <w:rPr>
                <w:sz w:val="9"/>
                <w:szCs w:val="9"/>
                <w:color w:val="auto"/>
              </w:rPr>
            </w:pPr>
          </w:p>
        </w:tc>
        <w:tc>
          <w:tcPr>
            <w:tcW w:w="2080" w:type="dxa"/>
            <w:vAlign w:val="bottom"/>
            <w:shd w:val="clear" w:color="auto" w:fill="D2DCE5"/>
          </w:tcPr>
          <w:p>
            <w:pPr>
              <w:spacing w:after="0"/>
              <w:rPr>
                <w:sz w:val="9"/>
                <w:szCs w:val="9"/>
                <w:color w:val="auto"/>
              </w:rPr>
            </w:pPr>
          </w:p>
        </w:tc>
      </w:tr>
      <w:tr>
        <w:trPr>
          <w:trHeight w:val="233"/>
        </w:trPr>
        <w:tc>
          <w:tcPr>
            <w:tcW w:w="8900" w:type="dxa"/>
            <w:vAlign w:val="bottom"/>
            <w:gridSpan w:val="2"/>
          </w:tcPr>
          <w:p>
            <w:pPr>
              <w:ind w:left="180"/>
              <w:spacing w:after="0"/>
              <w:rPr>
                <w:sz w:val="20"/>
                <w:szCs w:val="20"/>
                <w:color w:val="auto"/>
              </w:rPr>
            </w:pPr>
            <w:r>
              <w:rPr>
                <w:rFonts w:ascii="Arial" w:cs="Arial" w:eastAsia="Arial" w:hAnsi="Arial"/>
                <w:sz w:val="16"/>
                <w:szCs w:val="16"/>
                <w:color w:val="131E29"/>
              </w:rPr>
              <w:t>Finance leases</w:t>
            </w:r>
          </w:p>
        </w:tc>
        <w:tc>
          <w:tcPr>
            <w:tcW w:w="26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131E29"/>
              </w:rPr>
              <w:t>135,987</w:t>
            </w:r>
          </w:p>
        </w:tc>
      </w:tr>
      <w:tr>
        <w:trPr>
          <w:trHeight w:val="253"/>
        </w:trPr>
        <w:tc>
          <w:tcPr>
            <w:tcW w:w="890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Operating leases</w:t>
            </w:r>
          </w:p>
        </w:tc>
        <w:tc>
          <w:tcPr>
            <w:tcW w:w="260" w:type="dxa"/>
            <w:vAlign w:val="bottom"/>
            <w:shd w:val="clear" w:color="auto" w:fill="D2DCE5"/>
          </w:tcPr>
          <w:p>
            <w:pPr>
              <w:spacing w:after="0"/>
              <w:rPr>
                <w:sz w:val="21"/>
                <w:szCs w:val="21"/>
                <w:color w:val="auto"/>
              </w:rPr>
            </w:pPr>
          </w:p>
        </w:tc>
        <w:tc>
          <w:tcPr>
            <w:tcW w:w="20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171,437</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30"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Amounts include the transition adjustment for the adoption of ASU 2016-02, as amended.</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9 —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Credit Facility</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On February 28, 2022 (the Effective Date) the Company amended its credit facility entered into on May 12, 2021 with JPMorgan Chase, N.A. (the Senior Secured Credit Facility). The amended facility (the 2022 Credit Facility) has a total capacity of $500 million, consisting of a $250 million revolving credit facility, a delayed draw term loan facility of up to $150 million, and a term loan facility of up to $100 million. The revolving credit facility includes sub-limits for issuance of letters of credit and swing line loans of up to $50 million and $15 million, respectively. It also contains an option allowing the Company to increase the size of the 2022 Credit Facility by up to an additional $150 million, with the agreement of the committing lenders. The 2022 Credit Facility expires five years after the Effective Date.</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Upon entering into the 2022 Credit Facility, in February 2022, the Company drew the full $100 million term loan facility and approximately $28 million in revolving loans, and the existing credit facility was repaid and terminated.</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Interest on borrowings under the 2022 Credit Facility is based on (a) the Alternate Base Rate plus an applicable margin, or (b) the Adjusted Term SOFR Rate plus an applicable margin, and is payable in accordance with the selected interest rate period (at least quarterly) and upon maturity. Principal payments for the term loans are required on a quarterly basis in accordance with an amortization schedule and upon certain disposition of assets.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 Company is required to pay a commitment fee on a quarterly basis, at a per annum rate of between 0.20% and 0.45% (depending on the Company’s maximum net lease-adjusted total leverage ratio) based on the (i) average daily unused portion of the revolving credit facility, and (ii) the daily undrawn amount of the delayed draw term loan facility.</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2022 Credit Facility contains financial covenants that require the Company to not exceed a maximum net lease-adjusted total leverage ratio and maintain a minimum fixed charge coverage ratio. The 2022 Credit Facility also contains certain negative covenants that, among other things, limit the Company’s ability to incur additional debt, grant liens on assets, merge with or acquire other companies, make other investments, dispose of assets, and enter into sale and leaseback transactions and swap agreements. Obligations under the 2022 Credit Facility are guaranteed by Dutch Bros OpCo and its subsidiaries, and secured by a first priority perfected security interest in substantially all of the assets of the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As of September 30, 2022, approximately $ 98.8 million and $87.7 million were outstanding on the term loan and revolving loans, respectively, and $ 162.3 million was available for borrowing on the revolving loans. The term loan bears interest at 5.63% and revolving loans bear interest at approximately 5.58% as of September 30, 2022. The Company was in compliance with its financial covenants as of that date.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00" w:type="dxa"/>
            <w:vAlign w:val="bottom"/>
            <w:gridSpan w:val="2"/>
          </w:tcPr>
          <w:p>
            <w:pPr>
              <w:spacing w:after="0"/>
              <w:rPr>
                <w:sz w:val="20"/>
                <w:szCs w:val="20"/>
                <w:color w:val="auto"/>
              </w:rPr>
            </w:pPr>
            <w:r>
              <w:rPr>
                <w:rFonts w:ascii="Arial" w:cs="Arial" w:eastAsia="Arial" w:hAnsi="Arial"/>
                <w:sz w:val="18"/>
                <w:szCs w:val="18"/>
                <w:b w:val="1"/>
                <w:bCs w:val="1"/>
                <w:i w:val="1"/>
                <w:iCs w:val="1"/>
                <w:color w:val="006098"/>
              </w:rPr>
              <w:t>Long-Term Debt</w:t>
            </w: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00" w:type="dxa"/>
            <w:vAlign w:val="bottom"/>
            <w:gridSpan w:val="2"/>
          </w:tcPr>
          <w:p>
            <w:pPr>
              <w:spacing w:after="0"/>
              <w:rPr>
                <w:sz w:val="20"/>
                <w:szCs w:val="20"/>
                <w:color w:val="auto"/>
              </w:rPr>
            </w:pPr>
            <w:r>
              <w:rPr>
                <w:rFonts w:ascii="Arial" w:cs="Arial" w:eastAsia="Arial" w:hAnsi="Arial"/>
                <w:sz w:val="18"/>
                <w:szCs w:val="18"/>
                <w:color w:val="131E29"/>
              </w:rPr>
              <w:t>The Company’s long-term debt consisted of the following for the periods presented:</w:t>
            </w: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760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1920" w:type="dxa"/>
            <w:vAlign w:val="bottom"/>
            <w:gridSpan w:val="3"/>
          </w:tcPr>
          <w:p>
            <w:pPr>
              <w:ind w:left="60"/>
              <w:spacing w:after="0"/>
              <w:rPr>
                <w:sz w:val="20"/>
                <w:szCs w:val="20"/>
                <w:color w:val="auto"/>
              </w:rPr>
            </w:pPr>
            <w:r>
              <w:rPr>
                <w:rFonts w:ascii="Arial" w:cs="Arial" w:eastAsia="Arial" w:hAnsi="Arial"/>
                <w:sz w:val="18"/>
                <w:szCs w:val="18"/>
                <w:b w:val="1"/>
                <w:bCs w:val="1"/>
                <w:color w:val="131E29"/>
              </w:rPr>
              <w:t>September 30, 2022</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131E29"/>
              </w:rPr>
              <w:t>December 31, 2021</w:t>
            </w:r>
          </w:p>
        </w:tc>
        <w:tc>
          <w:tcPr>
            <w:tcW w:w="0" w:type="dxa"/>
            <w:vAlign w:val="bottom"/>
          </w:tcPr>
          <w:p>
            <w:pPr>
              <w:spacing w:after="0"/>
              <w:rPr>
                <w:sz w:val="1"/>
                <w:szCs w:val="1"/>
                <w:color w:val="auto"/>
              </w:rPr>
            </w:pPr>
          </w:p>
        </w:tc>
      </w:tr>
      <w:tr>
        <w:trPr>
          <w:trHeight w:val="26"/>
        </w:trPr>
        <w:tc>
          <w:tcPr>
            <w:tcW w:w="75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00" w:type="dxa"/>
            <w:vAlign w:val="bottom"/>
            <w:tcBorders>
              <w:bottom w:val="single" w:sz="8" w:color="131E29"/>
            </w:tcBorders>
          </w:tcPr>
          <w:p>
            <w:pPr>
              <w:spacing w:after="0"/>
              <w:rPr>
                <w:sz w:val="2"/>
                <w:szCs w:val="2"/>
                <w:color w:val="auto"/>
              </w:rPr>
            </w:pPr>
          </w:p>
        </w:tc>
        <w:tc>
          <w:tcPr>
            <w:tcW w:w="122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60" w:type="dxa"/>
            <w:vAlign w:val="bottom"/>
            <w:tcBorders>
              <w:bottom w:val="single" w:sz="8" w:color="131E29"/>
            </w:tcBorders>
          </w:tcPr>
          <w:p>
            <w:pPr>
              <w:spacing w:after="0"/>
              <w:rPr>
                <w:sz w:val="2"/>
                <w:szCs w:val="2"/>
                <w:color w:val="auto"/>
              </w:rPr>
            </w:pPr>
          </w:p>
        </w:tc>
        <w:tc>
          <w:tcPr>
            <w:tcW w:w="106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Terms loan under credit facility</w:t>
            </w:r>
          </w:p>
        </w:tc>
        <w:tc>
          <w:tcPr>
            <w:tcW w:w="600" w:type="dxa"/>
            <w:vAlign w:val="bottom"/>
            <w:tcBorders>
              <w:bottom w:val="single" w:sz="8" w:color="D2DCE5"/>
            </w:tcBorders>
            <w:shd w:val="clear" w:color="auto" w:fill="D2DCE5"/>
          </w:tcPr>
          <w:p>
            <w:pPr>
              <w:jc w:val="right"/>
              <w:ind w:right="39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98,750</w:t>
            </w:r>
          </w:p>
        </w:tc>
        <w:tc>
          <w:tcPr>
            <w:tcW w:w="100" w:type="dxa"/>
            <w:vAlign w:val="bottom"/>
            <w:tcBorders>
              <w:bottom w:val="single" w:sz="8" w:color="D2DCE5"/>
            </w:tcBorders>
            <w:shd w:val="clear" w:color="auto" w:fill="D2DCE5"/>
          </w:tcPr>
          <w:p>
            <w:pPr>
              <w:spacing w:after="0"/>
              <w:rPr>
                <w:sz w:val="21"/>
                <w:szCs w:val="21"/>
                <w:color w:val="auto"/>
              </w:rPr>
            </w:pPr>
          </w:p>
        </w:tc>
        <w:tc>
          <w:tcPr>
            <w:tcW w:w="660" w:type="dxa"/>
            <w:vAlign w:val="bottom"/>
            <w:tcBorders>
              <w:bottom w:val="single" w:sz="8" w:color="D2DCE5"/>
            </w:tcBorders>
            <w:shd w:val="clear" w:color="auto" w:fill="D2DCE5"/>
          </w:tcPr>
          <w:p>
            <w:pPr>
              <w:jc w:val="right"/>
              <w:ind w:right="450"/>
              <w:spacing w:after="0"/>
              <w:rPr>
                <w:sz w:val="20"/>
                <w:szCs w:val="20"/>
                <w:color w:val="auto"/>
              </w:rPr>
            </w:pPr>
            <w:r>
              <w:rPr>
                <w:rFonts w:ascii="Arial" w:cs="Arial" w:eastAsia="Arial" w:hAnsi="Arial"/>
                <w:sz w:val="18"/>
                <w:szCs w:val="18"/>
                <w:color w:val="131E29"/>
                <w:w w:val="99"/>
              </w:rPr>
              <w:t>$</w:t>
            </w: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70"/>
        </w:trPr>
        <w:tc>
          <w:tcPr>
            <w:tcW w:w="7600" w:type="dxa"/>
            <w:vAlign w:val="bottom"/>
            <w:gridSpan w:val="2"/>
          </w:tcPr>
          <w:p>
            <w:pPr>
              <w:ind w:left="20"/>
              <w:spacing w:after="0"/>
              <w:rPr>
                <w:sz w:val="20"/>
                <w:szCs w:val="20"/>
                <w:color w:val="auto"/>
              </w:rPr>
            </w:pPr>
            <w:r>
              <w:rPr>
                <w:rFonts w:ascii="Arial" w:cs="Arial" w:eastAsia="Arial" w:hAnsi="Arial"/>
                <w:sz w:val="18"/>
                <w:szCs w:val="18"/>
                <w:color w:val="131E29"/>
              </w:rPr>
              <w:t>Finance obligation</w:t>
            </w:r>
            <w:r>
              <w:rPr>
                <w:rFonts w:ascii="Arial" w:cs="Arial" w:eastAsia="Arial" w:hAnsi="Arial"/>
                <w:sz w:val="23"/>
                <w:szCs w:val="23"/>
                <w:color w:val="131E29"/>
                <w:vertAlign w:val="superscript"/>
              </w:rPr>
              <w:t>1</w:t>
            </w:r>
          </w:p>
        </w:tc>
        <w:tc>
          <w:tcPr>
            <w:tcW w:w="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1,377</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2,978</w:t>
            </w:r>
          </w:p>
        </w:tc>
        <w:tc>
          <w:tcPr>
            <w:tcW w:w="0" w:type="dxa"/>
            <w:vAlign w:val="bottom"/>
          </w:tcPr>
          <w:p>
            <w:pPr>
              <w:spacing w:after="0"/>
              <w:rPr>
                <w:sz w:val="1"/>
                <w:szCs w:val="1"/>
                <w:color w:val="auto"/>
              </w:rPr>
            </w:pPr>
          </w:p>
        </w:tc>
      </w:tr>
      <w:tr>
        <w:trPr>
          <w:trHeight w:val="270"/>
        </w:trPr>
        <w:tc>
          <w:tcPr>
            <w:tcW w:w="76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Unsecured note payable</w:t>
            </w:r>
          </w:p>
        </w:tc>
        <w:tc>
          <w:tcPr>
            <w:tcW w:w="600" w:type="dxa"/>
            <w:vAlign w:val="bottom"/>
            <w:tcBorders>
              <w:bottom w:val="single" w:sz="8" w:color="D2DCE5"/>
            </w:tcBorders>
            <w:shd w:val="clear" w:color="auto" w:fill="D2DCE5"/>
          </w:tcPr>
          <w:p>
            <w:pPr>
              <w:spacing w:after="0"/>
              <w:rPr>
                <w:sz w:val="23"/>
                <w:szCs w:val="23"/>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551</w:t>
            </w:r>
          </w:p>
        </w:tc>
        <w:tc>
          <w:tcPr>
            <w:tcW w:w="100" w:type="dxa"/>
            <w:vAlign w:val="bottom"/>
            <w:tcBorders>
              <w:bottom w:val="single" w:sz="8" w:color="D2DCE5"/>
            </w:tcBorders>
            <w:shd w:val="clear" w:color="auto" w:fill="D2DCE5"/>
          </w:tcPr>
          <w:p>
            <w:pPr>
              <w:spacing w:after="0"/>
              <w:rPr>
                <w:sz w:val="23"/>
                <w:szCs w:val="23"/>
                <w:color w:val="auto"/>
              </w:rPr>
            </w:pPr>
          </w:p>
        </w:tc>
        <w:tc>
          <w:tcPr>
            <w:tcW w:w="660" w:type="dxa"/>
            <w:vAlign w:val="bottom"/>
            <w:tcBorders>
              <w:bottom w:val="single" w:sz="8" w:color="D2DCE5"/>
            </w:tcBorders>
            <w:shd w:val="clear" w:color="auto" w:fill="D2DCE5"/>
          </w:tcPr>
          <w:p>
            <w:pPr>
              <w:spacing w:after="0"/>
              <w:rPr>
                <w:sz w:val="23"/>
                <w:szCs w:val="23"/>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628</w:t>
            </w:r>
          </w:p>
        </w:tc>
        <w:tc>
          <w:tcPr>
            <w:tcW w:w="0" w:type="dxa"/>
            <w:vAlign w:val="bottom"/>
          </w:tcPr>
          <w:p>
            <w:pPr>
              <w:spacing w:after="0"/>
              <w:rPr>
                <w:sz w:val="1"/>
                <w:szCs w:val="1"/>
                <w:color w:val="auto"/>
              </w:rPr>
            </w:pPr>
          </w:p>
        </w:tc>
      </w:tr>
      <w:tr>
        <w:trPr>
          <w:trHeight w:val="237"/>
        </w:trPr>
        <w:tc>
          <w:tcPr>
            <w:tcW w:w="7600" w:type="dxa"/>
            <w:vAlign w:val="bottom"/>
            <w:gridSpan w:val="2"/>
          </w:tcPr>
          <w:p>
            <w:pPr>
              <w:ind w:left="180"/>
              <w:spacing w:after="0"/>
              <w:rPr>
                <w:sz w:val="20"/>
                <w:szCs w:val="20"/>
                <w:color w:val="auto"/>
              </w:rPr>
            </w:pPr>
            <w:r>
              <w:rPr>
                <w:rFonts w:ascii="Arial" w:cs="Arial" w:eastAsia="Arial" w:hAnsi="Arial"/>
                <w:sz w:val="18"/>
                <w:szCs w:val="18"/>
                <w:color w:val="131E29"/>
              </w:rPr>
              <w:t>Total debt</w:t>
            </w:r>
          </w:p>
        </w:tc>
        <w:tc>
          <w:tcPr>
            <w:tcW w:w="6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100,678</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3,606</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Less: loan origination fees</w:t>
            </w:r>
          </w:p>
        </w:tc>
        <w:tc>
          <w:tcPr>
            <w:tcW w:w="60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(1,191)</w:t>
            </w:r>
          </w:p>
        </w:tc>
        <w:tc>
          <w:tcPr>
            <w:tcW w:w="100" w:type="dxa"/>
            <w:vAlign w:val="bottom"/>
            <w:tcBorders>
              <w:bottom w:val="single" w:sz="8" w:color="D2DCE5"/>
            </w:tcBorders>
            <w:shd w:val="clear" w:color="auto" w:fill="D2DCE5"/>
          </w:tcPr>
          <w:p>
            <w:pPr>
              <w:spacing w:after="0"/>
              <w:rPr>
                <w:sz w:val="21"/>
                <w:szCs w:val="21"/>
                <w:color w:val="auto"/>
              </w:rPr>
            </w:pPr>
          </w:p>
        </w:tc>
        <w:tc>
          <w:tcPr>
            <w:tcW w:w="660" w:type="dxa"/>
            <w:vAlign w:val="bottom"/>
            <w:tcBorders>
              <w:bottom w:val="single" w:sz="8" w:color="D2DCE5"/>
            </w:tcBorders>
            <w:shd w:val="clear" w:color="auto" w:fill="D2DCE5"/>
          </w:tcPr>
          <w:p>
            <w:pPr>
              <w:spacing w:after="0"/>
              <w:rPr>
                <w:sz w:val="21"/>
                <w:szCs w:val="21"/>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43"/>
        </w:trPr>
        <w:tc>
          <w:tcPr>
            <w:tcW w:w="7600" w:type="dxa"/>
            <w:vAlign w:val="bottom"/>
            <w:gridSpan w:val="2"/>
          </w:tcPr>
          <w:p>
            <w:pPr>
              <w:ind w:left="20"/>
              <w:spacing w:after="0"/>
              <w:rPr>
                <w:sz w:val="20"/>
                <w:szCs w:val="20"/>
                <w:color w:val="auto"/>
              </w:rPr>
            </w:pPr>
            <w:r>
              <w:rPr>
                <w:rFonts w:ascii="Arial" w:cs="Arial" w:eastAsia="Arial" w:hAnsi="Arial"/>
                <w:sz w:val="18"/>
                <w:szCs w:val="18"/>
                <w:color w:val="131E29"/>
              </w:rPr>
              <w:t>Less: current portion</w:t>
            </w:r>
          </w:p>
        </w:tc>
        <w:tc>
          <w:tcPr>
            <w:tcW w:w="6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(2,608)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(103)</w:t>
            </w:r>
          </w:p>
        </w:tc>
        <w:tc>
          <w:tcPr>
            <w:tcW w:w="0" w:type="dxa"/>
            <w:vAlign w:val="bottom"/>
          </w:tcPr>
          <w:p>
            <w:pPr>
              <w:spacing w:after="0"/>
              <w:rPr>
                <w:sz w:val="1"/>
                <w:szCs w:val="1"/>
                <w:color w:val="auto"/>
              </w:rPr>
            </w:pPr>
          </w:p>
        </w:tc>
      </w:tr>
      <w:tr>
        <w:trPr>
          <w:trHeight w:val="27"/>
        </w:trPr>
        <w:tc>
          <w:tcPr>
            <w:tcW w:w="750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6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Total long-term debt, net of current portion</w:t>
            </w:r>
          </w:p>
        </w:tc>
        <w:tc>
          <w:tcPr>
            <w:tcW w:w="600" w:type="dxa"/>
            <w:vAlign w:val="bottom"/>
            <w:tcBorders>
              <w:bottom w:val="single" w:sz="8" w:color="auto"/>
            </w:tcBorders>
            <w:shd w:val="clear" w:color="auto" w:fill="D2DCE5"/>
          </w:tcPr>
          <w:p>
            <w:pPr>
              <w:jc w:val="right"/>
              <w:ind w:right="39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96,879</w:t>
            </w:r>
          </w:p>
        </w:tc>
        <w:tc>
          <w:tcPr>
            <w:tcW w:w="100" w:type="dxa"/>
            <w:vAlign w:val="bottom"/>
            <w:tcBorders>
              <w:bottom w:val="single" w:sz="8" w:color="D2DCE5"/>
            </w:tcBorders>
            <w:shd w:val="clear" w:color="auto" w:fill="D2DCE5"/>
          </w:tcPr>
          <w:p>
            <w:pPr>
              <w:spacing w:after="0"/>
              <w:rPr>
                <w:sz w:val="24"/>
                <w:szCs w:val="24"/>
                <w:color w:val="auto"/>
              </w:rPr>
            </w:pPr>
          </w:p>
        </w:tc>
        <w:tc>
          <w:tcPr>
            <w:tcW w:w="660" w:type="dxa"/>
            <w:vAlign w:val="bottom"/>
            <w:tcBorders>
              <w:bottom w:val="single" w:sz="8" w:color="auto"/>
            </w:tcBorders>
            <w:shd w:val="clear" w:color="auto" w:fill="D2DCE5"/>
          </w:tcPr>
          <w:p>
            <w:pPr>
              <w:jc w:val="right"/>
              <w:ind w:right="450"/>
              <w:spacing w:after="0"/>
              <w:rPr>
                <w:sz w:val="20"/>
                <w:szCs w:val="20"/>
                <w:color w:val="auto"/>
              </w:rPr>
            </w:pPr>
            <w:r>
              <w:rPr>
                <w:rFonts w:ascii="Arial" w:cs="Arial" w:eastAsia="Arial" w:hAnsi="Arial"/>
                <w:sz w:val="18"/>
                <w:szCs w:val="18"/>
                <w:color w:val="131E29"/>
                <w:w w:val="99"/>
              </w:rPr>
              <w:t>$</w:t>
            </w:r>
          </w:p>
        </w:tc>
        <w:tc>
          <w:tcPr>
            <w:tcW w:w="10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3,503</w:t>
            </w:r>
          </w:p>
        </w:tc>
        <w:tc>
          <w:tcPr>
            <w:tcW w:w="0" w:type="dxa"/>
            <w:vAlign w:val="bottom"/>
          </w:tcPr>
          <w:p>
            <w:pPr>
              <w:spacing w:after="0"/>
              <w:rPr>
                <w:sz w:val="1"/>
                <w:szCs w:val="1"/>
                <w:color w:val="auto"/>
              </w:rPr>
            </w:pPr>
          </w:p>
        </w:tc>
      </w:tr>
      <w:tr>
        <w:trPr>
          <w:trHeight w:val="20"/>
        </w:trPr>
        <w:tc>
          <w:tcPr>
            <w:tcW w:w="7500" w:type="dxa"/>
            <w:vAlign w:val="bottom"/>
            <w:tcBorders>
              <w:top w:val="single" w:sz="8" w:color="D2DCE5"/>
              <w:bottom w:val="single" w:sz="8" w:color="D2DCE5"/>
            </w:tcBorders>
            <w:vMerge w:val="restart"/>
          </w:tcPr>
          <w:p>
            <w:pPr>
              <w:spacing w:after="0"/>
              <w:rPr>
                <w:sz w:val="20"/>
                <w:szCs w:val="20"/>
                <w:color w:val="auto"/>
              </w:rPr>
            </w:pPr>
            <w:r>
              <w:rPr>
                <w:rFonts w:ascii="Arial" w:cs="Arial" w:eastAsia="Arial" w:hAnsi="Arial"/>
                <w:sz w:val="18"/>
                <w:szCs w:val="18"/>
                <w:color w:val="131E29"/>
              </w:rPr>
              <w:t>_______________</w:t>
            </w:r>
          </w:p>
        </w:tc>
        <w:tc>
          <w:tcPr>
            <w:tcW w:w="100" w:type="dxa"/>
            <w:vAlign w:val="bottom"/>
            <w:tcBorders>
              <w:top w:val="single" w:sz="8" w:color="D2DCE5"/>
            </w:tcBorders>
          </w:tcPr>
          <w:p>
            <w:pPr>
              <w:spacing w:after="0" w:line="20" w:lineRule="exact"/>
              <w:rPr>
                <w:sz w:val="1"/>
                <w:szCs w:val="1"/>
                <w:color w:val="auto"/>
              </w:rPr>
            </w:pPr>
          </w:p>
        </w:tc>
        <w:tc>
          <w:tcPr>
            <w:tcW w:w="60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660" w:type="dxa"/>
            <w:vAlign w:val="bottom"/>
            <w:tcBorders>
              <w:top w:val="single" w:sz="8" w:color="D2DCE5"/>
              <w:bottom w:val="single" w:sz="8" w:color="auto"/>
            </w:tcBorders>
          </w:tcPr>
          <w:p>
            <w:pPr>
              <w:spacing w:after="0" w:line="20" w:lineRule="exact"/>
              <w:rPr>
                <w:sz w:val="1"/>
                <w:szCs w:val="1"/>
                <w:color w:val="auto"/>
              </w:rPr>
            </w:pPr>
          </w:p>
        </w:tc>
        <w:tc>
          <w:tcPr>
            <w:tcW w:w="106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80" w:right="20" w:hanging="172"/>
        <w:spacing w:after="0" w:line="220" w:lineRule="auto"/>
        <w:tabs>
          <w:tab w:leader="none" w:pos="241"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Effective January 1, 2022, with our adoption of ASC 842 (</w:t>
      </w:r>
      <w:r>
        <w:rPr>
          <w:rFonts w:ascii="Arial" w:cs="Arial" w:eastAsia="Arial" w:hAnsi="Arial"/>
          <w:sz w:val="14"/>
          <w:szCs w:val="14"/>
          <w:i w:val="1"/>
          <w:iCs w:val="1"/>
          <w:color w:val="auto"/>
        </w:rPr>
        <w:t>Leases</w:t>
      </w:r>
      <w:r>
        <w:rPr>
          <w:rFonts w:ascii="Arial" w:cs="Arial" w:eastAsia="Arial" w:hAnsi="Arial"/>
          <w:sz w:val="14"/>
          <w:szCs w:val="14"/>
          <w:color w:val="auto"/>
        </w:rPr>
        <w:t>), the 2021 failed sale-leaseback transactions were remeasured and included in our lease obligations. Subsequently we entered into a failed sale-leaseback arrangement under ASC 842 during the six months ended June 30,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131E29"/>
        </w:rPr>
        <w:t>Future annual maturities of long-term debt as of September 30, 2022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5"/>
        </w:trPr>
        <w:tc>
          <w:tcPr>
            <w:tcW w:w="9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9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Remainder of 2022</w:t>
            </w:r>
          </w:p>
        </w:tc>
        <w:tc>
          <w:tcPr>
            <w:tcW w:w="480" w:type="dxa"/>
            <w:vAlign w:val="bottom"/>
            <w:tcBorders>
              <w:bottom w:val="single" w:sz="8" w:color="D2DCE5"/>
            </w:tcBorders>
            <w:shd w:val="clear" w:color="auto" w:fill="D2DCE5"/>
          </w:tcPr>
          <w:p>
            <w:pPr>
              <w:jc w:val="right"/>
              <w:ind w:right="270"/>
              <w:spacing w:after="0"/>
              <w:rPr>
                <w:sz w:val="20"/>
                <w:szCs w:val="20"/>
                <w:color w:val="auto"/>
              </w:rPr>
            </w:pPr>
            <w:r>
              <w:rPr>
                <w:rFonts w:ascii="Arial" w:cs="Arial" w:eastAsia="Arial" w:hAnsi="Arial"/>
                <w:sz w:val="18"/>
                <w:szCs w:val="18"/>
                <w:color w:val="131E29"/>
                <w:w w:val="99"/>
              </w:rPr>
              <w:t>$</w:t>
            </w: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666</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131E29"/>
              </w:rPr>
              <w:t>2023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2,667</w:t>
            </w:r>
          </w:p>
        </w:tc>
      </w:tr>
      <w:tr>
        <w:trPr>
          <w:trHeight w:val="27"/>
        </w:trPr>
        <w:tc>
          <w:tcPr>
            <w:tcW w:w="9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2024</w:t>
            </w:r>
          </w:p>
        </w:tc>
        <w:tc>
          <w:tcPr>
            <w:tcW w:w="100" w:type="dxa"/>
            <w:vAlign w:val="bottom"/>
            <w:tcBorders>
              <w:bottom w:val="single" w:sz="8" w:color="D2DCE5"/>
            </w:tcBorders>
            <w:shd w:val="clear" w:color="auto" w:fill="D2DCE5"/>
          </w:tcPr>
          <w:p>
            <w:pPr>
              <w:spacing w:after="0"/>
              <w:rPr>
                <w:sz w:val="21"/>
                <w:szCs w:val="21"/>
                <w:color w:val="auto"/>
              </w:rPr>
            </w:pPr>
          </w:p>
        </w:tc>
        <w:tc>
          <w:tcPr>
            <w:tcW w:w="48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4,549</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131E29"/>
              </w:rPr>
              <w:t>2025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7,056</w:t>
            </w:r>
          </w:p>
        </w:tc>
      </w:tr>
      <w:tr>
        <w:trPr>
          <w:trHeight w:val="27"/>
        </w:trPr>
        <w:tc>
          <w:tcPr>
            <w:tcW w:w="9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2026</w:t>
            </w:r>
          </w:p>
        </w:tc>
        <w:tc>
          <w:tcPr>
            <w:tcW w:w="100" w:type="dxa"/>
            <w:vAlign w:val="bottom"/>
            <w:tcBorders>
              <w:bottom w:val="single" w:sz="8" w:color="D2DCE5"/>
            </w:tcBorders>
            <w:shd w:val="clear" w:color="auto" w:fill="D2DCE5"/>
          </w:tcPr>
          <w:p>
            <w:pPr>
              <w:spacing w:after="0"/>
              <w:rPr>
                <w:sz w:val="21"/>
                <w:szCs w:val="21"/>
                <w:color w:val="auto"/>
              </w:rPr>
            </w:pPr>
          </w:p>
        </w:tc>
        <w:tc>
          <w:tcPr>
            <w:tcW w:w="48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13,313</w:t>
            </w:r>
          </w:p>
        </w:tc>
      </w:tr>
      <w:tr>
        <w:trPr>
          <w:trHeight w:val="243"/>
        </w:trPr>
        <w:tc>
          <w:tcPr>
            <w:tcW w:w="9660" w:type="dxa"/>
            <w:vAlign w:val="bottom"/>
            <w:gridSpan w:val="2"/>
          </w:tcPr>
          <w:p>
            <w:pPr>
              <w:ind w:left="20"/>
              <w:spacing w:after="0"/>
              <w:rPr>
                <w:sz w:val="20"/>
                <w:szCs w:val="20"/>
                <w:color w:val="auto"/>
              </w:rPr>
            </w:pPr>
            <w:r>
              <w:rPr>
                <w:rFonts w:ascii="Arial" w:cs="Arial" w:eastAsia="Arial" w:hAnsi="Arial"/>
                <w:sz w:val="18"/>
                <w:szCs w:val="18"/>
                <w:color w:val="131E29"/>
              </w:rPr>
              <w:t>Thereafter</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72,427</w:t>
            </w:r>
          </w:p>
        </w:tc>
      </w:tr>
      <w:tr>
        <w:trPr>
          <w:trHeight w:val="27"/>
        </w:trPr>
        <w:tc>
          <w:tcPr>
            <w:tcW w:w="9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9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Total</w:t>
            </w:r>
          </w:p>
        </w:tc>
        <w:tc>
          <w:tcPr>
            <w:tcW w:w="480" w:type="dxa"/>
            <w:vAlign w:val="bottom"/>
            <w:tcBorders>
              <w:bottom w:val="single" w:sz="8" w:color="auto"/>
            </w:tcBorders>
            <w:shd w:val="clear" w:color="auto" w:fill="D2DCE5"/>
          </w:tcPr>
          <w:p>
            <w:pPr>
              <w:jc w:val="right"/>
              <w:ind w:right="270"/>
              <w:spacing w:after="0"/>
              <w:rPr>
                <w:sz w:val="20"/>
                <w:szCs w:val="20"/>
                <w:color w:val="auto"/>
              </w:rPr>
            </w:pPr>
            <w:r>
              <w:rPr>
                <w:rFonts w:ascii="Arial" w:cs="Arial" w:eastAsia="Arial" w:hAnsi="Arial"/>
                <w:sz w:val="18"/>
                <w:szCs w:val="18"/>
                <w:color w:val="131E29"/>
                <w:w w:val="99"/>
              </w:rPr>
              <w:t>$</w:t>
            </w: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100,678</w:t>
            </w:r>
          </w:p>
        </w:tc>
      </w:tr>
      <w:tr>
        <w:trPr>
          <w:trHeight w:val="20"/>
        </w:trPr>
        <w:tc>
          <w:tcPr>
            <w:tcW w:w="9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80" w:type="dxa"/>
            <w:vAlign w:val="bottom"/>
            <w:tcBorders>
              <w:top w:val="single" w:sz="8" w:color="D2DCE5"/>
              <w:bottom w:val="single" w:sz="8" w:color="auto"/>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10 — Fair Value Measurements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Company’s condensed consolidated financial statements include cash and cash equivalents, accounts receivable, accounts payable, accrued expenses and other current liabilities, for which the carrying amounts approximate fair value due to their short-term maturity. The fair value of the Company’s variable-rate term loan and revolving loans approximate their carrying amounts; these debt instruments are designated as Level 2 within the fair value hierarchy, as the Company’s cost of borrowing is variable and approximates current market rates.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 Company has an interest rate swap, which is required to be measured at fair value on a recurring basis. Designated as a Level 2 instrument within the fair value hierarchy, the interest rate swap as of September 30, 2022 had a fair value of $3.3 million, and is recorded as an asset on the Company’s condensed consolidated balance sheet.</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fair value of the Company’s interest rate swap was determined based on the present value of expected future cash flows considering the risks involved, including nonperformance risk, and using discount rates appropriate for the duration based on observable inputs.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131E29"/>
        </w:rPr>
        <w:t>See NOTE 11 — Derivative Financial Instruments for additional details related to the interest rate swap.</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11 — Derivative Financial Instruments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From time to time, the Company may enter into interest rate swaps to fix a portion of interest expense. The Company does not enter into derivative instruments for any other purpose other than to manage its risks related to fluctuations in interest rates, and does not engage in interest rate speculation using derivative instruments.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As of September 30, 2022, the Company had a $70 million receive-variable, pay-fixed interest rate swap outstanding with JPMorgan Chase Bank, N.A. This interest rate swap matures on February 28, 2027 and has a fixed rate of 2.67% per annum. The variable rate on the interest rate swap is the one-month adjusted term SOFR rate plus an applicable margin. As of September 30, 2022, the one-month adjusted term SOFR rate was 3.03%.</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Company typically designates all interest rate swaps as cash flow hedges, and accordingly, records the change in fair value for the effective portion of the interest rate swap in AOCI rather than in current period earnings until the underlying hedged transaction affects earnings. As of September 30, 2022, the Company expects to reclassify a gain of approximately $1.0 million from AOCI to earnings within the next twelve months.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131E29"/>
        </w:rPr>
        <w:t>The fair value of the Company’s derivative instrument was included in the condensed consolidated balance sheet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8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380" w:type="dxa"/>
            <w:vAlign w:val="bottom"/>
            <w:gridSpan w:val="2"/>
          </w:tcPr>
          <w:p>
            <w:pPr>
              <w:ind w:left="420"/>
              <w:spacing w:after="0"/>
              <w:rPr>
                <w:sz w:val="20"/>
                <w:szCs w:val="20"/>
                <w:color w:val="auto"/>
              </w:rPr>
            </w:pPr>
            <w:r>
              <w:rPr>
                <w:rFonts w:ascii="Arial" w:cs="Arial" w:eastAsia="Arial" w:hAnsi="Arial"/>
                <w:sz w:val="18"/>
                <w:szCs w:val="18"/>
                <w:b w:val="1"/>
                <w:bCs w:val="1"/>
                <w:color w:val="131E29"/>
              </w:rPr>
              <w:t>Balance Sheet Classification</w:t>
            </w:r>
          </w:p>
        </w:tc>
        <w:tc>
          <w:tcPr>
            <w:tcW w:w="1900" w:type="dxa"/>
            <w:vAlign w:val="bottom"/>
            <w:gridSpan w:val="3"/>
          </w:tcPr>
          <w:p>
            <w:pPr>
              <w:ind w:left="60"/>
              <w:spacing w:after="0"/>
              <w:rPr>
                <w:sz w:val="20"/>
                <w:szCs w:val="20"/>
                <w:color w:val="auto"/>
              </w:rPr>
            </w:pPr>
            <w:r>
              <w:rPr>
                <w:rFonts w:ascii="Arial" w:cs="Arial" w:eastAsia="Arial" w:hAnsi="Arial"/>
                <w:sz w:val="18"/>
                <w:szCs w:val="18"/>
                <w:b w:val="1"/>
                <w:bCs w:val="1"/>
                <w:color w:val="131E29"/>
              </w:rPr>
              <w:t>September 30, 2022</w:t>
            </w:r>
          </w:p>
        </w:tc>
        <w:tc>
          <w:tcPr>
            <w:tcW w:w="120" w:type="dxa"/>
            <w:vAlign w:val="bottom"/>
          </w:tcPr>
          <w:p>
            <w:pPr>
              <w:spacing w:after="0"/>
              <w:rPr>
                <w:sz w:val="20"/>
                <w:szCs w:val="20"/>
                <w:color w:val="auto"/>
              </w:rPr>
            </w:pPr>
          </w:p>
        </w:tc>
        <w:tc>
          <w:tcPr>
            <w:tcW w:w="1760" w:type="dxa"/>
            <w:vAlign w:val="bottom"/>
          </w:tcPr>
          <w:p>
            <w:pPr>
              <w:ind w:left="20"/>
              <w:spacing w:after="0"/>
              <w:rPr>
                <w:sz w:val="20"/>
                <w:szCs w:val="20"/>
                <w:color w:val="auto"/>
              </w:rPr>
            </w:pPr>
            <w:r>
              <w:rPr>
                <w:rFonts w:ascii="Arial" w:cs="Arial" w:eastAsia="Arial" w:hAnsi="Arial"/>
                <w:sz w:val="18"/>
                <w:szCs w:val="18"/>
                <w:b w:val="1"/>
                <w:bCs w:val="1"/>
                <w:color w:val="131E29"/>
              </w:rPr>
              <w:t>December 31, 2021</w:t>
            </w:r>
          </w:p>
        </w:tc>
        <w:tc>
          <w:tcPr>
            <w:tcW w:w="0" w:type="dxa"/>
            <w:vAlign w:val="bottom"/>
          </w:tcPr>
          <w:p>
            <w:pPr>
              <w:spacing w:after="0"/>
              <w:rPr>
                <w:sz w:val="1"/>
                <w:szCs w:val="1"/>
                <w:color w:val="auto"/>
              </w:rPr>
            </w:pPr>
          </w:p>
        </w:tc>
      </w:tr>
      <w:tr>
        <w:trPr>
          <w:trHeight w:val="26"/>
        </w:trPr>
        <w:tc>
          <w:tcPr>
            <w:tcW w:w="39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Derivative instrument designated as cash flow</w:t>
            </w:r>
          </w:p>
        </w:tc>
        <w:tc>
          <w:tcPr>
            <w:tcW w:w="328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700" w:type="dxa"/>
            <w:vAlign w:val="bottom"/>
            <w:shd w:val="clear" w:color="auto" w:fill="D2DCE5"/>
          </w:tcPr>
          <w:p>
            <w:pPr>
              <w:spacing w:after="0"/>
              <w:rPr>
                <w:sz w:val="20"/>
                <w:szCs w:val="20"/>
                <w:color w:val="auto"/>
              </w:rPr>
            </w:pPr>
          </w:p>
        </w:tc>
        <w:tc>
          <w:tcPr>
            <w:tcW w:w="110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20" w:type="dxa"/>
            <w:vAlign w:val="bottom"/>
            <w:shd w:val="clear" w:color="auto" w:fill="D2DCE5"/>
          </w:tcPr>
          <w:p>
            <w:pPr>
              <w:spacing w:after="0"/>
              <w:rPr>
                <w:sz w:val="20"/>
                <w:szCs w:val="20"/>
                <w:color w:val="auto"/>
              </w:rPr>
            </w:pPr>
          </w:p>
        </w:tc>
        <w:tc>
          <w:tcPr>
            <w:tcW w:w="1760" w:type="dxa"/>
            <w:vAlign w:val="bottom"/>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hedge:</w:t>
            </w:r>
          </w:p>
        </w:tc>
        <w:tc>
          <w:tcPr>
            <w:tcW w:w="3280" w:type="dxa"/>
            <w:vAlign w:val="bottom"/>
            <w:tcBorders>
              <w:bottom w:val="single" w:sz="8" w:color="D2DCE5"/>
            </w:tcBorders>
            <w:shd w:val="clear" w:color="auto" w:fill="D2DCE5"/>
          </w:tcPr>
          <w:p>
            <w:pPr>
              <w:spacing w:after="0"/>
              <w:rPr>
                <w:sz w:val="19"/>
                <w:szCs w:val="19"/>
                <w:color w:val="auto"/>
              </w:rPr>
            </w:pPr>
          </w:p>
        </w:tc>
        <w:tc>
          <w:tcPr>
            <w:tcW w:w="100" w:type="dxa"/>
            <w:vAlign w:val="bottom"/>
            <w:tcBorders>
              <w:bottom w:val="single" w:sz="8" w:color="D2DCE5"/>
            </w:tcBorders>
            <w:shd w:val="clear" w:color="auto" w:fill="D2DCE5"/>
          </w:tcPr>
          <w:p>
            <w:pPr>
              <w:spacing w:after="0"/>
              <w:rPr>
                <w:sz w:val="19"/>
                <w:szCs w:val="19"/>
                <w:color w:val="auto"/>
              </w:rPr>
            </w:pPr>
          </w:p>
        </w:tc>
        <w:tc>
          <w:tcPr>
            <w:tcW w:w="700" w:type="dxa"/>
            <w:vAlign w:val="bottom"/>
            <w:tcBorders>
              <w:bottom w:val="single" w:sz="8" w:color="D2DCE5"/>
            </w:tcBorders>
            <w:shd w:val="clear" w:color="auto" w:fill="D2DCE5"/>
          </w:tcPr>
          <w:p>
            <w:pPr>
              <w:spacing w:after="0"/>
              <w:rPr>
                <w:sz w:val="19"/>
                <w:szCs w:val="19"/>
                <w:color w:val="auto"/>
              </w:rPr>
            </w:pPr>
          </w:p>
        </w:tc>
        <w:tc>
          <w:tcPr>
            <w:tcW w:w="1100" w:type="dxa"/>
            <w:vAlign w:val="bottom"/>
            <w:tcBorders>
              <w:bottom w:val="single" w:sz="8" w:color="D2DCE5"/>
            </w:tcBorders>
            <w:shd w:val="clear" w:color="auto" w:fill="D2DCE5"/>
          </w:tcPr>
          <w:p>
            <w:pPr>
              <w:spacing w:after="0"/>
              <w:rPr>
                <w:sz w:val="19"/>
                <w:szCs w:val="19"/>
                <w:color w:val="auto"/>
              </w:rPr>
            </w:pPr>
          </w:p>
        </w:tc>
        <w:tc>
          <w:tcPr>
            <w:tcW w:w="100" w:type="dxa"/>
            <w:vAlign w:val="bottom"/>
            <w:tcBorders>
              <w:bottom w:val="single" w:sz="8" w:color="D2DCE5"/>
            </w:tcBorders>
            <w:shd w:val="clear" w:color="auto" w:fill="D2DCE5"/>
          </w:tcPr>
          <w:p>
            <w:pPr>
              <w:spacing w:after="0"/>
              <w:rPr>
                <w:sz w:val="19"/>
                <w:szCs w:val="19"/>
                <w:color w:val="auto"/>
              </w:rPr>
            </w:pPr>
          </w:p>
        </w:tc>
        <w:tc>
          <w:tcPr>
            <w:tcW w:w="120" w:type="dxa"/>
            <w:vAlign w:val="bottom"/>
            <w:tcBorders>
              <w:bottom w:val="single" w:sz="8" w:color="D2DCE5"/>
            </w:tcBorders>
            <w:shd w:val="clear" w:color="auto" w:fill="D2DCE5"/>
          </w:tcPr>
          <w:p>
            <w:pPr>
              <w:spacing w:after="0"/>
              <w:rPr>
                <w:sz w:val="19"/>
                <w:szCs w:val="19"/>
                <w:color w:val="auto"/>
              </w:rPr>
            </w:pPr>
          </w:p>
        </w:tc>
        <w:tc>
          <w:tcPr>
            <w:tcW w:w="1760" w:type="dxa"/>
            <w:vAlign w:val="bottom"/>
            <w:tcBorders>
              <w:bottom w:val="single" w:sz="8" w:color="D2DCE5"/>
            </w:tcBorders>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131E29"/>
              </w:rPr>
              <w:t>Prepaid expenses and other current</w:t>
            </w: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080" w:type="dxa"/>
            <w:vAlign w:val="bottom"/>
            <w:gridSpan w:val="2"/>
          </w:tcPr>
          <w:p>
            <w:pPr>
              <w:ind w:left="140"/>
              <w:spacing w:after="0"/>
              <w:rPr>
                <w:sz w:val="20"/>
                <w:szCs w:val="20"/>
                <w:color w:val="auto"/>
              </w:rPr>
            </w:pPr>
            <w:r>
              <w:rPr>
                <w:rFonts w:ascii="Arial" w:cs="Arial" w:eastAsia="Arial" w:hAnsi="Arial"/>
                <w:sz w:val="18"/>
                <w:szCs w:val="18"/>
                <w:color w:val="131E29"/>
              </w:rPr>
              <w:t>Interest rate swap contract</w:t>
            </w:r>
          </w:p>
        </w:tc>
        <w:tc>
          <w:tcPr>
            <w:tcW w:w="3380" w:type="dxa"/>
            <w:vAlign w:val="bottom"/>
            <w:gridSpan w:val="2"/>
          </w:tcPr>
          <w:p>
            <w:pPr>
              <w:spacing w:after="0"/>
              <w:rPr>
                <w:sz w:val="20"/>
                <w:szCs w:val="20"/>
                <w:color w:val="auto"/>
              </w:rPr>
            </w:pPr>
            <w:r>
              <w:rPr>
                <w:rFonts w:ascii="Arial" w:cs="Arial" w:eastAsia="Arial" w:hAnsi="Arial"/>
                <w:sz w:val="18"/>
                <w:szCs w:val="18"/>
                <w:color w:val="131E29"/>
              </w:rPr>
              <w:t>assets</w:t>
            </w:r>
          </w:p>
        </w:tc>
        <w:tc>
          <w:tcPr>
            <w:tcW w:w="700" w:type="dxa"/>
            <w:vAlign w:val="bottom"/>
          </w:tcPr>
          <w:p>
            <w:pPr>
              <w:jc w:val="right"/>
              <w:ind w:right="490"/>
              <w:spacing w:after="0"/>
              <w:rPr>
                <w:sz w:val="20"/>
                <w:szCs w:val="20"/>
                <w:color w:val="auto"/>
              </w:rPr>
            </w:pPr>
            <w:r>
              <w:rPr>
                <w:rFonts w:ascii="Arial" w:cs="Arial" w:eastAsia="Arial" w:hAnsi="Arial"/>
                <w:sz w:val="18"/>
                <w:szCs w:val="18"/>
                <w:color w:val="131E29"/>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131E29"/>
              </w:rPr>
              <w:t>1,030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760" w:type="dxa"/>
            <w:vAlign w:val="bottom"/>
          </w:tcPr>
          <w:p>
            <w:pPr>
              <w:ind w:left="1500"/>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D2DCE5"/>
            </w:tcBorders>
            <w:shd w:val="clear" w:color="auto" w:fill="D2DCE5"/>
          </w:tcPr>
          <w:p>
            <w:pPr>
              <w:spacing w:after="0"/>
              <w:rPr>
                <w:sz w:val="23"/>
                <w:szCs w:val="23"/>
                <w:color w:val="auto"/>
              </w:rPr>
            </w:pPr>
          </w:p>
        </w:tc>
        <w:tc>
          <w:tcPr>
            <w:tcW w:w="100" w:type="dxa"/>
            <w:vAlign w:val="bottom"/>
            <w:tcBorders>
              <w:bottom w:val="single" w:sz="8" w:color="D2DCE5"/>
            </w:tcBorders>
            <w:shd w:val="clear" w:color="auto" w:fill="D2DCE5"/>
          </w:tcPr>
          <w:p>
            <w:pPr>
              <w:spacing w:after="0"/>
              <w:rPr>
                <w:sz w:val="23"/>
                <w:szCs w:val="23"/>
                <w:color w:val="auto"/>
              </w:rPr>
            </w:pPr>
          </w:p>
        </w:tc>
        <w:tc>
          <w:tcPr>
            <w:tcW w:w="3380" w:type="dxa"/>
            <w:vAlign w:val="bottom"/>
            <w:tcBorders>
              <w:bottom w:val="single" w:sz="8" w:color="D2DCE5"/>
            </w:tcBorders>
            <w:gridSpan w:val="2"/>
            <w:shd w:val="clear" w:color="auto" w:fill="D2DCE5"/>
          </w:tcPr>
          <w:p>
            <w:pPr>
              <w:spacing w:after="0"/>
              <w:rPr>
                <w:sz w:val="20"/>
                <w:szCs w:val="20"/>
                <w:color w:val="auto"/>
              </w:rPr>
            </w:pPr>
            <w:r>
              <w:rPr>
                <w:rFonts w:ascii="Arial" w:cs="Arial" w:eastAsia="Arial" w:hAnsi="Arial"/>
                <w:sz w:val="18"/>
                <w:szCs w:val="18"/>
                <w:color w:val="131E29"/>
              </w:rPr>
              <w:t>Other long-term assets</w:t>
            </w:r>
          </w:p>
        </w:tc>
        <w:tc>
          <w:tcPr>
            <w:tcW w:w="700" w:type="dxa"/>
            <w:vAlign w:val="bottom"/>
            <w:tcBorders>
              <w:bottom w:val="single" w:sz="8" w:color="D2DCE5"/>
            </w:tcBorders>
            <w:shd w:val="clear" w:color="auto" w:fill="D2DCE5"/>
          </w:tcPr>
          <w:p>
            <w:pPr>
              <w:spacing w:after="0"/>
              <w:rPr>
                <w:sz w:val="23"/>
                <w:szCs w:val="23"/>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2,297</w:t>
            </w:r>
          </w:p>
        </w:tc>
        <w:tc>
          <w:tcPr>
            <w:tcW w:w="100" w:type="dxa"/>
            <w:vAlign w:val="bottom"/>
            <w:tcBorders>
              <w:bottom w:val="single" w:sz="8" w:color="D2DCE5"/>
            </w:tcBorders>
            <w:shd w:val="clear" w:color="auto" w:fill="D2DCE5"/>
          </w:tcPr>
          <w:p>
            <w:pPr>
              <w:spacing w:after="0"/>
              <w:rPr>
                <w:sz w:val="23"/>
                <w:szCs w:val="23"/>
                <w:color w:val="auto"/>
              </w:rPr>
            </w:pPr>
          </w:p>
        </w:tc>
        <w:tc>
          <w:tcPr>
            <w:tcW w:w="120" w:type="dxa"/>
            <w:vAlign w:val="bottom"/>
            <w:tcBorders>
              <w:bottom w:val="single" w:sz="8" w:color="D2DCE5"/>
            </w:tcBorders>
            <w:shd w:val="clear" w:color="auto" w:fill="D2DCE5"/>
          </w:tcPr>
          <w:p>
            <w:pPr>
              <w:spacing w:after="0"/>
              <w:rPr>
                <w:sz w:val="23"/>
                <w:szCs w:val="23"/>
                <w:color w:val="auto"/>
              </w:rPr>
            </w:pPr>
          </w:p>
        </w:tc>
        <w:tc>
          <w:tcPr>
            <w:tcW w:w="1760" w:type="dxa"/>
            <w:vAlign w:val="bottom"/>
            <w:tcBorders>
              <w:bottom w:val="single" w:sz="8" w:color="D2DCE5"/>
            </w:tcBorders>
            <w:shd w:val="clear" w:color="auto" w:fill="D2DCE5"/>
          </w:tcPr>
          <w:p>
            <w:pPr>
              <w:ind w:left="1500"/>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00"/>
        </w:trPr>
        <w:tc>
          <w:tcPr>
            <w:tcW w:w="408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131E29"/>
              </w:rPr>
              <w:t>Total derivative instrument designated as</w:t>
            </w: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vMerge w:val="restart"/>
          </w:tcPr>
          <w:p>
            <w:pPr>
              <w:jc w:val="right"/>
              <w:ind w:right="490"/>
              <w:spacing w:after="0"/>
              <w:rPr>
                <w:sz w:val="20"/>
                <w:szCs w:val="20"/>
                <w:color w:val="auto"/>
              </w:rPr>
            </w:pPr>
            <w:r>
              <w:rPr>
                <w:rFonts w:ascii="Arial" w:cs="Arial" w:eastAsia="Arial" w:hAnsi="Arial"/>
                <w:sz w:val="18"/>
                <w:szCs w:val="18"/>
                <w:color w:val="131E29"/>
                <w:w w:val="9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rPr>
              <w:t>3,327</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w w:val="99"/>
              </w:rPr>
              <w:t>$</w:t>
            </w:r>
          </w:p>
        </w:tc>
        <w:tc>
          <w:tcPr>
            <w:tcW w:w="1760" w:type="dxa"/>
            <w:vAlign w:val="bottom"/>
            <w:tcBorders>
              <w:top w:val="single" w:sz="8" w:color="auto"/>
            </w:tcBorders>
            <w:vMerge w:val="restart"/>
          </w:tcPr>
          <w:p>
            <w:pPr>
              <w:ind w:left="1500"/>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44"/>
        </w:trPr>
        <w:tc>
          <w:tcPr>
            <w:tcW w:w="4080" w:type="dxa"/>
            <w:vAlign w:val="bottom"/>
            <w:gridSpan w:val="2"/>
          </w:tcPr>
          <w:p>
            <w:pPr>
              <w:ind w:left="20"/>
              <w:spacing w:after="0"/>
              <w:rPr>
                <w:sz w:val="20"/>
                <w:szCs w:val="20"/>
                <w:color w:val="auto"/>
              </w:rPr>
            </w:pPr>
            <w:r>
              <w:rPr>
                <w:rFonts w:ascii="Arial" w:cs="Arial" w:eastAsia="Arial" w:hAnsi="Arial"/>
                <w:sz w:val="18"/>
                <w:szCs w:val="18"/>
                <w:b w:val="1"/>
                <w:bCs w:val="1"/>
                <w:color w:val="131E29"/>
              </w:rPr>
              <w:t>cash flow hedge</w:t>
            </w: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7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131E29"/>
        </w:rPr>
        <w:t>The effect of its derivative instrument on the Company’s condensed consolidated statements of operations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131E29"/>
                <w:w w:val="99"/>
              </w:rPr>
              <w:t>Three Months Ended</w:t>
            </w:r>
          </w:p>
        </w:tc>
        <w:tc>
          <w:tcPr>
            <w:tcW w:w="21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131E29"/>
              </w:rPr>
              <w:t>Nine Months Ended</w:t>
            </w:r>
          </w:p>
        </w:tc>
      </w:tr>
      <w:tr>
        <w:trPr>
          <w:trHeight w:val="239"/>
        </w:trPr>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6"/>
          </w:tcPr>
          <w:p>
            <w:pPr>
              <w:jc w:val="center"/>
              <w:ind w:right="600"/>
              <w:spacing w:after="0"/>
              <w:rPr>
                <w:sz w:val="20"/>
                <w:szCs w:val="20"/>
                <w:color w:val="auto"/>
              </w:rPr>
            </w:pPr>
            <w:r>
              <w:rPr>
                <w:rFonts w:ascii="Arial" w:cs="Arial" w:eastAsia="Arial" w:hAnsi="Arial"/>
                <w:sz w:val="18"/>
                <w:szCs w:val="18"/>
                <w:b w:val="1"/>
                <w:bCs w:val="1"/>
                <w:color w:val="131E29"/>
              </w:rPr>
              <w:t>September 30,</w:t>
            </w:r>
          </w:p>
        </w:tc>
        <w:tc>
          <w:tcPr>
            <w:tcW w:w="21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131E29"/>
              </w:rPr>
              <w:t>September 30,</w:t>
            </w:r>
          </w:p>
        </w:tc>
      </w:tr>
      <w:tr>
        <w:trPr>
          <w:trHeight w:val="27"/>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0"/>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2"/>
          </w:tcPr>
          <w:p>
            <w:pPr>
              <w:jc w:val="center"/>
              <w:ind w:right="80"/>
              <w:spacing w:after="0" w:line="201" w:lineRule="exact"/>
              <w:rPr>
                <w:sz w:val="20"/>
                <w:szCs w:val="20"/>
                <w:color w:val="auto"/>
              </w:rPr>
            </w:pPr>
            <w:r>
              <w:rPr>
                <w:rFonts w:ascii="Arial" w:cs="Arial" w:eastAsia="Arial" w:hAnsi="Arial"/>
                <w:sz w:val="18"/>
                <w:szCs w:val="18"/>
                <w:b w:val="1"/>
                <w:bCs w:val="1"/>
                <w:color w:val="131E29"/>
              </w:rPr>
              <w:t>Statement of Operations</w:t>
            </w: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40"/>
        </w:trPr>
        <w:tc>
          <w:tcPr>
            <w:tcW w:w="348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26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131E29"/>
              </w:rPr>
              <w:t>Classification</w:t>
            </w: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131E29"/>
              </w:rPr>
              <w:t>2021</w:t>
            </w:r>
          </w:p>
        </w:tc>
      </w:tr>
      <w:tr>
        <w:trPr>
          <w:trHeight w:val="26"/>
        </w:trPr>
        <w:tc>
          <w:tcPr>
            <w:tcW w:w="33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6"/>
        </w:trPr>
        <w:tc>
          <w:tcPr>
            <w:tcW w:w="34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Derivative instrument designated as cash</w:t>
            </w:r>
          </w:p>
        </w:tc>
        <w:tc>
          <w:tcPr>
            <w:tcW w:w="234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p>
        </w:tc>
        <w:tc>
          <w:tcPr>
            <w:tcW w:w="10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40" w:type="dxa"/>
            <w:vAlign w:val="bottom"/>
            <w:shd w:val="clear" w:color="auto" w:fill="D2DCE5"/>
          </w:tcPr>
          <w:p>
            <w:pPr>
              <w:spacing w:after="0"/>
              <w:rPr>
                <w:sz w:val="20"/>
                <w:szCs w:val="20"/>
                <w:color w:val="auto"/>
              </w:rPr>
            </w:pPr>
          </w:p>
        </w:tc>
        <w:tc>
          <w:tcPr>
            <w:tcW w:w="90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40" w:type="dxa"/>
            <w:vAlign w:val="bottom"/>
            <w:shd w:val="clear" w:color="auto" w:fill="D2DCE5"/>
          </w:tcPr>
          <w:p>
            <w:pPr>
              <w:spacing w:after="0"/>
              <w:rPr>
                <w:sz w:val="20"/>
                <w:szCs w:val="20"/>
                <w:color w:val="auto"/>
              </w:rPr>
            </w:pPr>
          </w:p>
        </w:tc>
        <w:tc>
          <w:tcPr>
            <w:tcW w:w="9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p>
        </w:tc>
        <w:tc>
          <w:tcPr>
            <w:tcW w:w="900" w:type="dxa"/>
            <w:vAlign w:val="bottom"/>
            <w:shd w:val="clear" w:color="auto" w:fill="D2DCE5"/>
          </w:tcPr>
          <w:p>
            <w:pPr>
              <w:spacing w:after="0"/>
              <w:rPr>
                <w:sz w:val="20"/>
                <w:szCs w:val="20"/>
                <w:color w:val="auto"/>
              </w:rPr>
            </w:pPr>
          </w:p>
        </w:tc>
      </w:tr>
      <w:tr>
        <w:trPr>
          <w:trHeight w:val="224"/>
        </w:trPr>
        <w:tc>
          <w:tcPr>
            <w:tcW w:w="3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flow hedge:</w:t>
            </w:r>
          </w:p>
        </w:tc>
        <w:tc>
          <w:tcPr>
            <w:tcW w:w="2340" w:type="dxa"/>
            <w:vAlign w:val="bottom"/>
            <w:tcBorders>
              <w:bottom w:val="single" w:sz="8" w:color="D2DCE5"/>
            </w:tcBorders>
            <w:shd w:val="clear" w:color="auto" w:fill="D2DCE5"/>
          </w:tcPr>
          <w:p>
            <w:pPr>
              <w:spacing w:after="0"/>
              <w:rPr>
                <w:sz w:val="19"/>
                <w:szCs w:val="19"/>
                <w:color w:val="auto"/>
              </w:rPr>
            </w:pPr>
          </w:p>
        </w:tc>
        <w:tc>
          <w:tcPr>
            <w:tcW w:w="80" w:type="dxa"/>
            <w:vAlign w:val="bottom"/>
            <w:tcBorders>
              <w:bottom w:val="single" w:sz="8" w:color="D2DCE5"/>
            </w:tcBorders>
            <w:shd w:val="clear" w:color="auto" w:fill="D2DCE5"/>
          </w:tcPr>
          <w:p>
            <w:pPr>
              <w:spacing w:after="0"/>
              <w:rPr>
                <w:sz w:val="19"/>
                <w:szCs w:val="19"/>
                <w:color w:val="auto"/>
              </w:rPr>
            </w:pPr>
          </w:p>
        </w:tc>
        <w:tc>
          <w:tcPr>
            <w:tcW w:w="260" w:type="dxa"/>
            <w:vAlign w:val="bottom"/>
            <w:tcBorders>
              <w:bottom w:val="single" w:sz="8" w:color="D2DCE5"/>
            </w:tcBorders>
            <w:shd w:val="clear" w:color="auto" w:fill="D2DCE5"/>
          </w:tcPr>
          <w:p>
            <w:pPr>
              <w:spacing w:after="0"/>
              <w:rPr>
                <w:sz w:val="19"/>
                <w:szCs w:val="19"/>
                <w:color w:val="auto"/>
              </w:rPr>
            </w:pPr>
          </w:p>
        </w:tc>
        <w:tc>
          <w:tcPr>
            <w:tcW w:w="1060" w:type="dxa"/>
            <w:vAlign w:val="bottom"/>
            <w:tcBorders>
              <w:bottom w:val="single" w:sz="8" w:color="D2DCE5"/>
            </w:tcBorders>
            <w:shd w:val="clear" w:color="auto" w:fill="D2DCE5"/>
          </w:tcPr>
          <w:p>
            <w:pPr>
              <w:spacing w:after="0"/>
              <w:rPr>
                <w:sz w:val="19"/>
                <w:szCs w:val="19"/>
                <w:color w:val="auto"/>
              </w:rPr>
            </w:pPr>
          </w:p>
        </w:tc>
        <w:tc>
          <w:tcPr>
            <w:tcW w:w="100" w:type="dxa"/>
            <w:vAlign w:val="bottom"/>
            <w:tcBorders>
              <w:bottom w:val="single" w:sz="8" w:color="D2DCE5"/>
            </w:tcBorders>
            <w:shd w:val="clear" w:color="auto" w:fill="D2DCE5"/>
          </w:tcPr>
          <w:p>
            <w:pPr>
              <w:spacing w:after="0"/>
              <w:rPr>
                <w:sz w:val="19"/>
                <w:szCs w:val="19"/>
                <w:color w:val="auto"/>
              </w:rPr>
            </w:pPr>
          </w:p>
        </w:tc>
        <w:tc>
          <w:tcPr>
            <w:tcW w:w="240" w:type="dxa"/>
            <w:vAlign w:val="bottom"/>
            <w:tcBorders>
              <w:bottom w:val="single" w:sz="8" w:color="D2DCE5"/>
            </w:tcBorders>
            <w:shd w:val="clear" w:color="auto" w:fill="D2DCE5"/>
          </w:tcPr>
          <w:p>
            <w:pPr>
              <w:spacing w:after="0"/>
              <w:rPr>
                <w:sz w:val="19"/>
                <w:szCs w:val="19"/>
                <w:color w:val="auto"/>
              </w:rPr>
            </w:pPr>
          </w:p>
        </w:tc>
        <w:tc>
          <w:tcPr>
            <w:tcW w:w="900" w:type="dxa"/>
            <w:vAlign w:val="bottom"/>
            <w:tcBorders>
              <w:bottom w:val="single" w:sz="8" w:color="D2DCE5"/>
            </w:tcBorders>
            <w:shd w:val="clear" w:color="auto" w:fill="D2DCE5"/>
          </w:tcPr>
          <w:p>
            <w:pPr>
              <w:spacing w:after="0"/>
              <w:rPr>
                <w:sz w:val="19"/>
                <w:szCs w:val="19"/>
                <w:color w:val="auto"/>
              </w:rPr>
            </w:pPr>
          </w:p>
        </w:tc>
        <w:tc>
          <w:tcPr>
            <w:tcW w:w="100" w:type="dxa"/>
            <w:vAlign w:val="bottom"/>
            <w:tcBorders>
              <w:bottom w:val="single" w:sz="8" w:color="D2DCE5"/>
            </w:tcBorders>
            <w:shd w:val="clear" w:color="auto" w:fill="D2DCE5"/>
          </w:tcPr>
          <w:p>
            <w:pPr>
              <w:spacing w:after="0"/>
              <w:rPr>
                <w:sz w:val="19"/>
                <w:szCs w:val="19"/>
                <w:color w:val="auto"/>
              </w:rPr>
            </w:pPr>
          </w:p>
        </w:tc>
        <w:tc>
          <w:tcPr>
            <w:tcW w:w="240" w:type="dxa"/>
            <w:vAlign w:val="bottom"/>
            <w:tcBorders>
              <w:bottom w:val="single" w:sz="8" w:color="D2DCE5"/>
            </w:tcBorders>
            <w:shd w:val="clear" w:color="auto" w:fill="D2DCE5"/>
          </w:tcPr>
          <w:p>
            <w:pPr>
              <w:spacing w:after="0"/>
              <w:rPr>
                <w:sz w:val="19"/>
                <w:szCs w:val="19"/>
                <w:color w:val="auto"/>
              </w:rPr>
            </w:pPr>
          </w:p>
        </w:tc>
        <w:tc>
          <w:tcPr>
            <w:tcW w:w="920" w:type="dxa"/>
            <w:vAlign w:val="bottom"/>
            <w:tcBorders>
              <w:bottom w:val="single" w:sz="8" w:color="D2DCE5"/>
            </w:tcBorders>
            <w:shd w:val="clear" w:color="auto" w:fill="D2DCE5"/>
          </w:tcPr>
          <w:p>
            <w:pPr>
              <w:spacing w:after="0"/>
              <w:rPr>
                <w:sz w:val="19"/>
                <w:szCs w:val="19"/>
                <w:color w:val="auto"/>
              </w:rPr>
            </w:pPr>
          </w:p>
        </w:tc>
        <w:tc>
          <w:tcPr>
            <w:tcW w:w="100" w:type="dxa"/>
            <w:vAlign w:val="bottom"/>
            <w:tcBorders>
              <w:bottom w:val="single" w:sz="8" w:color="D2DCE5"/>
            </w:tcBorders>
            <w:shd w:val="clear" w:color="auto" w:fill="D2DCE5"/>
          </w:tcPr>
          <w:p>
            <w:pPr>
              <w:spacing w:after="0"/>
              <w:rPr>
                <w:sz w:val="19"/>
                <w:szCs w:val="19"/>
                <w:color w:val="auto"/>
              </w:rPr>
            </w:pPr>
          </w:p>
        </w:tc>
        <w:tc>
          <w:tcPr>
            <w:tcW w:w="260" w:type="dxa"/>
            <w:vAlign w:val="bottom"/>
            <w:tcBorders>
              <w:bottom w:val="single" w:sz="8" w:color="D2DCE5"/>
            </w:tcBorders>
            <w:shd w:val="clear" w:color="auto" w:fill="D2DCE5"/>
          </w:tcPr>
          <w:p>
            <w:pPr>
              <w:spacing w:after="0"/>
              <w:rPr>
                <w:sz w:val="19"/>
                <w:szCs w:val="19"/>
                <w:color w:val="auto"/>
              </w:rPr>
            </w:pPr>
          </w:p>
        </w:tc>
        <w:tc>
          <w:tcPr>
            <w:tcW w:w="900" w:type="dxa"/>
            <w:vAlign w:val="bottom"/>
            <w:tcBorders>
              <w:bottom w:val="single" w:sz="8" w:color="D2DCE5"/>
            </w:tcBorders>
            <w:shd w:val="clear" w:color="auto" w:fill="D2DCE5"/>
          </w:tcPr>
          <w:p>
            <w:pPr>
              <w:spacing w:after="0"/>
              <w:rPr>
                <w:sz w:val="19"/>
                <w:szCs w:val="19"/>
                <w:color w:val="auto"/>
              </w:rPr>
            </w:pPr>
          </w:p>
        </w:tc>
      </w:tr>
      <w:tr>
        <w:trPr>
          <w:trHeight w:val="242"/>
        </w:trPr>
        <w:tc>
          <w:tcPr>
            <w:tcW w:w="3480" w:type="dxa"/>
            <w:vAlign w:val="bottom"/>
            <w:gridSpan w:val="2"/>
          </w:tcPr>
          <w:p>
            <w:pPr>
              <w:ind w:left="140"/>
              <w:spacing w:after="0"/>
              <w:rPr>
                <w:sz w:val="20"/>
                <w:szCs w:val="20"/>
                <w:color w:val="auto"/>
              </w:rPr>
            </w:pPr>
            <w:r>
              <w:rPr>
                <w:rFonts w:ascii="Arial" w:cs="Arial" w:eastAsia="Arial" w:hAnsi="Arial"/>
                <w:sz w:val="18"/>
                <w:szCs w:val="18"/>
                <w:color w:val="131E29"/>
              </w:rPr>
              <w:t>Income recognized in other</w:t>
            </w:r>
          </w:p>
        </w:tc>
        <w:tc>
          <w:tcPr>
            <w:tcW w:w="2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6"/>
        </w:trPr>
        <w:tc>
          <w:tcPr>
            <w:tcW w:w="3480" w:type="dxa"/>
            <w:vAlign w:val="bottom"/>
            <w:gridSpan w:val="2"/>
          </w:tcPr>
          <w:p>
            <w:pPr>
              <w:ind w:left="140"/>
              <w:spacing w:after="0"/>
              <w:rPr>
                <w:sz w:val="20"/>
                <w:szCs w:val="20"/>
                <w:color w:val="auto"/>
              </w:rPr>
            </w:pPr>
            <w:r>
              <w:rPr>
                <w:rFonts w:ascii="Arial" w:cs="Arial" w:eastAsia="Arial" w:hAnsi="Arial"/>
                <w:sz w:val="18"/>
                <w:szCs w:val="18"/>
                <w:color w:val="131E29"/>
              </w:rPr>
              <w:t>comprehensive income before</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3480" w:type="dxa"/>
            <w:vAlign w:val="bottom"/>
            <w:gridSpan w:val="2"/>
          </w:tcPr>
          <w:p>
            <w:pPr>
              <w:ind w:left="140"/>
              <w:spacing w:after="0"/>
              <w:rPr>
                <w:sz w:val="20"/>
                <w:szCs w:val="20"/>
                <w:color w:val="auto"/>
              </w:rPr>
            </w:pPr>
            <w:r>
              <w:rPr>
                <w:rFonts w:ascii="Arial" w:cs="Arial" w:eastAsia="Arial" w:hAnsi="Arial"/>
                <w:sz w:val="18"/>
                <w:szCs w:val="18"/>
                <w:color w:val="131E29"/>
              </w:rPr>
              <w:t>reclassifications</w:t>
            </w:r>
          </w:p>
        </w:tc>
        <w:tc>
          <w:tcPr>
            <w:tcW w:w="2680" w:type="dxa"/>
            <w:vAlign w:val="bottom"/>
            <w:gridSpan w:val="3"/>
          </w:tcPr>
          <w:p>
            <w:pPr>
              <w:jc w:val="right"/>
              <w:ind w:right="140"/>
              <w:spacing w:after="0"/>
              <w:rPr>
                <w:sz w:val="20"/>
                <w:szCs w:val="20"/>
                <w:color w:val="auto"/>
              </w:rPr>
            </w:pPr>
            <w:r>
              <w:rPr>
                <w:rFonts w:ascii="Arial" w:cs="Arial" w:eastAsia="Arial" w:hAnsi="Arial"/>
                <w:sz w:val="18"/>
                <w:szCs w:val="18"/>
                <w:color w:val="131E29"/>
              </w:rPr>
              <w:t>$</w:t>
            </w:r>
          </w:p>
        </w:tc>
        <w:tc>
          <w:tcPr>
            <w:tcW w:w="1060" w:type="dxa"/>
            <w:vAlign w:val="bottom"/>
          </w:tcPr>
          <w:p>
            <w:pPr>
              <w:jc w:val="right"/>
              <w:spacing w:after="0"/>
              <w:rPr>
                <w:sz w:val="20"/>
                <w:szCs w:val="20"/>
                <w:color w:val="auto"/>
              </w:rPr>
            </w:pPr>
            <w:r>
              <w:rPr>
                <w:rFonts w:ascii="Arial" w:cs="Arial" w:eastAsia="Arial" w:hAnsi="Arial"/>
                <w:sz w:val="18"/>
                <w:szCs w:val="18"/>
                <w:color w:val="131E29"/>
              </w:rPr>
              <w:t>2,651</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131E29"/>
                <w:w w:val="79"/>
              </w:rPr>
              <w:t>$</w:t>
            </w:r>
          </w:p>
        </w:tc>
        <w:tc>
          <w:tcPr>
            <w:tcW w:w="1240" w:type="dxa"/>
            <w:vAlign w:val="bottom"/>
            <w:gridSpan w:val="3"/>
          </w:tcPr>
          <w:p>
            <w:pPr>
              <w:ind w:left="640"/>
              <w:spacing w:after="0"/>
              <w:rPr>
                <w:sz w:val="20"/>
                <w:szCs w:val="20"/>
                <w:color w:val="auto"/>
              </w:rPr>
            </w:pPr>
            <w:r>
              <w:rPr>
                <w:rFonts w:ascii="Arial" w:cs="Arial" w:eastAsia="Arial" w:hAnsi="Arial"/>
                <w:sz w:val="18"/>
                <w:szCs w:val="18"/>
                <w:color w:val="131E29"/>
              </w:rPr>
              <w:t>—  $</w:t>
            </w:r>
          </w:p>
        </w:tc>
        <w:tc>
          <w:tcPr>
            <w:tcW w:w="920" w:type="dxa"/>
            <w:vAlign w:val="bottom"/>
          </w:tcPr>
          <w:p>
            <w:pPr>
              <w:jc w:val="right"/>
              <w:spacing w:after="0"/>
              <w:rPr>
                <w:sz w:val="20"/>
                <w:szCs w:val="20"/>
                <w:color w:val="auto"/>
              </w:rPr>
            </w:pPr>
            <w:r>
              <w:rPr>
                <w:rFonts w:ascii="Arial" w:cs="Arial" w:eastAsia="Arial" w:hAnsi="Arial"/>
                <w:sz w:val="18"/>
                <w:szCs w:val="18"/>
                <w:color w:val="131E29"/>
              </w:rPr>
              <w:t>2,935</w:t>
            </w:r>
          </w:p>
        </w:tc>
        <w:tc>
          <w:tcPr>
            <w:tcW w:w="1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131E29"/>
                <w:w w:val="99"/>
              </w:rPr>
              <w:t>$</w:t>
            </w:r>
          </w:p>
        </w:tc>
        <w:tc>
          <w:tcPr>
            <w:tcW w:w="900" w:type="dxa"/>
            <w:vAlign w:val="bottom"/>
          </w:tcPr>
          <w:p>
            <w:pPr>
              <w:ind w:left="640"/>
              <w:spacing w:after="0"/>
              <w:rPr>
                <w:sz w:val="20"/>
                <w:szCs w:val="20"/>
                <w:color w:val="auto"/>
              </w:rPr>
            </w:pPr>
            <w:r>
              <w:rPr>
                <w:rFonts w:ascii="Arial" w:cs="Arial" w:eastAsia="Arial" w:hAnsi="Arial"/>
                <w:sz w:val="18"/>
                <w:szCs w:val="18"/>
                <w:color w:val="131E29"/>
              </w:rPr>
              <w:t>—</w:t>
            </w:r>
          </w:p>
        </w:tc>
      </w:tr>
      <w:tr>
        <w:trPr>
          <w:trHeight w:val="27"/>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2"/>
        </w:trPr>
        <w:tc>
          <w:tcPr>
            <w:tcW w:w="348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Reclassification from accumulated other</w:t>
            </w:r>
          </w:p>
        </w:tc>
        <w:tc>
          <w:tcPr>
            <w:tcW w:w="234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10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90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9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00" w:type="dxa"/>
            <w:vAlign w:val="bottom"/>
            <w:shd w:val="clear" w:color="auto" w:fill="D2DCE5"/>
          </w:tcPr>
          <w:p>
            <w:pPr>
              <w:spacing w:after="0"/>
              <w:rPr>
                <w:sz w:val="21"/>
                <w:szCs w:val="21"/>
                <w:color w:val="auto"/>
              </w:rPr>
            </w:pPr>
          </w:p>
        </w:tc>
      </w:tr>
      <w:tr>
        <w:trPr>
          <w:trHeight w:val="216"/>
        </w:trPr>
        <w:tc>
          <w:tcPr>
            <w:tcW w:w="348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comprehensive income to earnings for</w:t>
            </w:r>
          </w:p>
        </w:tc>
        <w:tc>
          <w:tcPr>
            <w:tcW w:w="23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10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9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9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900" w:type="dxa"/>
            <w:vAlign w:val="bottom"/>
            <w:shd w:val="clear" w:color="auto" w:fill="D2DCE5"/>
          </w:tcPr>
          <w:p>
            <w:pPr>
              <w:spacing w:after="0"/>
              <w:rPr>
                <w:sz w:val="18"/>
                <w:szCs w:val="18"/>
                <w:color w:val="auto"/>
              </w:rPr>
            </w:pPr>
          </w:p>
        </w:tc>
      </w:tr>
      <w:tr>
        <w:trPr>
          <w:trHeight w:val="224"/>
        </w:trPr>
        <w:tc>
          <w:tcPr>
            <w:tcW w:w="348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color w:val="131E29"/>
              </w:rPr>
              <w:t>the effective portion</w:t>
            </w:r>
          </w:p>
        </w:tc>
        <w:tc>
          <w:tcPr>
            <w:tcW w:w="268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8"/>
                <w:szCs w:val="18"/>
                <w:color w:val="131E29"/>
              </w:rPr>
              <w:t>Interest expense, net</w:t>
            </w: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77</w:t>
            </w:r>
          </w:p>
        </w:tc>
        <w:tc>
          <w:tcPr>
            <w:tcW w:w="100" w:type="dxa"/>
            <w:vAlign w:val="bottom"/>
            <w:tcBorders>
              <w:bottom w:val="single" w:sz="8" w:color="D2DCE5"/>
            </w:tcBorders>
            <w:shd w:val="clear" w:color="auto" w:fill="D2DCE5"/>
          </w:tcPr>
          <w:p>
            <w:pPr>
              <w:spacing w:after="0"/>
              <w:rPr>
                <w:sz w:val="19"/>
                <w:szCs w:val="19"/>
                <w:color w:val="auto"/>
              </w:rPr>
            </w:pPr>
          </w:p>
        </w:tc>
        <w:tc>
          <w:tcPr>
            <w:tcW w:w="240" w:type="dxa"/>
            <w:vAlign w:val="bottom"/>
            <w:tcBorders>
              <w:bottom w:val="single" w:sz="8" w:color="D2DCE5"/>
            </w:tcBorders>
            <w:shd w:val="clear" w:color="auto" w:fill="D2DCE5"/>
          </w:tcPr>
          <w:p>
            <w:pPr>
              <w:spacing w:after="0"/>
              <w:rPr>
                <w:sz w:val="19"/>
                <w:szCs w:val="19"/>
                <w:color w:val="auto"/>
              </w:rPr>
            </w:pPr>
          </w:p>
        </w:tc>
        <w:tc>
          <w:tcPr>
            <w:tcW w:w="1240" w:type="dxa"/>
            <w:vAlign w:val="bottom"/>
            <w:tcBorders>
              <w:bottom w:val="single" w:sz="8" w:color="D2DCE5"/>
            </w:tcBorders>
            <w:gridSpan w:val="3"/>
            <w:shd w:val="clear" w:color="auto" w:fill="D2DCE5"/>
          </w:tcPr>
          <w:p>
            <w:pPr>
              <w:ind w:left="640"/>
              <w:spacing w:after="0"/>
              <w:rPr>
                <w:sz w:val="20"/>
                <w:szCs w:val="20"/>
                <w:color w:val="auto"/>
              </w:rPr>
            </w:pPr>
            <w:r>
              <w:rPr>
                <w:rFonts w:ascii="Arial" w:cs="Arial" w:eastAsia="Arial" w:hAnsi="Arial"/>
                <w:sz w:val="18"/>
                <w:szCs w:val="18"/>
                <w:color w:val="131E29"/>
              </w:rPr>
              <w:t>—</w:t>
            </w: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409</w:t>
            </w:r>
          </w:p>
        </w:tc>
        <w:tc>
          <w:tcPr>
            <w:tcW w:w="100" w:type="dxa"/>
            <w:vAlign w:val="bottom"/>
            <w:tcBorders>
              <w:bottom w:val="single" w:sz="8" w:color="D2DCE5"/>
            </w:tcBorders>
            <w:shd w:val="clear" w:color="auto" w:fill="D2DCE5"/>
          </w:tcPr>
          <w:p>
            <w:pPr>
              <w:spacing w:after="0"/>
              <w:rPr>
                <w:sz w:val="19"/>
                <w:szCs w:val="19"/>
                <w:color w:val="auto"/>
              </w:rPr>
            </w:pPr>
          </w:p>
        </w:tc>
        <w:tc>
          <w:tcPr>
            <w:tcW w:w="260" w:type="dxa"/>
            <w:vAlign w:val="bottom"/>
            <w:tcBorders>
              <w:bottom w:val="single" w:sz="8" w:color="D2DCE5"/>
            </w:tcBorders>
            <w:shd w:val="clear" w:color="auto" w:fill="D2DCE5"/>
          </w:tcPr>
          <w:p>
            <w:pPr>
              <w:spacing w:after="0"/>
              <w:rPr>
                <w:sz w:val="19"/>
                <w:szCs w:val="19"/>
                <w:color w:val="auto"/>
              </w:rPr>
            </w:pPr>
          </w:p>
        </w:tc>
        <w:tc>
          <w:tcPr>
            <w:tcW w:w="900" w:type="dxa"/>
            <w:vAlign w:val="bottom"/>
            <w:tcBorders>
              <w:bottom w:val="single" w:sz="8" w:color="D2DCE5"/>
            </w:tcBorders>
            <w:shd w:val="clear" w:color="auto" w:fill="D2DCE5"/>
          </w:tcPr>
          <w:p>
            <w:pPr>
              <w:ind w:left="640"/>
              <w:spacing w:after="0"/>
              <w:rPr>
                <w:sz w:val="20"/>
                <w:szCs w:val="20"/>
                <w:color w:val="auto"/>
              </w:rPr>
            </w:pPr>
            <w:r>
              <w:rPr>
                <w:rFonts w:ascii="Arial" w:cs="Arial" w:eastAsia="Arial" w:hAnsi="Arial"/>
                <w:sz w:val="18"/>
                <w:szCs w:val="18"/>
                <w:color w:val="131E29"/>
              </w:rPr>
              <w:t>—</w:t>
            </w:r>
          </w:p>
        </w:tc>
      </w:tr>
      <w:tr>
        <w:trPr>
          <w:trHeight w:val="243"/>
        </w:trPr>
        <w:tc>
          <w:tcPr>
            <w:tcW w:w="3480" w:type="dxa"/>
            <w:vAlign w:val="bottom"/>
            <w:gridSpan w:val="2"/>
          </w:tcPr>
          <w:p>
            <w:pPr>
              <w:ind w:left="140"/>
              <w:spacing w:after="0"/>
              <w:rPr>
                <w:sz w:val="20"/>
                <w:szCs w:val="20"/>
                <w:color w:val="auto"/>
              </w:rPr>
            </w:pPr>
            <w:r>
              <w:rPr>
                <w:rFonts w:ascii="Arial" w:cs="Arial" w:eastAsia="Arial" w:hAnsi="Arial"/>
                <w:sz w:val="18"/>
                <w:szCs w:val="18"/>
                <w:color w:val="131E29"/>
              </w:rPr>
              <w:t>Income tax expense</w:t>
            </w:r>
          </w:p>
        </w:tc>
        <w:tc>
          <w:tcPr>
            <w:tcW w:w="2680" w:type="dxa"/>
            <w:vAlign w:val="bottom"/>
            <w:gridSpan w:val="3"/>
          </w:tcPr>
          <w:p>
            <w:pPr>
              <w:ind w:left="20"/>
              <w:spacing w:after="0"/>
              <w:rPr>
                <w:sz w:val="20"/>
                <w:szCs w:val="20"/>
                <w:color w:val="auto"/>
              </w:rPr>
            </w:pPr>
            <w:r>
              <w:rPr>
                <w:rFonts w:ascii="Arial" w:cs="Arial" w:eastAsia="Arial" w:hAnsi="Arial"/>
                <w:sz w:val="18"/>
                <w:szCs w:val="18"/>
                <w:color w:val="131E29"/>
              </w:rPr>
              <w:t>Income tax expense</w:t>
            </w:r>
          </w:p>
        </w:tc>
        <w:tc>
          <w:tcPr>
            <w:tcW w:w="1060" w:type="dxa"/>
            <w:vAlign w:val="bottom"/>
          </w:tcPr>
          <w:p>
            <w:pPr>
              <w:jc w:val="right"/>
              <w:spacing w:after="0"/>
              <w:rPr>
                <w:sz w:val="20"/>
                <w:szCs w:val="20"/>
                <w:color w:val="auto"/>
              </w:rPr>
            </w:pPr>
            <w:r>
              <w:rPr>
                <w:rFonts w:ascii="Arial" w:cs="Arial" w:eastAsia="Arial" w:hAnsi="Arial"/>
                <w:sz w:val="18"/>
                <w:szCs w:val="18"/>
                <w:color w:val="131E29"/>
              </w:rPr>
              <w:t>(244)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ind w:left="640"/>
              <w:spacing w:after="0"/>
              <w:rPr>
                <w:sz w:val="20"/>
                <w:szCs w:val="20"/>
                <w:color w:val="auto"/>
              </w:rPr>
            </w:pPr>
            <w:r>
              <w:rPr>
                <w:rFonts w:ascii="Arial" w:cs="Arial" w:eastAsia="Arial" w:hAnsi="Arial"/>
                <w:sz w:val="18"/>
                <w:szCs w:val="18"/>
                <w:color w:val="131E29"/>
              </w:rPr>
              <w:t>—</w:t>
            </w:r>
          </w:p>
        </w:tc>
        <w:tc>
          <w:tcPr>
            <w:tcW w:w="920" w:type="dxa"/>
            <w:vAlign w:val="bottom"/>
          </w:tcPr>
          <w:p>
            <w:pPr>
              <w:jc w:val="right"/>
              <w:spacing w:after="0"/>
              <w:rPr>
                <w:sz w:val="20"/>
                <w:szCs w:val="20"/>
                <w:color w:val="auto"/>
              </w:rPr>
            </w:pPr>
            <w:r>
              <w:rPr>
                <w:rFonts w:ascii="Arial" w:cs="Arial" w:eastAsia="Arial" w:hAnsi="Arial"/>
                <w:sz w:val="18"/>
                <w:szCs w:val="18"/>
                <w:color w:val="131E29"/>
              </w:rPr>
              <w:t>(294)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131E29"/>
              </w:rPr>
              <w:t>—</w:t>
            </w:r>
          </w:p>
        </w:tc>
      </w:tr>
    </w:tbl>
    <w:p>
      <w:pPr>
        <w:spacing w:after="0" w:line="28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131E29"/>
        </w:rPr>
        <w:t>For additional information related to the Company’s derivative, see NOTE 2 — Basis of Presentation and Summary of Significant Accounting Policies and NOTE 10 — Fair Value Measurements.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12 — Income Taxes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6"/>
          </w:tcPr>
          <w:p>
            <w:pPr>
              <w:ind w:left="40"/>
              <w:spacing w:after="0"/>
              <w:rPr>
                <w:sz w:val="20"/>
                <w:szCs w:val="20"/>
                <w:color w:val="auto"/>
              </w:rPr>
            </w:pPr>
            <w:r>
              <w:rPr>
                <w:rFonts w:ascii="Arial" w:cs="Arial" w:eastAsia="Arial" w:hAnsi="Arial"/>
                <w:sz w:val="18"/>
                <w:szCs w:val="18"/>
                <w:b w:val="1"/>
                <w:bCs w:val="1"/>
                <w:color w:val="131E29"/>
              </w:rPr>
              <w:t>Three Months Ended September</w:t>
            </w:r>
          </w:p>
        </w:tc>
        <w:tc>
          <w:tcPr>
            <w:tcW w:w="140" w:type="dxa"/>
            <w:vAlign w:val="bottom"/>
          </w:tcPr>
          <w:p>
            <w:pPr>
              <w:spacing w:after="0"/>
              <w:rPr>
                <w:sz w:val="18"/>
                <w:szCs w:val="18"/>
                <w:color w:val="auto"/>
              </w:rPr>
            </w:pPr>
          </w:p>
        </w:tc>
        <w:tc>
          <w:tcPr>
            <w:tcW w:w="284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131E29"/>
                <w:w w:val="99"/>
              </w:rPr>
              <w:t>Nine Months Ended September</w:t>
            </w:r>
          </w:p>
        </w:tc>
      </w:tr>
      <w:tr>
        <w:trPr>
          <w:trHeight w:val="239"/>
        </w:trPr>
        <w:tc>
          <w:tcPr>
            <w:tcW w:w="5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131E29"/>
                <w:w w:val="95"/>
              </w:rPr>
              <w:t>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131E29"/>
              </w:rPr>
              <w:t>30,</w:t>
            </w:r>
          </w:p>
        </w:tc>
        <w:tc>
          <w:tcPr>
            <w:tcW w:w="1120" w:type="dxa"/>
            <w:vAlign w:val="bottom"/>
          </w:tcPr>
          <w:p>
            <w:pPr>
              <w:spacing w:after="0"/>
              <w:rPr>
                <w:sz w:val="20"/>
                <w:szCs w:val="20"/>
                <w:color w:val="auto"/>
              </w:rPr>
            </w:pPr>
          </w:p>
        </w:tc>
      </w:tr>
      <w:tr>
        <w:trPr>
          <w:trHeight w:val="27"/>
        </w:trPr>
        <w:tc>
          <w:tcPr>
            <w:tcW w:w="53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534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28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131E29"/>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131E29"/>
              </w:rPr>
              <w:t>2021</w:t>
            </w:r>
          </w:p>
        </w:tc>
      </w:tr>
      <w:tr>
        <w:trPr>
          <w:trHeight w:val="25"/>
        </w:trPr>
        <w:tc>
          <w:tcPr>
            <w:tcW w:w="52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131E29"/>
            </w:tcBorders>
          </w:tcPr>
          <w:p>
            <w:pPr>
              <w:spacing w:after="0"/>
              <w:rPr>
                <w:sz w:val="2"/>
                <w:szCs w:val="2"/>
                <w:color w:val="auto"/>
              </w:rPr>
            </w:pPr>
          </w:p>
        </w:tc>
        <w:tc>
          <w:tcPr>
            <w:tcW w:w="110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40" w:type="dxa"/>
            <w:vAlign w:val="bottom"/>
            <w:tcBorders>
              <w:bottom w:val="single" w:sz="8" w:color="131E29"/>
            </w:tcBorders>
          </w:tcPr>
          <w:p>
            <w:pPr>
              <w:spacing w:after="0"/>
              <w:rPr>
                <w:sz w:val="2"/>
                <w:szCs w:val="2"/>
                <w:color w:val="auto"/>
              </w:rPr>
            </w:pPr>
          </w:p>
        </w:tc>
        <w:tc>
          <w:tcPr>
            <w:tcW w:w="1160" w:type="dxa"/>
            <w:vAlign w:val="bottom"/>
            <w:tcBorders>
              <w:bottom w:val="single" w:sz="8" w:color="131E29"/>
            </w:tcBorders>
          </w:tcPr>
          <w:p>
            <w:pPr>
              <w:spacing w:after="0"/>
              <w:rPr>
                <w:sz w:val="2"/>
                <w:szCs w:val="2"/>
                <w:color w:val="auto"/>
              </w:rPr>
            </w:pPr>
          </w:p>
        </w:tc>
        <w:tc>
          <w:tcPr>
            <w:tcW w:w="1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131E29"/>
            </w:tcBorders>
          </w:tcPr>
          <w:p>
            <w:pPr>
              <w:spacing w:after="0"/>
              <w:rPr>
                <w:sz w:val="2"/>
                <w:szCs w:val="2"/>
                <w:color w:val="auto"/>
              </w:rPr>
            </w:pPr>
          </w:p>
        </w:tc>
        <w:tc>
          <w:tcPr>
            <w:tcW w:w="1120" w:type="dxa"/>
            <w:vAlign w:val="bottom"/>
            <w:tcBorders>
              <w:bottom w:val="single" w:sz="8" w:color="131E29"/>
            </w:tcBorders>
          </w:tcPr>
          <w:p>
            <w:pPr>
              <w:spacing w:after="0"/>
              <w:rPr>
                <w:sz w:val="2"/>
                <w:szCs w:val="2"/>
                <w:color w:val="auto"/>
              </w:rPr>
            </w:pPr>
          </w:p>
        </w:tc>
      </w:tr>
      <w:tr>
        <w:trPr>
          <w:trHeight w:val="243"/>
        </w:trPr>
        <w:tc>
          <w:tcPr>
            <w:tcW w:w="53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tax benefit</w:t>
            </w:r>
          </w:p>
        </w:tc>
        <w:tc>
          <w:tcPr>
            <w:tcW w:w="28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w:t>
            </w: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(3,371)</w:t>
            </w:r>
          </w:p>
        </w:tc>
        <w:tc>
          <w:tcPr>
            <w:tcW w:w="440" w:type="dxa"/>
            <w:vAlign w:val="bottom"/>
            <w:tcBorders>
              <w:bottom w:val="single" w:sz="8" w:color="D2DCE5"/>
            </w:tcBorders>
            <w:gridSpan w:val="2"/>
            <w:shd w:val="clear" w:color="auto" w:fill="D2DCE5"/>
          </w:tcPr>
          <w:p>
            <w:pPr>
              <w:jc w:val="right"/>
              <w:ind w:right="220"/>
              <w:spacing w:after="0"/>
              <w:rPr>
                <w:sz w:val="20"/>
                <w:szCs w:val="20"/>
                <w:color w:val="auto"/>
              </w:rPr>
            </w:pPr>
            <w:r>
              <w:rPr>
                <w:rFonts w:ascii="Arial" w:cs="Arial" w:eastAsia="Arial" w:hAnsi="Arial"/>
                <w:sz w:val="18"/>
                <w:szCs w:val="18"/>
                <w:color w:val="131E29"/>
              </w:rPr>
              <w:t>$</w:t>
            </w:r>
          </w:p>
        </w:tc>
        <w:tc>
          <w:tcPr>
            <w:tcW w:w="110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rPr>
              <w:t>(1,280)</w:t>
            </w: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(2,700)</w:t>
            </w:r>
          </w:p>
        </w:tc>
        <w:tc>
          <w:tcPr>
            <w:tcW w:w="560" w:type="dxa"/>
            <w:vAlign w:val="bottom"/>
            <w:tcBorders>
              <w:bottom w:val="single" w:sz="8" w:color="D2DCE5"/>
            </w:tcBorders>
            <w:gridSpan w:val="3"/>
            <w:shd w:val="clear" w:color="auto" w:fill="D2DCE5"/>
          </w:tcPr>
          <w:p>
            <w:pPr>
              <w:jc w:val="right"/>
              <w:ind w:right="200"/>
              <w:spacing w:after="0"/>
              <w:rPr>
                <w:sz w:val="20"/>
                <w:szCs w:val="20"/>
                <w:color w:val="auto"/>
              </w:rPr>
            </w:pPr>
            <w:r>
              <w:rPr>
                <w:rFonts w:ascii="Arial" w:cs="Arial" w:eastAsia="Arial" w:hAnsi="Arial"/>
                <w:sz w:val="18"/>
                <w:szCs w:val="18"/>
                <w:color w:val="131E29"/>
              </w:rPr>
              <w:t>$</w:t>
            </w:r>
          </w:p>
        </w:tc>
        <w:tc>
          <w:tcPr>
            <w:tcW w:w="112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rPr>
              <w:t>(716)</w:t>
            </w:r>
          </w:p>
        </w:tc>
      </w:tr>
      <w:tr>
        <w:trPr>
          <w:trHeight w:val="243"/>
        </w:trPr>
        <w:tc>
          <w:tcPr>
            <w:tcW w:w="5340" w:type="dxa"/>
            <w:vAlign w:val="bottom"/>
            <w:gridSpan w:val="2"/>
          </w:tcPr>
          <w:p>
            <w:pPr>
              <w:ind w:left="20"/>
              <w:spacing w:after="0"/>
              <w:rPr>
                <w:sz w:val="20"/>
                <w:szCs w:val="20"/>
                <w:color w:val="auto"/>
              </w:rPr>
            </w:pPr>
            <w:r>
              <w:rPr>
                <w:rFonts w:ascii="Arial" w:cs="Arial" w:eastAsia="Arial" w:hAnsi="Arial"/>
                <w:sz w:val="18"/>
                <w:szCs w:val="18"/>
                <w:color w:val="131E29"/>
              </w:rPr>
              <w:t>Effective tax rate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131E29"/>
              </w:rPr>
              <w:t>N/M</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1.1 %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131E29"/>
              </w:rPr>
              <w:t>14.1 %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131E29"/>
              </w:rPr>
              <w:t>0.6 %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and Nine Months Ended September 30, 2022 v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31E29"/>
        </w:rPr>
        <w:t>The increase in tax benefit was primarily driven by adjustments to the outside basis differences as a result of the 2021 tax filings.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As a result of the Secondary Offerings, the Company recorded an additional deferred tax asset, net of valuation allowance, of $130.6 million, which primarily consists of the Company’s outside basis differences in its limited liability company subsidiaries. As of September 30, 2022, the Company recognized deferred tax assets of approximately $293.1 million, net of a valuation allowance of approximately $1.5 million.</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Secondary Offerings also resulted in the Company recording additional liability of $114.7 million related to the TRAs. As of September 30, 2022, the Company had a liability of approximat</w:t>
      </w:r>
      <w:r>
        <w:rPr>
          <w:rFonts w:ascii="Arial" w:cs="Arial" w:eastAsia="Arial" w:hAnsi="Arial"/>
          <w:sz w:val="18"/>
          <w:szCs w:val="18"/>
          <w:color w:val="000000"/>
        </w:rPr>
        <w:t>ely $226.3 million re</w:t>
      </w:r>
      <w:r>
        <w:rPr>
          <w:rFonts w:ascii="Arial" w:cs="Arial" w:eastAsia="Arial" w:hAnsi="Arial"/>
          <w:sz w:val="18"/>
          <w:szCs w:val="18"/>
          <w:color w:val="131E29"/>
        </w:rPr>
        <w:t>lated to its projected obligations under the TRAs in connection with the Secondary Offerings and 2021 reorganization and exchange transactions. TRAs-related liabilities are classified as current or non-current based on the expected date of payment and are included in the Company’s condensed consolidated balance sheets under the captions “Current portion of tax receivable agreements liability” and “Tax receivable agreements liability, net of current portion,” respectively. For additional information, refer to NOTE 1 — Organization and Background.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13 — Equity and Equity-Based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Equity Awards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131E29"/>
        </w:rPr>
        <w:t>As of September 30, 2022, the Company had equity-based compensation awards outstanding consisting of RSAs and RSUs.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Unless indicated otherwise, the equity-based compensation awards described below are subject to time-based service requirements. The service vesting condition is currently a period of three years. For awards granted prior to 2022, vesting occurs in equal one-third installments on each anniversary of the vesting commencement date, subject to grantee’s continued service to the Company through each vesting date. Beginning with awards granted in 2022, vesting may occur as either (i) 50% each of the total award on the second and third anniversaries of the vesting commencement date, or (ii) 100% cliff vesting of the total award on the third anniversary of the vesting commencement date, subject to grantee’s continued service to the Company through the applicable vesting date(s).</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During the nine months ended September 30, 2022, the total weighted-average grant date fair value of RSAs and RSUs vested was approximately $30.7 million and $8.8 million, respectively.</w:t>
      </w:r>
    </w:p>
    <w:p>
      <w:pPr>
        <w:sectPr>
          <w:pgSz w:w="11900" w:h="16838" w:orient="portrait"/>
          <w:cols w:equalWidth="0" w:num="1">
            <w:col w:w="11240"/>
          </w:cols>
          <w:pgMar w:left="320" w:top="144" w:right="339" w:bottom="1440" w:gutter="0" w:footer="0" w:header="0"/>
        </w:sectPr>
      </w:pP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Restricted Stock Awards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131E29"/>
        </w:rPr>
        <w:t>Activity for the Company’s RSAs was as follows: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 except per share amounts)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Balance, December 31, 2021</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Vested</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Balance, September 30, 2022</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Restricted Stock Units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131E29"/>
        </w:rPr>
        <w:t>Activity for the Company’s RSUs was as follows: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 except per share amounts)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Balance, December 31, 2021</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New grants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Vested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Forfeitures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Balance, September 30, 2022</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Equity-Based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131E29"/>
                <w:w w:val="99"/>
              </w:rPr>
              <w:t>Weighted-average</w:t>
            </w:r>
          </w:p>
        </w:tc>
      </w:tr>
      <w:tr>
        <w:trPr>
          <w:trHeight w:val="216"/>
        </w:trPr>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131E29"/>
                <w:w w:val="99"/>
              </w:rPr>
              <w:t>Restricted Stock</w:t>
            </w:r>
          </w:p>
        </w:tc>
        <w:tc>
          <w:tcPr>
            <w:tcW w:w="12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131E29"/>
                <w:w w:val="99"/>
              </w:rPr>
              <w:t>grant date fair value</w:t>
            </w:r>
          </w:p>
        </w:tc>
      </w:tr>
      <w:tr>
        <w:trPr>
          <w:trHeight w:val="239"/>
        </w:trPr>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131E29"/>
                <w:w w:val="98"/>
              </w:rPr>
              <w:t>Awards</w:t>
            </w:r>
          </w:p>
        </w:tc>
        <w:tc>
          <w:tcPr>
            <w:tcW w:w="120" w:type="dxa"/>
            <w:vAlign w:val="bottom"/>
          </w:tcPr>
          <w:p>
            <w:pPr>
              <w:spacing w:after="0"/>
              <w:rPr>
                <w:sz w:val="20"/>
                <w:szCs w:val="20"/>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131E29"/>
              </w:rPr>
              <w:t>per share</w:t>
            </w:r>
          </w:p>
        </w:tc>
      </w:tr>
      <w:tr>
        <w:trPr>
          <w:trHeight w:val="27"/>
        </w:trPr>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1920" w:type="dxa"/>
            <w:vAlign w:val="bottom"/>
          </w:tcPr>
          <w:p>
            <w:pPr>
              <w:jc w:val="center"/>
              <w:ind w:left="1230"/>
              <w:spacing w:after="0"/>
              <w:rPr>
                <w:sz w:val="20"/>
                <w:szCs w:val="20"/>
                <w:color w:val="auto"/>
              </w:rPr>
            </w:pPr>
            <w:r>
              <w:rPr>
                <w:rFonts w:ascii="Arial" w:cs="Arial" w:eastAsia="Arial" w:hAnsi="Arial"/>
                <w:sz w:val="18"/>
                <w:szCs w:val="18"/>
                <w:color w:val="131E29"/>
                <w:w w:val="97"/>
              </w:rPr>
              <w:t>4,000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131E29"/>
              </w:rPr>
              <w:t>23.00</w:t>
            </w:r>
          </w:p>
        </w:tc>
      </w:tr>
      <w:tr>
        <w:trPr>
          <w:trHeight w:val="270"/>
        </w:trPr>
        <w:tc>
          <w:tcPr>
            <w:tcW w:w="1920" w:type="dxa"/>
            <w:vAlign w:val="bottom"/>
          </w:tcPr>
          <w:p>
            <w:pPr>
              <w:jc w:val="center"/>
              <w:ind w:left="1210"/>
              <w:spacing w:after="0"/>
              <w:rPr>
                <w:sz w:val="20"/>
                <w:szCs w:val="20"/>
                <w:color w:val="auto"/>
              </w:rPr>
            </w:pPr>
            <w:r>
              <w:rPr>
                <w:rFonts w:ascii="Arial" w:cs="Arial" w:eastAsia="Arial" w:hAnsi="Arial"/>
                <w:sz w:val="18"/>
                <w:szCs w:val="18"/>
                <w:color w:val="131E29"/>
              </w:rPr>
              <w:t>(1,333)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131E29"/>
              </w:rPr>
              <w:t>23.00</w:t>
            </w:r>
          </w:p>
        </w:tc>
      </w:tr>
      <w:tr>
        <w:trPr>
          <w:trHeight w:val="27"/>
        </w:trPr>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1920" w:type="dxa"/>
            <w:vAlign w:val="bottom"/>
          </w:tcPr>
          <w:p>
            <w:pPr>
              <w:jc w:val="center"/>
              <w:ind w:left="1230"/>
              <w:spacing w:after="0"/>
              <w:rPr>
                <w:sz w:val="20"/>
                <w:szCs w:val="20"/>
                <w:color w:val="auto"/>
              </w:rPr>
            </w:pPr>
            <w:r>
              <w:rPr>
                <w:rFonts w:ascii="Arial" w:cs="Arial" w:eastAsia="Arial" w:hAnsi="Arial"/>
                <w:sz w:val="18"/>
                <w:szCs w:val="18"/>
                <w:color w:val="131E29"/>
                <w:w w:val="97"/>
              </w:rPr>
              <w:t>2,667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131E29"/>
              </w:rPr>
              <w:t>23.00</w:t>
            </w:r>
          </w:p>
        </w:tc>
      </w:tr>
      <w:tr>
        <w:trPr>
          <w:trHeight w:val="27"/>
        </w:trPr>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-213360</wp:posOffset>
            </wp:positionV>
            <wp:extent cx="7132320" cy="1968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-565150</wp:posOffset>
            </wp:positionV>
            <wp:extent cx="7132320"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131E29"/>
                <w:w w:val="99"/>
              </w:rPr>
              <w:t>Weighted-average</w:t>
            </w:r>
          </w:p>
        </w:tc>
      </w:tr>
      <w:tr>
        <w:trPr>
          <w:trHeight w:val="216"/>
        </w:trPr>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131E29"/>
                <w:w w:val="99"/>
              </w:rPr>
              <w:t>Restricted Stock</w:t>
            </w:r>
          </w:p>
        </w:tc>
        <w:tc>
          <w:tcPr>
            <w:tcW w:w="12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131E29"/>
                <w:w w:val="99"/>
              </w:rPr>
              <w:t>grant date fair value</w:t>
            </w:r>
          </w:p>
        </w:tc>
      </w:tr>
      <w:tr>
        <w:trPr>
          <w:trHeight w:val="239"/>
        </w:trPr>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131E29"/>
                <w:w w:val="97"/>
              </w:rPr>
              <w:t>Units</w:t>
            </w:r>
          </w:p>
        </w:tc>
        <w:tc>
          <w:tcPr>
            <w:tcW w:w="120" w:type="dxa"/>
            <w:vAlign w:val="bottom"/>
          </w:tcPr>
          <w:p>
            <w:pPr>
              <w:spacing w:after="0"/>
              <w:rPr>
                <w:sz w:val="20"/>
                <w:szCs w:val="20"/>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131E29"/>
              </w:rPr>
              <w:t>per share</w:t>
            </w:r>
          </w:p>
        </w:tc>
      </w:tr>
      <w:tr>
        <w:trPr>
          <w:trHeight w:val="27"/>
        </w:trPr>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1920" w:type="dxa"/>
            <w:vAlign w:val="bottom"/>
          </w:tcPr>
          <w:p>
            <w:pPr>
              <w:jc w:val="right"/>
              <w:spacing w:after="0"/>
              <w:rPr>
                <w:sz w:val="20"/>
                <w:szCs w:val="20"/>
                <w:color w:val="auto"/>
              </w:rPr>
            </w:pPr>
            <w:r>
              <w:rPr>
                <w:rFonts w:ascii="Arial" w:cs="Arial" w:eastAsia="Arial" w:hAnsi="Arial"/>
                <w:sz w:val="18"/>
                <w:szCs w:val="18"/>
                <w:color w:val="131E29"/>
              </w:rPr>
              <w:t>596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131E29"/>
              </w:rPr>
              <w:t>43.55</w:t>
            </w:r>
          </w:p>
        </w:tc>
      </w:tr>
      <w:tr>
        <w:trPr>
          <w:trHeight w:val="270"/>
        </w:trPr>
        <w:tc>
          <w:tcPr>
            <w:tcW w:w="1920" w:type="dxa"/>
            <w:vAlign w:val="bottom"/>
          </w:tcPr>
          <w:p>
            <w:pPr>
              <w:jc w:val="right"/>
              <w:spacing w:after="0"/>
              <w:rPr>
                <w:sz w:val="20"/>
                <w:szCs w:val="20"/>
                <w:color w:val="auto"/>
              </w:rPr>
            </w:pPr>
            <w:r>
              <w:rPr>
                <w:rFonts w:ascii="Arial" w:cs="Arial" w:eastAsia="Arial" w:hAnsi="Arial"/>
                <w:sz w:val="18"/>
                <w:szCs w:val="18"/>
                <w:color w:val="131E29"/>
              </w:rPr>
              <w:t>164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131E29"/>
              </w:rPr>
              <w:t>47.85</w:t>
            </w:r>
          </w:p>
        </w:tc>
      </w:tr>
      <w:tr>
        <w:trPr>
          <w:trHeight w:val="270"/>
        </w:trPr>
        <w:tc>
          <w:tcPr>
            <w:tcW w:w="1920" w:type="dxa"/>
            <w:vAlign w:val="bottom"/>
          </w:tcPr>
          <w:p>
            <w:pPr>
              <w:jc w:val="right"/>
              <w:spacing w:after="0"/>
              <w:rPr>
                <w:sz w:val="20"/>
                <w:szCs w:val="20"/>
                <w:color w:val="auto"/>
              </w:rPr>
            </w:pPr>
            <w:r>
              <w:rPr>
                <w:rFonts w:ascii="Arial" w:cs="Arial" w:eastAsia="Arial" w:hAnsi="Arial"/>
                <w:sz w:val="18"/>
                <w:szCs w:val="18"/>
                <w:color w:val="131E29"/>
              </w:rPr>
              <w:t>(203)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131E29"/>
              </w:rPr>
              <w:t>43.50</w:t>
            </w:r>
          </w:p>
        </w:tc>
      </w:tr>
      <w:tr>
        <w:trPr>
          <w:trHeight w:val="270"/>
        </w:trPr>
        <w:tc>
          <w:tcPr>
            <w:tcW w:w="1920" w:type="dxa"/>
            <w:vAlign w:val="bottom"/>
          </w:tcPr>
          <w:p>
            <w:pPr>
              <w:jc w:val="right"/>
              <w:spacing w:after="0"/>
              <w:rPr>
                <w:sz w:val="20"/>
                <w:szCs w:val="20"/>
                <w:color w:val="auto"/>
              </w:rPr>
            </w:pPr>
            <w:r>
              <w:rPr>
                <w:rFonts w:ascii="Arial" w:cs="Arial" w:eastAsia="Arial" w:hAnsi="Arial"/>
                <w:sz w:val="18"/>
                <w:szCs w:val="18"/>
                <w:color w:val="131E29"/>
              </w:rPr>
              <w:t>(2)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131E29"/>
              </w:rPr>
              <w:t>49.37</w:t>
            </w:r>
          </w:p>
        </w:tc>
      </w:tr>
      <w:tr>
        <w:trPr>
          <w:trHeight w:val="27"/>
        </w:trPr>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1920" w:type="dxa"/>
            <w:vAlign w:val="bottom"/>
          </w:tcPr>
          <w:p>
            <w:pPr>
              <w:jc w:val="right"/>
              <w:spacing w:after="0"/>
              <w:rPr>
                <w:sz w:val="20"/>
                <w:szCs w:val="20"/>
                <w:color w:val="auto"/>
              </w:rPr>
            </w:pPr>
            <w:r>
              <w:rPr>
                <w:rFonts w:ascii="Arial" w:cs="Arial" w:eastAsia="Arial" w:hAnsi="Arial"/>
                <w:sz w:val="18"/>
                <w:szCs w:val="18"/>
                <w:color w:val="131E29"/>
              </w:rPr>
              <w:t>555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131E29"/>
              </w:rPr>
              <w:t>44.82</w:t>
            </w:r>
          </w:p>
        </w:tc>
      </w:tr>
      <w:tr>
        <w:trPr>
          <w:trHeight w:val="27"/>
        </w:trPr>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
        </w:trPr>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-556895</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-213995</wp:posOffset>
            </wp:positionV>
            <wp:extent cx="7132320" cy="1968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-908050</wp:posOffset>
            </wp:positionV>
            <wp:extent cx="713232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33" w:lineRule="exact"/>
        <w:rPr>
          <w:sz w:val="20"/>
          <w:szCs w:val="20"/>
          <w:color w:val="auto"/>
        </w:rPr>
      </w:pPr>
    </w:p>
    <w:p>
      <w:pPr>
        <w:sectPr>
          <w:pgSz w:w="11900" w:h="16838" w:orient="portrait"/>
          <w:cols w:equalWidth="0" w:num="2">
            <w:col w:w="6560" w:space="720"/>
            <w:col w:w="3960"/>
          </w:cols>
          <w:pgMar w:left="320" w:top="144" w:right="339" w:bottom="1440" w:gutter="0" w:footer="0" w:header="0"/>
          <w:type w:val="continuous"/>
        </w:sectPr>
      </w:pPr>
    </w:p>
    <w:p>
      <w:pPr>
        <w:spacing w:after="0" w:line="261" w:lineRule="auto"/>
        <w:rPr>
          <w:sz w:val="20"/>
          <w:szCs w:val="20"/>
          <w:color w:val="auto"/>
        </w:rPr>
      </w:pPr>
      <w:r>
        <w:rPr>
          <w:rFonts w:ascii="Arial" w:cs="Arial" w:eastAsia="Arial" w:hAnsi="Arial"/>
          <w:sz w:val="18"/>
          <w:szCs w:val="18"/>
          <w:color w:val="131E29"/>
        </w:rPr>
        <w:t>Equity-based compensation expense is recognized on a straight-line basis and is included in the Company’s condensed consolidated statements of operations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5"/>
          </w:tcPr>
          <w:p>
            <w:pPr>
              <w:ind w:left="180"/>
              <w:spacing w:after="0"/>
              <w:rPr>
                <w:sz w:val="20"/>
                <w:szCs w:val="20"/>
                <w:color w:val="auto"/>
              </w:rPr>
            </w:pPr>
            <w:r>
              <w:rPr>
                <w:rFonts w:ascii="Arial" w:cs="Arial" w:eastAsia="Arial" w:hAnsi="Arial"/>
                <w:sz w:val="18"/>
                <w:szCs w:val="18"/>
                <w:b w:val="1"/>
                <w:bCs w:val="1"/>
                <w:color w:val="131E29"/>
              </w:rPr>
              <w:t>Three Months Ended</w:t>
            </w:r>
          </w:p>
        </w:tc>
        <w:tc>
          <w:tcPr>
            <w:tcW w:w="2740" w:type="dxa"/>
            <w:vAlign w:val="bottom"/>
            <w:gridSpan w:val="6"/>
          </w:tcPr>
          <w:p>
            <w:pPr>
              <w:ind w:left="40"/>
              <w:spacing w:after="0"/>
              <w:rPr>
                <w:sz w:val="20"/>
                <w:szCs w:val="20"/>
                <w:color w:val="auto"/>
              </w:rPr>
            </w:pPr>
            <w:r>
              <w:rPr>
                <w:rFonts w:ascii="Arial" w:cs="Arial" w:eastAsia="Arial" w:hAnsi="Arial"/>
                <w:sz w:val="18"/>
                <w:szCs w:val="18"/>
                <w:b w:val="1"/>
                <w:bCs w:val="1"/>
                <w:color w:val="131E29"/>
              </w:rPr>
              <w:t>Nine Months Ended September</w:t>
            </w:r>
          </w:p>
        </w:tc>
      </w:t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5"/>
          </w:tcPr>
          <w:p>
            <w:pPr>
              <w:ind w:left="460"/>
              <w:spacing w:after="0"/>
              <w:rPr>
                <w:sz w:val="20"/>
                <w:szCs w:val="20"/>
                <w:color w:val="auto"/>
              </w:rPr>
            </w:pPr>
            <w:r>
              <w:rPr>
                <w:rFonts w:ascii="Arial" w:cs="Arial" w:eastAsia="Arial" w:hAnsi="Arial"/>
                <w:sz w:val="18"/>
                <w:szCs w:val="18"/>
                <w:b w:val="1"/>
                <w:bCs w:val="1"/>
                <w:color w:val="131E29"/>
              </w:rPr>
              <w:t>September 30,</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131E29"/>
                <w:w w:val="95"/>
              </w:rPr>
              <w:t>30,</w:t>
            </w:r>
          </w:p>
        </w:tc>
        <w:tc>
          <w:tcPr>
            <w:tcW w:w="1040" w:type="dxa"/>
            <w:vAlign w:val="bottom"/>
          </w:tcPr>
          <w:p>
            <w:pPr>
              <w:spacing w:after="0"/>
              <w:rPr>
                <w:sz w:val="20"/>
                <w:szCs w:val="20"/>
                <w:color w:val="auto"/>
              </w:rPr>
            </w:pPr>
          </w:p>
        </w:tc>
      </w:tr>
      <w:tr>
        <w:trPr>
          <w:trHeight w:val="27"/>
        </w:trPr>
        <w:tc>
          <w:tcPr>
            <w:tcW w:w="56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00" w:type="dxa"/>
            <w:vAlign w:val="bottom"/>
          </w:tcPr>
          <w:p>
            <w:pPr>
              <w:spacing w:after="0"/>
              <w:rPr>
                <w:sz w:val="20"/>
                <w:szCs w:val="20"/>
                <w:color w:val="auto"/>
              </w:rPr>
            </w:pPr>
          </w:p>
        </w:tc>
        <w:tc>
          <w:tcPr>
            <w:tcW w:w="1020" w:type="dxa"/>
            <w:vAlign w:val="bottom"/>
          </w:tcPr>
          <w:p>
            <w:pPr>
              <w:ind w:left="16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r>
      <w:tr>
        <w:trPr>
          <w:trHeight w:val="26"/>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3"/>
        </w:trPr>
        <w:tc>
          <w:tcPr>
            <w:tcW w:w="56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Selling, general and administrative expenses</w:t>
            </w: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10,649</w:t>
            </w:r>
          </w:p>
        </w:tc>
        <w:tc>
          <w:tcPr>
            <w:tcW w:w="100" w:type="dxa"/>
            <w:vAlign w:val="bottom"/>
            <w:shd w:val="clear" w:color="auto" w:fill="D2DCE5"/>
          </w:tcPr>
          <w:p>
            <w:pPr>
              <w:spacing w:after="0"/>
              <w:rPr>
                <w:sz w:val="24"/>
                <w:szCs w:val="24"/>
                <w:color w:val="auto"/>
              </w:rPr>
            </w:pP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124,779</w:t>
            </w:r>
          </w:p>
        </w:tc>
        <w:tc>
          <w:tcPr>
            <w:tcW w:w="100" w:type="dxa"/>
            <w:vAlign w:val="bottom"/>
            <w:shd w:val="clear" w:color="auto" w:fill="D2DCE5"/>
          </w:tcPr>
          <w:p>
            <w:pPr>
              <w:spacing w:after="0"/>
              <w:rPr>
                <w:sz w:val="24"/>
                <w:szCs w:val="24"/>
                <w:color w:val="auto"/>
              </w:rPr>
            </w:pPr>
          </w:p>
        </w:tc>
        <w:tc>
          <w:tcPr>
            <w:tcW w:w="28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30,995</w:t>
            </w:r>
          </w:p>
        </w:tc>
        <w:tc>
          <w:tcPr>
            <w:tcW w:w="460" w:type="dxa"/>
            <w:vAlign w:val="bottom"/>
            <w:gridSpan w:val="3"/>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147,761</w:t>
            </w: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131E29"/>
        </w:rPr>
        <w:t>As of September 30, 2022, total unrecognized stock-based compensation related to unvested stock awards was $56.1 million, which will be recognized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6"/>
        </w:trPr>
        <w:tc>
          <w:tcPr>
            <w:tcW w:w="9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540" w:type="dxa"/>
            <w:vAlign w:val="bottom"/>
            <w:tcBorders>
              <w:bottom w:val="single" w:sz="8" w:color="131E29"/>
            </w:tcBorders>
          </w:tcPr>
          <w:p>
            <w:pPr>
              <w:spacing w:after="0"/>
              <w:rPr>
                <w:sz w:val="2"/>
                <w:szCs w:val="2"/>
                <w:color w:val="auto"/>
              </w:rPr>
            </w:pPr>
          </w:p>
        </w:tc>
        <w:tc>
          <w:tcPr>
            <w:tcW w:w="1040" w:type="dxa"/>
            <w:vAlign w:val="bottom"/>
            <w:tcBorders>
              <w:bottom w:val="single" w:sz="8" w:color="131E29"/>
            </w:tcBorders>
          </w:tcPr>
          <w:p>
            <w:pPr>
              <w:spacing w:after="0"/>
              <w:rPr>
                <w:sz w:val="2"/>
                <w:szCs w:val="2"/>
                <w:color w:val="auto"/>
              </w:rPr>
            </w:pPr>
          </w:p>
        </w:tc>
      </w:tr>
      <w:tr>
        <w:trPr>
          <w:trHeight w:val="244"/>
        </w:trPr>
        <w:tc>
          <w:tcPr>
            <w:tcW w:w="9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Remainder of 2022</w:t>
            </w:r>
          </w:p>
        </w:tc>
        <w:tc>
          <w:tcPr>
            <w:tcW w:w="540" w:type="dxa"/>
            <w:vAlign w:val="bottom"/>
            <w:tcBorders>
              <w:bottom w:val="single" w:sz="8" w:color="D2DCE5"/>
            </w:tcBorders>
            <w:shd w:val="clear" w:color="auto" w:fill="D2DCE5"/>
          </w:tcPr>
          <w:p>
            <w:pPr>
              <w:jc w:val="right"/>
              <w:ind w:right="33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10,611</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131E29"/>
              </w:rPr>
              <w:t>2023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41,911</w:t>
            </w:r>
          </w:p>
        </w:tc>
      </w:tr>
      <w:tr>
        <w:trPr>
          <w:trHeight w:val="27"/>
        </w:trPr>
        <w:tc>
          <w:tcPr>
            <w:tcW w:w="9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2024</w:t>
            </w:r>
          </w:p>
        </w:tc>
        <w:tc>
          <w:tcPr>
            <w:tcW w:w="10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3,133</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131E29"/>
              </w:rPr>
              <w:t>2025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437</w:t>
            </w:r>
          </w:p>
        </w:tc>
      </w:tr>
      <w:tr>
        <w:trPr>
          <w:trHeight w:val="27"/>
        </w:trPr>
        <w:tc>
          <w:tcPr>
            <w:tcW w:w="9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96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color w:val="131E29"/>
              </w:rPr>
              <w:t>Total unrecognized stock-based compensation expense</w:t>
            </w:r>
          </w:p>
        </w:tc>
        <w:tc>
          <w:tcPr>
            <w:tcW w:w="540" w:type="dxa"/>
            <w:vAlign w:val="bottom"/>
            <w:tcBorders>
              <w:bottom w:val="single" w:sz="8" w:color="auto"/>
            </w:tcBorders>
            <w:shd w:val="clear" w:color="auto" w:fill="D2DCE5"/>
          </w:tcPr>
          <w:p>
            <w:pPr>
              <w:jc w:val="right"/>
              <w:ind w:right="33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56,092</w:t>
            </w:r>
          </w:p>
        </w:tc>
      </w:tr>
      <w:tr>
        <w:trPr>
          <w:trHeight w:val="20"/>
        </w:trPr>
        <w:tc>
          <w:tcPr>
            <w:tcW w:w="9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4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14 — Non-Controlling Interests</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The Company is the sole managing member of Dutch Bros OpCo, and, as a result, consolidates the financial results of Dutch Bros OpCo. The Company reports a non-controlling interest representing the economic interest in the Dutch Bros OpCo held by the other members of Dutch Bros OpCo. The Dutch Bros OpCo Agreement provides that holders of Dutch Bros OpCo Class A common units may, from time to time, require Dutch Bros OpCo to redeem all or a portion of its Dutch Bros OpCo Class A common units for newly-issued shares of Class A common stock on a one-for-one basis. In connection with any redemption or exchange, the Company will receive a corresponding number of Dutch Bros OpCo Class A common units, increasing the Company’s total ownership in Dutch Bros OpCo. Changes in the Company’s ownership in Dutch Bros OpCo, while the Company retains its controlling interest in Dutch Bros OpCo, will be accounted for as equity transactions. As such, future redemptions or direct exchanges of Dutch Bros OpCo Class A common units in Dutch Bros OpCo by the other members of Dutch Bros OpCo will result in a change in ownership and reduce the amount recorded as non-controlling interest and increase additional paid-in-capital.</w:t>
      </w:r>
    </w:p>
    <w:p>
      <w:pPr>
        <w:sectPr>
          <w:pgSz w:w="11900" w:h="16838" w:orient="portrait"/>
          <w:cols w:equalWidth="0" w:num="1">
            <w:col w:w="11240"/>
          </w:cols>
          <w:pgMar w:left="320" w:top="144" w:right="3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summarizes the ownership interest in Dutch Bros OpCo:</w:t>
      </w: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Dutch Bros OpCo Class A common units held by Dutch Bros Inc.</w:t>
      </w:r>
      <w:r>
        <w:rPr>
          <w:rFonts w:ascii="Arial" w:cs="Arial" w:eastAsia="Arial" w:hAnsi="Arial"/>
          <w:sz w:val="23"/>
          <w:szCs w:val="23"/>
          <w:color w:val="131E29"/>
          <w:vertAlign w:val="superscript"/>
        </w:rPr>
        <w:t>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Dutch Bros OpCo Class A common units held by non-controlling interest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96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Total Dutch Bros OpCo Class A common units outstanding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131E29"/>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37465</wp:posOffset>
            </wp:positionV>
            <wp:extent cx="24345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57"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b w:val="1"/>
          <w:bCs w:val="1"/>
          <w:color w:val="131E29"/>
        </w:rPr>
        <w:t>OpCo Units</w:t>
      </w:r>
      <w:r>
        <w:rPr>
          <w:sz w:val="20"/>
          <w:szCs w:val="20"/>
          <w:color w:val="auto"/>
        </w:rPr>
        <w:tab/>
      </w:r>
      <w:r>
        <w:rPr>
          <w:rFonts w:ascii="Arial" w:cs="Arial" w:eastAsia="Arial" w:hAnsi="Arial"/>
          <w:sz w:val="17"/>
          <w:szCs w:val="17"/>
          <w:b w:val="1"/>
          <w:bCs w:val="1"/>
          <w:color w:val="131E29"/>
        </w:rPr>
        <w:t>Ownership %</w:t>
      </w:r>
    </w:p>
    <w:p>
      <w:pPr>
        <w:spacing w:after="0" w:line="99" w:lineRule="exact"/>
        <w:rPr>
          <w:sz w:val="20"/>
          <w:szCs w:val="20"/>
          <w:color w:val="auto"/>
        </w:rPr>
      </w:pPr>
    </w:p>
    <w:p>
      <w:pPr>
        <w:jc w:val="both"/>
        <w:ind w:left="760"/>
        <w:spacing w:after="0"/>
        <w:tabs>
          <w:tab w:leader="none" w:pos="2840" w:val="left"/>
        </w:tabs>
        <w:rPr>
          <w:sz w:val="20"/>
          <w:szCs w:val="20"/>
          <w:color w:val="auto"/>
        </w:rPr>
      </w:pPr>
      <w:r>
        <w:rPr>
          <w:rFonts w:ascii="Arial" w:cs="Arial" w:eastAsia="Arial" w:hAnsi="Arial"/>
          <w:sz w:val="18"/>
          <w:szCs w:val="18"/>
          <w:color w:val="131E29"/>
        </w:rPr>
        <w:t>57,953</w:t>
      </w:r>
      <w:r>
        <w:rPr>
          <w:sz w:val="20"/>
          <w:szCs w:val="20"/>
          <w:color w:val="auto"/>
        </w:rPr>
        <w:tab/>
      </w:r>
      <w:r>
        <w:rPr>
          <w:rFonts w:ascii="Arial" w:cs="Arial" w:eastAsia="Arial" w:hAnsi="Arial"/>
          <w:sz w:val="18"/>
          <w:szCs w:val="18"/>
          <w:color w:val="131E29"/>
        </w:rPr>
        <w:t>35.4 %</w:t>
      </w:r>
    </w:p>
    <w:p>
      <w:pPr>
        <w:spacing w:after="0" w:line="63" w:lineRule="exact"/>
        <w:rPr>
          <w:sz w:val="20"/>
          <w:szCs w:val="20"/>
          <w:color w:val="auto"/>
        </w:rPr>
      </w:pPr>
    </w:p>
    <w:p>
      <w:pPr>
        <w:jc w:val="both"/>
        <w:ind w:left="660"/>
        <w:spacing w:after="0"/>
        <w:tabs>
          <w:tab w:leader="none" w:pos="2840" w:val="left"/>
        </w:tabs>
        <w:rPr>
          <w:sz w:val="20"/>
          <w:szCs w:val="20"/>
          <w:color w:val="auto"/>
        </w:rPr>
      </w:pPr>
      <w:r>
        <w:rPr>
          <w:rFonts w:ascii="Arial" w:cs="Arial" w:eastAsia="Arial" w:hAnsi="Arial"/>
          <w:sz w:val="18"/>
          <w:szCs w:val="18"/>
          <w:color w:val="131E29"/>
        </w:rPr>
        <w:t>105,756</w:t>
      </w:r>
      <w:r>
        <w:rPr>
          <w:sz w:val="20"/>
          <w:szCs w:val="20"/>
          <w:color w:val="auto"/>
        </w:rPr>
        <w:tab/>
      </w:r>
      <w:r>
        <w:rPr>
          <w:rFonts w:ascii="Arial" w:cs="Arial" w:eastAsia="Arial" w:hAnsi="Arial"/>
          <w:sz w:val="18"/>
          <w:szCs w:val="18"/>
          <w:color w:val="131E29"/>
        </w:rPr>
        <w:t>64.6 %</w:t>
      </w:r>
    </w:p>
    <w:p>
      <w:pPr>
        <w:spacing w:after="0" w:line="77" w:lineRule="exact"/>
        <w:rPr>
          <w:sz w:val="20"/>
          <w:szCs w:val="20"/>
          <w:color w:val="auto"/>
        </w:rPr>
      </w:pPr>
    </w:p>
    <w:p>
      <w:pPr>
        <w:jc w:val="both"/>
        <w:ind w:left="660"/>
        <w:spacing w:after="0"/>
        <w:tabs>
          <w:tab w:leader="none" w:pos="2740" w:val="left"/>
        </w:tabs>
        <w:rPr>
          <w:sz w:val="20"/>
          <w:szCs w:val="20"/>
          <w:color w:val="auto"/>
        </w:rPr>
      </w:pPr>
      <w:r>
        <w:rPr>
          <w:rFonts w:ascii="Arial" w:cs="Arial" w:eastAsia="Arial" w:hAnsi="Arial"/>
          <w:sz w:val="18"/>
          <w:szCs w:val="18"/>
          <w:color w:val="131E29"/>
        </w:rPr>
        <w:t>163,708</w:t>
      </w:r>
      <w:r>
        <w:rPr>
          <w:sz w:val="20"/>
          <w:szCs w:val="20"/>
          <w:color w:val="auto"/>
        </w:rPr>
        <w:tab/>
      </w:r>
      <w:r>
        <w:rPr>
          <w:rFonts w:ascii="Arial" w:cs="Arial" w:eastAsia="Arial" w:hAnsi="Arial"/>
          <w:sz w:val="18"/>
          <w:szCs w:val="18"/>
          <w:color w:val="131E29"/>
        </w:rPr>
        <w:t>100.0 %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48895</wp:posOffset>
            </wp:positionV>
            <wp:extent cx="24345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554" w:lineRule="exact"/>
        <w:rPr>
          <w:sz w:val="20"/>
          <w:szCs w:val="20"/>
          <w:color w:val="auto"/>
        </w:rPr>
      </w:pPr>
    </w:p>
    <w:p>
      <w:pPr>
        <w:sectPr>
          <w:pgSz w:w="11900" w:h="16838" w:orient="portrait"/>
          <w:cols w:equalWidth="0" w:num="2">
            <w:col w:w="7080" w:space="720"/>
            <w:col w:w="3440"/>
          </w:cols>
          <w:pgMar w:left="320" w:top="144" w:right="339" w:bottom="1440" w:gutter="0" w:footer="0" w:header="0"/>
          <w:type w:val="continuous"/>
        </w:sectPr>
      </w:pPr>
    </w:p>
    <w:p>
      <w:pPr>
        <w:ind w:left="180" w:hanging="172"/>
        <w:spacing w:after="0" w:line="219" w:lineRule="auto"/>
        <w:tabs>
          <w:tab w:leader="none" w:pos="201" w:val="left"/>
        </w:tabs>
        <w:numPr>
          <w:ilvl w:val="0"/>
          <w:numId w:val="22"/>
        </w:numPr>
        <w:rPr>
          <w:rFonts w:ascii="Arial" w:cs="Arial" w:eastAsia="Arial" w:hAnsi="Arial"/>
          <w:sz w:val="19"/>
          <w:szCs w:val="19"/>
          <w:color w:val="131E29"/>
          <w:vertAlign w:val="superscript"/>
        </w:rPr>
      </w:pPr>
      <w:r>
        <w:rPr>
          <w:rFonts w:ascii="Arial" w:cs="Arial" w:eastAsia="Arial" w:hAnsi="Arial"/>
          <w:sz w:val="14"/>
          <w:szCs w:val="14"/>
          <w:color w:val="131E29"/>
        </w:rPr>
        <w:t>Includes approximately 2.7 million Dutch Bros OpCo Class A common units related to unvested restricted stock awards held by former Profits Interest Units holders. These Dutch Bros OpCo Class A common units are excluded from non-controlling interest calculations.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summarizes the effect of changes in ownership of Dutch Bros OpCo on the Company’s equity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7"/>
          </w:tcPr>
          <w:p>
            <w:pPr>
              <w:ind w:left="60"/>
              <w:spacing w:after="0"/>
              <w:rPr>
                <w:sz w:val="20"/>
                <w:szCs w:val="20"/>
                <w:color w:val="auto"/>
              </w:rPr>
            </w:pPr>
            <w:r>
              <w:rPr>
                <w:rFonts w:ascii="Arial" w:cs="Arial" w:eastAsia="Arial" w:hAnsi="Arial"/>
                <w:sz w:val="18"/>
                <w:szCs w:val="18"/>
                <w:b w:val="1"/>
                <w:bCs w:val="1"/>
                <w:color w:val="131E29"/>
              </w:rPr>
              <w:t>Three Months Ended September</w:t>
            </w:r>
          </w:p>
        </w:tc>
        <w:tc>
          <w:tcPr>
            <w:tcW w:w="2880" w:type="dxa"/>
            <w:vAlign w:val="bottom"/>
            <w:gridSpan w:val="5"/>
          </w:tcPr>
          <w:p>
            <w:pPr>
              <w:jc w:val="right"/>
              <w:ind w:right="30"/>
              <w:spacing w:after="0"/>
              <w:rPr>
                <w:sz w:val="20"/>
                <w:szCs w:val="20"/>
                <w:color w:val="auto"/>
              </w:rPr>
            </w:pPr>
            <w:r>
              <w:rPr>
                <w:rFonts w:ascii="Arial" w:cs="Arial" w:eastAsia="Arial" w:hAnsi="Arial"/>
                <w:sz w:val="18"/>
                <w:szCs w:val="18"/>
                <w:b w:val="1"/>
                <w:bCs w:val="1"/>
                <w:color w:val="131E29"/>
              </w:rPr>
              <w:t>Nine Months Ended September</w:t>
            </w:r>
          </w:p>
        </w:tc>
        <w:tc>
          <w:tcPr>
            <w:tcW w:w="0" w:type="dxa"/>
            <w:vAlign w:val="bottom"/>
          </w:tcPr>
          <w:p>
            <w:pPr>
              <w:spacing w:after="0"/>
              <w:rPr>
                <w:sz w:val="1"/>
                <w:szCs w:val="1"/>
                <w:color w:val="auto"/>
              </w:rPr>
            </w:pPr>
          </w:p>
        </w:tc>
      </w:tr>
      <w:tr>
        <w:trPr>
          <w:trHeight w:val="240"/>
        </w:trPr>
        <w:tc>
          <w:tcPr>
            <w:tcW w:w="538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131E29"/>
                <w:w w:val="87"/>
              </w:rPr>
              <w:t>30,</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131E29"/>
              </w:rPr>
              <w:t>30,</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131E29"/>
              </w:rPr>
              <w:t>2021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income (loss) attributable to Dutch Bros Inc.</w:t>
            </w:r>
          </w:p>
        </w:tc>
        <w:tc>
          <w:tcPr>
            <w:tcW w:w="30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1,763</w:t>
            </w:r>
          </w:p>
        </w:tc>
        <w:tc>
          <w:tcPr>
            <w:tcW w:w="480" w:type="dxa"/>
            <w:vAlign w:val="bottom"/>
            <w:tcBorders>
              <w:bottom w:val="single" w:sz="8" w:color="D2DCE5"/>
            </w:tcBorders>
            <w:gridSpan w:val="3"/>
            <w:shd w:val="clear" w:color="auto" w:fill="D2DCE5"/>
          </w:tcPr>
          <w:p>
            <w:pPr>
              <w:jc w:val="right"/>
              <w:ind w:right="110"/>
              <w:spacing w:after="0"/>
              <w:rPr>
                <w:sz w:val="20"/>
                <w:szCs w:val="20"/>
                <w:color w:val="auto"/>
              </w:rPr>
            </w:pPr>
            <w:r>
              <w:rPr>
                <w:rFonts w:ascii="Arial" w:cs="Arial" w:eastAsia="Arial" w:hAnsi="Arial"/>
                <w:sz w:val="18"/>
                <w:szCs w:val="18"/>
                <w:color w:val="131E29"/>
              </w:rPr>
              <w:t>$</w:t>
            </w: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(11,077)</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jc w:val="right"/>
              <w:ind w:right="110"/>
              <w:spacing w:after="0"/>
              <w:rPr>
                <w:sz w:val="20"/>
                <w:szCs w:val="20"/>
                <w:color w:val="auto"/>
              </w:rPr>
            </w:pPr>
            <w:r>
              <w:rPr>
                <w:rFonts w:ascii="Arial" w:cs="Arial" w:eastAsia="Arial" w:hAnsi="Arial"/>
                <w:sz w:val="18"/>
                <w:szCs w:val="18"/>
                <w:color w:val="131E29"/>
                <w:w w:val="79"/>
              </w:rPr>
              <w:t>$</w:t>
            </w: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(4,090)</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(11,077)</w:t>
            </w:r>
          </w:p>
        </w:tc>
        <w:tc>
          <w:tcPr>
            <w:tcW w:w="0" w:type="dxa"/>
            <w:vAlign w:val="bottom"/>
          </w:tcPr>
          <w:p>
            <w:pPr>
              <w:spacing w:after="0"/>
              <w:rPr>
                <w:sz w:val="1"/>
                <w:szCs w:val="1"/>
                <w:color w:val="auto"/>
              </w:rPr>
            </w:pPr>
          </w:p>
        </w:tc>
      </w:tr>
      <w:tr>
        <w:trPr>
          <w:trHeight w:val="243"/>
        </w:trPr>
        <w:tc>
          <w:tcPr>
            <w:tcW w:w="5380" w:type="dxa"/>
            <w:vAlign w:val="bottom"/>
            <w:gridSpan w:val="2"/>
          </w:tcPr>
          <w:p>
            <w:pPr>
              <w:ind w:left="20"/>
              <w:spacing w:after="0"/>
              <w:rPr>
                <w:sz w:val="20"/>
                <w:szCs w:val="20"/>
                <w:color w:val="auto"/>
              </w:rPr>
            </w:pPr>
            <w:r>
              <w:rPr>
                <w:rFonts w:ascii="Arial" w:cs="Arial" w:eastAsia="Arial" w:hAnsi="Arial"/>
                <w:sz w:val="18"/>
                <w:szCs w:val="18"/>
                <w:color w:val="131E29"/>
              </w:rPr>
              <w:t>Other comprehensive income:</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38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Unrealized gain on derivative securities, effective portion, net of</w:t>
            </w:r>
          </w:p>
        </w:tc>
        <w:tc>
          <w:tcPr>
            <w:tcW w:w="300" w:type="dxa"/>
            <w:vAlign w:val="bottom"/>
            <w:shd w:val="clear" w:color="auto" w:fill="D2DCE5"/>
          </w:tcPr>
          <w:p>
            <w:pPr>
              <w:spacing w:after="0"/>
              <w:rPr>
                <w:sz w:val="21"/>
                <w:szCs w:val="21"/>
                <w:color w:val="auto"/>
              </w:rPr>
            </w:pPr>
          </w:p>
        </w:tc>
        <w:tc>
          <w:tcPr>
            <w:tcW w:w="102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320" w:type="dxa"/>
            <w:vAlign w:val="bottom"/>
            <w:shd w:val="clear" w:color="auto" w:fill="D2DCE5"/>
          </w:tcPr>
          <w:p>
            <w:pPr>
              <w:spacing w:after="0"/>
              <w:rPr>
                <w:sz w:val="21"/>
                <w:szCs w:val="21"/>
                <w:color w:val="auto"/>
              </w:rPr>
            </w:pPr>
          </w:p>
        </w:tc>
        <w:tc>
          <w:tcPr>
            <w:tcW w:w="10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00" w:type="dxa"/>
            <w:vAlign w:val="bottom"/>
            <w:shd w:val="clear" w:color="auto" w:fill="D2DCE5"/>
          </w:tcPr>
          <w:p>
            <w:pPr>
              <w:spacing w:after="0"/>
              <w:rPr>
                <w:sz w:val="21"/>
                <w:szCs w:val="21"/>
                <w:color w:val="auto"/>
              </w:rPr>
            </w:pPr>
          </w:p>
        </w:tc>
        <w:tc>
          <w:tcPr>
            <w:tcW w:w="10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00" w:type="dxa"/>
            <w:vAlign w:val="bottom"/>
            <w:shd w:val="clear" w:color="auto" w:fill="D2DCE5"/>
          </w:tcPr>
          <w:p>
            <w:pPr>
              <w:spacing w:after="0"/>
              <w:rPr>
                <w:sz w:val="21"/>
                <w:szCs w:val="21"/>
                <w:color w:val="auto"/>
              </w:rPr>
            </w:pPr>
          </w:p>
        </w:tc>
        <w:tc>
          <w:tcPr>
            <w:tcW w:w="110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38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color w:val="131E29"/>
              </w:rPr>
              <w:t>income tax expense</w:t>
            </w:r>
          </w:p>
        </w:tc>
        <w:tc>
          <w:tcPr>
            <w:tcW w:w="300" w:type="dxa"/>
            <w:vAlign w:val="bottom"/>
            <w:tcBorders>
              <w:bottom w:val="single" w:sz="8" w:color="D2DCE5"/>
            </w:tcBorders>
            <w:shd w:val="clear" w:color="auto" w:fill="D2DCE5"/>
          </w:tcPr>
          <w:p>
            <w:pPr>
              <w:spacing w:after="0"/>
              <w:rPr>
                <w:sz w:val="19"/>
                <w:szCs w:val="19"/>
                <w:color w:val="auto"/>
              </w:rPr>
            </w:pPr>
          </w:p>
        </w:tc>
        <w:tc>
          <w:tcPr>
            <w:tcW w:w="110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703</w:t>
            </w:r>
          </w:p>
        </w:tc>
        <w:tc>
          <w:tcPr>
            <w:tcW w:w="80" w:type="dxa"/>
            <w:vAlign w:val="bottom"/>
            <w:tcBorders>
              <w:bottom w:val="single" w:sz="8" w:color="D2DCE5"/>
            </w:tcBorders>
            <w:shd w:val="clear" w:color="auto" w:fill="D2DCE5"/>
          </w:tcPr>
          <w:p>
            <w:pPr>
              <w:spacing w:after="0"/>
              <w:rPr>
                <w:sz w:val="19"/>
                <w:szCs w:val="19"/>
                <w:color w:val="auto"/>
              </w:rPr>
            </w:pPr>
          </w:p>
        </w:tc>
        <w:tc>
          <w:tcPr>
            <w:tcW w:w="320" w:type="dxa"/>
            <w:vAlign w:val="bottom"/>
            <w:tcBorders>
              <w:bottom w:val="single" w:sz="8" w:color="D2DCE5"/>
            </w:tcBorders>
            <w:shd w:val="clear" w:color="auto" w:fill="D2DCE5"/>
          </w:tcPr>
          <w:p>
            <w:pPr>
              <w:spacing w:after="0"/>
              <w:rPr>
                <w:sz w:val="19"/>
                <w:szCs w:val="19"/>
                <w:color w:val="auto"/>
              </w:rPr>
            </w:pPr>
          </w:p>
        </w:tc>
        <w:tc>
          <w:tcPr>
            <w:tcW w:w="118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300" w:type="dxa"/>
            <w:vAlign w:val="bottom"/>
            <w:tcBorders>
              <w:bottom w:val="single" w:sz="8" w:color="D2DCE5"/>
            </w:tcBorders>
            <w:shd w:val="clear" w:color="auto" w:fill="D2DCE5"/>
          </w:tcPr>
          <w:p>
            <w:pPr>
              <w:spacing w:after="0"/>
              <w:rPr>
                <w:sz w:val="19"/>
                <w:szCs w:val="19"/>
                <w:color w:val="auto"/>
              </w:rPr>
            </w:pP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848</w:t>
            </w:r>
          </w:p>
        </w:tc>
        <w:tc>
          <w:tcPr>
            <w:tcW w:w="100" w:type="dxa"/>
            <w:vAlign w:val="bottom"/>
            <w:tcBorders>
              <w:bottom w:val="single" w:sz="8" w:color="D2DCE5"/>
            </w:tcBorders>
            <w:shd w:val="clear" w:color="auto" w:fill="D2DCE5"/>
          </w:tcPr>
          <w:p>
            <w:pPr>
              <w:spacing w:after="0"/>
              <w:rPr>
                <w:sz w:val="19"/>
                <w:szCs w:val="19"/>
                <w:color w:val="auto"/>
              </w:rPr>
            </w:pPr>
          </w:p>
        </w:tc>
        <w:tc>
          <w:tcPr>
            <w:tcW w:w="300" w:type="dxa"/>
            <w:vAlign w:val="bottom"/>
            <w:tcBorders>
              <w:bottom w:val="single" w:sz="8" w:color="D2DCE5"/>
            </w:tcBorders>
            <w:shd w:val="clear" w:color="auto" w:fill="D2DCE5"/>
          </w:tcPr>
          <w:p>
            <w:pPr>
              <w:spacing w:after="0"/>
              <w:rPr>
                <w:sz w:val="19"/>
                <w:szCs w:val="19"/>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20"/>
              <w:spacing w:after="0"/>
              <w:rPr>
                <w:sz w:val="20"/>
                <w:szCs w:val="20"/>
                <w:color w:val="auto"/>
              </w:rPr>
            </w:pPr>
            <w:r>
              <w:rPr>
                <w:rFonts w:ascii="Arial" w:cs="Arial" w:eastAsia="Arial" w:hAnsi="Arial"/>
                <w:sz w:val="18"/>
                <w:szCs w:val="18"/>
                <w:color w:val="131E29"/>
              </w:rPr>
              <w:t>Transfers from (to) non-controlling interests: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3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Decrease in additional paid-in capital as a result of the</w:t>
            </w:r>
          </w:p>
        </w:tc>
        <w:tc>
          <w:tcPr>
            <w:tcW w:w="300" w:type="dxa"/>
            <w:vAlign w:val="bottom"/>
            <w:shd w:val="clear" w:color="auto" w:fill="D2DCE5"/>
          </w:tcPr>
          <w:p>
            <w:pPr>
              <w:spacing w:after="0"/>
              <w:rPr>
                <w:sz w:val="21"/>
                <w:szCs w:val="21"/>
                <w:color w:val="auto"/>
              </w:rPr>
            </w:pPr>
          </w:p>
        </w:tc>
        <w:tc>
          <w:tcPr>
            <w:tcW w:w="102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320" w:type="dxa"/>
            <w:vAlign w:val="bottom"/>
            <w:shd w:val="clear" w:color="auto" w:fill="D2DCE5"/>
          </w:tcPr>
          <w:p>
            <w:pPr>
              <w:spacing w:after="0"/>
              <w:rPr>
                <w:sz w:val="21"/>
                <w:szCs w:val="21"/>
                <w:color w:val="auto"/>
              </w:rPr>
            </w:pPr>
          </w:p>
        </w:tc>
        <w:tc>
          <w:tcPr>
            <w:tcW w:w="10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00" w:type="dxa"/>
            <w:vAlign w:val="bottom"/>
            <w:shd w:val="clear" w:color="auto" w:fill="D2DCE5"/>
          </w:tcPr>
          <w:p>
            <w:pPr>
              <w:spacing w:after="0"/>
              <w:rPr>
                <w:sz w:val="21"/>
                <w:szCs w:val="21"/>
                <w:color w:val="auto"/>
              </w:rPr>
            </w:pPr>
          </w:p>
        </w:tc>
        <w:tc>
          <w:tcPr>
            <w:tcW w:w="10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00" w:type="dxa"/>
            <w:vAlign w:val="bottom"/>
            <w:shd w:val="clear" w:color="auto" w:fill="D2DCE5"/>
          </w:tcPr>
          <w:p>
            <w:pPr>
              <w:spacing w:after="0"/>
              <w:rPr>
                <w:sz w:val="21"/>
                <w:szCs w:val="21"/>
                <w:color w:val="auto"/>
              </w:rPr>
            </w:pPr>
          </w:p>
        </w:tc>
        <w:tc>
          <w:tcPr>
            <w:tcW w:w="110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3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Reorganization Transactions</w:t>
            </w:r>
          </w:p>
        </w:tc>
        <w:tc>
          <w:tcPr>
            <w:tcW w:w="300" w:type="dxa"/>
            <w:vAlign w:val="bottom"/>
            <w:tcBorders>
              <w:bottom w:val="single" w:sz="8" w:color="D2DCE5"/>
            </w:tcBorders>
            <w:shd w:val="clear" w:color="auto" w:fill="D2DCE5"/>
          </w:tcPr>
          <w:p>
            <w:pPr>
              <w:spacing w:after="0"/>
              <w:rPr>
                <w:sz w:val="19"/>
                <w:szCs w:val="19"/>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80" w:type="dxa"/>
            <w:vAlign w:val="bottom"/>
            <w:tcBorders>
              <w:bottom w:val="single" w:sz="8" w:color="D2DCE5"/>
            </w:tcBorders>
            <w:shd w:val="clear" w:color="auto" w:fill="D2DCE5"/>
          </w:tcPr>
          <w:p>
            <w:pPr>
              <w:spacing w:after="0"/>
              <w:rPr>
                <w:sz w:val="19"/>
                <w:szCs w:val="19"/>
                <w:color w:val="auto"/>
              </w:rPr>
            </w:pPr>
          </w:p>
        </w:tc>
        <w:tc>
          <w:tcPr>
            <w:tcW w:w="80" w:type="dxa"/>
            <w:vAlign w:val="bottom"/>
            <w:tcBorders>
              <w:bottom w:val="single" w:sz="8" w:color="D2DCE5"/>
            </w:tcBorders>
            <w:shd w:val="clear" w:color="auto" w:fill="D2DCE5"/>
          </w:tcPr>
          <w:p>
            <w:pPr>
              <w:spacing w:after="0"/>
              <w:rPr>
                <w:sz w:val="19"/>
                <w:szCs w:val="19"/>
                <w:color w:val="auto"/>
              </w:rPr>
            </w:pPr>
          </w:p>
        </w:tc>
        <w:tc>
          <w:tcPr>
            <w:tcW w:w="320" w:type="dxa"/>
            <w:vAlign w:val="bottom"/>
            <w:tcBorders>
              <w:bottom w:val="single" w:sz="8" w:color="D2DCE5"/>
            </w:tcBorders>
            <w:shd w:val="clear" w:color="auto" w:fill="D2DCE5"/>
          </w:tcPr>
          <w:p>
            <w:pPr>
              <w:spacing w:after="0"/>
              <w:rPr>
                <w:sz w:val="19"/>
                <w:szCs w:val="19"/>
                <w:color w:val="auto"/>
              </w:rPr>
            </w:pP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(195,936)</w:t>
            </w:r>
          </w:p>
        </w:tc>
        <w:tc>
          <w:tcPr>
            <w:tcW w:w="100" w:type="dxa"/>
            <w:vAlign w:val="bottom"/>
            <w:tcBorders>
              <w:bottom w:val="single" w:sz="8" w:color="D2DCE5"/>
            </w:tcBorders>
            <w:shd w:val="clear" w:color="auto" w:fill="D2DCE5"/>
          </w:tcPr>
          <w:p>
            <w:pPr>
              <w:spacing w:after="0"/>
              <w:rPr>
                <w:sz w:val="19"/>
                <w:szCs w:val="19"/>
                <w:color w:val="auto"/>
              </w:rPr>
            </w:pPr>
          </w:p>
        </w:tc>
        <w:tc>
          <w:tcPr>
            <w:tcW w:w="300" w:type="dxa"/>
            <w:vAlign w:val="bottom"/>
            <w:tcBorders>
              <w:bottom w:val="single" w:sz="8" w:color="D2DCE5"/>
            </w:tcBorders>
            <w:shd w:val="clear" w:color="auto" w:fill="D2DCE5"/>
          </w:tcPr>
          <w:p>
            <w:pPr>
              <w:spacing w:after="0"/>
              <w:rPr>
                <w:sz w:val="19"/>
                <w:szCs w:val="19"/>
                <w:color w:val="auto"/>
              </w:rPr>
            </w:pPr>
          </w:p>
        </w:tc>
        <w:tc>
          <w:tcPr>
            <w:tcW w:w="118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300" w:type="dxa"/>
            <w:vAlign w:val="bottom"/>
            <w:tcBorders>
              <w:bottom w:val="single" w:sz="8" w:color="D2DCE5"/>
            </w:tcBorders>
            <w:shd w:val="clear" w:color="auto" w:fill="D2DCE5"/>
          </w:tcPr>
          <w:p>
            <w:pPr>
              <w:spacing w:after="0"/>
              <w:rPr>
                <w:sz w:val="19"/>
                <w:szCs w:val="19"/>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(195,936)</w:t>
            </w:r>
          </w:p>
        </w:tc>
        <w:tc>
          <w:tcPr>
            <w:tcW w:w="0" w:type="dxa"/>
            <w:vAlign w:val="bottom"/>
          </w:tcPr>
          <w:p>
            <w:pPr>
              <w:spacing w:after="0"/>
              <w:rPr>
                <w:sz w:val="1"/>
                <w:szCs w:val="1"/>
                <w:color w:val="auto"/>
              </w:rPr>
            </w:pPr>
          </w:p>
        </w:tc>
      </w:tr>
      <w:tr>
        <w:trPr>
          <w:trHeight w:val="242"/>
        </w:trPr>
        <w:tc>
          <w:tcPr>
            <w:tcW w:w="5380" w:type="dxa"/>
            <w:vAlign w:val="bottom"/>
            <w:gridSpan w:val="2"/>
          </w:tcPr>
          <w:p>
            <w:pPr>
              <w:ind w:left="180"/>
              <w:spacing w:after="0"/>
              <w:rPr>
                <w:sz w:val="20"/>
                <w:szCs w:val="20"/>
                <w:color w:val="auto"/>
              </w:rPr>
            </w:pPr>
            <w:r>
              <w:rPr>
                <w:rFonts w:ascii="Arial" w:cs="Arial" w:eastAsia="Arial" w:hAnsi="Arial"/>
                <w:sz w:val="18"/>
                <w:szCs w:val="18"/>
                <w:color w:val="131E29"/>
              </w:rPr>
              <w:t>Decrease in accumulated deficit as a result of the adoption of</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380" w:type="dxa"/>
            <w:vAlign w:val="bottom"/>
            <w:gridSpan w:val="2"/>
          </w:tcPr>
          <w:p>
            <w:pPr>
              <w:ind w:left="180"/>
              <w:spacing w:after="0"/>
              <w:rPr>
                <w:sz w:val="20"/>
                <w:szCs w:val="20"/>
                <w:color w:val="auto"/>
              </w:rPr>
            </w:pPr>
            <w:r>
              <w:rPr>
                <w:rFonts w:ascii="Arial" w:cs="Arial" w:eastAsia="Arial" w:hAnsi="Arial"/>
                <w:sz w:val="18"/>
                <w:szCs w:val="18"/>
                <w:color w:val="131E29"/>
              </w:rPr>
              <w:t>ASC 842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131E29"/>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131E29"/>
              </w:rPr>
              <w:t>122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3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Increase in additional paid-in capital as a result of equity-based</w:t>
            </w:r>
          </w:p>
        </w:tc>
        <w:tc>
          <w:tcPr>
            <w:tcW w:w="300" w:type="dxa"/>
            <w:vAlign w:val="bottom"/>
            <w:shd w:val="clear" w:color="auto" w:fill="D2DCE5"/>
          </w:tcPr>
          <w:p>
            <w:pPr>
              <w:spacing w:after="0"/>
              <w:rPr>
                <w:sz w:val="21"/>
                <w:szCs w:val="21"/>
                <w:color w:val="auto"/>
              </w:rPr>
            </w:pPr>
          </w:p>
        </w:tc>
        <w:tc>
          <w:tcPr>
            <w:tcW w:w="102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320" w:type="dxa"/>
            <w:vAlign w:val="bottom"/>
            <w:shd w:val="clear" w:color="auto" w:fill="D2DCE5"/>
          </w:tcPr>
          <w:p>
            <w:pPr>
              <w:spacing w:after="0"/>
              <w:rPr>
                <w:sz w:val="21"/>
                <w:szCs w:val="21"/>
                <w:color w:val="auto"/>
              </w:rPr>
            </w:pPr>
          </w:p>
        </w:tc>
        <w:tc>
          <w:tcPr>
            <w:tcW w:w="10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00" w:type="dxa"/>
            <w:vAlign w:val="bottom"/>
            <w:shd w:val="clear" w:color="auto" w:fill="D2DCE5"/>
          </w:tcPr>
          <w:p>
            <w:pPr>
              <w:spacing w:after="0"/>
              <w:rPr>
                <w:sz w:val="21"/>
                <w:szCs w:val="21"/>
                <w:color w:val="auto"/>
              </w:rPr>
            </w:pPr>
          </w:p>
        </w:tc>
        <w:tc>
          <w:tcPr>
            <w:tcW w:w="10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00" w:type="dxa"/>
            <w:vAlign w:val="bottom"/>
            <w:shd w:val="clear" w:color="auto" w:fill="D2DCE5"/>
          </w:tcPr>
          <w:p>
            <w:pPr>
              <w:spacing w:after="0"/>
              <w:rPr>
                <w:sz w:val="21"/>
                <w:szCs w:val="21"/>
                <w:color w:val="auto"/>
              </w:rPr>
            </w:pPr>
          </w:p>
        </w:tc>
        <w:tc>
          <w:tcPr>
            <w:tcW w:w="110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3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compensation</w:t>
            </w:r>
          </w:p>
        </w:tc>
        <w:tc>
          <w:tcPr>
            <w:tcW w:w="300" w:type="dxa"/>
            <w:vAlign w:val="bottom"/>
            <w:tcBorders>
              <w:bottom w:val="single" w:sz="8" w:color="D2DCE5"/>
            </w:tcBorders>
            <w:shd w:val="clear" w:color="auto" w:fill="D2DCE5"/>
          </w:tcPr>
          <w:p>
            <w:pPr>
              <w:spacing w:after="0"/>
              <w:rPr>
                <w:sz w:val="19"/>
                <w:szCs w:val="19"/>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3,656</w:t>
            </w:r>
          </w:p>
        </w:tc>
        <w:tc>
          <w:tcPr>
            <w:tcW w:w="80" w:type="dxa"/>
            <w:vAlign w:val="bottom"/>
            <w:tcBorders>
              <w:bottom w:val="single" w:sz="8" w:color="D2DCE5"/>
            </w:tcBorders>
            <w:shd w:val="clear" w:color="auto" w:fill="D2DCE5"/>
          </w:tcPr>
          <w:p>
            <w:pPr>
              <w:spacing w:after="0"/>
              <w:rPr>
                <w:sz w:val="19"/>
                <w:szCs w:val="19"/>
                <w:color w:val="auto"/>
              </w:rPr>
            </w:pPr>
          </w:p>
        </w:tc>
        <w:tc>
          <w:tcPr>
            <w:tcW w:w="80" w:type="dxa"/>
            <w:vAlign w:val="bottom"/>
            <w:tcBorders>
              <w:bottom w:val="single" w:sz="8" w:color="D2DCE5"/>
            </w:tcBorders>
            <w:shd w:val="clear" w:color="auto" w:fill="D2DCE5"/>
          </w:tcPr>
          <w:p>
            <w:pPr>
              <w:spacing w:after="0"/>
              <w:rPr>
                <w:sz w:val="19"/>
                <w:szCs w:val="19"/>
                <w:color w:val="auto"/>
              </w:rPr>
            </w:pPr>
          </w:p>
        </w:tc>
        <w:tc>
          <w:tcPr>
            <w:tcW w:w="320" w:type="dxa"/>
            <w:vAlign w:val="bottom"/>
            <w:tcBorders>
              <w:bottom w:val="single" w:sz="8" w:color="D2DCE5"/>
            </w:tcBorders>
            <w:shd w:val="clear" w:color="auto" w:fill="D2DCE5"/>
          </w:tcPr>
          <w:p>
            <w:pPr>
              <w:spacing w:after="0"/>
              <w:rPr>
                <w:sz w:val="19"/>
                <w:szCs w:val="19"/>
                <w:color w:val="auto"/>
              </w:rPr>
            </w:pP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9,802</w:t>
            </w:r>
          </w:p>
        </w:tc>
        <w:tc>
          <w:tcPr>
            <w:tcW w:w="100" w:type="dxa"/>
            <w:vAlign w:val="bottom"/>
            <w:tcBorders>
              <w:bottom w:val="single" w:sz="8" w:color="D2DCE5"/>
            </w:tcBorders>
            <w:shd w:val="clear" w:color="auto" w:fill="D2DCE5"/>
          </w:tcPr>
          <w:p>
            <w:pPr>
              <w:spacing w:after="0"/>
              <w:rPr>
                <w:sz w:val="19"/>
                <w:szCs w:val="19"/>
                <w:color w:val="auto"/>
              </w:rPr>
            </w:pPr>
          </w:p>
        </w:tc>
        <w:tc>
          <w:tcPr>
            <w:tcW w:w="300" w:type="dxa"/>
            <w:vAlign w:val="bottom"/>
            <w:tcBorders>
              <w:bottom w:val="single" w:sz="8" w:color="D2DCE5"/>
            </w:tcBorders>
            <w:shd w:val="clear" w:color="auto" w:fill="D2DCE5"/>
          </w:tcPr>
          <w:p>
            <w:pPr>
              <w:spacing w:after="0"/>
              <w:rPr>
                <w:sz w:val="19"/>
                <w:szCs w:val="19"/>
                <w:color w:val="auto"/>
              </w:rPr>
            </w:pP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10,083</w:t>
            </w:r>
          </w:p>
        </w:tc>
        <w:tc>
          <w:tcPr>
            <w:tcW w:w="100" w:type="dxa"/>
            <w:vAlign w:val="bottom"/>
            <w:tcBorders>
              <w:bottom w:val="single" w:sz="8" w:color="D2DCE5"/>
            </w:tcBorders>
            <w:shd w:val="clear" w:color="auto" w:fill="D2DCE5"/>
          </w:tcPr>
          <w:p>
            <w:pPr>
              <w:spacing w:after="0"/>
              <w:rPr>
                <w:sz w:val="19"/>
                <w:szCs w:val="19"/>
                <w:color w:val="auto"/>
              </w:rPr>
            </w:pPr>
          </w:p>
        </w:tc>
        <w:tc>
          <w:tcPr>
            <w:tcW w:w="300" w:type="dxa"/>
            <w:vAlign w:val="bottom"/>
            <w:tcBorders>
              <w:bottom w:val="single" w:sz="8" w:color="D2DCE5"/>
            </w:tcBorders>
            <w:shd w:val="clear" w:color="auto" w:fill="D2DCE5"/>
          </w:tcPr>
          <w:p>
            <w:pPr>
              <w:spacing w:after="0"/>
              <w:rPr>
                <w:sz w:val="19"/>
                <w:szCs w:val="19"/>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9,802</w:t>
            </w:r>
          </w:p>
        </w:tc>
        <w:tc>
          <w:tcPr>
            <w:tcW w:w="0" w:type="dxa"/>
            <w:vAlign w:val="bottom"/>
          </w:tcPr>
          <w:p>
            <w:pPr>
              <w:spacing w:after="0"/>
              <w:rPr>
                <w:sz w:val="1"/>
                <w:szCs w:val="1"/>
                <w:color w:val="auto"/>
              </w:rPr>
            </w:pPr>
          </w:p>
        </w:tc>
      </w:tr>
      <w:tr>
        <w:trPr>
          <w:trHeight w:val="242"/>
        </w:trPr>
        <w:tc>
          <w:tcPr>
            <w:tcW w:w="5380" w:type="dxa"/>
            <w:vAlign w:val="bottom"/>
            <w:gridSpan w:val="2"/>
          </w:tcPr>
          <w:p>
            <w:pPr>
              <w:ind w:left="180"/>
              <w:spacing w:after="0"/>
              <w:rPr>
                <w:sz w:val="20"/>
                <w:szCs w:val="20"/>
                <w:color w:val="auto"/>
              </w:rPr>
            </w:pPr>
            <w:r>
              <w:rPr>
                <w:rFonts w:ascii="Arial" w:cs="Arial" w:eastAsia="Arial" w:hAnsi="Arial"/>
                <w:sz w:val="18"/>
                <w:szCs w:val="18"/>
                <w:color w:val="131E29"/>
              </w:rPr>
              <w:t>Decrease in additional paid-in capital as a result of common</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ind w:left="180"/>
              <w:spacing w:after="0"/>
              <w:rPr>
                <w:sz w:val="20"/>
                <w:szCs w:val="20"/>
                <w:color w:val="auto"/>
              </w:rPr>
            </w:pPr>
            <w:r>
              <w:rPr>
                <w:rFonts w:ascii="Arial" w:cs="Arial" w:eastAsia="Arial" w:hAnsi="Arial"/>
                <w:sz w:val="18"/>
                <w:szCs w:val="18"/>
                <w:color w:val="131E29"/>
              </w:rPr>
              <w:t>stock issuances pursuant to vesting of equity awards, net of</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80" w:type="dxa"/>
            <w:vAlign w:val="bottom"/>
            <w:gridSpan w:val="2"/>
          </w:tcPr>
          <w:p>
            <w:pPr>
              <w:ind w:left="180"/>
              <w:spacing w:after="0"/>
              <w:rPr>
                <w:sz w:val="20"/>
                <w:szCs w:val="20"/>
                <w:color w:val="auto"/>
              </w:rPr>
            </w:pPr>
            <w:r>
              <w:rPr>
                <w:rFonts w:ascii="Arial" w:cs="Arial" w:eastAsia="Arial" w:hAnsi="Arial"/>
                <w:sz w:val="18"/>
                <w:szCs w:val="18"/>
                <w:color w:val="131E29"/>
              </w:rPr>
              <w:t>stock withheld for tax</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131E29"/>
              </w:rPr>
              <w:t>(3,258)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131E29"/>
              </w:rPr>
              <w:t>(1,145)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(3,258)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3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Increase (decrease) in additional paid-in capital as a result of</w:t>
            </w:r>
          </w:p>
        </w:tc>
        <w:tc>
          <w:tcPr>
            <w:tcW w:w="300" w:type="dxa"/>
            <w:vAlign w:val="bottom"/>
            <w:shd w:val="clear" w:color="auto" w:fill="D2DCE5"/>
          </w:tcPr>
          <w:p>
            <w:pPr>
              <w:spacing w:after="0"/>
              <w:rPr>
                <w:sz w:val="21"/>
                <w:szCs w:val="21"/>
                <w:color w:val="auto"/>
              </w:rPr>
            </w:pPr>
          </w:p>
        </w:tc>
        <w:tc>
          <w:tcPr>
            <w:tcW w:w="102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320" w:type="dxa"/>
            <w:vAlign w:val="bottom"/>
            <w:shd w:val="clear" w:color="auto" w:fill="D2DCE5"/>
          </w:tcPr>
          <w:p>
            <w:pPr>
              <w:spacing w:after="0"/>
              <w:rPr>
                <w:sz w:val="21"/>
                <w:szCs w:val="21"/>
                <w:color w:val="auto"/>
              </w:rPr>
            </w:pPr>
          </w:p>
        </w:tc>
        <w:tc>
          <w:tcPr>
            <w:tcW w:w="10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00" w:type="dxa"/>
            <w:vAlign w:val="bottom"/>
            <w:shd w:val="clear" w:color="auto" w:fill="D2DCE5"/>
          </w:tcPr>
          <w:p>
            <w:pPr>
              <w:spacing w:after="0"/>
              <w:rPr>
                <w:sz w:val="21"/>
                <w:szCs w:val="21"/>
                <w:color w:val="auto"/>
              </w:rPr>
            </w:pPr>
          </w:p>
        </w:tc>
        <w:tc>
          <w:tcPr>
            <w:tcW w:w="10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00" w:type="dxa"/>
            <w:vAlign w:val="bottom"/>
            <w:shd w:val="clear" w:color="auto" w:fill="D2DCE5"/>
          </w:tcPr>
          <w:p>
            <w:pPr>
              <w:spacing w:after="0"/>
              <w:rPr>
                <w:sz w:val="21"/>
                <w:szCs w:val="21"/>
                <w:color w:val="auto"/>
              </w:rPr>
            </w:pPr>
          </w:p>
        </w:tc>
        <w:tc>
          <w:tcPr>
            <w:tcW w:w="110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the acquisition of Dutch Bros OpCo Class A common units</w:t>
            </w: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4,528</w:t>
            </w:r>
          </w:p>
        </w:tc>
        <w:tc>
          <w:tcPr>
            <w:tcW w:w="8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(239,132)</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9,408</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(239,132)</w:t>
            </w:r>
          </w:p>
        </w:tc>
        <w:tc>
          <w:tcPr>
            <w:tcW w:w="0" w:type="dxa"/>
            <w:vAlign w:val="bottom"/>
          </w:tcPr>
          <w:p>
            <w:pPr>
              <w:spacing w:after="0"/>
              <w:rPr>
                <w:sz w:val="1"/>
                <w:szCs w:val="1"/>
                <w:color w:val="auto"/>
              </w:rPr>
            </w:pPr>
          </w:p>
        </w:tc>
      </w:tr>
      <w:tr>
        <w:trPr>
          <w:trHeight w:val="200"/>
        </w:trPr>
        <w:tc>
          <w:tcPr>
            <w:tcW w:w="538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131E29"/>
              </w:rPr>
              <w:t>Total effect of changes in ownership interest on equity</w:t>
            </w: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rPr>
              <w:t>10,650</w:t>
            </w:r>
          </w:p>
        </w:tc>
        <w:tc>
          <w:tcPr>
            <w:tcW w:w="80" w:type="dxa"/>
            <w:vAlign w:val="bottom"/>
            <w:tcBorders>
              <w:top w:val="single" w:sz="8" w:color="auto"/>
            </w:tcBorders>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131E29"/>
                <w:w w:val="9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rPr>
              <w:t>(439,601)</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131E29"/>
                <w:w w:val="7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rPr>
              <w:t>15,226</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131E29"/>
                <w:w w:val="9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rPr>
              <w:t>(439,601)</w:t>
            </w:r>
          </w:p>
        </w:tc>
        <w:tc>
          <w:tcPr>
            <w:tcW w:w="0" w:type="dxa"/>
            <w:vAlign w:val="bottom"/>
          </w:tcPr>
          <w:p>
            <w:pPr>
              <w:spacing w:after="0"/>
              <w:rPr>
                <w:sz w:val="1"/>
                <w:szCs w:val="1"/>
                <w:color w:val="auto"/>
              </w:rPr>
            </w:pPr>
          </w:p>
        </w:tc>
      </w:tr>
      <w:tr>
        <w:trPr>
          <w:trHeight w:val="244"/>
        </w:trPr>
        <w:tc>
          <w:tcPr>
            <w:tcW w:w="5380" w:type="dxa"/>
            <w:vAlign w:val="bottom"/>
            <w:gridSpan w:val="2"/>
          </w:tcPr>
          <w:p>
            <w:pPr>
              <w:ind w:left="20"/>
              <w:spacing w:after="0"/>
              <w:rPr>
                <w:sz w:val="20"/>
                <w:szCs w:val="20"/>
                <w:color w:val="auto"/>
              </w:rPr>
            </w:pPr>
            <w:r>
              <w:rPr>
                <w:rFonts w:ascii="Arial" w:cs="Arial" w:eastAsia="Arial" w:hAnsi="Arial"/>
                <w:sz w:val="18"/>
                <w:szCs w:val="18"/>
                <w:b w:val="1"/>
                <w:bCs w:val="1"/>
                <w:color w:val="131E29"/>
              </w:rPr>
              <w:t>attributable to Dutch Bros Inc.</w:t>
            </w:r>
          </w:p>
        </w:tc>
        <w:tc>
          <w:tcPr>
            <w:tcW w:w="3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 weighted-average ownership percentage for the applicable reporting period is used to attribute net income (loss) to Dutch Bros Inc. and the non-controlling interest holders. The non-controlling interest holders’ weighted-average ownership percentage were as follows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gridSpan w:val="5"/>
          </w:tcPr>
          <w:p>
            <w:pPr>
              <w:ind w:left="100"/>
              <w:spacing w:after="0"/>
              <w:rPr>
                <w:sz w:val="20"/>
                <w:szCs w:val="20"/>
                <w:color w:val="auto"/>
              </w:rPr>
            </w:pPr>
            <w:r>
              <w:rPr>
                <w:rFonts w:ascii="Arial" w:cs="Arial" w:eastAsia="Arial" w:hAnsi="Arial"/>
                <w:sz w:val="18"/>
                <w:szCs w:val="18"/>
                <w:b w:val="1"/>
                <w:bCs w:val="1"/>
                <w:color w:val="131E29"/>
              </w:rPr>
              <w:t>Three Months Ended September 30,</w:t>
            </w:r>
          </w:p>
        </w:tc>
        <w:tc>
          <w:tcPr>
            <w:tcW w:w="3300" w:type="dxa"/>
            <w:vAlign w:val="bottom"/>
            <w:gridSpan w:val="3"/>
          </w:tcPr>
          <w:p>
            <w:pPr>
              <w:ind w:left="180"/>
              <w:spacing w:after="0"/>
              <w:rPr>
                <w:sz w:val="20"/>
                <w:szCs w:val="20"/>
                <w:color w:val="auto"/>
              </w:rPr>
            </w:pPr>
            <w:r>
              <w:rPr>
                <w:rFonts w:ascii="Arial" w:cs="Arial" w:eastAsia="Arial" w:hAnsi="Arial"/>
                <w:sz w:val="18"/>
                <w:szCs w:val="18"/>
                <w:b w:val="1"/>
                <w:bCs w:val="1"/>
                <w:color w:val="131E29"/>
              </w:rPr>
              <w:t>Nine Months Ended September 30,</w:t>
            </w:r>
          </w:p>
        </w:tc>
      </w:tr>
      <w:tr>
        <w:trPr>
          <w:trHeight w:val="27"/>
        </w:trPr>
        <w:tc>
          <w:tcPr>
            <w:tcW w:w="4580" w:type="dxa"/>
            <w:vAlign w:val="bottom"/>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5640" w:type="dxa"/>
            <w:vAlign w:val="bottom"/>
            <w:gridSpan w:val="3"/>
          </w:tcPr>
          <w:p>
            <w:pPr>
              <w:jc w:val="right"/>
              <w:spacing w:after="0"/>
              <w:rPr>
                <w:sz w:val="20"/>
                <w:szCs w:val="20"/>
                <w:color w:val="auto"/>
              </w:rPr>
            </w:pPr>
            <w:r>
              <w:rPr>
                <w:rFonts w:ascii="Arial" w:cs="Arial" w:eastAsia="Arial" w:hAnsi="Arial"/>
                <w:sz w:val="18"/>
                <w:szCs w:val="18"/>
                <w:b w:val="1"/>
                <w:bCs w:val="1"/>
                <w:color w:val="131E29"/>
              </w:rPr>
              <w:t>2022</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470"/>
              <w:spacing w:after="0"/>
              <w:rPr>
                <w:sz w:val="20"/>
                <w:szCs w:val="20"/>
                <w:color w:val="auto"/>
              </w:rPr>
            </w:pPr>
            <w:r>
              <w:rPr>
                <w:rFonts w:ascii="Arial" w:cs="Arial" w:eastAsia="Arial" w:hAnsi="Arial"/>
                <w:sz w:val="18"/>
                <w:szCs w:val="18"/>
                <w:b w:val="1"/>
                <w:bCs w:val="1"/>
                <w:color w:val="131E29"/>
              </w:rPr>
              <w:t>2021</w:t>
            </w:r>
          </w:p>
        </w:tc>
        <w:tc>
          <w:tcPr>
            <w:tcW w:w="80" w:type="dxa"/>
            <w:vAlign w:val="bottom"/>
          </w:tcPr>
          <w:p>
            <w:pPr>
              <w:spacing w:after="0"/>
              <w:rPr>
                <w:sz w:val="20"/>
                <w:szCs w:val="20"/>
                <w:color w:val="auto"/>
              </w:rPr>
            </w:pP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1520" w:type="dxa"/>
            <w:vAlign w:val="bottom"/>
          </w:tcPr>
          <w:p>
            <w:pPr>
              <w:jc w:val="right"/>
              <w:ind w:right="470"/>
              <w:spacing w:after="0"/>
              <w:rPr>
                <w:sz w:val="20"/>
                <w:szCs w:val="20"/>
                <w:color w:val="auto"/>
              </w:rPr>
            </w:pPr>
            <w:r>
              <w:rPr>
                <w:rFonts w:ascii="Arial" w:cs="Arial" w:eastAsia="Arial" w:hAnsi="Arial"/>
                <w:sz w:val="18"/>
                <w:szCs w:val="18"/>
                <w:b w:val="1"/>
                <w:bCs w:val="1"/>
                <w:color w:val="131E29"/>
              </w:rPr>
              <w:t>2021</w:t>
            </w:r>
          </w:p>
        </w:tc>
      </w:tr>
      <w:tr>
        <w:trPr>
          <w:trHeight w:val="27"/>
        </w:trPr>
        <w:tc>
          <w:tcPr>
            <w:tcW w:w="44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5640" w:type="dxa"/>
            <w:vAlign w:val="bottom"/>
            <w:gridSpan w:val="3"/>
            <w:shd w:val="clear" w:color="auto" w:fill="D2DCE5"/>
          </w:tcPr>
          <w:p>
            <w:pPr>
              <w:jc w:val="right"/>
              <w:ind w:right="2230"/>
              <w:spacing w:after="0"/>
              <w:rPr>
                <w:sz w:val="20"/>
                <w:szCs w:val="20"/>
                <w:color w:val="auto"/>
              </w:rPr>
            </w:pPr>
            <w:r>
              <w:rPr>
                <w:rFonts w:ascii="Arial" w:cs="Arial" w:eastAsia="Arial" w:hAnsi="Arial"/>
                <w:sz w:val="18"/>
                <w:szCs w:val="18"/>
                <w:color w:val="131E29"/>
              </w:rPr>
              <w:t>Weighted-average ownership percentage</w:t>
            </w:r>
          </w:p>
        </w:tc>
        <w:tc>
          <w:tcPr>
            <w:tcW w:w="600" w:type="dxa"/>
            <w:vAlign w:val="bottom"/>
            <w:shd w:val="clear" w:color="auto" w:fill="D2DCE5"/>
          </w:tcPr>
          <w:p>
            <w:pPr>
              <w:jc w:val="right"/>
              <w:spacing w:after="0"/>
              <w:rPr>
                <w:sz w:val="20"/>
                <w:szCs w:val="20"/>
                <w:color w:val="auto"/>
              </w:rPr>
            </w:pPr>
            <w:r>
              <w:rPr>
                <w:rFonts w:ascii="Arial" w:cs="Arial" w:eastAsia="Arial" w:hAnsi="Arial"/>
                <w:sz w:val="18"/>
                <w:szCs w:val="18"/>
                <w:color w:val="131E29"/>
                <w:w w:val="99"/>
              </w:rPr>
              <w:t>67.0 %</w:t>
            </w:r>
          </w:p>
        </w:tc>
        <w:tc>
          <w:tcPr>
            <w:tcW w:w="100" w:type="dxa"/>
            <w:vAlign w:val="bottom"/>
            <w:shd w:val="clear" w:color="auto" w:fill="D2DCE5"/>
          </w:tcPr>
          <w:p>
            <w:pPr>
              <w:spacing w:after="0"/>
              <w:rPr>
                <w:sz w:val="20"/>
                <w:szCs w:val="20"/>
                <w:color w:val="auto"/>
              </w:rPr>
            </w:pPr>
          </w:p>
        </w:tc>
        <w:tc>
          <w:tcPr>
            <w:tcW w:w="1520" w:type="dxa"/>
            <w:vAlign w:val="bottom"/>
            <w:shd w:val="clear" w:color="auto" w:fill="D2DCE5"/>
          </w:tcPr>
          <w:p>
            <w:pPr>
              <w:jc w:val="right"/>
              <w:ind w:right="630"/>
              <w:spacing w:after="0"/>
              <w:rPr>
                <w:sz w:val="20"/>
                <w:szCs w:val="20"/>
                <w:color w:val="auto"/>
              </w:rPr>
            </w:pPr>
            <w:r>
              <w:rPr>
                <w:rFonts w:ascii="Arial" w:cs="Arial" w:eastAsia="Arial" w:hAnsi="Arial"/>
                <w:sz w:val="18"/>
                <w:szCs w:val="18"/>
                <w:color w:val="131E29"/>
              </w:rPr>
              <w:t>*</w:t>
            </w:r>
          </w:p>
        </w:tc>
        <w:tc>
          <w:tcPr>
            <w:tcW w:w="80" w:type="dxa"/>
            <w:vAlign w:val="bottom"/>
            <w:shd w:val="clear" w:color="auto" w:fill="D2DCE5"/>
          </w:tcPr>
          <w:p>
            <w:pPr>
              <w:spacing w:after="0"/>
              <w:rPr>
                <w:sz w:val="20"/>
                <w:szCs w:val="20"/>
                <w:color w:val="auto"/>
              </w:rPr>
            </w:pPr>
          </w:p>
        </w:tc>
        <w:tc>
          <w:tcPr>
            <w:tcW w:w="16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68.5 %</w:t>
            </w:r>
          </w:p>
        </w:tc>
        <w:tc>
          <w:tcPr>
            <w:tcW w:w="100" w:type="dxa"/>
            <w:vAlign w:val="bottom"/>
            <w:shd w:val="clear" w:color="auto" w:fill="D2DCE5"/>
          </w:tcPr>
          <w:p>
            <w:pPr>
              <w:spacing w:after="0"/>
              <w:rPr>
                <w:sz w:val="20"/>
                <w:szCs w:val="20"/>
                <w:color w:val="auto"/>
              </w:rPr>
            </w:pPr>
          </w:p>
        </w:tc>
        <w:tc>
          <w:tcPr>
            <w:tcW w:w="1520" w:type="dxa"/>
            <w:vAlign w:val="bottom"/>
            <w:shd w:val="clear" w:color="auto" w:fill="D2DCE5"/>
          </w:tcPr>
          <w:p>
            <w:pPr>
              <w:jc w:val="right"/>
              <w:ind w:right="630"/>
              <w:spacing w:after="0"/>
              <w:rPr>
                <w:sz w:val="20"/>
                <w:szCs w:val="20"/>
                <w:color w:val="auto"/>
              </w:rPr>
            </w:pPr>
            <w:r>
              <w:rPr>
                <w:rFonts w:ascii="Arial" w:cs="Arial" w:eastAsia="Arial" w:hAnsi="Arial"/>
                <w:sz w:val="18"/>
                <w:szCs w:val="18"/>
                <w:color w:val="131E29"/>
              </w:rPr>
              <w:t>*</w:t>
            </w:r>
          </w:p>
        </w:tc>
      </w:tr>
      <w:tr>
        <w:trPr>
          <w:trHeight w:val="27"/>
        </w:trPr>
        <w:tc>
          <w:tcPr>
            <w:tcW w:w="448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060" w:type="dxa"/>
            <w:vAlign w:val="bottom"/>
            <w:shd w:val="clear" w:color="auto" w:fill="D2DCE5"/>
          </w:tcPr>
          <w:p>
            <w:pPr>
              <w:spacing w:after="0"/>
              <w:rPr>
                <w:sz w:val="2"/>
                <w:szCs w:val="2"/>
                <w:color w:val="auto"/>
              </w:rPr>
            </w:pPr>
          </w:p>
        </w:tc>
        <w:tc>
          <w:tcPr>
            <w:tcW w:w="60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520" w:type="dxa"/>
            <w:vAlign w:val="bottom"/>
            <w:shd w:val="clear" w:color="auto" w:fill="D2DCE5"/>
          </w:tcPr>
          <w:p>
            <w:pPr>
              <w:spacing w:after="0"/>
              <w:rPr>
                <w:sz w:val="2"/>
                <w:szCs w:val="2"/>
                <w:color w:val="auto"/>
              </w:rPr>
            </w:pPr>
          </w:p>
        </w:tc>
        <w:tc>
          <w:tcPr>
            <w:tcW w:w="80" w:type="dxa"/>
            <w:vAlign w:val="bottom"/>
            <w:shd w:val="clear" w:color="auto" w:fill="D2DCE5"/>
          </w:tcPr>
          <w:p>
            <w:pPr>
              <w:spacing w:after="0"/>
              <w:rPr>
                <w:sz w:val="2"/>
                <w:szCs w:val="2"/>
                <w:color w:val="auto"/>
              </w:rPr>
            </w:pPr>
          </w:p>
        </w:tc>
        <w:tc>
          <w:tcPr>
            <w:tcW w:w="168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520" w:type="dxa"/>
            <w:vAlign w:val="bottom"/>
            <w:shd w:val="clear" w:color="auto" w:fill="D2DCE5"/>
          </w:tcPr>
          <w:p>
            <w:pPr>
              <w:spacing w:after="0"/>
              <w:rPr>
                <w:sz w:val="2"/>
                <w:szCs w:val="2"/>
                <w:color w:val="auto"/>
              </w:rPr>
            </w:pPr>
          </w:p>
        </w:tc>
      </w:tr>
    </w:tbl>
    <w:p>
      <w:pPr>
        <w:spacing w:after="0" w:line="248" w:lineRule="exact"/>
        <w:rPr>
          <w:sz w:val="20"/>
          <w:szCs w:val="20"/>
          <w:color w:val="auto"/>
        </w:rPr>
      </w:pPr>
    </w:p>
    <w:p>
      <w:pPr>
        <w:ind w:firstLine="8"/>
        <w:spacing w:after="0" w:line="259" w:lineRule="auto"/>
        <w:tabs>
          <w:tab w:leader="none" w:pos="109"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The non-controlling interest holders’ weighted-average ownership percentage for the period from the September 14, 2021 Reorganization date to September 30, 2021 was 71.3%.</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15 — Income (Loss) Per Share</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Basic net income (loss) per share of Class A and Class D common stock is computed by dividing net income (loss) attributable to Dutch Bros Inc. by the weighted-average number of shares of Class A and Class D common stock outstanding during the period.</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Diluted income (loss) per share of Class A and Class D common stock is computed by dividing loss attributable to the Company, adjusted for the assumed exchange of all potentially dilutive instruments for Class A common stock, by the weighted-average number of shares of Class A and Class D common stock outstanding, adjusted to give effect to potentially dilutive elements. Share counts used in the diluted income (loss) per share calculations are adjusted for the deemed repurchases provided for in the treasury stock method for restricted stock awards and restricted stock units, and under the if-converted method for the outstanding convertible Class B and 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following tables set forth the numerators and denominators used to compute basic and diluted income (loss) per share of Class A and Class D common stock for the periods presented. The basic and diluted loss per share for the three and nine months ended September 30, 2021 reflects only the period from September 14, 2021 to September 30, 2021, which represents the period from the date of the Reorganization Transactions during which the Company had outstanding Class A and Class D common stock.</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6"/>
          </w:tcPr>
          <w:p>
            <w:pPr>
              <w:ind w:left="80"/>
              <w:spacing w:after="0"/>
              <w:rPr>
                <w:sz w:val="20"/>
                <w:szCs w:val="20"/>
                <w:color w:val="auto"/>
              </w:rPr>
            </w:pPr>
            <w:r>
              <w:rPr>
                <w:rFonts w:ascii="Arial" w:cs="Arial" w:eastAsia="Arial" w:hAnsi="Arial"/>
                <w:sz w:val="18"/>
                <w:szCs w:val="18"/>
                <w:b w:val="1"/>
                <w:bCs w:val="1"/>
                <w:color w:val="131E29"/>
              </w:rPr>
              <w:t>Three Months Ended September 30,</w:t>
            </w:r>
          </w:p>
        </w:tc>
        <w:tc>
          <w:tcPr>
            <w:tcW w:w="120" w:type="dxa"/>
            <w:vAlign w:val="bottom"/>
          </w:tcPr>
          <w:p>
            <w:pPr>
              <w:spacing w:after="0"/>
              <w:rPr>
                <w:sz w:val="20"/>
                <w:szCs w:val="20"/>
                <w:color w:val="auto"/>
              </w:rPr>
            </w:pPr>
          </w:p>
        </w:tc>
        <w:tc>
          <w:tcPr>
            <w:tcW w:w="31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131E29"/>
                <w:w w:val="99"/>
              </w:rPr>
              <w:t>Nine Months Ended September 30,</w:t>
            </w:r>
          </w:p>
        </w:tc>
      </w:tr>
      <w:tr>
        <w:trPr>
          <w:trHeight w:val="27"/>
        </w:trPr>
        <w:tc>
          <w:tcPr>
            <w:tcW w:w="470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8"/>
        </w:trPr>
        <w:tc>
          <w:tcPr>
            <w:tcW w:w="470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49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131E29"/>
              </w:rPr>
              <w:t>2021</w:t>
            </w:r>
          </w:p>
        </w:tc>
      </w:tr>
      <w:tr>
        <w:trPr>
          <w:trHeight w:val="26"/>
        </w:trPr>
        <w:tc>
          <w:tcPr>
            <w:tcW w:w="46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7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Numerator:</w:t>
            </w:r>
          </w:p>
        </w:tc>
        <w:tc>
          <w:tcPr>
            <w:tcW w:w="34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14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spacing w:after="0"/>
              <w:rPr>
                <w:sz w:val="21"/>
                <w:szCs w:val="2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131E29"/>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131E29"/>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131E29"/>
              </w:rPr>
              <w:t>1,594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131E29"/>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131E29"/>
              </w:rPr>
              <w:t>(116,830)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131E29"/>
              </w:rPr>
              <w:t>(16,436)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131E29"/>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131E29"/>
              </w:rPr>
              <w:t>(109,763)</w:t>
            </w:r>
          </w:p>
        </w:tc>
      </w:tr>
      <w:tr>
        <w:trPr>
          <w:trHeight w:val="27"/>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470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Less: net loss attributable to Dutch Bros OpCo before</w:t>
            </w:r>
          </w:p>
        </w:tc>
        <w:tc>
          <w:tcPr>
            <w:tcW w:w="340" w:type="dxa"/>
            <w:vAlign w:val="bottom"/>
            <w:shd w:val="clear" w:color="auto" w:fill="D2DCE5"/>
          </w:tcPr>
          <w:p>
            <w:pPr>
              <w:spacing w:after="0"/>
              <w:rPr>
                <w:sz w:val="21"/>
                <w:szCs w:val="21"/>
                <w:color w:val="auto"/>
              </w:rPr>
            </w:pPr>
          </w:p>
        </w:tc>
        <w:tc>
          <w:tcPr>
            <w:tcW w:w="12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40" w:type="dxa"/>
            <w:vAlign w:val="bottom"/>
            <w:shd w:val="clear" w:color="auto" w:fill="D2DCE5"/>
          </w:tcPr>
          <w:p>
            <w:pPr>
              <w:spacing w:after="0"/>
              <w:rPr>
                <w:sz w:val="21"/>
                <w:szCs w:val="21"/>
                <w:color w:val="auto"/>
              </w:rPr>
            </w:pPr>
          </w:p>
        </w:tc>
        <w:tc>
          <w:tcPr>
            <w:tcW w:w="12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20" w:type="dxa"/>
            <w:vAlign w:val="bottom"/>
            <w:shd w:val="clear" w:color="auto" w:fill="D2DCE5"/>
          </w:tcPr>
          <w:p>
            <w:pPr>
              <w:spacing w:after="0"/>
              <w:rPr>
                <w:sz w:val="21"/>
                <w:szCs w:val="21"/>
                <w:color w:val="auto"/>
              </w:rPr>
            </w:pPr>
          </w:p>
        </w:tc>
        <w:tc>
          <w:tcPr>
            <w:tcW w:w="14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40" w:type="dxa"/>
            <w:vAlign w:val="bottom"/>
            <w:shd w:val="clear" w:color="auto" w:fill="D2DCE5"/>
          </w:tcPr>
          <w:p>
            <w:pPr>
              <w:spacing w:after="0"/>
              <w:rPr>
                <w:sz w:val="21"/>
                <w:szCs w:val="21"/>
                <w:color w:val="auto"/>
              </w:rPr>
            </w:pPr>
          </w:p>
        </w:tc>
        <w:tc>
          <w:tcPr>
            <w:tcW w:w="1220" w:type="dxa"/>
            <w:vAlign w:val="bottom"/>
            <w:shd w:val="clear" w:color="auto" w:fill="D2DCE5"/>
          </w:tcPr>
          <w:p>
            <w:pPr>
              <w:spacing w:after="0"/>
              <w:rPr>
                <w:sz w:val="21"/>
                <w:szCs w:val="21"/>
                <w:color w:val="auto"/>
              </w:rPr>
            </w:pPr>
          </w:p>
        </w:tc>
      </w:tr>
      <w:tr>
        <w:trPr>
          <w:trHeight w:val="224"/>
        </w:trPr>
        <w:tc>
          <w:tcPr>
            <w:tcW w:w="47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Reorganization Transactions</w:t>
            </w:r>
          </w:p>
        </w:tc>
        <w:tc>
          <w:tcPr>
            <w:tcW w:w="340" w:type="dxa"/>
            <w:vAlign w:val="bottom"/>
            <w:tcBorders>
              <w:bottom w:val="single" w:sz="8" w:color="D2DCE5"/>
            </w:tcBorders>
            <w:shd w:val="clear" w:color="auto" w:fill="D2DCE5"/>
          </w:tcPr>
          <w:p>
            <w:pPr>
              <w:spacing w:after="0"/>
              <w:rPr>
                <w:sz w:val="19"/>
                <w:szCs w:val="19"/>
                <w:color w:val="auto"/>
              </w:rPr>
            </w:pPr>
          </w:p>
        </w:tc>
        <w:tc>
          <w:tcPr>
            <w:tcW w:w="132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340" w:type="dxa"/>
            <w:vAlign w:val="bottom"/>
            <w:tcBorders>
              <w:bottom w:val="single" w:sz="8" w:color="D2DCE5"/>
            </w:tcBorders>
            <w:shd w:val="clear" w:color="auto" w:fill="D2DCE5"/>
          </w:tcPr>
          <w:p>
            <w:pPr>
              <w:spacing w:after="0"/>
              <w:rPr>
                <w:sz w:val="19"/>
                <w:szCs w:val="19"/>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(74,441)</w:t>
            </w:r>
          </w:p>
        </w:tc>
        <w:tc>
          <w:tcPr>
            <w:tcW w:w="100" w:type="dxa"/>
            <w:vAlign w:val="bottom"/>
            <w:tcBorders>
              <w:bottom w:val="single" w:sz="8" w:color="D2DCE5"/>
            </w:tcBorders>
            <w:shd w:val="clear" w:color="auto" w:fill="D2DCE5"/>
          </w:tcPr>
          <w:p>
            <w:pPr>
              <w:spacing w:after="0"/>
              <w:rPr>
                <w:sz w:val="19"/>
                <w:szCs w:val="19"/>
                <w:color w:val="auto"/>
              </w:rPr>
            </w:pPr>
          </w:p>
        </w:tc>
        <w:tc>
          <w:tcPr>
            <w:tcW w:w="120" w:type="dxa"/>
            <w:vAlign w:val="bottom"/>
            <w:tcBorders>
              <w:bottom w:val="single" w:sz="8" w:color="D2DCE5"/>
            </w:tcBorders>
            <w:shd w:val="clear" w:color="auto" w:fill="D2DCE5"/>
          </w:tcPr>
          <w:p>
            <w:pPr>
              <w:spacing w:after="0"/>
              <w:rPr>
                <w:sz w:val="19"/>
                <w:szCs w:val="19"/>
                <w:color w:val="auto"/>
              </w:rPr>
            </w:pPr>
          </w:p>
        </w:tc>
        <w:tc>
          <w:tcPr>
            <w:tcW w:w="1540" w:type="dxa"/>
            <w:vAlign w:val="bottom"/>
            <w:tcBorders>
              <w:bottom w:val="single" w:sz="8" w:color="D2DCE5"/>
            </w:tcBorders>
            <w:gridSpan w:val="2"/>
            <w:shd w:val="clear" w:color="auto" w:fill="D2DCE5"/>
          </w:tcPr>
          <w:p>
            <w:pPr>
              <w:ind w:left="1180"/>
              <w:spacing w:after="0"/>
              <w:rPr>
                <w:sz w:val="20"/>
                <w:szCs w:val="20"/>
                <w:color w:val="auto"/>
              </w:rPr>
            </w:pPr>
            <w:r>
              <w:rPr>
                <w:rFonts w:ascii="Arial" w:cs="Arial" w:eastAsia="Arial" w:hAnsi="Arial"/>
                <w:sz w:val="18"/>
                <w:szCs w:val="18"/>
                <w:color w:val="131E29"/>
              </w:rPr>
              <w:t>—</w:t>
            </w:r>
          </w:p>
        </w:tc>
        <w:tc>
          <w:tcPr>
            <w:tcW w:w="340" w:type="dxa"/>
            <w:vAlign w:val="bottom"/>
            <w:tcBorders>
              <w:bottom w:val="single" w:sz="8" w:color="D2DCE5"/>
            </w:tcBorders>
            <w:shd w:val="clear" w:color="auto" w:fill="D2DCE5"/>
          </w:tcPr>
          <w:p>
            <w:pPr>
              <w:spacing w:after="0"/>
              <w:rPr>
                <w:sz w:val="19"/>
                <w:szCs w:val="19"/>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(67,374)</w:t>
            </w: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131E29"/>
              </w:rPr>
              <w:t>Less: net loss attributable to non-controlling interests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(31,312)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131E29"/>
              </w:rPr>
              <w:t>(12,346)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(31,312)</w:t>
            </w:r>
          </w:p>
        </w:tc>
      </w:tr>
      <w:tr>
        <w:trPr>
          <w:trHeight w:val="27"/>
        </w:trPr>
        <w:tc>
          <w:tcPr>
            <w:tcW w:w="460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47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income (loss) attributable to Dutch Bros Inc.</w:t>
            </w:r>
          </w:p>
        </w:tc>
        <w:tc>
          <w:tcPr>
            <w:tcW w:w="34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1,763</w:t>
            </w:r>
          </w:p>
        </w:tc>
        <w:tc>
          <w:tcPr>
            <w:tcW w:w="100" w:type="dxa"/>
            <w:vAlign w:val="bottom"/>
            <w:tcBorders>
              <w:bottom w:val="single" w:sz="8" w:color="D2DCE5"/>
            </w:tcBorders>
            <w:shd w:val="clear" w:color="auto" w:fill="D2DCE5"/>
          </w:tcPr>
          <w:p>
            <w:pPr>
              <w:spacing w:after="0"/>
              <w:rPr>
                <w:sz w:val="24"/>
                <w:szCs w:val="24"/>
                <w:color w:val="auto"/>
              </w:rPr>
            </w:pPr>
          </w:p>
        </w:tc>
        <w:tc>
          <w:tcPr>
            <w:tcW w:w="340" w:type="dxa"/>
            <w:vAlign w:val="bottom"/>
            <w:tcBorders>
              <w:bottom w:val="single" w:sz="8" w:color="auto"/>
            </w:tcBorders>
            <w:shd w:val="clear" w:color="auto" w:fill="D2DCE5"/>
          </w:tcPr>
          <w:p>
            <w:pPr>
              <w:spacing w:after="0"/>
              <w:rPr>
                <w:sz w:val="24"/>
                <w:szCs w:val="24"/>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(11,077)</w:t>
            </w:r>
          </w:p>
        </w:tc>
        <w:tc>
          <w:tcPr>
            <w:tcW w:w="100" w:type="dxa"/>
            <w:vAlign w:val="bottom"/>
            <w:tcBorders>
              <w:bottom w:val="single" w:sz="8" w:color="D2DCE5"/>
            </w:tcBorders>
            <w:shd w:val="clear" w:color="auto" w:fill="D2DCE5"/>
          </w:tcPr>
          <w:p>
            <w:pPr>
              <w:spacing w:after="0"/>
              <w:rPr>
                <w:sz w:val="24"/>
                <w:szCs w:val="24"/>
                <w:color w:val="auto"/>
              </w:rPr>
            </w:pPr>
          </w:p>
        </w:tc>
        <w:tc>
          <w:tcPr>
            <w:tcW w:w="1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(4,090)</w:t>
            </w:r>
          </w:p>
        </w:tc>
        <w:tc>
          <w:tcPr>
            <w:tcW w:w="100" w:type="dxa"/>
            <w:vAlign w:val="bottom"/>
            <w:tcBorders>
              <w:bottom w:val="single" w:sz="8" w:color="D2DCE5"/>
            </w:tcBorders>
            <w:shd w:val="clear" w:color="auto" w:fill="D2DCE5"/>
          </w:tcPr>
          <w:p>
            <w:pPr>
              <w:spacing w:after="0"/>
              <w:rPr>
                <w:sz w:val="24"/>
                <w:szCs w:val="24"/>
                <w:color w:val="auto"/>
              </w:rPr>
            </w:pPr>
          </w:p>
        </w:tc>
        <w:tc>
          <w:tcPr>
            <w:tcW w:w="340" w:type="dxa"/>
            <w:vAlign w:val="bottom"/>
            <w:tcBorders>
              <w:bottom w:val="single" w:sz="8" w:color="auto"/>
            </w:tcBorders>
            <w:shd w:val="clear" w:color="auto" w:fill="D2DCE5"/>
          </w:tcPr>
          <w:p>
            <w:pPr>
              <w:spacing w:after="0"/>
              <w:rPr>
                <w:sz w:val="24"/>
                <w:szCs w:val="24"/>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(11,077)</w:t>
            </w:r>
          </w:p>
        </w:tc>
      </w:tr>
      <w:tr>
        <w:trPr>
          <w:trHeight w:val="20"/>
        </w:trPr>
        <w:tc>
          <w:tcPr>
            <w:tcW w:w="46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4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4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D2DCE5"/>
              <w:bottom w:val="single" w:sz="8" w:color="auto"/>
            </w:tcBorders>
          </w:tcPr>
          <w:p>
            <w:pPr>
              <w:spacing w:after="0" w:line="20" w:lineRule="exact"/>
              <w:rPr>
                <w:sz w:val="1"/>
                <w:szCs w:val="1"/>
                <w:color w:val="auto"/>
              </w:rPr>
            </w:pPr>
          </w:p>
        </w:tc>
        <w:tc>
          <w:tcPr>
            <w:tcW w:w="14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4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131E29"/>
              </w:rPr>
              <w:t>Three Months Ended September 30,</w:t>
            </w:r>
          </w:p>
        </w:tc>
        <w:tc>
          <w:tcPr>
            <w:tcW w:w="120" w:type="dxa"/>
            <w:vAlign w:val="bottom"/>
          </w:tcPr>
          <w:p>
            <w:pPr>
              <w:spacing w:after="0"/>
              <w:rPr>
                <w:sz w:val="20"/>
                <w:szCs w:val="20"/>
                <w:color w:val="auto"/>
              </w:rPr>
            </w:pPr>
          </w:p>
        </w:tc>
        <w:tc>
          <w:tcPr>
            <w:tcW w:w="31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131E29"/>
                <w:w w:val="99"/>
              </w:rPr>
              <w:t>Nine Months Ended September 30,</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gridSpan w:val="2"/>
          </w:tcPr>
          <w:p>
            <w:pPr>
              <w:ind w:left="20"/>
              <w:spacing w:after="0"/>
              <w:rPr>
                <w:sz w:val="20"/>
                <w:szCs w:val="20"/>
                <w:color w:val="auto"/>
              </w:rPr>
            </w:pPr>
            <w:r>
              <w:rPr>
                <w:rFonts w:ascii="Arial" w:cs="Arial" w:eastAsia="Arial" w:hAnsi="Arial"/>
                <w:sz w:val="14"/>
                <w:szCs w:val="14"/>
                <w:color w:val="131E29"/>
              </w:rPr>
              <w:t>(in thousands, except per share amounts)</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49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131E29"/>
              </w:rPr>
              <w:t>2021</w:t>
            </w:r>
          </w:p>
        </w:tc>
        <w:tc>
          <w:tcPr>
            <w:tcW w:w="0" w:type="dxa"/>
            <w:vAlign w:val="bottom"/>
          </w:tcPr>
          <w:p>
            <w:pPr>
              <w:spacing w:after="0"/>
              <w:rPr>
                <w:sz w:val="1"/>
                <w:szCs w:val="1"/>
                <w:color w:val="auto"/>
              </w:rPr>
            </w:pPr>
          </w:p>
        </w:tc>
      </w:tr>
      <w:tr>
        <w:trPr>
          <w:trHeight w:val="26"/>
        </w:trPr>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Basic net income (loss) per share attributable to</w:t>
            </w:r>
          </w:p>
        </w:tc>
        <w:tc>
          <w:tcPr>
            <w:tcW w:w="340" w:type="dxa"/>
            <w:vAlign w:val="bottom"/>
            <w:shd w:val="clear" w:color="auto" w:fill="D2DCE5"/>
          </w:tcPr>
          <w:p>
            <w:pPr>
              <w:spacing w:after="0"/>
              <w:rPr>
                <w:sz w:val="18"/>
                <w:szCs w:val="18"/>
                <w:color w:val="auto"/>
              </w:rPr>
            </w:pPr>
          </w:p>
        </w:tc>
        <w:tc>
          <w:tcPr>
            <w:tcW w:w="12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40" w:type="dxa"/>
            <w:vAlign w:val="bottom"/>
            <w:shd w:val="clear" w:color="auto" w:fill="D2DCE5"/>
          </w:tcPr>
          <w:p>
            <w:pPr>
              <w:spacing w:after="0"/>
              <w:rPr>
                <w:sz w:val="18"/>
                <w:szCs w:val="18"/>
                <w:color w:val="auto"/>
              </w:rPr>
            </w:pPr>
          </w:p>
        </w:tc>
        <w:tc>
          <w:tcPr>
            <w:tcW w:w="12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14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40" w:type="dxa"/>
            <w:vAlign w:val="bottom"/>
            <w:shd w:val="clear" w:color="auto" w:fill="D2DCE5"/>
          </w:tcPr>
          <w:p>
            <w:pPr>
              <w:spacing w:after="0"/>
              <w:rPr>
                <w:sz w:val="18"/>
                <w:szCs w:val="18"/>
                <w:color w:val="auto"/>
              </w:rPr>
            </w:pPr>
          </w:p>
        </w:tc>
        <w:tc>
          <w:tcPr>
            <w:tcW w:w="122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7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common stockholders</w:t>
            </w:r>
          </w:p>
        </w:tc>
        <w:tc>
          <w:tcPr>
            <w:tcW w:w="34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14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40"/>
              <w:spacing w:after="0"/>
              <w:rPr>
                <w:sz w:val="20"/>
                <w:szCs w:val="20"/>
                <w:color w:val="auto"/>
              </w:rPr>
            </w:pPr>
            <w:r>
              <w:rPr>
                <w:rFonts w:ascii="Arial" w:cs="Arial" w:eastAsia="Arial" w:hAnsi="Arial"/>
                <w:sz w:val="18"/>
                <w:szCs w:val="18"/>
                <w:b w:val="1"/>
                <w:bCs w:val="1"/>
                <w:color w:val="131E29"/>
              </w:rPr>
              <w:t>Numerator:</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D2DCE5"/>
            </w:tcBorders>
            <w:gridSpan w:val="2"/>
            <w:shd w:val="clear" w:color="auto" w:fill="D2DCE5"/>
          </w:tcPr>
          <w:p>
            <w:pPr>
              <w:ind w:left="300"/>
              <w:spacing w:after="0"/>
              <w:rPr>
                <w:sz w:val="20"/>
                <w:szCs w:val="20"/>
                <w:color w:val="auto"/>
              </w:rPr>
            </w:pPr>
            <w:r>
              <w:rPr>
                <w:rFonts w:ascii="Arial" w:cs="Arial" w:eastAsia="Arial" w:hAnsi="Arial"/>
                <w:sz w:val="18"/>
                <w:szCs w:val="18"/>
                <w:color w:val="131E29"/>
              </w:rPr>
              <w:t>Net income (loss) attributable to Dutch Bros Inc.</w:t>
            </w:r>
          </w:p>
        </w:tc>
        <w:tc>
          <w:tcPr>
            <w:tcW w:w="340" w:type="dxa"/>
            <w:vAlign w:val="bottom"/>
            <w:tcBorders>
              <w:bottom w:val="single" w:sz="8" w:color="D2DCE5"/>
            </w:tcBorders>
            <w:shd w:val="clear" w:color="auto" w:fill="D2DCE5"/>
          </w:tcPr>
          <w:p>
            <w:pPr>
              <w:jc w:val="right"/>
              <w:ind w:right="13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1,763</w:t>
            </w: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jc w:val="right"/>
              <w:ind w:right="13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(11,077)</w:t>
            </w:r>
          </w:p>
        </w:tc>
        <w:tc>
          <w:tcPr>
            <w:tcW w:w="1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(4,090)</w:t>
            </w: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jc w:val="right"/>
              <w:ind w:right="13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(11,077)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40"/>
              <w:spacing w:after="0"/>
              <w:rPr>
                <w:sz w:val="20"/>
                <w:szCs w:val="20"/>
                <w:color w:val="auto"/>
              </w:rPr>
            </w:pPr>
            <w:r>
              <w:rPr>
                <w:rFonts w:ascii="Arial" w:cs="Arial" w:eastAsia="Arial" w:hAnsi="Arial"/>
                <w:sz w:val="18"/>
                <w:szCs w:val="18"/>
                <w:b w:val="1"/>
                <w:bCs w:val="1"/>
                <w:color w:val="131E29"/>
              </w:rPr>
              <w:t>Denominator:</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700" w:type="dxa"/>
            <w:vAlign w:val="bottom"/>
            <w:gridSpan w:val="2"/>
            <w:shd w:val="clear" w:color="auto" w:fill="D2DCE5"/>
          </w:tcPr>
          <w:p>
            <w:pPr>
              <w:ind w:left="300"/>
              <w:spacing w:after="0"/>
              <w:rPr>
                <w:sz w:val="20"/>
                <w:szCs w:val="20"/>
                <w:color w:val="auto"/>
              </w:rPr>
            </w:pPr>
            <w:r>
              <w:rPr>
                <w:rFonts w:ascii="Arial" w:cs="Arial" w:eastAsia="Arial" w:hAnsi="Arial"/>
                <w:sz w:val="18"/>
                <w:szCs w:val="18"/>
                <w:color w:val="131E29"/>
              </w:rPr>
              <w:t>Weighted-average number of shares of Class A and</w:t>
            </w:r>
          </w:p>
        </w:tc>
        <w:tc>
          <w:tcPr>
            <w:tcW w:w="340" w:type="dxa"/>
            <w:vAlign w:val="bottom"/>
            <w:shd w:val="clear" w:color="auto" w:fill="D2DCE5"/>
          </w:tcPr>
          <w:p>
            <w:pPr>
              <w:spacing w:after="0"/>
              <w:rPr>
                <w:sz w:val="21"/>
                <w:szCs w:val="21"/>
                <w:color w:val="auto"/>
              </w:rPr>
            </w:pPr>
          </w:p>
        </w:tc>
        <w:tc>
          <w:tcPr>
            <w:tcW w:w="12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40" w:type="dxa"/>
            <w:vAlign w:val="bottom"/>
            <w:shd w:val="clear" w:color="auto" w:fill="D2DCE5"/>
          </w:tcPr>
          <w:p>
            <w:pPr>
              <w:spacing w:after="0"/>
              <w:rPr>
                <w:sz w:val="21"/>
                <w:szCs w:val="21"/>
                <w:color w:val="auto"/>
              </w:rPr>
            </w:pPr>
          </w:p>
        </w:tc>
        <w:tc>
          <w:tcPr>
            <w:tcW w:w="12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20" w:type="dxa"/>
            <w:vAlign w:val="bottom"/>
            <w:shd w:val="clear" w:color="auto" w:fill="D2DCE5"/>
          </w:tcPr>
          <w:p>
            <w:pPr>
              <w:spacing w:after="0"/>
              <w:rPr>
                <w:sz w:val="21"/>
                <w:szCs w:val="21"/>
                <w:color w:val="auto"/>
              </w:rPr>
            </w:pPr>
          </w:p>
        </w:tc>
        <w:tc>
          <w:tcPr>
            <w:tcW w:w="14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40" w:type="dxa"/>
            <w:vAlign w:val="bottom"/>
            <w:shd w:val="clear" w:color="auto" w:fill="D2DCE5"/>
          </w:tcPr>
          <w:p>
            <w:pPr>
              <w:spacing w:after="0"/>
              <w:rPr>
                <w:sz w:val="21"/>
                <w:szCs w:val="21"/>
                <w:color w:val="auto"/>
              </w:rPr>
            </w:pPr>
          </w:p>
        </w:tc>
        <w:tc>
          <w:tcPr>
            <w:tcW w:w="122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D2DCE5"/>
            </w:tcBorders>
            <w:gridSpan w:val="2"/>
            <w:shd w:val="clear" w:color="auto" w:fill="D2DCE5"/>
          </w:tcPr>
          <w:p>
            <w:pPr>
              <w:ind w:left="300"/>
              <w:spacing w:after="0"/>
              <w:rPr>
                <w:sz w:val="20"/>
                <w:szCs w:val="20"/>
                <w:color w:val="auto"/>
              </w:rPr>
            </w:pPr>
            <w:r>
              <w:rPr>
                <w:rFonts w:ascii="Arial" w:cs="Arial" w:eastAsia="Arial" w:hAnsi="Arial"/>
                <w:sz w:val="18"/>
                <w:szCs w:val="18"/>
                <w:color w:val="131E29"/>
              </w:rPr>
              <w:t>Class D common stock outstanding - basic</w:t>
            </w:r>
          </w:p>
        </w:tc>
        <w:tc>
          <w:tcPr>
            <w:tcW w:w="34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53,118</w:t>
            </w: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45,807</w:t>
            </w:r>
          </w:p>
        </w:tc>
        <w:tc>
          <w:tcPr>
            <w:tcW w:w="1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1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50,719</w:t>
            </w: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45,807</w:t>
            </w:r>
          </w:p>
        </w:tc>
        <w:tc>
          <w:tcPr>
            <w:tcW w:w="0" w:type="dxa"/>
            <w:vAlign w:val="bottom"/>
          </w:tcPr>
          <w:p>
            <w:pPr>
              <w:spacing w:after="0"/>
              <w:rPr>
                <w:sz w:val="1"/>
                <w:szCs w:val="1"/>
                <w:color w:val="auto"/>
              </w:rPr>
            </w:pPr>
          </w:p>
        </w:tc>
      </w:tr>
      <w:tr>
        <w:trPr>
          <w:trHeight w:val="222"/>
        </w:trPr>
        <w:tc>
          <w:tcPr>
            <w:tcW w:w="4700" w:type="dxa"/>
            <w:vAlign w:val="bottom"/>
            <w:gridSpan w:val="2"/>
          </w:tcPr>
          <w:p>
            <w:pPr>
              <w:ind w:left="20"/>
              <w:spacing w:after="0"/>
              <w:rPr>
                <w:sz w:val="20"/>
                <w:szCs w:val="20"/>
                <w:color w:val="auto"/>
              </w:rPr>
            </w:pPr>
            <w:r>
              <w:rPr>
                <w:rFonts w:ascii="Arial" w:cs="Arial" w:eastAsia="Arial" w:hAnsi="Arial"/>
                <w:sz w:val="18"/>
                <w:szCs w:val="18"/>
                <w:color w:val="131E29"/>
              </w:rPr>
              <w:t>Basic net income (loss) per share attributable to</w:t>
            </w: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131E29"/>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rPr>
              <w:t>0.03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rPr>
              <w:t>(0.24)</w:t>
            </w:r>
          </w:p>
        </w:tc>
        <w:tc>
          <w:tcPr>
            <w:tcW w:w="100" w:type="dxa"/>
            <w:vAlign w:val="bottom"/>
          </w:tcPr>
          <w:p>
            <w:pPr>
              <w:spacing w:after="0"/>
              <w:rPr>
                <w:sz w:val="19"/>
                <w:szCs w:val="1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w w:val="99"/>
              </w:rPr>
              <w:t>$</w:t>
            </w: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rPr>
              <w:t>(0.08)</w:t>
            </w:r>
          </w:p>
        </w:tc>
        <w:tc>
          <w:tcPr>
            <w:tcW w:w="100" w:type="dxa"/>
            <w:vAlign w:val="bottom"/>
          </w:tcPr>
          <w:p>
            <w:pPr>
              <w:spacing w:after="0"/>
              <w:rPr>
                <w:sz w:val="19"/>
                <w:szCs w:val="19"/>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131E29"/>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rPr>
              <w:t>(0.24)</w:t>
            </w:r>
          </w:p>
        </w:tc>
        <w:tc>
          <w:tcPr>
            <w:tcW w:w="0" w:type="dxa"/>
            <w:vAlign w:val="bottom"/>
          </w:tcPr>
          <w:p>
            <w:pPr>
              <w:spacing w:after="0"/>
              <w:rPr>
                <w:sz w:val="1"/>
                <w:szCs w:val="1"/>
                <w:color w:val="auto"/>
              </w:rPr>
            </w:pPr>
          </w:p>
        </w:tc>
      </w:tr>
      <w:tr>
        <w:trPr>
          <w:trHeight w:val="217"/>
        </w:trPr>
        <w:tc>
          <w:tcPr>
            <w:tcW w:w="4700" w:type="dxa"/>
            <w:vAlign w:val="bottom"/>
            <w:gridSpan w:val="2"/>
          </w:tcPr>
          <w:p>
            <w:pPr>
              <w:ind w:left="20"/>
              <w:spacing w:after="0"/>
              <w:rPr>
                <w:sz w:val="20"/>
                <w:szCs w:val="20"/>
                <w:color w:val="auto"/>
              </w:rPr>
            </w:pPr>
            <w:r>
              <w:rPr>
                <w:rFonts w:ascii="Arial" w:cs="Arial" w:eastAsia="Arial" w:hAnsi="Arial"/>
                <w:sz w:val="18"/>
                <w:szCs w:val="18"/>
                <w:color w:val="131E29"/>
              </w:rPr>
              <w:t>common stockholders</w:t>
            </w:r>
          </w:p>
        </w:tc>
        <w:tc>
          <w:tcPr>
            <w:tcW w:w="3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6"/>
          </w:tcPr>
          <w:p>
            <w:pPr>
              <w:ind w:left="80"/>
              <w:spacing w:after="0"/>
              <w:rPr>
                <w:sz w:val="20"/>
                <w:szCs w:val="20"/>
                <w:color w:val="auto"/>
              </w:rPr>
            </w:pPr>
            <w:r>
              <w:rPr>
                <w:rFonts w:ascii="Arial" w:cs="Arial" w:eastAsia="Arial" w:hAnsi="Arial"/>
                <w:sz w:val="18"/>
                <w:szCs w:val="18"/>
                <w:b w:val="1"/>
                <w:bCs w:val="1"/>
                <w:color w:val="131E29"/>
              </w:rPr>
              <w:t>Three Months Ended September 30,</w:t>
            </w:r>
          </w:p>
        </w:tc>
        <w:tc>
          <w:tcPr>
            <w:tcW w:w="120" w:type="dxa"/>
            <w:vAlign w:val="bottom"/>
          </w:tcPr>
          <w:p>
            <w:pPr>
              <w:spacing w:after="0"/>
              <w:rPr>
                <w:sz w:val="20"/>
                <w:szCs w:val="20"/>
                <w:color w:val="auto"/>
              </w:rPr>
            </w:pPr>
          </w:p>
        </w:tc>
        <w:tc>
          <w:tcPr>
            <w:tcW w:w="31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131E29"/>
                <w:w w:val="99"/>
              </w:rPr>
              <w:t>Nine Months Ended September 30,</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gridSpan w:val="2"/>
          </w:tcPr>
          <w:p>
            <w:pPr>
              <w:ind w:left="20"/>
              <w:spacing w:after="0"/>
              <w:rPr>
                <w:sz w:val="20"/>
                <w:szCs w:val="20"/>
                <w:color w:val="auto"/>
              </w:rPr>
            </w:pPr>
            <w:r>
              <w:rPr>
                <w:rFonts w:ascii="Arial" w:cs="Arial" w:eastAsia="Arial" w:hAnsi="Arial"/>
                <w:sz w:val="14"/>
                <w:szCs w:val="14"/>
                <w:color w:val="131E29"/>
              </w:rPr>
              <w:t>(in thousands, except per share amounts)</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49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131E29"/>
              </w:rPr>
              <w:t>2021</w:t>
            </w:r>
          </w:p>
        </w:tc>
        <w:tc>
          <w:tcPr>
            <w:tcW w:w="0" w:type="dxa"/>
            <w:vAlign w:val="bottom"/>
          </w:tcPr>
          <w:p>
            <w:pPr>
              <w:spacing w:after="0"/>
              <w:rPr>
                <w:sz w:val="1"/>
                <w:szCs w:val="1"/>
                <w:color w:val="auto"/>
              </w:rPr>
            </w:pPr>
          </w:p>
        </w:tc>
      </w:tr>
      <w:tr>
        <w:trPr>
          <w:trHeight w:val="26"/>
        </w:trPr>
        <w:tc>
          <w:tcPr>
            <w:tcW w:w="46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Diluted net income (loss) per share attributable to</w:t>
            </w:r>
          </w:p>
        </w:tc>
        <w:tc>
          <w:tcPr>
            <w:tcW w:w="340" w:type="dxa"/>
            <w:vAlign w:val="bottom"/>
            <w:shd w:val="clear" w:color="auto" w:fill="D2DCE5"/>
          </w:tcPr>
          <w:p>
            <w:pPr>
              <w:spacing w:after="0"/>
              <w:rPr>
                <w:sz w:val="18"/>
                <w:szCs w:val="18"/>
                <w:color w:val="auto"/>
              </w:rPr>
            </w:pPr>
          </w:p>
        </w:tc>
        <w:tc>
          <w:tcPr>
            <w:tcW w:w="12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40" w:type="dxa"/>
            <w:vAlign w:val="bottom"/>
            <w:shd w:val="clear" w:color="auto" w:fill="D2DCE5"/>
          </w:tcPr>
          <w:p>
            <w:pPr>
              <w:spacing w:after="0"/>
              <w:rPr>
                <w:sz w:val="18"/>
                <w:szCs w:val="18"/>
                <w:color w:val="auto"/>
              </w:rPr>
            </w:pPr>
          </w:p>
        </w:tc>
        <w:tc>
          <w:tcPr>
            <w:tcW w:w="12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14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40" w:type="dxa"/>
            <w:vAlign w:val="bottom"/>
            <w:shd w:val="clear" w:color="auto" w:fill="D2DCE5"/>
          </w:tcPr>
          <w:p>
            <w:pPr>
              <w:spacing w:after="0"/>
              <w:rPr>
                <w:sz w:val="18"/>
                <w:szCs w:val="18"/>
                <w:color w:val="auto"/>
              </w:rPr>
            </w:pPr>
          </w:p>
        </w:tc>
        <w:tc>
          <w:tcPr>
            <w:tcW w:w="122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7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common stockholders</w:t>
            </w:r>
          </w:p>
        </w:tc>
        <w:tc>
          <w:tcPr>
            <w:tcW w:w="34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14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131E29"/>
              </w:rPr>
              <w:t>Numerator:</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Undistributed income (loss) for basic computation</w:t>
            </w:r>
          </w:p>
        </w:tc>
        <w:tc>
          <w:tcPr>
            <w:tcW w:w="340" w:type="dxa"/>
            <w:vAlign w:val="bottom"/>
            <w:tcBorders>
              <w:bottom w:val="single" w:sz="8" w:color="D2DCE5"/>
            </w:tcBorders>
            <w:shd w:val="clear" w:color="auto" w:fill="D2DCE5"/>
          </w:tcPr>
          <w:p>
            <w:pPr>
              <w:jc w:val="right"/>
              <w:ind w:right="13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1,763</w:t>
            </w: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jc w:val="right"/>
              <w:ind w:right="13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(11,077)</w:t>
            </w:r>
          </w:p>
        </w:tc>
        <w:tc>
          <w:tcPr>
            <w:tcW w:w="1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(4,090)</w:t>
            </w: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jc w:val="right"/>
              <w:ind w:right="13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(11,077)</w:t>
            </w:r>
          </w:p>
        </w:tc>
        <w:tc>
          <w:tcPr>
            <w:tcW w:w="0" w:type="dxa"/>
            <w:vAlign w:val="bottom"/>
          </w:tcPr>
          <w:p>
            <w:pPr>
              <w:spacing w:after="0"/>
              <w:rPr>
                <w:sz w:val="1"/>
                <w:szCs w:val="1"/>
                <w:color w:val="auto"/>
              </w:rPr>
            </w:pPr>
          </w:p>
        </w:tc>
      </w:tr>
      <w:tr>
        <w:trPr>
          <w:trHeight w:val="242"/>
        </w:trPr>
        <w:tc>
          <w:tcPr>
            <w:tcW w:w="4700" w:type="dxa"/>
            <w:vAlign w:val="bottom"/>
            <w:gridSpan w:val="2"/>
          </w:tcPr>
          <w:p>
            <w:pPr>
              <w:ind w:left="360"/>
              <w:spacing w:after="0"/>
              <w:rPr>
                <w:sz w:val="20"/>
                <w:szCs w:val="20"/>
                <w:color w:val="auto"/>
              </w:rPr>
            </w:pPr>
            <w:r>
              <w:rPr>
                <w:rFonts w:ascii="Arial" w:cs="Arial" w:eastAsia="Arial" w:hAnsi="Arial"/>
                <w:sz w:val="18"/>
                <w:szCs w:val="18"/>
                <w:color w:val="131E29"/>
              </w:rPr>
              <w:t>Decrease in net income attributable to common</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360"/>
              <w:spacing w:after="0"/>
              <w:rPr>
                <w:sz w:val="20"/>
                <w:szCs w:val="20"/>
                <w:color w:val="auto"/>
              </w:rPr>
            </w:pPr>
            <w:r>
              <w:rPr>
                <w:rFonts w:ascii="Arial" w:cs="Arial" w:eastAsia="Arial" w:hAnsi="Arial"/>
                <w:sz w:val="18"/>
                <w:szCs w:val="18"/>
                <w:color w:val="131E29"/>
              </w:rPr>
              <w:t>stockholders upon conversion of potentially dilutive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360"/>
              <w:spacing w:after="0"/>
              <w:rPr>
                <w:sz w:val="20"/>
                <w:szCs w:val="20"/>
                <w:color w:val="auto"/>
              </w:rPr>
            </w:pPr>
            <w:r>
              <w:rPr>
                <w:rFonts w:ascii="Arial" w:cs="Arial" w:eastAsia="Arial" w:hAnsi="Arial"/>
                <w:sz w:val="18"/>
                <w:szCs w:val="18"/>
                <w:color w:val="131E29"/>
              </w:rPr>
              <w:t>instruments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131E29"/>
              </w:rPr>
              <w:t>—</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131E29"/>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7"/>
        </w:trPr>
        <w:tc>
          <w:tcPr>
            <w:tcW w:w="460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Allocation of undistributed income (loss)</w:t>
            </w:r>
          </w:p>
        </w:tc>
        <w:tc>
          <w:tcPr>
            <w:tcW w:w="34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1,762</w:t>
            </w:r>
          </w:p>
        </w:tc>
        <w:tc>
          <w:tcPr>
            <w:tcW w:w="100" w:type="dxa"/>
            <w:vAlign w:val="bottom"/>
            <w:tcBorders>
              <w:bottom w:val="single" w:sz="8" w:color="D2DCE5"/>
            </w:tcBorders>
            <w:shd w:val="clear" w:color="auto" w:fill="D2DCE5"/>
          </w:tcPr>
          <w:p>
            <w:pPr>
              <w:spacing w:after="0"/>
              <w:rPr>
                <w:sz w:val="24"/>
                <w:szCs w:val="24"/>
                <w:color w:val="auto"/>
              </w:rPr>
            </w:pPr>
          </w:p>
        </w:tc>
        <w:tc>
          <w:tcPr>
            <w:tcW w:w="34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(11,077)</w:t>
            </w:r>
          </w:p>
        </w:tc>
        <w:tc>
          <w:tcPr>
            <w:tcW w:w="100" w:type="dxa"/>
            <w:vAlign w:val="bottom"/>
            <w:tcBorders>
              <w:bottom w:val="single" w:sz="8" w:color="D2DCE5"/>
            </w:tcBorders>
            <w:shd w:val="clear" w:color="auto" w:fill="D2DCE5"/>
          </w:tcPr>
          <w:p>
            <w:pPr>
              <w:spacing w:after="0"/>
              <w:rPr>
                <w:sz w:val="24"/>
                <w:szCs w:val="24"/>
                <w:color w:val="auto"/>
              </w:rPr>
            </w:pPr>
          </w:p>
        </w:tc>
        <w:tc>
          <w:tcPr>
            <w:tcW w:w="1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(4,090)</w:t>
            </w:r>
          </w:p>
        </w:tc>
        <w:tc>
          <w:tcPr>
            <w:tcW w:w="100" w:type="dxa"/>
            <w:vAlign w:val="bottom"/>
            <w:tcBorders>
              <w:bottom w:val="single" w:sz="8" w:color="D2DCE5"/>
            </w:tcBorders>
            <w:shd w:val="clear" w:color="auto" w:fill="D2DCE5"/>
          </w:tcPr>
          <w:p>
            <w:pPr>
              <w:spacing w:after="0"/>
              <w:rPr>
                <w:sz w:val="24"/>
                <w:szCs w:val="24"/>
                <w:color w:val="auto"/>
              </w:rPr>
            </w:pPr>
          </w:p>
        </w:tc>
        <w:tc>
          <w:tcPr>
            <w:tcW w:w="34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(11,077)</w:t>
            </w:r>
          </w:p>
        </w:tc>
        <w:tc>
          <w:tcPr>
            <w:tcW w:w="0" w:type="dxa"/>
            <w:vAlign w:val="bottom"/>
          </w:tcPr>
          <w:p>
            <w:pPr>
              <w:spacing w:after="0"/>
              <w:rPr>
                <w:sz w:val="1"/>
                <w:szCs w:val="1"/>
                <w:color w:val="auto"/>
              </w:rPr>
            </w:pPr>
          </w:p>
        </w:tc>
      </w:tr>
      <w:tr>
        <w:trPr>
          <w:trHeight w:val="20"/>
        </w:trPr>
        <w:tc>
          <w:tcPr>
            <w:tcW w:w="46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4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4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D2DCE5"/>
              <w:bottom w:val="single" w:sz="8" w:color="auto"/>
            </w:tcBorders>
          </w:tcPr>
          <w:p>
            <w:pPr>
              <w:spacing w:after="0" w:line="20" w:lineRule="exact"/>
              <w:rPr>
                <w:sz w:val="1"/>
                <w:szCs w:val="1"/>
                <w:color w:val="auto"/>
              </w:rPr>
            </w:pPr>
          </w:p>
        </w:tc>
        <w:tc>
          <w:tcPr>
            <w:tcW w:w="14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4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Denominator:</w:t>
            </w:r>
          </w:p>
        </w:tc>
        <w:tc>
          <w:tcPr>
            <w:tcW w:w="34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14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360"/>
              <w:spacing w:after="0"/>
              <w:rPr>
                <w:sz w:val="20"/>
                <w:szCs w:val="20"/>
                <w:color w:val="auto"/>
              </w:rPr>
            </w:pPr>
            <w:r>
              <w:rPr>
                <w:rFonts w:ascii="Arial" w:cs="Arial" w:eastAsia="Arial" w:hAnsi="Arial"/>
                <w:sz w:val="18"/>
                <w:szCs w:val="18"/>
                <w:color w:val="131E29"/>
              </w:rPr>
              <w:t>Number of shares used in basic computation</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53,118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45,807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131E29"/>
              </w:rPr>
              <w:t>50,719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45,807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Add: weighted-average effect of dilutive securities</w:t>
            </w:r>
          </w:p>
        </w:tc>
        <w:tc>
          <w:tcPr>
            <w:tcW w:w="34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14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520"/>
              <w:spacing w:after="0"/>
              <w:rPr>
                <w:sz w:val="20"/>
                <w:szCs w:val="20"/>
                <w:color w:val="auto"/>
              </w:rPr>
            </w:pPr>
            <w:r>
              <w:rPr>
                <w:rFonts w:ascii="Arial" w:cs="Arial" w:eastAsia="Arial" w:hAnsi="Arial"/>
                <w:sz w:val="18"/>
                <w:szCs w:val="18"/>
                <w:color w:val="131E29"/>
              </w:rPr>
              <w:t>Restricted stock awards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1,300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131E29"/>
              </w:rPr>
              <w:t>—</w:t>
            </w:r>
          </w:p>
        </w:tc>
        <w:tc>
          <w:tcPr>
            <w:tcW w:w="12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131E29"/>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7"/>
        </w:trPr>
        <w:tc>
          <w:tcPr>
            <w:tcW w:w="460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700" w:type="dxa"/>
            <w:vAlign w:val="bottom"/>
            <w:gridSpan w:val="2"/>
            <w:shd w:val="clear" w:color="auto" w:fill="D2DCE5"/>
          </w:tcPr>
          <w:p>
            <w:pPr>
              <w:ind w:left="360"/>
              <w:spacing w:after="0"/>
              <w:rPr>
                <w:sz w:val="20"/>
                <w:szCs w:val="20"/>
                <w:color w:val="auto"/>
              </w:rPr>
            </w:pPr>
            <w:r>
              <w:rPr>
                <w:rFonts w:ascii="Arial" w:cs="Arial" w:eastAsia="Arial" w:hAnsi="Arial"/>
                <w:sz w:val="18"/>
                <w:szCs w:val="18"/>
                <w:color w:val="131E29"/>
              </w:rPr>
              <w:t>Weighted-average number of shares of Class A and</w:t>
            </w:r>
          </w:p>
        </w:tc>
        <w:tc>
          <w:tcPr>
            <w:tcW w:w="340" w:type="dxa"/>
            <w:vAlign w:val="bottom"/>
            <w:shd w:val="clear" w:color="auto" w:fill="D2DCE5"/>
          </w:tcPr>
          <w:p>
            <w:pPr>
              <w:spacing w:after="0"/>
              <w:rPr>
                <w:sz w:val="19"/>
                <w:szCs w:val="19"/>
                <w:color w:val="auto"/>
              </w:rPr>
            </w:pPr>
          </w:p>
        </w:tc>
        <w:tc>
          <w:tcPr>
            <w:tcW w:w="12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40" w:type="dxa"/>
            <w:vAlign w:val="bottom"/>
            <w:shd w:val="clear" w:color="auto" w:fill="D2DCE5"/>
          </w:tcPr>
          <w:p>
            <w:pPr>
              <w:spacing w:after="0"/>
              <w:rPr>
                <w:sz w:val="19"/>
                <w:szCs w:val="19"/>
                <w:color w:val="auto"/>
              </w:rPr>
            </w:pPr>
          </w:p>
        </w:tc>
        <w:tc>
          <w:tcPr>
            <w:tcW w:w="12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14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40" w:type="dxa"/>
            <w:vAlign w:val="bottom"/>
            <w:shd w:val="clear" w:color="auto" w:fill="D2DCE5"/>
          </w:tcPr>
          <w:p>
            <w:pPr>
              <w:spacing w:after="0"/>
              <w:rPr>
                <w:sz w:val="19"/>
                <w:szCs w:val="19"/>
                <w:color w:val="auto"/>
              </w:rPr>
            </w:pPr>
          </w:p>
        </w:tc>
        <w:tc>
          <w:tcPr>
            <w:tcW w:w="122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D2DCE5"/>
          </w:tcPr>
          <w:p>
            <w:pPr>
              <w:ind w:left="360"/>
              <w:spacing w:after="0"/>
              <w:rPr>
                <w:sz w:val="20"/>
                <w:szCs w:val="20"/>
                <w:color w:val="auto"/>
              </w:rPr>
            </w:pPr>
            <w:r>
              <w:rPr>
                <w:rFonts w:ascii="Arial" w:cs="Arial" w:eastAsia="Arial" w:hAnsi="Arial"/>
                <w:sz w:val="18"/>
                <w:szCs w:val="18"/>
                <w:color w:val="131E29"/>
              </w:rPr>
              <w:t>Class D common stock outstanding used to calculate</w:t>
            </w:r>
          </w:p>
        </w:tc>
        <w:tc>
          <w:tcPr>
            <w:tcW w:w="340" w:type="dxa"/>
            <w:vAlign w:val="bottom"/>
            <w:shd w:val="clear" w:color="auto" w:fill="D2DCE5"/>
          </w:tcPr>
          <w:p>
            <w:pPr>
              <w:spacing w:after="0"/>
              <w:rPr>
                <w:sz w:val="18"/>
                <w:szCs w:val="18"/>
                <w:color w:val="auto"/>
              </w:rPr>
            </w:pPr>
          </w:p>
        </w:tc>
        <w:tc>
          <w:tcPr>
            <w:tcW w:w="12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40" w:type="dxa"/>
            <w:vAlign w:val="bottom"/>
            <w:shd w:val="clear" w:color="auto" w:fill="D2DCE5"/>
          </w:tcPr>
          <w:p>
            <w:pPr>
              <w:spacing w:after="0"/>
              <w:rPr>
                <w:sz w:val="18"/>
                <w:szCs w:val="18"/>
                <w:color w:val="auto"/>
              </w:rPr>
            </w:pPr>
          </w:p>
        </w:tc>
        <w:tc>
          <w:tcPr>
            <w:tcW w:w="12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14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40" w:type="dxa"/>
            <w:vAlign w:val="bottom"/>
            <w:shd w:val="clear" w:color="auto" w:fill="D2DCE5"/>
          </w:tcPr>
          <w:p>
            <w:pPr>
              <w:spacing w:after="0"/>
              <w:rPr>
                <w:sz w:val="18"/>
                <w:szCs w:val="18"/>
                <w:color w:val="auto"/>
              </w:rPr>
            </w:pPr>
          </w:p>
        </w:tc>
        <w:tc>
          <w:tcPr>
            <w:tcW w:w="122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diluted net income (loss) per share</w:t>
            </w:r>
          </w:p>
        </w:tc>
        <w:tc>
          <w:tcPr>
            <w:tcW w:w="34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54,418</w:t>
            </w: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45,807</w:t>
            </w:r>
          </w:p>
        </w:tc>
        <w:tc>
          <w:tcPr>
            <w:tcW w:w="1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1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50,719</w:t>
            </w: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45,807</w:t>
            </w:r>
          </w:p>
        </w:tc>
        <w:tc>
          <w:tcPr>
            <w:tcW w:w="0" w:type="dxa"/>
            <w:vAlign w:val="bottom"/>
          </w:tcPr>
          <w:p>
            <w:pPr>
              <w:spacing w:after="0"/>
              <w:rPr>
                <w:sz w:val="1"/>
                <w:szCs w:val="1"/>
                <w:color w:val="auto"/>
              </w:rPr>
            </w:pPr>
          </w:p>
        </w:tc>
      </w:tr>
      <w:tr>
        <w:trPr>
          <w:trHeight w:val="222"/>
        </w:trPr>
        <w:tc>
          <w:tcPr>
            <w:tcW w:w="4700" w:type="dxa"/>
            <w:vAlign w:val="bottom"/>
            <w:gridSpan w:val="2"/>
          </w:tcPr>
          <w:p>
            <w:pPr>
              <w:ind w:left="20"/>
              <w:spacing w:after="0"/>
              <w:rPr>
                <w:sz w:val="20"/>
                <w:szCs w:val="20"/>
                <w:color w:val="auto"/>
              </w:rPr>
            </w:pPr>
            <w:r>
              <w:rPr>
                <w:rFonts w:ascii="Arial" w:cs="Arial" w:eastAsia="Arial" w:hAnsi="Arial"/>
                <w:sz w:val="18"/>
                <w:szCs w:val="18"/>
                <w:color w:val="131E29"/>
              </w:rPr>
              <w:t>Diluted net income (loss) per share attributable to</w:t>
            </w: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131E29"/>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rPr>
              <w:t>0.03</w:t>
            </w:r>
          </w:p>
        </w:tc>
        <w:tc>
          <w:tcPr>
            <w:tcW w:w="100" w:type="dxa"/>
            <w:vAlign w:val="bottom"/>
          </w:tcPr>
          <w:p>
            <w:pPr>
              <w:spacing w:after="0"/>
              <w:rPr>
                <w:sz w:val="19"/>
                <w:szCs w:val="19"/>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131E29"/>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rPr>
              <w:t>(0.24)</w:t>
            </w:r>
          </w:p>
        </w:tc>
        <w:tc>
          <w:tcPr>
            <w:tcW w:w="100" w:type="dxa"/>
            <w:vAlign w:val="bottom"/>
          </w:tcPr>
          <w:p>
            <w:pPr>
              <w:spacing w:after="0"/>
              <w:rPr>
                <w:sz w:val="19"/>
                <w:szCs w:val="1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w w:val="99"/>
              </w:rPr>
              <w:t>$</w:t>
            </w: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rPr>
              <w:t>(0.08)</w:t>
            </w:r>
          </w:p>
        </w:tc>
        <w:tc>
          <w:tcPr>
            <w:tcW w:w="100" w:type="dxa"/>
            <w:vAlign w:val="bottom"/>
          </w:tcPr>
          <w:p>
            <w:pPr>
              <w:spacing w:after="0"/>
              <w:rPr>
                <w:sz w:val="19"/>
                <w:szCs w:val="19"/>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131E29"/>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rPr>
              <w:t>(0.24)</w:t>
            </w:r>
          </w:p>
        </w:tc>
        <w:tc>
          <w:tcPr>
            <w:tcW w:w="0" w:type="dxa"/>
            <w:vAlign w:val="bottom"/>
          </w:tcPr>
          <w:p>
            <w:pPr>
              <w:spacing w:after="0"/>
              <w:rPr>
                <w:sz w:val="1"/>
                <w:szCs w:val="1"/>
                <w:color w:val="auto"/>
              </w:rPr>
            </w:pPr>
          </w:p>
        </w:tc>
      </w:tr>
      <w:tr>
        <w:trPr>
          <w:trHeight w:val="222"/>
        </w:trPr>
        <w:tc>
          <w:tcPr>
            <w:tcW w:w="4700" w:type="dxa"/>
            <w:vAlign w:val="bottom"/>
            <w:gridSpan w:val="2"/>
          </w:tcPr>
          <w:p>
            <w:pPr>
              <w:ind w:left="20"/>
              <w:spacing w:after="0"/>
              <w:rPr>
                <w:sz w:val="20"/>
                <w:szCs w:val="20"/>
                <w:color w:val="auto"/>
              </w:rPr>
            </w:pPr>
            <w:r>
              <w:rPr>
                <w:rFonts w:ascii="Arial" w:cs="Arial" w:eastAsia="Arial" w:hAnsi="Arial"/>
                <w:sz w:val="18"/>
                <w:szCs w:val="18"/>
                <w:color w:val="131E29"/>
              </w:rPr>
              <w:t>common stockholders</w:t>
            </w:r>
          </w:p>
        </w:tc>
        <w:tc>
          <w:tcPr>
            <w:tcW w:w="3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Shares of the Company’s Class B and Class C common stock do not participate in the earnings or losses of the Company and are therefore not participating securities. As such, separate presentation of basic and diluted income (loss) per share of Class B and Class C common stock under the two-class method has not been presented.</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following common stock equivalents were excluded from diluted income (loss) per share in the periods presented because they were anti-dilutive: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20" w:type="dxa"/>
            <w:vAlign w:val="bottom"/>
          </w:tcPr>
          <w:p>
            <w:pPr>
              <w:spacing w:after="0"/>
              <w:rPr>
                <w:sz w:val="20"/>
                <w:szCs w:val="20"/>
                <w:color w:val="auto"/>
              </w:rPr>
            </w:pPr>
          </w:p>
        </w:tc>
        <w:tc>
          <w:tcPr>
            <w:tcW w:w="3300" w:type="dxa"/>
            <w:vAlign w:val="bottom"/>
            <w:gridSpan w:val="5"/>
          </w:tcPr>
          <w:p>
            <w:pPr>
              <w:ind w:left="60"/>
              <w:spacing w:after="0"/>
              <w:rPr>
                <w:sz w:val="20"/>
                <w:szCs w:val="20"/>
                <w:color w:val="auto"/>
              </w:rPr>
            </w:pPr>
            <w:r>
              <w:rPr>
                <w:rFonts w:ascii="Arial" w:cs="Arial" w:eastAsia="Arial" w:hAnsi="Arial"/>
                <w:sz w:val="18"/>
                <w:szCs w:val="18"/>
                <w:b w:val="1"/>
                <w:bCs w:val="1"/>
                <w:color w:val="131E29"/>
              </w:rPr>
              <w:t>Three Months Ended September 30,</w:t>
            </w:r>
          </w:p>
        </w:tc>
        <w:tc>
          <w:tcPr>
            <w:tcW w:w="32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131E29"/>
              </w:rPr>
              <w:t>Nine Months Ended September 30,</w:t>
            </w:r>
          </w:p>
        </w:tc>
      </w:tr>
      <w:tr>
        <w:trPr>
          <w:trHeight w:val="27"/>
        </w:trPr>
        <w:tc>
          <w:tcPr>
            <w:tcW w:w="47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8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131E29"/>
              </w:rPr>
              <w:t>2022</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131E29"/>
              </w:rPr>
              <w:t>2021</w:t>
            </w:r>
          </w:p>
        </w:tc>
      </w:tr>
      <w:tr>
        <w:trPr>
          <w:trHeight w:val="27"/>
        </w:trPr>
        <w:tc>
          <w:tcPr>
            <w:tcW w:w="4720" w:type="dxa"/>
            <w:vAlign w:val="bottom"/>
            <w:tcBorders>
              <w:bottom w:val="single" w:sz="8" w:color="D2DCE5"/>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58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Restricted stock awards</w:t>
            </w:r>
          </w:p>
        </w:tc>
        <w:tc>
          <w:tcPr>
            <w:tcW w:w="5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4,000</w:t>
            </w:r>
          </w:p>
        </w:tc>
        <w:tc>
          <w:tcPr>
            <w:tcW w:w="10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2,667</w:t>
            </w:r>
          </w:p>
        </w:tc>
        <w:tc>
          <w:tcPr>
            <w:tcW w:w="10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4,000</w:t>
            </w:r>
          </w:p>
        </w:tc>
      </w:tr>
      <w:tr>
        <w:trPr>
          <w:trHeight w:val="243"/>
        </w:trPr>
        <w:tc>
          <w:tcPr>
            <w:tcW w:w="5800" w:type="dxa"/>
            <w:vAlign w:val="bottom"/>
            <w:gridSpan w:val="2"/>
          </w:tcPr>
          <w:p>
            <w:pPr>
              <w:ind w:left="20"/>
              <w:spacing w:after="0"/>
              <w:rPr>
                <w:sz w:val="20"/>
                <w:szCs w:val="20"/>
                <w:color w:val="auto"/>
              </w:rPr>
            </w:pPr>
            <w:r>
              <w:rPr>
                <w:rFonts w:ascii="Arial" w:cs="Arial" w:eastAsia="Arial" w:hAnsi="Arial"/>
                <w:sz w:val="18"/>
                <w:szCs w:val="18"/>
                <w:color w:val="131E29"/>
              </w:rPr>
              <w:t>Restricted stock units</w:t>
            </w:r>
          </w:p>
        </w:tc>
        <w:tc>
          <w:tcPr>
            <w:tcW w:w="480" w:type="dxa"/>
            <w:vAlign w:val="bottom"/>
          </w:tcPr>
          <w:p>
            <w:pPr>
              <w:jc w:val="right"/>
              <w:spacing w:after="0"/>
              <w:rPr>
                <w:sz w:val="20"/>
                <w:szCs w:val="20"/>
                <w:color w:val="auto"/>
              </w:rPr>
            </w:pPr>
            <w:r>
              <w:rPr>
                <w:rFonts w:ascii="Arial" w:cs="Arial" w:eastAsia="Arial" w:hAnsi="Arial"/>
                <w:sz w:val="18"/>
                <w:szCs w:val="18"/>
                <w:color w:val="131E29"/>
              </w:rPr>
              <w:t>555</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597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555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597</w:t>
            </w:r>
          </w:p>
        </w:tc>
      </w:tr>
      <w:tr>
        <w:trPr>
          <w:trHeight w:val="27"/>
        </w:trPr>
        <w:tc>
          <w:tcPr>
            <w:tcW w:w="4720" w:type="dxa"/>
            <w:vAlign w:val="bottom"/>
            <w:tcBorders>
              <w:bottom w:val="single" w:sz="8" w:color="D2DCE5"/>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3"/>
        </w:trPr>
        <w:tc>
          <w:tcPr>
            <w:tcW w:w="580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Total anti-dilutive securities</w:t>
            </w:r>
          </w:p>
        </w:tc>
        <w:tc>
          <w:tcPr>
            <w:tcW w:w="4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555</w:t>
            </w:r>
          </w:p>
        </w:tc>
        <w:tc>
          <w:tcPr>
            <w:tcW w:w="80" w:type="dxa"/>
            <w:vAlign w:val="bottom"/>
            <w:shd w:val="clear" w:color="auto" w:fill="D2DCE5"/>
          </w:tcPr>
          <w:p>
            <w:pPr>
              <w:spacing w:after="0"/>
              <w:rPr>
                <w:sz w:val="24"/>
                <w:szCs w:val="24"/>
                <w:color w:val="auto"/>
              </w:rPr>
            </w:pPr>
          </w:p>
        </w:tc>
        <w:tc>
          <w:tcPr>
            <w:tcW w:w="15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4,597</w:t>
            </w:r>
          </w:p>
        </w:tc>
        <w:tc>
          <w:tcPr>
            <w:tcW w:w="100" w:type="dxa"/>
            <w:vAlign w:val="bottom"/>
            <w:shd w:val="clear" w:color="auto" w:fill="D2DCE5"/>
          </w:tcPr>
          <w:p>
            <w:pPr>
              <w:spacing w:after="0"/>
              <w:rPr>
                <w:sz w:val="24"/>
                <w:szCs w:val="24"/>
                <w:color w:val="auto"/>
              </w:rPr>
            </w:pPr>
          </w:p>
        </w:tc>
        <w:tc>
          <w:tcPr>
            <w:tcW w:w="15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3,222</w:t>
            </w:r>
          </w:p>
        </w:tc>
        <w:tc>
          <w:tcPr>
            <w:tcW w:w="100" w:type="dxa"/>
            <w:vAlign w:val="bottom"/>
            <w:shd w:val="clear" w:color="auto" w:fill="D2DCE5"/>
          </w:tcPr>
          <w:p>
            <w:pPr>
              <w:spacing w:after="0"/>
              <w:rPr>
                <w:sz w:val="24"/>
                <w:szCs w:val="24"/>
                <w:color w:val="auto"/>
              </w:rPr>
            </w:pPr>
          </w:p>
        </w:tc>
        <w:tc>
          <w:tcPr>
            <w:tcW w:w="15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4,597</w:t>
            </w:r>
          </w:p>
        </w:tc>
      </w:tr>
      <w:tr>
        <w:trPr>
          <w:trHeight w:val="20"/>
        </w:trPr>
        <w:tc>
          <w:tcPr>
            <w:tcW w:w="4720" w:type="dxa"/>
            <w:vAlign w:val="bottom"/>
            <w:tcBorders>
              <w:top w:val="single" w:sz="8" w:color="D2DCE5"/>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16 —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Purchase Obligations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Company enters into fixed-price and price-to-be fixed green coffee purchase commitments. For both fixed-price and price-to-be fixed purchase commitments, the Company expects to take delivery of green coffee and to utilize the coffee in a reasonable period of time in the ordinary course of business. Such contracts are used in the normal purchases of green coffee and not for speculative purposes. The Company does not enter into futures contracts or other derivative instruments related to its green coffee purchase commitments.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Guarantees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Company periodically provides guarantees to franchisees for lease payments. Annually, the Company determines if a liability needs to be recorded related to these guarantees. As of September 30, 2022 and December 31, 2021, the Company had guaranteed approximately $1.6 million and $1.7 million, respectively, in franchisee lease payments and has not established a liability for these guarantees as any liability arising from the guarantees is not material to the condensed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Legal Proceedings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Company is a party to routine legal actions arising in the ordinary course of and incidental to its business. These claims, legal proceedings and litigation principally arise from alleged casualty, employment, and other disputes.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In determining loss contingencies, the Company considers the likelihood of loss as well as the ability to reasonably estimate the amount of such loss or liability. An estimated loss is recognized when it is considered probable that a liability has been incurred and when the amount of loss can be reasonably estimated.</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Because litigation is inherently unpredictable, assessing contingencies is highly subjective and requires judgments about future events. When evaluating litigation contingencies, we may be unable to provide a meaningful estimate due to a number of factors, including the procedural status of the matter in question, developments in legislation or regulations that affect the validity of certain claims and defenses, the availability of appellate remedies, insurance coverage related to the claim or claims in question, the presence of complex or novel legal theories, and/or the ongoing discovery and development of information important to the matter.</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While any claim, proceeding or litigation has an element of uncertainty, the Company believes the outcome of any of these that are pending or threatened will not have a material adverse effect on its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17 — Related Party Transactions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Company’s donations to Dutch Bros Foundation, a not-for-profit founded by the Company that provides philanthropy to coffee farmers and local communities and for which the Company’s Chief Executive Officer serves on the board of directors,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5"/>
          </w:tcPr>
          <w:p>
            <w:pPr>
              <w:ind w:left="180"/>
              <w:spacing w:after="0"/>
              <w:rPr>
                <w:sz w:val="20"/>
                <w:szCs w:val="20"/>
                <w:color w:val="auto"/>
              </w:rPr>
            </w:pPr>
            <w:r>
              <w:rPr>
                <w:rFonts w:ascii="Arial" w:cs="Arial" w:eastAsia="Arial" w:hAnsi="Arial"/>
                <w:sz w:val="18"/>
                <w:szCs w:val="18"/>
                <w:b w:val="1"/>
                <w:bCs w:val="1"/>
                <w:color w:val="131E29"/>
              </w:rPr>
              <w:t>Three Months Ended</w:t>
            </w:r>
          </w:p>
        </w:tc>
        <w:tc>
          <w:tcPr>
            <w:tcW w:w="2740" w:type="dxa"/>
            <w:vAlign w:val="bottom"/>
            <w:gridSpan w:val="6"/>
          </w:tcPr>
          <w:p>
            <w:pPr>
              <w:ind w:left="40"/>
              <w:spacing w:after="0"/>
              <w:rPr>
                <w:sz w:val="20"/>
                <w:szCs w:val="20"/>
                <w:color w:val="auto"/>
              </w:rPr>
            </w:pPr>
            <w:r>
              <w:rPr>
                <w:rFonts w:ascii="Arial" w:cs="Arial" w:eastAsia="Arial" w:hAnsi="Arial"/>
                <w:sz w:val="18"/>
                <w:szCs w:val="18"/>
                <w:b w:val="1"/>
                <w:bCs w:val="1"/>
                <w:color w:val="131E29"/>
              </w:rPr>
              <w:t>Nine Months Ended September</w:t>
            </w:r>
          </w:p>
        </w:tc>
      </w:t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5"/>
          </w:tcPr>
          <w:p>
            <w:pPr>
              <w:ind w:left="460"/>
              <w:spacing w:after="0"/>
              <w:rPr>
                <w:sz w:val="20"/>
                <w:szCs w:val="20"/>
                <w:color w:val="auto"/>
              </w:rPr>
            </w:pPr>
            <w:r>
              <w:rPr>
                <w:rFonts w:ascii="Arial" w:cs="Arial" w:eastAsia="Arial" w:hAnsi="Arial"/>
                <w:sz w:val="18"/>
                <w:szCs w:val="18"/>
                <w:b w:val="1"/>
                <w:bCs w:val="1"/>
                <w:color w:val="131E29"/>
              </w:rPr>
              <w:t>September 30,</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131E29"/>
                <w:w w:val="95"/>
              </w:rPr>
              <w:t>30,</w:t>
            </w:r>
          </w:p>
        </w:tc>
        <w:tc>
          <w:tcPr>
            <w:tcW w:w="1040" w:type="dxa"/>
            <w:vAlign w:val="bottom"/>
          </w:tcPr>
          <w:p>
            <w:pPr>
              <w:spacing w:after="0"/>
              <w:rPr>
                <w:sz w:val="20"/>
                <w:szCs w:val="20"/>
                <w:color w:val="auto"/>
              </w:rPr>
            </w:pPr>
          </w:p>
        </w:tc>
      </w:tr>
      <w:tr>
        <w:trPr>
          <w:trHeight w:val="27"/>
        </w:trPr>
        <w:tc>
          <w:tcPr>
            <w:tcW w:w="56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00" w:type="dxa"/>
            <w:vAlign w:val="bottom"/>
          </w:tcPr>
          <w:p>
            <w:pPr>
              <w:spacing w:after="0"/>
              <w:rPr>
                <w:sz w:val="20"/>
                <w:szCs w:val="20"/>
                <w:color w:val="auto"/>
              </w:rPr>
            </w:pPr>
          </w:p>
        </w:tc>
        <w:tc>
          <w:tcPr>
            <w:tcW w:w="1020" w:type="dxa"/>
            <w:vAlign w:val="bottom"/>
          </w:tcPr>
          <w:p>
            <w:pPr>
              <w:ind w:left="16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r>
      <w:tr>
        <w:trPr>
          <w:trHeight w:val="25"/>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3"/>
        </w:trPr>
        <w:tc>
          <w:tcPr>
            <w:tcW w:w="56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Donations to Dutch Bros Foundation</w:t>
            </w: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1,866</w:t>
            </w:r>
          </w:p>
        </w:tc>
        <w:tc>
          <w:tcPr>
            <w:tcW w:w="100" w:type="dxa"/>
            <w:vAlign w:val="bottom"/>
            <w:shd w:val="clear" w:color="auto" w:fill="D2DCE5"/>
          </w:tcPr>
          <w:p>
            <w:pPr>
              <w:spacing w:after="0"/>
              <w:rPr>
                <w:sz w:val="24"/>
                <w:szCs w:val="24"/>
                <w:color w:val="auto"/>
              </w:rPr>
            </w:pP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2,599</w:t>
            </w:r>
          </w:p>
        </w:tc>
        <w:tc>
          <w:tcPr>
            <w:tcW w:w="100" w:type="dxa"/>
            <w:vAlign w:val="bottom"/>
            <w:shd w:val="clear" w:color="auto" w:fill="D2DCE5"/>
          </w:tcPr>
          <w:p>
            <w:pPr>
              <w:spacing w:after="0"/>
              <w:rPr>
                <w:sz w:val="24"/>
                <w:szCs w:val="24"/>
                <w:color w:val="auto"/>
              </w:rPr>
            </w:pPr>
          </w:p>
        </w:tc>
        <w:tc>
          <w:tcPr>
            <w:tcW w:w="28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5,086</w:t>
            </w:r>
          </w:p>
        </w:tc>
        <w:tc>
          <w:tcPr>
            <w:tcW w:w="460" w:type="dxa"/>
            <w:vAlign w:val="bottom"/>
            <w:gridSpan w:val="3"/>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6,916</w:t>
            </w: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18 — Segment Reporting</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Segment information is prepared on the same basis that the Company’s Chief Executive Officer (CEO), who is the chief operating decision maker (CODM), manages the segments, evaluates financial results and makes key operating decisions. The Company’s CEO evaluates the financial performance of the Company based on two operating segments: Company-operated shops and Franchising and other. The Company-operated shops segment includes coffee shop sales to customers. The Franchising and other segment includes bean and product sales to franchisees and includes the initial franchise fees, royalties, and marketing fees.</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131E29"/>
        </w:rPr>
        <w:t>The CODM reviews segment performance and allocates resources based upon segment contribution, which is defined as segment gross profit before depreciation and amortization.</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All segment revenue is earned in the United States, and there are no intersegment revenues. As the CODM is not provided with asset information by segment, assets are reported only on a consolidated basis.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Selling, general and administrative expenses primarily consist of the Company’s unallocated corporate expenses. Unallocated corporate expenses include corporate administrative functions that support the segments but are not directly attributable to or managed by any segment and are not included in the reported financial results of the segments.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No changes have been made to the Company’s segments during the three and nine months ended September 30, 2022. In addition, no customer represents 10% or more of total accounts receivable or revenues as of and for the three and nine months ended September 30, 2022 and 2021.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131E29"/>
        </w:rPr>
        <w:t>Financial information for the Company’s reportable segments was as follows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131E29"/>
                <w:w w:val="99"/>
              </w:rPr>
              <w:t>Three Months Ended</w:t>
            </w:r>
          </w:p>
        </w:tc>
        <w:tc>
          <w:tcPr>
            <w:tcW w:w="2760" w:type="dxa"/>
            <w:vAlign w:val="bottom"/>
            <w:gridSpan w:val="5"/>
          </w:tcPr>
          <w:p>
            <w:pPr>
              <w:jc w:val="right"/>
              <w:spacing w:after="0"/>
              <w:rPr>
                <w:sz w:val="20"/>
                <w:szCs w:val="20"/>
                <w:color w:val="auto"/>
              </w:rPr>
            </w:pPr>
            <w:r>
              <w:rPr>
                <w:rFonts w:ascii="Arial" w:cs="Arial" w:eastAsia="Arial" w:hAnsi="Arial"/>
                <w:sz w:val="18"/>
                <w:szCs w:val="18"/>
                <w:b w:val="1"/>
                <w:bCs w:val="1"/>
                <w:color w:val="131E29"/>
              </w:rPr>
              <w:t>Nine Months Ended September</w:t>
            </w:r>
          </w:p>
        </w:tc>
      </w:t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131E29"/>
              </w:rPr>
              <w:t>September 30,</w:t>
            </w:r>
          </w:p>
        </w:tc>
        <w:tc>
          <w:tcPr>
            <w:tcW w:w="300" w:type="dxa"/>
            <w:vAlign w:val="bottom"/>
          </w:tcPr>
          <w:p>
            <w:pPr>
              <w:spacing w:after="0"/>
              <w:rPr>
                <w:sz w:val="20"/>
                <w:szCs w:val="20"/>
                <w:color w:val="auto"/>
              </w:rPr>
            </w:pPr>
          </w:p>
        </w:tc>
        <w:tc>
          <w:tcPr>
            <w:tcW w:w="13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131E29"/>
              </w:rPr>
              <w:t>30,</w:t>
            </w:r>
          </w:p>
        </w:tc>
        <w:tc>
          <w:tcPr>
            <w:tcW w:w="1080" w:type="dxa"/>
            <w:vAlign w:val="bottom"/>
          </w:tcPr>
          <w:p>
            <w:pPr>
              <w:spacing w:after="0"/>
              <w:rPr>
                <w:sz w:val="20"/>
                <w:szCs w:val="20"/>
                <w:color w:val="auto"/>
              </w:rPr>
            </w:pPr>
          </w:p>
        </w:tc>
      </w:tr>
      <w:tr>
        <w:trPr>
          <w:trHeight w:val="27"/>
        </w:trPr>
        <w:tc>
          <w:tcPr>
            <w:tcW w:w="566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131E29"/>
              </w:rPr>
              <w:t>2021 ¹</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131E29"/>
              </w:rPr>
              <w:t>2021 ¹</w:t>
            </w:r>
          </w:p>
        </w:tc>
      </w:tr>
      <w:tr>
        <w:trPr>
          <w:trHeight w:val="25"/>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Revenues:</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6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080" w:type="dxa"/>
            <w:vAlign w:val="bottom"/>
            <w:tcBorders>
              <w:bottom w:val="single" w:sz="8" w:color="D2DCE5"/>
            </w:tcBorders>
            <w:shd w:val="clear" w:color="auto" w:fill="D2DCE5"/>
          </w:tcPr>
          <w:p>
            <w:pPr>
              <w:spacing w:after="0"/>
              <w:rPr>
                <w:sz w:val="21"/>
                <w:szCs w:val="21"/>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jc w:val="right"/>
              <w:ind w:right="90"/>
              <w:spacing w:after="0"/>
              <w:rPr>
                <w:sz w:val="20"/>
                <w:szCs w:val="20"/>
                <w:color w:val="auto"/>
              </w:rPr>
            </w:pPr>
            <w:r>
              <w:rPr>
                <w:rFonts w:ascii="Arial" w:cs="Arial" w:eastAsia="Arial" w:hAnsi="Arial"/>
                <w:sz w:val="18"/>
                <w:szCs w:val="18"/>
                <w:color w:val="131E29"/>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173,501</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131E29"/>
              </w:rPr>
              <w:t>108,661</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464,200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131E29"/>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131E29"/>
              </w:rPr>
              <w:t>289,548</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25,147</w:t>
            </w:r>
          </w:p>
        </w:tc>
        <w:tc>
          <w:tcPr>
            <w:tcW w:w="8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21,142</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72,985</w:t>
            </w:r>
          </w:p>
        </w:tc>
        <w:tc>
          <w:tcPr>
            <w:tcW w:w="100" w:type="dxa"/>
            <w:vAlign w:val="bottom"/>
            <w:tcBorders>
              <w:bottom w:val="single" w:sz="8" w:color="D2DCE5"/>
            </w:tcBorders>
            <w:shd w:val="clear" w:color="auto" w:fill="D2DCE5"/>
          </w:tcPr>
          <w:p>
            <w:pPr>
              <w:spacing w:after="0"/>
              <w:rPr>
                <w:sz w:val="23"/>
                <w:szCs w:val="23"/>
                <w:color w:val="auto"/>
              </w:rPr>
            </w:pPr>
          </w:p>
        </w:tc>
        <w:tc>
          <w:tcPr>
            <w:tcW w:w="260" w:type="dxa"/>
            <w:vAlign w:val="bottom"/>
            <w:tcBorders>
              <w:bottom w:val="single" w:sz="8" w:color="D2DCE5"/>
            </w:tcBorders>
            <w:shd w:val="clear" w:color="auto" w:fill="D2DCE5"/>
          </w:tcPr>
          <w:p>
            <w:pPr>
              <w:spacing w:after="0"/>
              <w:rPr>
                <w:sz w:val="23"/>
                <w:szCs w:val="23"/>
                <w:color w:val="auto"/>
              </w:rPr>
            </w:pP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68,248</w:t>
            </w:r>
          </w:p>
        </w:tc>
      </w:tr>
      <w:tr>
        <w:trPr>
          <w:trHeight w:val="237"/>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revenues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198,648</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129,803</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537,185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357,796</w:t>
            </w: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280" w:type="dxa"/>
            <w:vAlign w:val="bottom"/>
            <w:tcBorders>
              <w:bottom w:val="single" w:sz="8" w:color="D2DCE5"/>
            </w:tcBorders>
            <w:shd w:val="clear" w:color="auto" w:fill="D2DCE5"/>
          </w:tcPr>
          <w:p>
            <w:pPr>
              <w:spacing w:after="0"/>
              <w:rPr>
                <w:sz w:val="20"/>
                <w:szCs w:val="20"/>
                <w:color w:val="auto"/>
              </w:rPr>
            </w:pPr>
          </w:p>
        </w:tc>
        <w:tc>
          <w:tcPr>
            <w:tcW w:w="1040" w:type="dxa"/>
            <w:vAlign w:val="bottom"/>
            <w:tcBorders>
              <w:bottom w:val="single" w:sz="8" w:color="D2DCE5"/>
            </w:tcBorders>
            <w:shd w:val="clear" w:color="auto" w:fill="D2DCE5"/>
          </w:tcPr>
          <w:p>
            <w:pPr>
              <w:spacing w:after="0"/>
              <w:rPr>
                <w:sz w:val="20"/>
                <w:szCs w:val="20"/>
                <w:color w:val="auto"/>
              </w:rPr>
            </w:pPr>
          </w:p>
        </w:tc>
        <w:tc>
          <w:tcPr>
            <w:tcW w:w="8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D2DCE5"/>
            </w:tcBorders>
            <w:shd w:val="clear" w:color="auto" w:fill="D2DCE5"/>
          </w:tcPr>
          <w:p>
            <w:pPr>
              <w:spacing w:after="0"/>
              <w:rPr>
                <w:sz w:val="20"/>
                <w:szCs w:val="20"/>
                <w:color w:val="auto"/>
              </w:rPr>
            </w:pPr>
          </w:p>
        </w:tc>
        <w:tc>
          <w:tcPr>
            <w:tcW w:w="1060" w:type="dxa"/>
            <w:vAlign w:val="bottom"/>
            <w:tcBorders>
              <w:bottom w:val="single" w:sz="8" w:color="D2DCE5"/>
            </w:tcBorders>
            <w:shd w:val="clear" w:color="auto" w:fill="D2DCE5"/>
          </w:tcPr>
          <w:p>
            <w:pPr>
              <w:spacing w:after="0"/>
              <w:rPr>
                <w:sz w:val="20"/>
                <w:szCs w:val="20"/>
                <w:color w:val="auto"/>
              </w:rPr>
            </w:pP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260" w:type="dxa"/>
            <w:vAlign w:val="bottom"/>
            <w:tcBorders>
              <w:bottom w:val="single" w:sz="8" w:color="D2DCE5"/>
            </w:tcBorders>
            <w:shd w:val="clear" w:color="auto" w:fill="D2DCE5"/>
          </w:tcPr>
          <w:p>
            <w:pPr>
              <w:spacing w:after="0"/>
              <w:rPr>
                <w:sz w:val="20"/>
                <w:szCs w:val="20"/>
                <w:color w:val="auto"/>
              </w:rPr>
            </w:pPr>
          </w:p>
        </w:tc>
        <w:tc>
          <w:tcPr>
            <w:tcW w:w="1080" w:type="dxa"/>
            <w:vAlign w:val="bottom"/>
            <w:tcBorders>
              <w:bottom w:val="single" w:sz="8" w:color="D2DCE5"/>
            </w:tcBorders>
            <w:shd w:val="clear" w:color="auto" w:fill="D2DCE5"/>
          </w:tcPr>
          <w:p>
            <w:pPr>
              <w:spacing w:after="0"/>
              <w:rPr>
                <w:sz w:val="20"/>
                <w:szCs w:val="20"/>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138,781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85,550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381,623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131E29"/>
              </w:rPr>
              <w:t>219,407</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9,311</w:t>
            </w:r>
          </w:p>
        </w:tc>
        <w:tc>
          <w:tcPr>
            <w:tcW w:w="8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5,229</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29,006</w:t>
            </w:r>
          </w:p>
        </w:tc>
        <w:tc>
          <w:tcPr>
            <w:tcW w:w="100" w:type="dxa"/>
            <w:vAlign w:val="bottom"/>
            <w:tcBorders>
              <w:bottom w:val="single" w:sz="8" w:color="D2DCE5"/>
            </w:tcBorders>
            <w:shd w:val="clear" w:color="auto" w:fill="D2DCE5"/>
          </w:tcPr>
          <w:p>
            <w:pPr>
              <w:spacing w:after="0"/>
              <w:rPr>
                <w:sz w:val="23"/>
                <w:szCs w:val="23"/>
                <w:color w:val="auto"/>
              </w:rPr>
            </w:pPr>
          </w:p>
        </w:tc>
        <w:tc>
          <w:tcPr>
            <w:tcW w:w="260" w:type="dxa"/>
            <w:vAlign w:val="bottom"/>
            <w:tcBorders>
              <w:bottom w:val="single" w:sz="8" w:color="D2DCE5"/>
            </w:tcBorders>
            <w:shd w:val="clear" w:color="auto" w:fill="D2DCE5"/>
          </w:tcPr>
          <w:p>
            <w:pPr>
              <w:spacing w:after="0"/>
              <w:rPr>
                <w:sz w:val="23"/>
                <w:szCs w:val="23"/>
                <w:color w:val="auto"/>
              </w:rPr>
            </w:pP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19,347</w:t>
            </w:r>
          </w:p>
        </w:tc>
      </w:tr>
      <w:tr>
        <w:trPr>
          <w:trHeight w:val="237"/>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cost of sales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148,092</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90,779</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410,629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238,754</w:t>
            </w: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Segment contribution:</w:t>
            </w:r>
          </w:p>
        </w:tc>
        <w:tc>
          <w:tcPr>
            <w:tcW w:w="280" w:type="dxa"/>
            <w:vAlign w:val="bottom"/>
            <w:tcBorders>
              <w:bottom w:val="single" w:sz="8" w:color="D2DCE5"/>
            </w:tcBorders>
            <w:shd w:val="clear" w:color="auto" w:fill="D2DCE5"/>
          </w:tcPr>
          <w:p>
            <w:pPr>
              <w:spacing w:after="0"/>
              <w:rPr>
                <w:sz w:val="20"/>
                <w:szCs w:val="20"/>
                <w:color w:val="auto"/>
              </w:rPr>
            </w:pPr>
          </w:p>
        </w:tc>
        <w:tc>
          <w:tcPr>
            <w:tcW w:w="1040" w:type="dxa"/>
            <w:vAlign w:val="bottom"/>
            <w:tcBorders>
              <w:bottom w:val="single" w:sz="8" w:color="D2DCE5"/>
            </w:tcBorders>
            <w:shd w:val="clear" w:color="auto" w:fill="D2DCE5"/>
          </w:tcPr>
          <w:p>
            <w:pPr>
              <w:spacing w:after="0"/>
              <w:rPr>
                <w:sz w:val="20"/>
                <w:szCs w:val="20"/>
                <w:color w:val="auto"/>
              </w:rPr>
            </w:pPr>
          </w:p>
        </w:tc>
        <w:tc>
          <w:tcPr>
            <w:tcW w:w="8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D2DCE5"/>
            </w:tcBorders>
            <w:shd w:val="clear" w:color="auto" w:fill="D2DCE5"/>
          </w:tcPr>
          <w:p>
            <w:pPr>
              <w:spacing w:after="0"/>
              <w:rPr>
                <w:sz w:val="20"/>
                <w:szCs w:val="20"/>
                <w:color w:val="auto"/>
              </w:rPr>
            </w:pPr>
          </w:p>
        </w:tc>
        <w:tc>
          <w:tcPr>
            <w:tcW w:w="1060" w:type="dxa"/>
            <w:vAlign w:val="bottom"/>
            <w:tcBorders>
              <w:bottom w:val="single" w:sz="8" w:color="D2DCE5"/>
            </w:tcBorders>
            <w:shd w:val="clear" w:color="auto" w:fill="D2DCE5"/>
          </w:tcPr>
          <w:p>
            <w:pPr>
              <w:spacing w:after="0"/>
              <w:rPr>
                <w:sz w:val="20"/>
                <w:szCs w:val="20"/>
                <w:color w:val="auto"/>
              </w:rPr>
            </w:pP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260" w:type="dxa"/>
            <w:vAlign w:val="bottom"/>
            <w:tcBorders>
              <w:bottom w:val="single" w:sz="8" w:color="D2DCE5"/>
            </w:tcBorders>
            <w:shd w:val="clear" w:color="auto" w:fill="D2DCE5"/>
          </w:tcPr>
          <w:p>
            <w:pPr>
              <w:spacing w:after="0"/>
              <w:rPr>
                <w:sz w:val="20"/>
                <w:szCs w:val="20"/>
                <w:color w:val="auto"/>
              </w:rPr>
            </w:pPr>
          </w:p>
        </w:tc>
        <w:tc>
          <w:tcPr>
            <w:tcW w:w="1080" w:type="dxa"/>
            <w:vAlign w:val="bottom"/>
            <w:tcBorders>
              <w:bottom w:val="single" w:sz="8" w:color="D2DCE5"/>
            </w:tcBorders>
            <w:shd w:val="clear" w:color="auto" w:fill="D2DCE5"/>
          </w:tcPr>
          <w:p>
            <w:pPr>
              <w:spacing w:after="0"/>
              <w:rPr>
                <w:sz w:val="20"/>
                <w:szCs w:val="20"/>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44,344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27,405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107,648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131E29"/>
              </w:rPr>
              <w:t>81,179</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17,314</w:t>
            </w:r>
          </w:p>
        </w:tc>
        <w:tc>
          <w:tcPr>
            <w:tcW w:w="8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17,616</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48,319</w:t>
            </w:r>
          </w:p>
        </w:tc>
        <w:tc>
          <w:tcPr>
            <w:tcW w:w="100" w:type="dxa"/>
            <w:vAlign w:val="bottom"/>
            <w:tcBorders>
              <w:bottom w:val="single" w:sz="8" w:color="D2DCE5"/>
            </w:tcBorders>
            <w:shd w:val="clear" w:color="auto" w:fill="D2DCE5"/>
          </w:tcPr>
          <w:p>
            <w:pPr>
              <w:spacing w:after="0"/>
              <w:rPr>
                <w:sz w:val="23"/>
                <w:szCs w:val="23"/>
                <w:color w:val="auto"/>
              </w:rPr>
            </w:pPr>
          </w:p>
        </w:tc>
        <w:tc>
          <w:tcPr>
            <w:tcW w:w="260" w:type="dxa"/>
            <w:vAlign w:val="bottom"/>
            <w:tcBorders>
              <w:bottom w:val="single" w:sz="8" w:color="D2DCE5"/>
            </w:tcBorders>
            <w:shd w:val="clear" w:color="auto" w:fill="D2DCE5"/>
          </w:tcPr>
          <w:p>
            <w:pPr>
              <w:spacing w:after="0"/>
              <w:rPr>
                <w:sz w:val="23"/>
                <w:szCs w:val="23"/>
                <w:color w:val="auto"/>
              </w:rPr>
            </w:pP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53,629</w:t>
            </w:r>
          </w:p>
        </w:tc>
      </w:tr>
      <w:tr>
        <w:trPr>
          <w:trHeight w:val="263"/>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segment contribution</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61,658</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45,021</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155,967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131E29"/>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134,808</w:t>
            </w:r>
          </w:p>
        </w:tc>
      </w:tr>
      <w:tr>
        <w:trPr>
          <w:trHeight w:val="20"/>
        </w:trPr>
        <w:tc>
          <w:tcPr>
            <w:tcW w:w="556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7"/>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Depreciation and amortization:</w:t>
            </w:r>
          </w:p>
        </w:tc>
        <w:tc>
          <w:tcPr>
            <w:tcW w:w="28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280" w:type="dxa"/>
            <w:vAlign w:val="bottom"/>
            <w:tcBorders>
              <w:bottom w:val="single" w:sz="8" w:color="D2DCE5"/>
            </w:tcBorders>
            <w:shd w:val="clear" w:color="auto" w:fill="D2DCE5"/>
          </w:tcPr>
          <w:p>
            <w:pPr>
              <w:spacing w:after="0"/>
              <w:rPr>
                <w:sz w:val="18"/>
                <w:szCs w:val="18"/>
                <w:color w:val="auto"/>
              </w:rPr>
            </w:pPr>
          </w:p>
        </w:tc>
        <w:tc>
          <w:tcPr>
            <w:tcW w:w="1060" w:type="dxa"/>
            <w:vAlign w:val="bottom"/>
            <w:tcBorders>
              <w:bottom w:val="single" w:sz="8" w:color="D2DCE5"/>
            </w:tcBorders>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260" w:type="dxa"/>
            <w:vAlign w:val="bottom"/>
            <w:tcBorders>
              <w:bottom w:val="single" w:sz="8" w:color="D2DCE5"/>
            </w:tcBorders>
            <w:shd w:val="clear" w:color="auto" w:fill="D2DCE5"/>
          </w:tcPr>
          <w:p>
            <w:pPr>
              <w:spacing w:after="0"/>
              <w:rPr>
                <w:sz w:val="18"/>
                <w:szCs w:val="18"/>
                <w:color w:val="auto"/>
              </w:rPr>
            </w:pPr>
          </w:p>
        </w:tc>
        <w:tc>
          <w:tcPr>
            <w:tcW w:w="1080" w:type="dxa"/>
            <w:vAlign w:val="bottom"/>
            <w:tcBorders>
              <w:bottom w:val="single" w:sz="8" w:color="D2DCE5"/>
            </w:tcBorders>
            <w:shd w:val="clear" w:color="auto" w:fill="D2DCE5"/>
          </w:tcPr>
          <w:p>
            <w:pPr>
              <w:spacing w:after="0"/>
              <w:rPr>
                <w:sz w:val="18"/>
                <w:szCs w:val="18"/>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9,624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4,294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25,071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131E29"/>
              </w:rPr>
              <w:t>11,038</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1,478</w:t>
            </w:r>
          </w:p>
        </w:tc>
        <w:tc>
          <w:tcPr>
            <w:tcW w:w="8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1,703</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4,340</w:t>
            </w:r>
          </w:p>
        </w:tc>
        <w:tc>
          <w:tcPr>
            <w:tcW w:w="100" w:type="dxa"/>
            <w:vAlign w:val="bottom"/>
            <w:tcBorders>
              <w:bottom w:val="single" w:sz="8" w:color="D2DCE5"/>
            </w:tcBorders>
            <w:shd w:val="clear" w:color="auto" w:fill="D2DCE5"/>
          </w:tcPr>
          <w:p>
            <w:pPr>
              <w:spacing w:after="0"/>
              <w:rPr>
                <w:sz w:val="23"/>
                <w:szCs w:val="23"/>
                <w:color w:val="auto"/>
              </w:rPr>
            </w:pPr>
          </w:p>
        </w:tc>
        <w:tc>
          <w:tcPr>
            <w:tcW w:w="260" w:type="dxa"/>
            <w:vAlign w:val="bottom"/>
            <w:tcBorders>
              <w:bottom w:val="single" w:sz="8" w:color="D2DCE5"/>
            </w:tcBorders>
            <w:shd w:val="clear" w:color="auto" w:fill="D2DCE5"/>
          </w:tcPr>
          <w:p>
            <w:pPr>
              <w:spacing w:after="0"/>
              <w:rPr>
                <w:sz w:val="23"/>
                <w:szCs w:val="23"/>
                <w:color w:val="auto"/>
              </w:rPr>
            </w:pP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4,728</w:t>
            </w:r>
          </w:p>
        </w:tc>
      </w:tr>
      <w:tr>
        <w:trPr>
          <w:trHeight w:val="237"/>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depreciation and amortization</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11,102</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5,997</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29,411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15,766</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Selling, general and administrative</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(45,378)</w:t>
            </w: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(153,700)</w:t>
            </w: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(132,934)</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(223,174)</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Interest expense, net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(5,011)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(2,393)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(11,096)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131E29"/>
              </w:rPr>
              <w:t>(5,248)</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Other expense, net</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(1,944)</w:t>
            </w:r>
          </w:p>
        </w:tc>
        <w:tc>
          <w:tcPr>
            <w:tcW w:w="8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(1,041)</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(1,662)</w:t>
            </w:r>
          </w:p>
        </w:tc>
        <w:tc>
          <w:tcPr>
            <w:tcW w:w="100" w:type="dxa"/>
            <w:vAlign w:val="bottom"/>
            <w:tcBorders>
              <w:bottom w:val="single" w:sz="8" w:color="D2DCE5"/>
            </w:tcBorders>
            <w:shd w:val="clear" w:color="auto" w:fill="D2DCE5"/>
          </w:tcPr>
          <w:p>
            <w:pPr>
              <w:spacing w:after="0"/>
              <w:rPr>
                <w:sz w:val="23"/>
                <w:szCs w:val="23"/>
                <w:color w:val="auto"/>
              </w:rPr>
            </w:pPr>
          </w:p>
        </w:tc>
        <w:tc>
          <w:tcPr>
            <w:tcW w:w="260" w:type="dxa"/>
            <w:vAlign w:val="bottom"/>
            <w:tcBorders>
              <w:bottom w:val="single" w:sz="8" w:color="D2DCE5"/>
            </w:tcBorders>
            <w:shd w:val="clear" w:color="auto" w:fill="D2DCE5"/>
          </w:tcPr>
          <w:p>
            <w:pPr>
              <w:spacing w:after="0"/>
              <w:rPr>
                <w:sz w:val="23"/>
                <w:szCs w:val="23"/>
                <w:color w:val="auto"/>
              </w:rPr>
            </w:pP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(1,099)</w:t>
            </w:r>
          </w:p>
        </w:tc>
      </w:tr>
      <w:tr>
        <w:trPr>
          <w:trHeight w:val="263"/>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Loss before income taxes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(1,777)</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(118,110)</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(19,136)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131E29"/>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(110,479)</w:t>
            </w:r>
          </w:p>
        </w:tc>
      </w:tr>
      <w:tr>
        <w:trPr>
          <w:trHeight w:val="21"/>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55" w:lineRule="exact"/>
        <w:rPr>
          <w:sz w:val="20"/>
          <w:szCs w:val="20"/>
          <w:color w:val="auto"/>
        </w:rPr>
      </w:pPr>
    </w:p>
    <w:p>
      <w:pPr>
        <w:ind w:left="180" w:hanging="172"/>
        <w:spacing w:after="0" w:line="228" w:lineRule="auto"/>
        <w:tabs>
          <w:tab w:leader="none" w:pos="276"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 xml:space="preserve">The Company identified immaterial corrections related to the accrual of employee sick leave and the application of ASC 710, </w:t>
      </w:r>
      <w:r>
        <w:rPr>
          <w:rFonts w:ascii="Arial" w:cs="Arial" w:eastAsia="Arial" w:hAnsi="Arial"/>
          <w:sz w:val="14"/>
          <w:szCs w:val="14"/>
          <w:i w:val="1"/>
          <w:iCs w:val="1"/>
          <w:color w:val="auto"/>
        </w:rPr>
        <w:t>Compensation - General</w:t>
      </w:r>
      <w:r>
        <w:rPr>
          <w:rFonts w:ascii="Arial" w:cs="Arial" w:eastAsia="Arial" w:hAnsi="Arial"/>
          <w:sz w:val="14"/>
          <w:szCs w:val="14"/>
          <w:color w:val="auto"/>
        </w:rPr>
        <w:t>, which resulted in revisions to prior period reported amounts with impacted line items presented below for the three and nine months ended September 30, 2021, respectively.</w:t>
      </w:r>
    </w:p>
    <w:p>
      <w:pPr>
        <w:spacing w:after="0" w:line="166" w:lineRule="exact"/>
        <w:rPr>
          <w:rFonts w:ascii="Arial" w:cs="Arial" w:eastAsia="Arial" w:hAnsi="Arial"/>
          <w:sz w:val="19"/>
          <w:szCs w:val="19"/>
          <w:color w:val="auto"/>
          <w:vertAlign w:val="superscript"/>
        </w:rPr>
      </w:pPr>
    </w:p>
    <w:p>
      <w:pPr>
        <w:ind w:left="660" w:hanging="328"/>
        <w:spacing w:after="0"/>
        <w:tabs>
          <w:tab w:leader="none" w:pos="660" w:val="left"/>
        </w:tabs>
        <w:numPr>
          <w:ilvl w:val="1"/>
          <w:numId w:val="24"/>
        </w:numPr>
        <w:rPr>
          <w:rFonts w:ascii="Arial" w:cs="Arial" w:eastAsia="Arial" w:hAnsi="Arial"/>
          <w:sz w:val="14"/>
          <w:szCs w:val="14"/>
          <w:color w:val="auto"/>
        </w:rPr>
      </w:pPr>
      <w:r>
        <w:rPr>
          <w:rFonts w:ascii="Arial" w:cs="Arial" w:eastAsia="Arial" w:hAnsi="Arial"/>
          <w:sz w:val="14"/>
          <w:szCs w:val="14"/>
          <w:color w:val="auto"/>
        </w:rPr>
        <w:t>Decrease in company-operated shops cost of sales (labor costs) of $0.3 million and $1.1 million</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1"/>
          <w:numId w:val="24"/>
        </w:numPr>
        <w:rPr>
          <w:rFonts w:ascii="Arial" w:cs="Arial" w:eastAsia="Arial" w:hAnsi="Arial"/>
          <w:sz w:val="14"/>
          <w:szCs w:val="14"/>
          <w:color w:val="auto"/>
        </w:rPr>
      </w:pPr>
      <w:r>
        <w:rPr>
          <w:rFonts w:ascii="Arial" w:cs="Arial" w:eastAsia="Arial" w:hAnsi="Arial"/>
          <w:sz w:val="14"/>
          <w:szCs w:val="14"/>
          <w:color w:val="auto"/>
        </w:rPr>
        <w:t>Decrease in total cost of sales of $0.3 million and $1.1 million</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1"/>
          <w:numId w:val="24"/>
        </w:numPr>
        <w:rPr>
          <w:rFonts w:ascii="Arial" w:cs="Arial" w:eastAsia="Arial" w:hAnsi="Arial"/>
          <w:sz w:val="14"/>
          <w:szCs w:val="14"/>
          <w:color w:val="auto"/>
        </w:rPr>
      </w:pPr>
      <w:r>
        <w:rPr>
          <w:rFonts w:ascii="Arial" w:cs="Arial" w:eastAsia="Arial" w:hAnsi="Arial"/>
          <w:sz w:val="14"/>
          <w:szCs w:val="14"/>
          <w:color w:val="auto"/>
        </w:rPr>
        <w:t>Increase in company-operated shops gross profit of $0.3 million and $1.1 million</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1"/>
          <w:numId w:val="24"/>
        </w:numPr>
        <w:rPr>
          <w:rFonts w:ascii="Arial" w:cs="Arial" w:eastAsia="Arial" w:hAnsi="Arial"/>
          <w:sz w:val="14"/>
          <w:szCs w:val="14"/>
          <w:color w:val="auto"/>
        </w:rPr>
      </w:pPr>
      <w:r>
        <w:rPr>
          <w:rFonts w:ascii="Arial" w:cs="Arial" w:eastAsia="Arial" w:hAnsi="Arial"/>
          <w:sz w:val="14"/>
          <w:szCs w:val="14"/>
          <w:color w:val="auto"/>
        </w:rPr>
        <w:t>Increase in company-operated shops segment contribution of $0.3 million and $1.1 million</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1"/>
          <w:numId w:val="24"/>
        </w:numPr>
        <w:rPr>
          <w:rFonts w:ascii="Arial" w:cs="Arial" w:eastAsia="Arial" w:hAnsi="Arial"/>
          <w:sz w:val="14"/>
          <w:szCs w:val="14"/>
          <w:color w:val="auto"/>
        </w:rPr>
      </w:pPr>
      <w:r>
        <w:rPr>
          <w:rFonts w:ascii="Arial" w:cs="Arial" w:eastAsia="Arial" w:hAnsi="Arial"/>
          <w:sz w:val="14"/>
          <w:szCs w:val="14"/>
          <w:color w:val="auto"/>
        </w:rPr>
        <w:t>Increase in total gross profit of $0.3 million and $1.1 million</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1"/>
          <w:numId w:val="24"/>
        </w:numPr>
        <w:rPr>
          <w:rFonts w:ascii="Arial" w:cs="Arial" w:eastAsia="Arial" w:hAnsi="Arial"/>
          <w:sz w:val="14"/>
          <w:szCs w:val="14"/>
          <w:color w:val="auto"/>
        </w:rPr>
      </w:pPr>
      <w:r>
        <w:rPr>
          <w:rFonts w:ascii="Arial" w:cs="Arial" w:eastAsia="Arial" w:hAnsi="Arial"/>
          <w:sz w:val="14"/>
          <w:szCs w:val="14"/>
          <w:color w:val="auto"/>
        </w:rPr>
        <w:t>Increase in total segment contribution of $0.3 million and $1.1 million</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1"/>
          <w:numId w:val="24"/>
        </w:numPr>
        <w:rPr>
          <w:rFonts w:ascii="Arial" w:cs="Arial" w:eastAsia="Arial" w:hAnsi="Arial"/>
          <w:sz w:val="14"/>
          <w:szCs w:val="14"/>
          <w:color w:val="auto"/>
        </w:rPr>
      </w:pPr>
      <w:r>
        <w:rPr>
          <w:rFonts w:ascii="Arial" w:cs="Arial" w:eastAsia="Arial" w:hAnsi="Arial"/>
          <w:sz w:val="14"/>
          <w:szCs w:val="14"/>
          <w:color w:val="auto"/>
        </w:rPr>
        <w:t>Decrease in selling, general and administrative expenses of less than $0.1 million and $0.4 million</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1"/>
          <w:numId w:val="24"/>
        </w:numPr>
        <w:rPr>
          <w:rFonts w:ascii="Arial" w:cs="Arial" w:eastAsia="Arial" w:hAnsi="Arial"/>
          <w:sz w:val="14"/>
          <w:szCs w:val="14"/>
          <w:color w:val="auto"/>
        </w:rPr>
      </w:pPr>
      <w:r>
        <w:rPr>
          <w:rFonts w:ascii="Arial" w:cs="Arial" w:eastAsia="Arial" w:hAnsi="Arial"/>
          <w:sz w:val="14"/>
          <w:szCs w:val="14"/>
          <w:color w:val="auto"/>
        </w:rPr>
        <w:t>Increase in income before income taxes of $0.3 million and $1.5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700"/>
        <w:spacing w:after="0" w:line="288" w:lineRule="auto"/>
        <w:rPr>
          <w:sz w:val="20"/>
          <w:szCs w:val="20"/>
          <w:color w:val="auto"/>
        </w:rPr>
      </w:pPr>
      <w:r>
        <w:rPr>
          <w:rFonts w:ascii="Arial" w:cs="Arial" w:eastAsia="Arial" w:hAnsi="Arial"/>
          <w:sz w:val="25"/>
          <w:szCs w:val="25"/>
          <w:b w:val="1"/>
          <w:bCs w:val="1"/>
          <w:color w:val="D7282F"/>
        </w:rPr>
        <w:t>ITEM 2. MANAGEMENT’S DISCUSSION AND ANALYSIS OF FINANCIAL CONDITION AND RESULTS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Overview and Highlights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Dutch Bros is a high growth operator and franchisor of drive-thru shops that focus on serving high QUALITY, hand-crafted beverages with unparalleled SPEED and superior SERVICE. Founded in 1992 by brothers Dane and Travis Boersma, Dutch Bros began with a double-head espresso machine and a pushcart in Grants Pass, Oregon. Today, we believe that Dutch Bros is one of the fastest-growing brands in the food service and restaurant industry in the United States by location count.</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As of September 30, 2022, we had 641 company-operated and franchised shops in 14 states, an increase of approximately 27.4% from the same period in the prior year. For the three months ended September 30, 2022, we generated $198.6 million of revenue, $1.6 million net income, and $0.03 income per diluted share. We have two reportable operating segments: Company-operated shops and Franchising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5306060" cy="22288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0606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77" w:lineRule="exact"/>
        <w:rPr>
          <w:sz w:val="20"/>
          <w:szCs w:val="20"/>
          <w:color w:val="auto"/>
        </w:rPr>
      </w:pPr>
    </w:p>
    <w:p>
      <w:pPr>
        <w:ind w:left="180" w:hanging="172"/>
        <w:spacing w:after="0" w:line="211" w:lineRule="auto"/>
        <w:tabs>
          <w:tab w:leader="none" w:pos="23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131E29"/>
        </w:rPr>
        <w:t>Reconciliation of GAAP to non-GAAP results is provided in the section “Non-GAAP Financial Measures” in Part I, Item 2 “Management’s Discussion and Analysis of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Key Highlights</w:t>
      </w:r>
    </w:p>
    <w:p>
      <w:pPr>
        <w:spacing w:after="0" w:line="193" w:lineRule="exact"/>
        <w:rPr>
          <w:sz w:val="20"/>
          <w:szCs w:val="20"/>
          <w:color w:val="auto"/>
        </w:rPr>
      </w:pPr>
    </w:p>
    <w:p>
      <w:pPr>
        <w:ind w:left="340" w:hanging="332"/>
        <w:spacing w:after="0" w:line="261" w:lineRule="auto"/>
        <w:tabs>
          <w:tab w:leader="none" w:pos="335" w:val="left"/>
        </w:tabs>
        <w:numPr>
          <w:ilvl w:val="0"/>
          <w:numId w:val="26"/>
        </w:numPr>
        <w:rPr>
          <w:rFonts w:ascii="Arial" w:cs="Arial" w:eastAsia="Arial" w:hAnsi="Arial"/>
          <w:sz w:val="18"/>
          <w:szCs w:val="18"/>
          <w:color w:val="131E29"/>
        </w:rPr>
      </w:pPr>
      <w:r>
        <w:rPr>
          <w:rFonts w:ascii="Arial" w:cs="Arial" w:eastAsia="Arial" w:hAnsi="Arial"/>
          <w:sz w:val="18"/>
          <w:szCs w:val="18"/>
          <w:color w:val="131E29"/>
        </w:rPr>
        <w:t>Opened 34 company-operated shops across multiple new operating areas in the three months ended September 30, 2022, bringing total company-operated shops to 57.7% of our total shops, an increase of 53.5% over the same period in 2021.</w:t>
      </w:r>
    </w:p>
    <w:p>
      <w:pPr>
        <w:spacing w:after="0" w:line="143" w:lineRule="exact"/>
        <w:rPr>
          <w:rFonts w:ascii="Arial" w:cs="Arial" w:eastAsia="Arial" w:hAnsi="Arial"/>
          <w:sz w:val="18"/>
          <w:szCs w:val="18"/>
          <w:color w:val="131E29"/>
        </w:rPr>
      </w:pPr>
    </w:p>
    <w:p>
      <w:pPr>
        <w:ind w:left="320" w:hanging="312"/>
        <w:spacing w:after="0"/>
        <w:tabs>
          <w:tab w:leader="none" w:pos="320" w:val="left"/>
        </w:tabs>
        <w:numPr>
          <w:ilvl w:val="0"/>
          <w:numId w:val="26"/>
        </w:numPr>
        <w:rPr>
          <w:rFonts w:ascii="Arial" w:cs="Arial" w:eastAsia="Arial" w:hAnsi="Arial"/>
          <w:sz w:val="18"/>
          <w:szCs w:val="18"/>
          <w:color w:val="131E29"/>
        </w:rPr>
      </w:pPr>
      <w:r>
        <w:rPr>
          <w:rFonts w:ascii="Arial" w:cs="Arial" w:eastAsia="Arial" w:hAnsi="Arial"/>
          <w:sz w:val="18"/>
          <w:szCs w:val="18"/>
          <w:color w:val="131E29"/>
        </w:rPr>
        <w:t>Raised more than $1.1 million for various youth organizations through our Buck for Kids day.</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26"/>
        </w:numPr>
        <w:rPr>
          <w:rFonts w:ascii="Arial" w:cs="Arial" w:eastAsia="Arial" w:hAnsi="Arial"/>
          <w:sz w:val="18"/>
          <w:szCs w:val="18"/>
          <w:color w:val="131E29"/>
        </w:rPr>
      </w:pPr>
      <w:r>
        <w:rPr>
          <w:rFonts w:ascii="Arial" w:cs="Arial" w:eastAsia="Arial" w:hAnsi="Arial"/>
          <w:sz w:val="18"/>
          <w:szCs w:val="18"/>
          <w:color w:val="131E29"/>
        </w:rPr>
        <w:t>Surpassed 4.7 million registered users on our Dutch Rewards mobile app.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Impact of Global Events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Inflation and Minimum Wage Increases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Similar to many of our peers in our industry, we encountered current commodities inflation, including dairy, coffee, fuel, and packaging, and experienced continuing legislated minimum wage increases that took effect this year in certain states. We expect these inflationary pressures to continue to affect our operating results in the foreseeable future. While these cost increases have impacted our operating results, we have taken measures to gradually increase our menu prices to help offset these pressures. Such price increases may lead to decreases in consumer demand. We will continue to evaluate further pricing actions to protect our operating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COVID-19</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effects of COVID-19 continue to evolve, and we cannot easily predict the future potential impacts of the pandemic on our business and operations, or on the United States and global economy in general. This also may include any recurrence of the disease, actions taken by governmental authorities in response to the evolving pandemic, any ongoing effects on consumer demand and spending patterns or other direct and indirect impacts of the pandemic, such as supply chain disruptions. Whether these or other currently unanticipated consequences of the pandemic are reasonably likely to materially affect the continued and future impacts on our results of operations, cash flows or financial condition is yet to be determined.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131E29"/>
        </w:rPr>
        <w:t>Due to our drive-thru shops model, we have not experienced materially negative impacts to the same degree as others in our industry.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31E29"/>
        </w:rPr>
        <w:t>Nevertheless, we have been affected by global shipping delays that have impacted deliveries of supplies to our shops.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Russia and Ukraine War</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To date, the war between Russia and Ukraine has not had a material direct impact on our business, financial condition, or results of operations. Indirectly, this conflict and resulting sanctions may have caused or contributed to recent increases in oil and gas prices. Because of our drive-thru shops model, we are monitoring closely the impact of recent volatility in oil and gas prices on our customers’ behavior and believe such increases may contribute to decreased demand, which we believe is likely to continue. We are also monitoring any broader economic impact of the current war, including its effect on commodities (including oil and gas), transportation costs, liquidity and credit availability, declines in consumer confidence, declines in global economic growth, inflation, uncertainty about economic stability, and increases in unemployment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Results of Operations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Our historical results have been retroactively revised to reflect an immaterial error correction related to the accrual of employee sick leave. These revisions ensure comparability across all periods reflected herein. For additional information, refer to NOTE 2 — Basis of Presentation and Summary of Significant Accounting Policies and NOTE 18 — Segment Reporting in our condensed consolidated financial statements, included elsewhere in this Form 10-Q.</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tables provide our operating results and explanation of changes for the periods presented.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416B"/>
        </w:rPr>
        <w:t>Condensed 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131E29"/>
                <w:w w:val="99"/>
              </w:rPr>
              <w:t>Three Months Ended</w:t>
            </w:r>
          </w:p>
        </w:tc>
        <w:tc>
          <w:tcPr>
            <w:tcW w:w="2740" w:type="dxa"/>
            <w:vAlign w:val="bottom"/>
            <w:gridSpan w:val="5"/>
          </w:tcPr>
          <w:p>
            <w:pPr>
              <w:ind w:left="40"/>
              <w:spacing w:after="0"/>
              <w:rPr>
                <w:sz w:val="20"/>
                <w:szCs w:val="20"/>
                <w:color w:val="auto"/>
              </w:rPr>
            </w:pPr>
            <w:r>
              <w:rPr>
                <w:rFonts w:ascii="Arial" w:cs="Arial" w:eastAsia="Arial" w:hAnsi="Arial"/>
                <w:sz w:val="18"/>
                <w:szCs w:val="18"/>
                <w:b w:val="1"/>
                <w:bCs w:val="1"/>
                <w:color w:val="131E29"/>
              </w:rPr>
              <w:t>Nine Months Ended September</w:t>
            </w:r>
          </w:p>
        </w:tc>
      </w:t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131E29"/>
                <w:w w:val="99"/>
              </w:rPr>
              <w:t>September 30,</w:t>
            </w:r>
          </w:p>
        </w:tc>
        <w:tc>
          <w:tcPr>
            <w:tcW w:w="280" w:type="dxa"/>
            <w:vAlign w:val="bottom"/>
          </w:tcPr>
          <w:p>
            <w:pPr>
              <w:spacing w:after="0"/>
              <w:rPr>
                <w:sz w:val="20"/>
                <w:szCs w:val="20"/>
                <w:color w:val="auto"/>
              </w:rPr>
            </w:pPr>
          </w:p>
        </w:tc>
        <w:tc>
          <w:tcPr>
            <w:tcW w:w="142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131E29"/>
              </w:rPr>
              <w:t>30,</w:t>
            </w:r>
          </w:p>
        </w:tc>
        <w:tc>
          <w:tcPr>
            <w:tcW w:w="1040" w:type="dxa"/>
            <w:vAlign w:val="bottom"/>
          </w:tcPr>
          <w:p>
            <w:pPr>
              <w:spacing w:after="0"/>
              <w:rPr>
                <w:sz w:val="20"/>
                <w:szCs w:val="20"/>
                <w:color w:val="auto"/>
              </w:rPr>
            </w:pPr>
          </w:p>
        </w:tc>
      </w:tr>
      <w:tr>
        <w:trPr>
          <w:trHeight w:val="27"/>
        </w:trPr>
        <w:tc>
          <w:tcPr>
            <w:tcW w:w="56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r>
      <w:tr>
        <w:trPr>
          <w:trHeight w:val="26"/>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REVENUES</w:t>
            </w: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173,501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108,661</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131E2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464,200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289,548</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25,147</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21,142</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72,985</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68,248</w:t>
            </w:r>
          </w:p>
        </w:tc>
      </w:tr>
      <w:tr>
        <w:trPr>
          <w:trHeight w:val="237"/>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revenues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198,648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129,803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537,185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357,796</w:t>
            </w: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5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40" w:type="dxa"/>
            <w:vAlign w:val="bottom"/>
            <w:shd w:val="clear" w:color="auto" w:fill="D2DCE5"/>
          </w:tcPr>
          <w:p>
            <w:pPr>
              <w:spacing w:after="0"/>
              <w:rPr>
                <w:sz w:val="20"/>
                <w:szCs w:val="20"/>
                <w:color w:val="auto"/>
              </w:rPr>
            </w:pP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COSTS AND EXPENSES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Cost of sales</w:t>
            </w: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148,092</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90,779</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410,629</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238,754</w:t>
            </w: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Selling, general and administrative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45,378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153,700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132,934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223,174</w:t>
            </w: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566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Total costs and expenses</w:t>
            </w:r>
          </w:p>
        </w:tc>
        <w:tc>
          <w:tcPr>
            <w:tcW w:w="300" w:type="dxa"/>
            <w:vAlign w:val="bottom"/>
            <w:tcBorders>
              <w:bottom w:val="single" w:sz="8" w:color="D2DCE5"/>
            </w:tcBorders>
            <w:shd w:val="clear" w:color="auto" w:fill="D2DCE5"/>
          </w:tcPr>
          <w:p>
            <w:pPr>
              <w:spacing w:after="0"/>
              <w:rPr>
                <w:sz w:val="22"/>
                <w:szCs w:val="22"/>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193,470</w:t>
            </w:r>
          </w:p>
        </w:tc>
        <w:tc>
          <w:tcPr>
            <w:tcW w:w="100" w:type="dxa"/>
            <w:vAlign w:val="bottom"/>
            <w:tcBorders>
              <w:bottom w:val="single" w:sz="8" w:color="D2DCE5"/>
            </w:tcBorders>
            <w:shd w:val="clear" w:color="auto" w:fill="D2DCE5"/>
          </w:tcPr>
          <w:p>
            <w:pPr>
              <w:spacing w:after="0"/>
              <w:rPr>
                <w:sz w:val="22"/>
                <w:szCs w:val="22"/>
                <w:color w:val="auto"/>
              </w:rPr>
            </w:pPr>
          </w:p>
        </w:tc>
        <w:tc>
          <w:tcPr>
            <w:tcW w:w="300" w:type="dxa"/>
            <w:vAlign w:val="bottom"/>
            <w:tcBorders>
              <w:bottom w:val="single" w:sz="8" w:color="D2DCE5"/>
            </w:tcBorders>
            <w:shd w:val="clear" w:color="auto" w:fill="D2DCE5"/>
          </w:tcPr>
          <w:p>
            <w:pPr>
              <w:spacing w:after="0"/>
              <w:rPr>
                <w:sz w:val="22"/>
                <w:szCs w:val="22"/>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244,479</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D2DCE5"/>
            </w:tcBorders>
            <w:shd w:val="clear" w:color="auto" w:fill="D2DCE5"/>
          </w:tcPr>
          <w:p>
            <w:pPr>
              <w:spacing w:after="0"/>
              <w:rPr>
                <w:sz w:val="22"/>
                <w:szCs w:val="22"/>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543,563</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D2DCE5"/>
            </w:tcBorders>
            <w:shd w:val="clear" w:color="auto" w:fill="D2DCE5"/>
          </w:tcPr>
          <w:p>
            <w:pPr>
              <w:spacing w:after="0"/>
              <w:rPr>
                <w:sz w:val="22"/>
                <w:szCs w:val="22"/>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461,928</w:t>
            </w:r>
          </w:p>
        </w:tc>
      </w:tr>
      <w:tr>
        <w:trPr>
          <w:trHeight w:val="237"/>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5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(LOSS) FROM OPERATIONS</w:t>
            </w: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5,178</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(114,676)</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(6,378)</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(104,132)</w:t>
            </w:r>
          </w:p>
        </w:tc>
      </w:tr>
      <w:tr>
        <w:trPr>
          <w:trHeight w:val="256"/>
        </w:trPr>
        <w:tc>
          <w:tcPr>
            <w:tcW w:w="5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OTHER EXPENSE</w:t>
            </w: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Interest expense,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(5,011)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(2,393)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(11,096)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(5,248)</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Other expense, net</w:t>
            </w: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(1,944)</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(1,041)</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(1,662)</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(1,099)</w:t>
            </w:r>
          </w:p>
        </w:tc>
      </w:tr>
      <w:tr>
        <w:trPr>
          <w:trHeight w:val="237"/>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other expense</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(6,955)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(3,434)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(12,758)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(6,347)</w:t>
            </w: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5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40" w:type="dxa"/>
            <w:vAlign w:val="bottom"/>
            <w:shd w:val="clear" w:color="auto" w:fill="D2DCE5"/>
          </w:tcPr>
          <w:p>
            <w:pPr>
              <w:spacing w:after="0"/>
              <w:rPr>
                <w:sz w:val="20"/>
                <w:szCs w:val="20"/>
                <w:color w:val="auto"/>
              </w:rPr>
            </w:pP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LOSS BEFORE INCOME TAXES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(1,777)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(118,110)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(19,136)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(110,479)</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tax benefit</w:t>
            </w: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(3,371)</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(1,280)</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(2,700)</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(716)</w:t>
            </w:r>
          </w:p>
        </w:tc>
      </w:tr>
      <w:tr>
        <w:trPr>
          <w:trHeight w:val="237"/>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NET INCOME (LOSS)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1,594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(116,830)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(16,436)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(109,763)</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2"/>
        </w:trPr>
        <w:tc>
          <w:tcPr>
            <w:tcW w:w="56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Less: Net loss attributable to Dutch Bros OpCo prior to the</w:t>
            </w:r>
          </w:p>
        </w:tc>
        <w:tc>
          <w:tcPr>
            <w:tcW w:w="300" w:type="dxa"/>
            <w:vAlign w:val="bottom"/>
            <w:shd w:val="clear" w:color="auto" w:fill="D2DCE5"/>
          </w:tcPr>
          <w:p>
            <w:pPr>
              <w:spacing w:after="0"/>
              <w:rPr>
                <w:sz w:val="21"/>
                <w:szCs w:val="21"/>
                <w:color w:val="auto"/>
              </w:rPr>
            </w:pPr>
          </w:p>
        </w:tc>
        <w:tc>
          <w:tcPr>
            <w:tcW w:w="10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00" w:type="dxa"/>
            <w:vAlign w:val="bottom"/>
            <w:shd w:val="clear" w:color="auto" w:fill="D2DCE5"/>
          </w:tcPr>
          <w:p>
            <w:pPr>
              <w:spacing w:after="0"/>
              <w:rPr>
                <w:sz w:val="21"/>
                <w:szCs w:val="21"/>
                <w:color w:val="auto"/>
              </w:rPr>
            </w:pPr>
          </w:p>
        </w:tc>
        <w:tc>
          <w:tcPr>
            <w:tcW w:w="10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r>
      <w:tr>
        <w:trPr>
          <w:trHeight w:val="224"/>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Reorganization Transactions</w:t>
            </w:r>
          </w:p>
        </w:tc>
        <w:tc>
          <w:tcPr>
            <w:tcW w:w="300" w:type="dxa"/>
            <w:vAlign w:val="bottom"/>
            <w:tcBorders>
              <w:bottom w:val="single" w:sz="8" w:color="D2DCE5"/>
            </w:tcBorders>
            <w:shd w:val="clear" w:color="auto" w:fill="D2DCE5"/>
          </w:tcPr>
          <w:p>
            <w:pPr>
              <w:spacing w:after="0"/>
              <w:rPr>
                <w:sz w:val="19"/>
                <w:szCs w:val="19"/>
                <w:color w:val="auto"/>
              </w:rPr>
            </w:pPr>
          </w:p>
        </w:tc>
        <w:tc>
          <w:tcPr>
            <w:tcW w:w="112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300" w:type="dxa"/>
            <w:vAlign w:val="bottom"/>
            <w:tcBorders>
              <w:bottom w:val="single" w:sz="8" w:color="D2DCE5"/>
            </w:tcBorders>
            <w:shd w:val="clear" w:color="auto" w:fill="D2DCE5"/>
          </w:tcPr>
          <w:p>
            <w:pPr>
              <w:spacing w:after="0"/>
              <w:rPr>
                <w:sz w:val="19"/>
                <w:szCs w:val="19"/>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(74,441)</w:t>
            </w:r>
          </w:p>
        </w:tc>
        <w:tc>
          <w:tcPr>
            <w:tcW w:w="100" w:type="dxa"/>
            <w:vAlign w:val="bottom"/>
            <w:tcBorders>
              <w:bottom w:val="single" w:sz="8" w:color="D2DCE5"/>
            </w:tcBorders>
            <w:shd w:val="clear" w:color="auto" w:fill="D2DCE5"/>
          </w:tcPr>
          <w:p>
            <w:pPr>
              <w:spacing w:after="0"/>
              <w:rPr>
                <w:sz w:val="19"/>
                <w:szCs w:val="19"/>
                <w:color w:val="auto"/>
              </w:rPr>
            </w:pPr>
          </w:p>
        </w:tc>
        <w:tc>
          <w:tcPr>
            <w:tcW w:w="280" w:type="dxa"/>
            <w:vAlign w:val="bottom"/>
            <w:tcBorders>
              <w:bottom w:val="single" w:sz="8" w:color="D2DCE5"/>
            </w:tcBorders>
            <w:shd w:val="clear" w:color="auto" w:fill="D2DCE5"/>
          </w:tcPr>
          <w:p>
            <w:pPr>
              <w:spacing w:after="0"/>
              <w:rPr>
                <w:sz w:val="19"/>
                <w:szCs w:val="19"/>
                <w:color w:val="auto"/>
              </w:rPr>
            </w:pPr>
          </w:p>
        </w:tc>
        <w:tc>
          <w:tcPr>
            <w:tcW w:w="114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280" w:type="dxa"/>
            <w:vAlign w:val="bottom"/>
            <w:tcBorders>
              <w:bottom w:val="single" w:sz="8" w:color="D2DCE5"/>
            </w:tcBorders>
            <w:shd w:val="clear" w:color="auto" w:fill="D2DCE5"/>
          </w:tcPr>
          <w:p>
            <w:pPr>
              <w:spacing w:after="0"/>
              <w:rPr>
                <w:sz w:val="19"/>
                <w:szCs w:val="19"/>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(67,374)</w:t>
            </w: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Less: Net loss attributable to non-controlling interests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(31,312)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(12,346)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(31,312)</w:t>
            </w: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LOSS ATTRIBUTABLE TO DUTCH BROS INC.</w:t>
            </w: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1,763</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(11,077)</w:t>
            </w:r>
          </w:p>
        </w:tc>
        <w:tc>
          <w:tcPr>
            <w:tcW w:w="10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ind w:left="20"/>
              <w:spacing w:after="0"/>
              <w:rPr>
                <w:sz w:val="20"/>
                <w:szCs w:val="20"/>
                <w:color w:val="auto"/>
              </w:rPr>
            </w:pPr>
            <w:r>
              <w:rPr>
                <w:rFonts w:ascii="Arial" w:cs="Arial" w:eastAsia="Arial" w:hAnsi="Arial"/>
                <w:sz w:val="18"/>
                <w:szCs w:val="18"/>
                <w:color w:val="131E2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(4,090)</w:t>
            </w:r>
          </w:p>
        </w:tc>
        <w:tc>
          <w:tcPr>
            <w:tcW w:w="10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(11,077)</w:t>
            </w: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416B"/>
        </w:rPr>
        <w:t>Segment Financials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131E29"/>
                <w:w w:val="99"/>
              </w:rPr>
              <w:t>Three Months Ended</w:t>
            </w:r>
          </w:p>
        </w:tc>
        <w:tc>
          <w:tcPr>
            <w:tcW w:w="2760" w:type="dxa"/>
            <w:vAlign w:val="bottom"/>
            <w:gridSpan w:val="5"/>
          </w:tcPr>
          <w:p>
            <w:pPr>
              <w:jc w:val="right"/>
              <w:spacing w:after="0"/>
              <w:rPr>
                <w:sz w:val="20"/>
                <w:szCs w:val="20"/>
                <w:color w:val="auto"/>
              </w:rPr>
            </w:pPr>
            <w:r>
              <w:rPr>
                <w:rFonts w:ascii="Arial" w:cs="Arial" w:eastAsia="Arial" w:hAnsi="Arial"/>
                <w:sz w:val="18"/>
                <w:szCs w:val="18"/>
                <w:b w:val="1"/>
                <w:bCs w:val="1"/>
                <w:color w:val="131E29"/>
              </w:rPr>
              <w:t>Nine Months Ended September</w:t>
            </w:r>
          </w:p>
        </w:tc>
      </w:t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131E29"/>
              </w:rPr>
              <w:t>September 30,</w:t>
            </w:r>
          </w:p>
        </w:tc>
        <w:tc>
          <w:tcPr>
            <w:tcW w:w="300" w:type="dxa"/>
            <w:vAlign w:val="bottom"/>
          </w:tcPr>
          <w:p>
            <w:pPr>
              <w:spacing w:after="0"/>
              <w:rPr>
                <w:sz w:val="20"/>
                <w:szCs w:val="20"/>
                <w:color w:val="auto"/>
              </w:rPr>
            </w:pPr>
          </w:p>
        </w:tc>
        <w:tc>
          <w:tcPr>
            <w:tcW w:w="142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131E29"/>
              </w:rPr>
              <w:t>30,</w:t>
            </w:r>
          </w:p>
        </w:tc>
        <w:tc>
          <w:tcPr>
            <w:tcW w:w="1040" w:type="dxa"/>
            <w:vAlign w:val="bottom"/>
          </w:tcPr>
          <w:p>
            <w:pPr>
              <w:spacing w:after="0"/>
              <w:rPr>
                <w:sz w:val="20"/>
                <w:szCs w:val="20"/>
                <w:color w:val="auto"/>
              </w:rPr>
            </w:pPr>
          </w:p>
        </w:tc>
      </w:tr>
      <w:tr>
        <w:trPr>
          <w:trHeight w:val="27"/>
        </w:trPr>
        <w:tc>
          <w:tcPr>
            <w:tcW w:w="566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131E29"/>
            </w:tcBorders>
          </w:tcPr>
          <w:p>
            <w:pPr>
              <w:spacing w:after="0"/>
              <w:rPr>
                <w:sz w:val="2"/>
                <w:szCs w:val="2"/>
                <w:color w:val="auto"/>
              </w:rPr>
            </w:pPr>
          </w:p>
        </w:tc>
        <w:tc>
          <w:tcPr>
            <w:tcW w:w="102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300" w:type="dxa"/>
            <w:vAlign w:val="bottom"/>
            <w:tcBorders>
              <w:bottom w:val="single" w:sz="8" w:color="131E29"/>
            </w:tcBorders>
          </w:tcPr>
          <w:p>
            <w:pPr>
              <w:spacing w:after="0"/>
              <w:rPr>
                <w:sz w:val="2"/>
                <w:szCs w:val="2"/>
                <w:color w:val="auto"/>
              </w:rPr>
            </w:pPr>
          </w:p>
        </w:tc>
        <w:tc>
          <w:tcPr>
            <w:tcW w:w="1040" w:type="dxa"/>
            <w:vAlign w:val="bottom"/>
            <w:tcBorders>
              <w:bottom w:val="single" w:sz="8" w:color="131E29"/>
            </w:tcBorders>
          </w:tcPr>
          <w:p>
            <w:pPr>
              <w:spacing w:after="0"/>
              <w:rPr>
                <w:sz w:val="2"/>
                <w:szCs w:val="2"/>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r>
      <w:tr>
        <w:trPr>
          <w:trHeight w:val="26"/>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Revenues:</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jc w:val="right"/>
              <w:ind w:right="90"/>
              <w:spacing w:after="0"/>
              <w:rPr>
                <w:sz w:val="20"/>
                <w:szCs w:val="20"/>
                <w:color w:val="auto"/>
              </w:rPr>
            </w:pPr>
            <w:r>
              <w:rPr>
                <w:rFonts w:ascii="Arial" w:cs="Arial" w:eastAsia="Arial" w:hAnsi="Arial"/>
                <w:sz w:val="18"/>
                <w:szCs w:val="18"/>
                <w:color w:val="131E29"/>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173,501</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108,661</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464,200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289,548</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25,147</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21,142</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72,985</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68,248</w:t>
            </w:r>
          </w:p>
        </w:tc>
      </w:tr>
      <w:tr>
        <w:trPr>
          <w:trHeight w:val="237"/>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revenues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198,648</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129,803</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537,185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357,796</w:t>
            </w: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280" w:type="dxa"/>
            <w:vAlign w:val="bottom"/>
            <w:tcBorders>
              <w:bottom w:val="single" w:sz="8" w:color="D2DCE5"/>
            </w:tcBorders>
            <w:shd w:val="clear" w:color="auto" w:fill="D2DCE5"/>
          </w:tcPr>
          <w:p>
            <w:pPr>
              <w:spacing w:after="0"/>
              <w:rPr>
                <w:sz w:val="20"/>
                <w:szCs w:val="20"/>
                <w:color w:val="auto"/>
              </w:rPr>
            </w:pPr>
          </w:p>
        </w:tc>
        <w:tc>
          <w:tcPr>
            <w:tcW w:w="1040" w:type="dxa"/>
            <w:vAlign w:val="bottom"/>
            <w:tcBorders>
              <w:bottom w:val="single" w:sz="8" w:color="D2DCE5"/>
            </w:tcBorders>
            <w:shd w:val="clear" w:color="auto" w:fill="D2DCE5"/>
          </w:tcPr>
          <w:p>
            <w:pPr>
              <w:spacing w:after="0"/>
              <w:rPr>
                <w:sz w:val="20"/>
                <w:szCs w:val="20"/>
                <w:color w:val="auto"/>
              </w:rPr>
            </w:pP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D2DCE5"/>
            </w:tcBorders>
            <w:shd w:val="clear" w:color="auto" w:fill="D2DCE5"/>
          </w:tcPr>
          <w:p>
            <w:pPr>
              <w:spacing w:after="0"/>
              <w:rPr>
                <w:sz w:val="20"/>
                <w:szCs w:val="20"/>
                <w:color w:val="auto"/>
              </w:rPr>
            </w:pPr>
          </w:p>
        </w:tc>
        <w:tc>
          <w:tcPr>
            <w:tcW w:w="1040" w:type="dxa"/>
            <w:vAlign w:val="bottom"/>
            <w:tcBorders>
              <w:bottom w:val="single" w:sz="8" w:color="D2DCE5"/>
            </w:tcBorders>
            <w:shd w:val="clear" w:color="auto" w:fill="D2DCE5"/>
          </w:tcPr>
          <w:p>
            <w:pPr>
              <w:spacing w:after="0"/>
              <w:rPr>
                <w:sz w:val="20"/>
                <w:szCs w:val="20"/>
                <w:color w:val="auto"/>
              </w:rPr>
            </w:pP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D2DCE5"/>
            </w:tcBorders>
            <w:shd w:val="clear" w:color="auto" w:fill="D2DCE5"/>
          </w:tcPr>
          <w:p>
            <w:pPr>
              <w:spacing w:after="0"/>
              <w:rPr>
                <w:sz w:val="20"/>
                <w:szCs w:val="20"/>
                <w:color w:val="auto"/>
              </w:rPr>
            </w:pPr>
          </w:p>
        </w:tc>
        <w:tc>
          <w:tcPr>
            <w:tcW w:w="1040" w:type="dxa"/>
            <w:vAlign w:val="bottom"/>
            <w:tcBorders>
              <w:bottom w:val="single" w:sz="8" w:color="D2DCE5"/>
            </w:tcBorders>
            <w:shd w:val="clear" w:color="auto" w:fill="D2DCE5"/>
          </w:tcPr>
          <w:p>
            <w:pPr>
              <w:spacing w:after="0"/>
              <w:rPr>
                <w:sz w:val="20"/>
                <w:szCs w:val="20"/>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138,781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85,550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381,623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219,407</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9,311</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5,229</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29,006</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19,347</w:t>
            </w:r>
          </w:p>
        </w:tc>
      </w:tr>
      <w:tr>
        <w:trPr>
          <w:trHeight w:val="237"/>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cost of sales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148,092</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90,779</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410,629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238,754</w:t>
            </w: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Segment gross profit:</w:t>
            </w:r>
          </w:p>
        </w:tc>
        <w:tc>
          <w:tcPr>
            <w:tcW w:w="280" w:type="dxa"/>
            <w:vAlign w:val="bottom"/>
            <w:tcBorders>
              <w:bottom w:val="single" w:sz="8" w:color="D2DCE5"/>
            </w:tcBorders>
            <w:shd w:val="clear" w:color="auto" w:fill="D2DCE5"/>
          </w:tcPr>
          <w:p>
            <w:pPr>
              <w:spacing w:after="0"/>
              <w:rPr>
                <w:sz w:val="20"/>
                <w:szCs w:val="20"/>
                <w:color w:val="auto"/>
              </w:rPr>
            </w:pPr>
          </w:p>
        </w:tc>
        <w:tc>
          <w:tcPr>
            <w:tcW w:w="1040" w:type="dxa"/>
            <w:vAlign w:val="bottom"/>
            <w:tcBorders>
              <w:bottom w:val="single" w:sz="8" w:color="D2DCE5"/>
            </w:tcBorders>
            <w:shd w:val="clear" w:color="auto" w:fill="D2DCE5"/>
          </w:tcPr>
          <w:p>
            <w:pPr>
              <w:spacing w:after="0"/>
              <w:rPr>
                <w:sz w:val="20"/>
                <w:szCs w:val="20"/>
                <w:color w:val="auto"/>
              </w:rPr>
            </w:pP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D2DCE5"/>
            </w:tcBorders>
            <w:shd w:val="clear" w:color="auto" w:fill="D2DCE5"/>
          </w:tcPr>
          <w:p>
            <w:pPr>
              <w:spacing w:after="0"/>
              <w:rPr>
                <w:sz w:val="20"/>
                <w:szCs w:val="20"/>
                <w:color w:val="auto"/>
              </w:rPr>
            </w:pPr>
          </w:p>
        </w:tc>
        <w:tc>
          <w:tcPr>
            <w:tcW w:w="1040" w:type="dxa"/>
            <w:vAlign w:val="bottom"/>
            <w:tcBorders>
              <w:bottom w:val="single" w:sz="8" w:color="D2DCE5"/>
            </w:tcBorders>
            <w:shd w:val="clear" w:color="auto" w:fill="D2DCE5"/>
          </w:tcPr>
          <w:p>
            <w:pPr>
              <w:spacing w:after="0"/>
              <w:rPr>
                <w:sz w:val="20"/>
                <w:szCs w:val="20"/>
                <w:color w:val="auto"/>
              </w:rPr>
            </w:pP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D2DCE5"/>
            </w:tcBorders>
            <w:shd w:val="clear" w:color="auto" w:fill="D2DCE5"/>
          </w:tcPr>
          <w:p>
            <w:pPr>
              <w:spacing w:after="0"/>
              <w:rPr>
                <w:sz w:val="20"/>
                <w:szCs w:val="20"/>
                <w:color w:val="auto"/>
              </w:rPr>
            </w:pPr>
          </w:p>
        </w:tc>
        <w:tc>
          <w:tcPr>
            <w:tcW w:w="1040" w:type="dxa"/>
            <w:vAlign w:val="bottom"/>
            <w:tcBorders>
              <w:bottom w:val="single" w:sz="8" w:color="D2DCE5"/>
            </w:tcBorders>
            <w:shd w:val="clear" w:color="auto" w:fill="D2DCE5"/>
          </w:tcPr>
          <w:p>
            <w:pPr>
              <w:spacing w:after="0"/>
              <w:rPr>
                <w:sz w:val="20"/>
                <w:szCs w:val="20"/>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34,720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23,111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82,577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70,141</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15,836</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15,913</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43,979</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48,901</w:t>
            </w:r>
          </w:p>
        </w:tc>
      </w:tr>
      <w:tr>
        <w:trPr>
          <w:trHeight w:val="237"/>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gross profit</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50,556</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39,024</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126,556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119,042</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Selling, general and administrative</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(45,378)</w:t>
            </w: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(153,700)</w:t>
            </w: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(132,934)</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(223,174)</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Interest expense, net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(5,011)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(2,393)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(11,096)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(5,248)</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Other expense, net</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(1,944)</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(1,041)</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(1,662)</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(1,099)</w:t>
            </w:r>
          </w:p>
        </w:tc>
      </w:tr>
      <w:tr>
        <w:trPr>
          <w:trHeight w:val="264"/>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Loss before income taxes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(1,777)</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(118,110)</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(19,136)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(110,479)</w:t>
            </w:r>
          </w:p>
        </w:tc>
      </w:tr>
      <w:tr>
        <w:trPr>
          <w:trHeight w:val="20"/>
        </w:trPr>
        <w:tc>
          <w:tcPr>
            <w:tcW w:w="556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Depreciation and amortization:</w:t>
            </w:r>
          </w:p>
        </w:tc>
        <w:tc>
          <w:tcPr>
            <w:tcW w:w="28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shd w:val="clear" w:color="auto" w:fill="D2DCE5"/>
          </w:tcPr>
          <w:p>
            <w:pPr>
              <w:spacing w:after="0"/>
              <w:rPr>
                <w:sz w:val="18"/>
                <w:szCs w:val="18"/>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jc w:val="right"/>
              <w:ind w:right="90"/>
              <w:spacing w:after="0"/>
              <w:rPr>
                <w:sz w:val="20"/>
                <w:szCs w:val="20"/>
                <w:color w:val="auto"/>
              </w:rPr>
            </w:pPr>
            <w:r>
              <w:rPr>
                <w:rFonts w:ascii="Arial" w:cs="Arial" w:eastAsia="Arial" w:hAnsi="Arial"/>
                <w:sz w:val="18"/>
                <w:szCs w:val="18"/>
                <w:color w:val="131E29"/>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9,624</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4,294</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25,071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11,038</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1,478</w:t>
            </w: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1,703</w:t>
            </w: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4,340</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4,728</w:t>
            </w: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All other</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708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699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2,120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1,961</w:t>
            </w: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566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Total depreciation and amortization</w:t>
            </w:r>
          </w:p>
        </w:tc>
        <w:tc>
          <w:tcPr>
            <w:tcW w:w="28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7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11,810</w:t>
            </w:r>
          </w:p>
        </w:tc>
        <w:tc>
          <w:tcPr>
            <w:tcW w:w="8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6,696</w:t>
            </w:r>
          </w:p>
        </w:tc>
        <w:tc>
          <w:tcPr>
            <w:tcW w:w="8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31,531</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17,727</w:t>
            </w: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416B"/>
        </w:rPr>
        <w:t>Key Performance Indicators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800" w:type="dxa"/>
            <w:vAlign w:val="bottom"/>
            <w:gridSpan w:val="11"/>
          </w:tcPr>
          <w:p>
            <w:pPr>
              <w:spacing w:after="0"/>
              <w:rPr>
                <w:sz w:val="20"/>
                <w:szCs w:val="20"/>
                <w:color w:val="auto"/>
              </w:rPr>
            </w:pPr>
            <w:r>
              <w:rPr>
                <w:rFonts w:ascii="Arial" w:cs="Arial" w:eastAsia="Arial" w:hAnsi="Arial"/>
                <w:sz w:val="18"/>
                <w:szCs w:val="18"/>
                <w:color w:val="131E29"/>
              </w:rPr>
              <w:t>The key performance indicators (KPIs) that we use to effectively manage and evaluate our business are as follows: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6"/>
          </w:tcPr>
          <w:p>
            <w:pPr>
              <w:ind w:left="120"/>
              <w:spacing w:after="0"/>
              <w:rPr>
                <w:sz w:val="20"/>
                <w:szCs w:val="20"/>
                <w:color w:val="auto"/>
              </w:rPr>
            </w:pPr>
            <w:r>
              <w:rPr>
                <w:rFonts w:ascii="Arial" w:cs="Arial" w:eastAsia="Arial" w:hAnsi="Arial"/>
                <w:sz w:val="18"/>
                <w:szCs w:val="18"/>
                <w:b w:val="1"/>
                <w:bCs w:val="1"/>
                <w:color w:val="131E29"/>
              </w:rPr>
              <w:t>Three Months Ended September</w:t>
            </w:r>
          </w:p>
        </w:tc>
        <w:tc>
          <w:tcPr>
            <w:tcW w:w="140" w:type="dxa"/>
            <w:vAlign w:val="bottom"/>
          </w:tcPr>
          <w:p>
            <w:pPr>
              <w:spacing w:after="0"/>
              <w:rPr>
                <w:sz w:val="21"/>
                <w:szCs w:val="21"/>
                <w:color w:val="auto"/>
              </w:rPr>
            </w:pPr>
          </w:p>
        </w:tc>
        <w:tc>
          <w:tcPr>
            <w:tcW w:w="28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131E29"/>
                <w:w w:val="99"/>
              </w:rPr>
              <w:t>Nine Months Ended September</w:t>
            </w:r>
          </w:p>
        </w:tc>
        <w:tc>
          <w:tcPr>
            <w:tcW w:w="0" w:type="dxa"/>
            <w:vAlign w:val="bottom"/>
          </w:tcPr>
          <w:p>
            <w:pPr>
              <w:spacing w:after="0"/>
              <w:rPr>
                <w:sz w:val="1"/>
                <w:szCs w:val="1"/>
                <w:color w:val="auto"/>
              </w:rPr>
            </w:pPr>
          </w:p>
        </w:tc>
      </w:tr>
      <w:tr>
        <w:trPr>
          <w:trHeight w:val="239"/>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131E29"/>
              </w:rPr>
              <w:t>30,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131E29"/>
              </w:rPr>
              <w:t>30,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180" w:type="dxa"/>
            <w:vAlign w:val="bottom"/>
            <w:gridSpan w:val="2"/>
          </w:tcPr>
          <w:p>
            <w:pPr>
              <w:ind w:left="20"/>
              <w:spacing w:after="0"/>
              <w:rPr>
                <w:sz w:val="20"/>
                <w:szCs w:val="20"/>
                <w:color w:val="auto"/>
              </w:rPr>
            </w:pPr>
            <w:r>
              <w:rPr>
                <w:rFonts w:ascii="Arial" w:cs="Arial" w:eastAsia="Arial" w:hAnsi="Arial"/>
                <w:sz w:val="14"/>
                <w:szCs w:val="14"/>
                <w:color w:val="131E29"/>
              </w:rPr>
              <w:t>(in thousands, except shop count data; unaudited)</w:t>
            </w:r>
          </w:p>
        </w:tc>
        <w:tc>
          <w:tcPr>
            <w:tcW w:w="3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131E29"/>
              </w:rPr>
              <w:t>2021</w:t>
            </w:r>
          </w:p>
        </w:tc>
        <w:tc>
          <w:tcPr>
            <w:tcW w:w="0" w:type="dxa"/>
            <w:vAlign w:val="bottom"/>
          </w:tcPr>
          <w:p>
            <w:pPr>
              <w:spacing w:after="0"/>
              <w:rPr>
                <w:sz w:val="1"/>
                <w:szCs w:val="1"/>
                <w:color w:val="auto"/>
              </w:rPr>
            </w:pPr>
          </w:p>
        </w:tc>
      </w:tr>
      <w:tr>
        <w:trPr>
          <w:trHeight w:val="26"/>
        </w:trPr>
        <w:tc>
          <w:tcPr>
            <w:tcW w:w="50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Shop count, beginning of period</w:t>
            </w: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130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gridSpan w:val="2"/>
          </w:tcPr>
          <w:p>
            <w:pPr>
              <w:ind w:left="180"/>
              <w:spacing w:after="0"/>
              <w:rPr>
                <w:sz w:val="20"/>
                <w:szCs w:val="20"/>
                <w:color w:val="auto"/>
              </w:rPr>
            </w:pPr>
            <w:r>
              <w:rPr>
                <w:rFonts w:ascii="Arial" w:cs="Arial" w:eastAsia="Arial" w:hAnsi="Arial"/>
                <w:sz w:val="18"/>
                <w:szCs w:val="18"/>
                <w:color w:val="131E29"/>
              </w:rPr>
              <w:t>Company-operated</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336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207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131E29"/>
              </w:rPr>
              <w:t>271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182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Franchised</w:t>
            </w:r>
          </w:p>
        </w:tc>
        <w:tc>
          <w:tcPr>
            <w:tcW w:w="320" w:type="dxa"/>
            <w:vAlign w:val="bottom"/>
            <w:tcBorders>
              <w:bottom w:val="single" w:sz="8" w:color="D2DCE5"/>
            </w:tcBorders>
            <w:shd w:val="clear" w:color="auto" w:fill="D2DCE5"/>
          </w:tcPr>
          <w:p>
            <w:pPr>
              <w:spacing w:after="0"/>
              <w:rPr>
                <w:sz w:val="23"/>
                <w:szCs w:val="23"/>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267</w:t>
            </w:r>
          </w:p>
        </w:tc>
        <w:tc>
          <w:tcPr>
            <w:tcW w:w="100" w:type="dxa"/>
            <w:vAlign w:val="bottom"/>
            <w:tcBorders>
              <w:bottom w:val="single" w:sz="8" w:color="D2DCE5"/>
            </w:tcBorders>
            <w:shd w:val="clear" w:color="auto" w:fill="D2DCE5"/>
          </w:tcPr>
          <w:p>
            <w:pPr>
              <w:spacing w:after="0"/>
              <w:rPr>
                <w:sz w:val="23"/>
                <w:szCs w:val="23"/>
                <w:color w:val="auto"/>
              </w:rPr>
            </w:pPr>
          </w:p>
        </w:tc>
        <w:tc>
          <w:tcPr>
            <w:tcW w:w="320" w:type="dxa"/>
            <w:vAlign w:val="bottom"/>
            <w:tcBorders>
              <w:bottom w:val="single" w:sz="8" w:color="D2DCE5"/>
            </w:tcBorders>
            <w:shd w:val="clear" w:color="auto" w:fill="D2DCE5"/>
          </w:tcPr>
          <w:p>
            <w:pPr>
              <w:spacing w:after="0"/>
              <w:rPr>
                <w:sz w:val="23"/>
                <w:szCs w:val="23"/>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264</w:t>
            </w:r>
          </w:p>
        </w:tc>
        <w:tc>
          <w:tcPr>
            <w:tcW w:w="100" w:type="dxa"/>
            <w:vAlign w:val="bottom"/>
            <w:tcBorders>
              <w:bottom w:val="single" w:sz="8" w:color="D2DCE5"/>
            </w:tcBorders>
            <w:shd w:val="clear" w:color="auto" w:fill="D2DCE5"/>
          </w:tcPr>
          <w:p>
            <w:pPr>
              <w:spacing w:after="0"/>
              <w:rPr>
                <w:sz w:val="23"/>
                <w:szCs w:val="23"/>
                <w:color w:val="auto"/>
              </w:rPr>
            </w:pPr>
          </w:p>
        </w:tc>
        <w:tc>
          <w:tcPr>
            <w:tcW w:w="140" w:type="dxa"/>
            <w:vAlign w:val="bottom"/>
            <w:tcBorders>
              <w:bottom w:val="single" w:sz="8" w:color="D2DCE5"/>
            </w:tcBorders>
            <w:shd w:val="clear" w:color="auto" w:fill="D2DCE5"/>
          </w:tcPr>
          <w:p>
            <w:pPr>
              <w:spacing w:after="0"/>
              <w:rPr>
                <w:sz w:val="23"/>
                <w:szCs w:val="23"/>
                <w:color w:val="auto"/>
              </w:rPr>
            </w:pPr>
          </w:p>
        </w:tc>
        <w:tc>
          <w:tcPr>
            <w:tcW w:w="130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267</w:t>
            </w:r>
          </w:p>
        </w:tc>
        <w:tc>
          <w:tcPr>
            <w:tcW w:w="100" w:type="dxa"/>
            <w:vAlign w:val="bottom"/>
            <w:tcBorders>
              <w:bottom w:val="single" w:sz="8" w:color="D2DCE5"/>
            </w:tcBorders>
            <w:shd w:val="clear" w:color="auto" w:fill="D2DCE5"/>
          </w:tcPr>
          <w:p>
            <w:pPr>
              <w:spacing w:after="0"/>
              <w:rPr>
                <w:sz w:val="23"/>
                <w:szCs w:val="23"/>
                <w:color w:val="auto"/>
              </w:rPr>
            </w:pPr>
          </w:p>
        </w:tc>
        <w:tc>
          <w:tcPr>
            <w:tcW w:w="320" w:type="dxa"/>
            <w:vAlign w:val="bottom"/>
            <w:tcBorders>
              <w:bottom w:val="single" w:sz="8" w:color="D2DCE5"/>
            </w:tcBorders>
            <w:shd w:val="clear" w:color="auto" w:fill="D2DCE5"/>
          </w:tcPr>
          <w:p>
            <w:pPr>
              <w:spacing w:after="0"/>
              <w:rPr>
                <w:sz w:val="23"/>
                <w:szCs w:val="23"/>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259</w:t>
            </w: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131E29"/>
              </w:rPr>
              <w:t>603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131E29"/>
              </w:rPr>
              <w:t>471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131E29"/>
              </w:rPr>
              <w:t>538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131E29"/>
              </w:rPr>
              <w:t>441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Company-operated new openings</w:t>
            </w: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34</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30</w:t>
            </w: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130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94</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52</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131E29"/>
              </w:rPr>
              <w:t>Franchised new openings</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131E29"/>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11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Acquisition of franchise shops</w:t>
            </w:r>
          </w:p>
        </w:tc>
        <w:tc>
          <w:tcPr>
            <w:tcW w:w="32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gridSpan w:val="2"/>
            <w:shd w:val="clear" w:color="auto" w:fill="D2DCE5"/>
          </w:tcPr>
          <w:p>
            <w:pPr>
              <w:jc w:val="right"/>
              <w:ind w:right="220"/>
              <w:spacing w:after="0"/>
              <w:rPr>
                <w:sz w:val="20"/>
                <w:szCs w:val="20"/>
                <w:color w:val="auto"/>
              </w:rPr>
            </w:pPr>
            <w:r>
              <w:rPr>
                <w:rFonts w:ascii="Arial" w:cs="Arial" w:eastAsia="Arial" w:hAnsi="Arial"/>
                <w:sz w:val="18"/>
                <w:szCs w:val="18"/>
                <w:color w:val="131E29"/>
              </w:rPr>
              <w:t>—</w:t>
            </w: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4</w:t>
            </w: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130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5</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7</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b w:val="1"/>
                <w:bCs w:val="1"/>
                <w:color w:val="131E29"/>
              </w:rPr>
              <w:t>Shop count, end of period</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Company-operated</w:t>
            </w: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370</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241</w:t>
            </w: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130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370</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241</w:t>
            </w:r>
          </w:p>
        </w:tc>
        <w:tc>
          <w:tcPr>
            <w:tcW w:w="0" w:type="dxa"/>
            <w:vAlign w:val="bottom"/>
          </w:tcPr>
          <w:p>
            <w:pPr>
              <w:spacing w:after="0"/>
              <w:rPr>
                <w:sz w:val="1"/>
                <w:szCs w:val="1"/>
                <w:color w:val="auto"/>
              </w:rPr>
            </w:pPr>
          </w:p>
        </w:tc>
      </w:tr>
      <w:tr>
        <w:trPr>
          <w:trHeight w:val="243"/>
        </w:trPr>
        <w:tc>
          <w:tcPr>
            <w:tcW w:w="5180" w:type="dxa"/>
            <w:vAlign w:val="bottom"/>
            <w:gridSpan w:val="2"/>
          </w:tcPr>
          <w:p>
            <w:pPr>
              <w:ind w:left="180"/>
              <w:spacing w:after="0"/>
              <w:rPr>
                <w:sz w:val="20"/>
                <w:szCs w:val="20"/>
                <w:color w:val="auto"/>
              </w:rPr>
            </w:pPr>
            <w:r>
              <w:rPr>
                <w:rFonts w:ascii="Arial" w:cs="Arial" w:eastAsia="Arial" w:hAnsi="Arial"/>
                <w:sz w:val="18"/>
                <w:szCs w:val="18"/>
                <w:color w:val="131E29"/>
              </w:rPr>
              <w:t>Franchised</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271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262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131E29"/>
              </w:rPr>
              <w:t>271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262</w:t>
            </w:r>
          </w:p>
        </w:tc>
        <w:tc>
          <w:tcPr>
            <w:tcW w:w="0" w:type="dxa"/>
            <w:vAlign w:val="bottom"/>
          </w:tcPr>
          <w:p>
            <w:pPr>
              <w:spacing w:after="0"/>
              <w:rPr>
                <w:sz w:val="1"/>
                <w:szCs w:val="1"/>
                <w:color w:val="auto"/>
              </w:rPr>
            </w:pPr>
          </w:p>
        </w:tc>
      </w:tr>
      <w:tr>
        <w:trPr>
          <w:trHeight w:val="27"/>
        </w:trPr>
        <w:tc>
          <w:tcPr>
            <w:tcW w:w="508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80" w:type="dxa"/>
            <w:vAlign w:val="bottom"/>
            <w:tcBorders>
              <w:bottom w:val="single" w:sz="8" w:color="D2DCE5"/>
            </w:tcBorders>
            <w:gridSpan w:val="2"/>
            <w:shd w:val="clear" w:color="auto" w:fill="D2DCE5"/>
          </w:tcPr>
          <w:p>
            <w:pPr>
              <w:ind w:left="520"/>
              <w:spacing w:after="0"/>
              <w:rPr>
                <w:sz w:val="20"/>
                <w:szCs w:val="20"/>
                <w:color w:val="auto"/>
              </w:rPr>
            </w:pPr>
            <w:r>
              <w:rPr>
                <w:rFonts w:ascii="Arial" w:cs="Arial" w:eastAsia="Arial" w:hAnsi="Arial"/>
                <w:sz w:val="18"/>
                <w:szCs w:val="18"/>
                <w:color w:val="131E29"/>
              </w:rPr>
              <w:t>Total shop count</w:t>
            </w:r>
          </w:p>
        </w:tc>
        <w:tc>
          <w:tcPr>
            <w:tcW w:w="320" w:type="dxa"/>
            <w:vAlign w:val="bottom"/>
            <w:tcBorders>
              <w:bottom w:val="single" w:sz="8" w:color="auto"/>
            </w:tcBorders>
            <w:shd w:val="clear" w:color="auto" w:fill="D2DCE5"/>
          </w:tcPr>
          <w:p>
            <w:pPr>
              <w:spacing w:after="0"/>
              <w:rPr>
                <w:sz w:val="24"/>
                <w:szCs w:val="24"/>
                <w:color w:val="auto"/>
              </w:rPr>
            </w:pPr>
          </w:p>
        </w:tc>
        <w:tc>
          <w:tcPr>
            <w:tcW w:w="112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color w:val="131E29"/>
              </w:rPr>
              <w:t>641</w:t>
            </w:r>
          </w:p>
        </w:tc>
        <w:tc>
          <w:tcPr>
            <w:tcW w:w="100" w:type="dxa"/>
            <w:vAlign w:val="bottom"/>
            <w:tcBorders>
              <w:bottom w:val="single" w:sz="8" w:color="D2DCE5"/>
            </w:tcBorders>
            <w:shd w:val="clear" w:color="auto" w:fill="D2DCE5"/>
          </w:tcPr>
          <w:p>
            <w:pPr>
              <w:spacing w:after="0"/>
              <w:rPr>
                <w:sz w:val="24"/>
                <w:szCs w:val="24"/>
                <w:color w:val="auto"/>
              </w:rPr>
            </w:pPr>
          </w:p>
        </w:tc>
        <w:tc>
          <w:tcPr>
            <w:tcW w:w="320" w:type="dxa"/>
            <w:vAlign w:val="bottom"/>
            <w:tcBorders>
              <w:bottom w:val="single" w:sz="8" w:color="auto"/>
            </w:tcBorders>
            <w:shd w:val="clear" w:color="auto" w:fill="D2DCE5"/>
          </w:tcPr>
          <w:p>
            <w:pPr>
              <w:spacing w:after="0"/>
              <w:rPr>
                <w:sz w:val="24"/>
                <w:szCs w:val="24"/>
                <w:color w:val="auto"/>
              </w:rPr>
            </w:pPr>
          </w:p>
        </w:tc>
        <w:tc>
          <w:tcPr>
            <w:tcW w:w="112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color w:val="131E29"/>
              </w:rPr>
              <w:t>503</w:t>
            </w:r>
          </w:p>
        </w:tc>
        <w:tc>
          <w:tcPr>
            <w:tcW w:w="100" w:type="dxa"/>
            <w:vAlign w:val="bottom"/>
            <w:tcBorders>
              <w:bottom w:val="single" w:sz="8" w:color="D2DCE5"/>
            </w:tcBorders>
            <w:shd w:val="clear" w:color="auto" w:fill="D2DCE5"/>
          </w:tcPr>
          <w:p>
            <w:pPr>
              <w:spacing w:after="0"/>
              <w:rPr>
                <w:sz w:val="24"/>
                <w:szCs w:val="24"/>
                <w:color w:val="auto"/>
              </w:rPr>
            </w:pPr>
          </w:p>
        </w:tc>
        <w:tc>
          <w:tcPr>
            <w:tcW w:w="140" w:type="dxa"/>
            <w:vAlign w:val="bottom"/>
            <w:tcBorders>
              <w:bottom w:val="single" w:sz="8" w:color="auto"/>
            </w:tcBorders>
            <w:shd w:val="clear" w:color="auto" w:fill="D2DCE5"/>
          </w:tcPr>
          <w:p>
            <w:pPr>
              <w:spacing w:after="0"/>
              <w:rPr>
                <w:sz w:val="24"/>
                <w:szCs w:val="24"/>
                <w:color w:val="auto"/>
              </w:rPr>
            </w:pPr>
          </w:p>
        </w:tc>
        <w:tc>
          <w:tcPr>
            <w:tcW w:w="130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color w:val="131E29"/>
              </w:rPr>
              <w:t>641</w:t>
            </w:r>
          </w:p>
        </w:tc>
        <w:tc>
          <w:tcPr>
            <w:tcW w:w="100" w:type="dxa"/>
            <w:vAlign w:val="bottom"/>
            <w:tcBorders>
              <w:bottom w:val="single" w:sz="8" w:color="D2DCE5"/>
            </w:tcBorders>
            <w:shd w:val="clear" w:color="auto" w:fill="D2DCE5"/>
          </w:tcPr>
          <w:p>
            <w:pPr>
              <w:spacing w:after="0"/>
              <w:rPr>
                <w:sz w:val="24"/>
                <w:szCs w:val="24"/>
                <w:color w:val="auto"/>
              </w:rPr>
            </w:pPr>
          </w:p>
        </w:tc>
        <w:tc>
          <w:tcPr>
            <w:tcW w:w="320" w:type="dxa"/>
            <w:vAlign w:val="bottom"/>
            <w:tcBorders>
              <w:bottom w:val="single" w:sz="8" w:color="auto"/>
            </w:tcBorders>
            <w:shd w:val="clear" w:color="auto" w:fill="D2DCE5"/>
          </w:tcPr>
          <w:p>
            <w:pPr>
              <w:spacing w:after="0"/>
              <w:rPr>
                <w:sz w:val="24"/>
                <w:szCs w:val="24"/>
                <w:color w:val="auto"/>
              </w:rPr>
            </w:pPr>
          </w:p>
        </w:tc>
        <w:tc>
          <w:tcPr>
            <w:tcW w:w="112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color w:val="131E29"/>
              </w:rPr>
              <w:t>503</w:t>
            </w:r>
          </w:p>
        </w:tc>
        <w:tc>
          <w:tcPr>
            <w:tcW w:w="0" w:type="dxa"/>
            <w:vAlign w:val="bottom"/>
          </w:tcPr>
          <w:p>
            <w:pPr>
              <w:spacing w:after="0"/>
              <w:rPr>
                <w:sz w:val="1"/>
                <w:szCs w:val="1"/>
                <w:color w:val="auto"/>
              </w:rPr>
            </w:pPr>
          </w:p>
        </w:tc>
      </w:tr>
      <w:tr>
        <w:trPr>
          <w:trHeight w:val="20"/>
        </w:trPr>
        <w:tc>
          <w:tcPr>
            <w:tcW w:w="50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1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1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D2DCE5"/>
              <w:bottom w:val="single" w:sz="8" w:color="auto"/>
            </w:tcBorders>
          </w:tcPr>
          <w:p>
            <w:pPr>
              <w:spacing w:after="0" w:line="20" w:lineRule="exact"/>
              <w:rPr>
                <w:sz w:val="1"/>
                <w:szCs w:val="1"/>
                <w:color w:val="auto"/>
              </w:rPr>
            </w:pPr>
          </w:p>
        </w:tc>
        <w:tc>
          <w:tcPr>
            <w:tcW w:w="13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12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8"/>
        </w:trPr>
        <w:tc>
          <w:tcPr>
            <w:tcW w:w="51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Average unit volume (AUV) </w:t>
            </w:r>
            <w:r>
              <w:rPr>
                <w:rFonts w:ascii="Arial" w:cs="Arial" w:eastAsia="Arial" w:hAnsi="Arial"/>
                <w:sz w:val="23"/>
                <w:szCs w:val="23"/>
                <w:color w:val="131E29"/>
                <w:vertAlign w:val="superscript"/>
              </w:rPr>
              <w:t>1</w:t>
            </w:r>
          </w:p>
        </w:tc>
        <w:tc>
          <w:tcPr>
            <w:tcW w:w="320" w:type="dxa"/>
            <w:vAlign w:val="bottom"/>
            <w:shd w:val="clear" w:color="auto" w:fill="D2DCE5"/>
          </w:tcPr>
          <w:p>
            <w:pPr>
              <w:spacing w:after="0"/>
              <w:rPr>
                <w:sz w:val="24"/>
                <w:szCs w:val="24"/>
                <w:color w:val="auto"/>
              </w:rPr>
            </w:pPr>
          </w:p>
        </w:tc>
        <w:tc>
          <w:tcPr>
            <w:tcW w:w="1220" w:type="dxa"/>
            <w:vAlign w:val="bottom"/>
            <w:gridSpan w:val="2"/>
            <w:vMerge w:val="restart"/>
            <w:shd w:val="clear" w:color="auto" w:fill="D2DCE5"/>
          </w:tcPr>
          <w:p>
            <w:pPr>
              <w:ind w:left="700"/>
              <w:spacing w:after="0"/>
              <w:rPr>
                <w:sz w:val="20"/>
                <w:szCs w:val="20"/>
                <w:color w:val="auto"/>
              </w:rPr>
            </w:pPr>
            <w:r>
              <w:rPr>
                <w:rFonts w:ascii="Arial" w:cs="Arial" w:eastAsia="Arial" w:hAnsi="Arial"/>
                <w:sz w:val="18"/>
                <w:szCs w:val="18"/>
                <w:color w:val="131E29"/>
              </w:rPr>
              <w:t>N/A</w:t>
            </w:r>
          </w:p>
        </w:tc>
        <w:tc>
          <w:tcPr>
            <w:tcW w:w="320" w:type="dxa"/>
            <w:vAlign w:val="bottom"/>
            <w:shd w:val="clear" w:color="auto" w:fill="D2DCE5"/>
          </w:tcPr>
          <w:p>
            <w:pPr>
              <w:spacing w:after="0"/>
              <w:rPr>
                <w:sz w:val="24"/>
                <w:szCs w:val="24"/>
                <w:color w:val="auto"/>
              </w:rPr>
            </w:pPr>
          </w:p>
        </w:tc>
        <w:tc>
          <w:tcPr>
            <w:tcW w:w="1220" w:type="dxa"/>
            <w:vAlign w:val="bottom"/>
            <w:gridSpan w:val="2"/>
            <w:vMerge w:val="restart"/>
            <w:shd w:val="clear" w:color="auto" w:fill="D2DCE5"/>
          </w:tcPr>
          <w:p>
            <w:pPr>
              <w:ind w:left="700"/>
              <w:spacing w:after="0"/>
              <w:rPr>
                <w:sz w:val="20"/>
                <w:szCs w:val="20"/>
                <w:color w:val="auto"/>
              </w:rPr>
            </w:pPr>
            <w:r>
              <w:rPr>
                <w:rFonts w:ascii="Arial" w:cs="Arial" w:eastAsia="Arial" w:hAnsi="Arial"/>
                <w:sz w:val="18"/>
                <w:szCs w:val="18"/>
                <w:color w:val="131E29"/>
              </w:rPr>
              <w:t>N/A</w:t>
            </w:r>
          </w:p>
        </w:tc>
        <w:tc>
          <w:tcPr>
            <w:tcW w:w="1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30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1,917</w:t>
            </w:r>
          </w:p>
        </w:tc>
        <w:tc>
          <w:tcPr>
            <w:tcW w:w="100" w:type="dxa"/>
            <w:vAlign w:val="bottom"/>
            <w:shd w:val="clear" w:color="auto" w:fill="D2DCE5"/>
          </w:tcPr>
          <w:p>
            <w:pPr>
              <w:spacing w:after="0"/>
              <w:rPr>
                <w:sz w:val="24"/>
                <w:szCs w:val="24"/>
                <w:color w:val="auto"/>
              </w:rPr>
            </w:pPr>
          </w:p>
        </w:tc>
        <w:tc>
          <w:tcPr>
            <w:tcW w:w="320" w:type="dxa"/>
            <w:vAlign w:val="bottom"/>
            <w:vMerge w:val="restart"/>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1,808</w:t>
            </w:r>
          </w:p>
        </w:tc>
        <w:tc>
          <w:tcPr>
            <w:tcW w:w="0" w:type="dxa"/>
            <w:vAlign w:val="bottom"/>
          </w:tcPr>
          <w:p>
            <w:pPr>
              <w:spacing w:after="0"/>
              <w:rPr>
                <w:sz w:val="1"/>
                <w:szCs w:val="1"/>
                <w:color w:val="auto"/>
              </w:rPr>
            </w:pPr>
          </w:p>
        </w:tc>
      </w:tr>
      <w:tr>
        <w:trPr>
          <w:trHeight w:val="84"/>
        </w:trPr>
        <w:tc>
          <w:tcPr>
            <w:tcW w:w="5080" w:type="dxa"/>
            <w:vAlign w:val="bottom"/>
            <w:tcBorders>
              <w:bottom w:val="single" w:sz="8" w:color="D2DCE5"/>
            </w:tcBorders>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320" w:type="dxa"/>
            <w:vAlign w:val="bottom"/>
            <w:tcBorders>
              <w:bottom w:val="single" w:sz="8" w:color="D2DCE5"/>
            </w:tcBorders>
            <w:shd w:val="clear" w:color="auto" w:fill="D2DCE5"/>
          </w:tcPr>
          <w:p>
            <w:pPr>
              <w:spacing w:after="0"/>
              <w:rPr>
                <w:sz w:val="7"/>
                <w:szCs w:val="7"/>
                <w:color w:val="auto"/>
              </w:rPr>
            </w:pPr>
          </w:p>
        </w:tc>
        <w:tc>
          <w:tcPr>
            <w:tcW w:w="1220" w:type="dxa"/>
            <w:vAlign w:val="bottom"/>
            <w:tcBorders>
              <w:bottom w:val="single" w:sz="8" w:color="D2DCE5"/>
            </w:tcBorders>
            <w:gridSpan w:val="2"/>
            <w:vMerge w:val="continue"/>
            <w:shd w:val="clear" w:color="auto" w:fill="D2DCE5"/>
          </w:tcPr>
          <w:p>
            <w:pPr>
              <w:spacing w:after="0"/>
              <w:rPr>
                <w:sz w:val="7"/>
                <w:szCs w:val="7"/>
                <w:color w:val="auto"/>
              </w:rPr>
            </w:pPr>
          </w:p>
        </w:tc>
        <w:tc>
          <w:tcPr>
            <w:tcW w:w="320" w:type="dxa"/>
            <w:vAlign w:val="bottom"/>
            <w:tcBorders>
              <w:bottom w:val="single" w:sz="8" w:color="D2DCE5"/>
            </w:tcBorders>
            <w:shd w:val="clear" w:color="auto" w:fill="D2DCE5"/>
          </w:tcPr>
          <w:p>
            <w:pPr>
              <w:spacing w:after="0"/>
              <w:rPr>
                <w:sz w:val="7"/>
                <w:szCs w:val="7"/>
                <w:color w:val="auto"/>
              </w:rPr>
            </w:pPr>
          </w:p>
        </w:tc>
        <w:tc>
          <w:tcPr>
            <w:tcW w:w="1220" w:type="dxa"/>
            <w:vAlign w:val="bottom"/>
            <w:tcBorders>
              <w:bottom w:val="single" w:sz="8" w:color="D2DCE5"/>
            </w:tcBorders>
            <w:gridSpan w:val="2"/>
            <w:vMerge w:val="continue"/>
            <w:shd w:val="clear" w:color="auto" w:fill="D2DCE5"/>
          </w:tcPr>
          <w:p>
            <w:pPr>
              <w:spacing w:after="0"/>
              <w:rPr>
                <w:sz w:val="7"/>
                <w:szCs w:val="7"/>
                <w:color w:val="auto"/>
              </w:rPr>
            </w:pPr>
          </w:p>
        </w:tc>
        <w:tc>
          <w:tcPr>
            <w:tcW w:w="140" w:type="dxa"/>
            <w:vAlign w:val="bottom"/>
            <w:tcBorders>
              <w:bottom w:val="single" w:sz="8" w:color="D2DCE5"/>
            </w:tcBorders>
            <w:vMerge w:val="continue"/>
            <w:shd w:val="clear" w:color="auto" w:fill="D2DCE5"/>
          </w:tcPr>
          <w:p>
            <w:pPr>
              <w:spacing w:after="0"/>
              <w:rPr>
                <w:sz w:val="7"/>
                <w:szCs w:val="7"/>
                <w:color w:val="auto"/>
              </w:rPr>
            </w:pPr>
          </w:p>
        </w:tc>
        <w:tc>
          <w:tcPr>
            <w:tcW w:w="130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320" w:type="dxa"/>
            <w:vAlign w:val="bottom"/>
            <w:tcBorders>
              <w:bottom w:val="single" w:sz="8" w:color="D2DCE5"/>
            </w:tcBorders>
            <w:vMerge w:val="continue"/>
            <w:shd w:val="clear" w:color="auto" w:fill="D2DCE5"/>
          </w:tcPr>
          <w:p>
            <w:pPr>
              <w:spacing w:after="0"/>
              <w:rPr>
                <w:sz w:val="7"/>
                <w:szCs w:val="7"/>
                <w:color w:val="auto"/>
              </w:rPr>
            </w:pPr>
          </w:p>
        </w:tc>
        <w:tc>
          <w:tcPr>
            <w:tcW w:w="1120" w:type="dxa"/>
            <w:vAlign w:val="bottom"/>
            <w:tcBorders>
              <w:bottom w:val="single" w:sz="8" w:color="D2DCE5"/>
            </w:tcBorders>
            <w:vMerge w:val="continue"/>
            <w:shd w:val="clear" w:color="auto" w:fill="D2DCE5"/>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518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320" w:type="dxa"/>
            <w:vAlign w:val="bottom"/>
          </w:tcPr>
          <w:p>
            <w:pPr>
              <w:spacing w:after="0"/>
              <w:rPr>
                <w:sz w:val="21"/>
                <w:szCs w:val="21"/>
                <w:color w:val="auto"/>
              </w:rPr>
            </w:pPr>
          </w:p>
        </w:tc>
        <w:tc>
          <w:tcPr>
            <w:tcW w:w="1220" w:type="dxa"/>
            <w:vAlign w:val="bottom"/>
            <w:gridSpan w:val="2"/>
          </w:tcPr>
          <w:p>
            <w:pPr>
              <w:ind w:left="700"/>
              <w:spacing w:after="0"/>
              <w:rPr>
                <w:sz w:val="20"/>
                <w:szCs w:val="20"/>
                <w:color w:val="auto"/>
              </w:rPr>
            </w:pPr>
            <w:r>
              <w:rPr>
                <w:rFonts w:ascii="Arial" w:cs="Arial" w:eastAsia="Arial" w:hAnsi="Arial"/>
                <w:sz w:val="18"/>
                <w:szCs w:val="18"/>
                <w:color w:val="131E29"/>
              </w:rPr>
              <w:t>N/A</w:t>
            </w:r>
          </w:p>
        </w:tc>
        <w:tc>
          <w:tcPr>
            <w:tcW w:w="320" w:type="dxa"/>
            <w:vAlign w:val="bottom"/>
          </w:tcPr>
          <w:p>
            <w:pPr>
              <w:spacing w:after="0"/>
              <w:rPr>
                <w:sz w:val="21"/>
                <w:szCs w:val="21"/>
                <w:color w:val="auto"/>
              </w:rPr>
            </w:pPr>
          </w:p>
        </w:tc>
        <w:tc>
          <w:tcPr>
            <w:tcW w:w="1220" w:type="dxa"/>
            <w:vAlign w:val="bottom"/>
            <w:gridSpan w:val="2"/>
          </w:tcPr>
          <w:p>
            <w:pPr>
              <w:ind w:left="700"/>
              <w:spacing w:after="0"/>
              <w:rPr>
                <w:sz w:val="20"/>
                <w:szCs w:val="20"/>
                <w:color w:val="auto"/>
              </w:rPr>
            </w:pPr>
            <w:r>
              <w:rPr>
                <w:rFonts w:ascii="Arial" w:cs="Arial" w:eastAsia="Arial" w:hAnsi="Arial"/>
                <w:sz w:val="18"/>
                <w:szCs w:val="18"/>
                <w:color w:val="131E29"/>
              </w:rPr>
              <w:t>N/A</w:t>
            </w:r>
          </w:p>
        </w:tc>
        <w:tc>
          <w:tcPr>
            <w:tcW w:w="14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131E29"/>
              </w:rPr>
              <w:t>1,875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1,699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8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320" w:type="dxa"/>
            <w:vAlign w:val="bottom"/>
            <w:shd w:val="clear" w:color="auto" w:fill="D2DCE5"/>
          </w:tcPr>
          <w:p>
            <w:pPr>
              <w:spacing w:after="0"/>
              <w:rPr>
                <w:sz w:val="22"/>
                <w:szCs w:val="22"/>
                <w:color w:val="auto"/>
              </w:rPr>
            </w:pPr>
          </w:p>
        </w:tc>
        <w:tc>
          <w:tcPr>
            <w:tcW w:w="11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320" w:type="dxa"/>
            <w:vAlign w:val="bottom"/>
            <w:shd w:val="clear" w:color="auto" w:fill="D2DCE5"/>
          </w:tcPr>
          <w:p>
            <w:pPr>
              <w:spacing w:after="0"/>
              <w:rPr>
                <w:sz w:val="22"/>
                <w:szCs w:val="22"/>
                <w:color w:val="auto"/>
              </w:rPr>
            </w:pPr>
          </w:p>
        </w:tc>
        <w:tc>
          <w:tcPr>
            <w:tcW w:w="11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40" w:type="dxa"/>
            <w:vAlign w:val="bottom"/>
            <w:shd w:val="clear" w:color="auto" w:fill="D2DCE5"/>
          </w:tcPr>
          <w:p>
            <w:pPr>
              <w:spacing w:after="0"/>
              <w:rPr>
                <w:sz w:val="22"/>
                <w:szCs w:val="22"/>
                <w:color w:val="auto"/>
              </w:rPr>
            </w:pPr>
          </w:p>
        </w:tc>
        <w:tc>
          <w:tcPr>
            <w:tcW w:w="130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320" w:type="dxa"/>
            <w:vAlign w:val="bottom"/>
            <w:shd w:val="clear" w:color="auto" w:fill="D2DCE5"/>
          </w:tcPr>
          <w:p>
            <w:pPr>
              <w:spacing w:after="0"/>
              <w:rPr>
                <w:sz w:val="22"/>
                <w:szCs w:val="22"/>
                <w:color w:val="auto"/>
              </w:rPr>
            </w:pPr>
          </w:p>
        </w:tc>
        <w:tc>
          <w:tcPr>
            <w:tcW w:w="1120" w:type="dxa"/>
            <w:vAlign w:val="bottom"/>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5180" w:type="dxa"/>
            <w:vAlign w:val="bottom"/>
            <w:gridSpan w:val="2"/>
          </w:tcPr>
          <w:p>
            <w:pPr>
              <w:ind w:left="20"/>
              <w:spacing w:after="0"/>
              <w:rPr>
                <w:sz w:val="20"/>
                <w:szCs w:val="20"/>
                <w:color w:val="auto"/>
              </w:rPr>
            </w:pPr>
            <w:r>
              <w:rPr>
                <w:rFonts w:ascii="Arial" w:cs="Arial" w:eastAsia="Arial" w:hAnsi="Arial"/>
                <w:sz w:val="18"/>
                <w:szCs w:val="18"/>
                <w:color w:val="131E29"/>
              </w:rPr>
              <w:t xml:space="preserve">Same shop sales growth </w:t>
            </w:r>
            <w:r>
              <w:rPr>
                <w:rFonts w:ascii="Arial" w:cs="Arial" w:eastAsia="Arial" w:hAnsi="Arial"/>
                <w:sz w:val="23"/>
                <w:szCs w:val="23"/>
                <w:color w:val="131E29"/>
                <w:vertAlign w:val="superscript"/>
              </w:rPr>
              <w:t>2, 4</w:t>
            </w:r>
          </w:p>
        </w:tc>
        <w:tc>
          <w:tcPr>
            <w:tcW w:w="3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131E29"/>
              </w:rPr>
              <w:t>1.7 %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131E29"/>
              </w:rPr>
              <w:t>7.3 %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131E29"/>
              </w:rPr>
              <w:t>1.4 %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131E29"/>
              </w:rPr>
              <w:t>8.0 %</w:t>
            </w:r>
          </w:p>
        </w:tc>
        <w:tc>
          <w:tcPr>
            <w:tcW w:w="0" w:type="dxa"/>
            <w:vAlign w:val="bottom"/>
          </w:tcPr>
          <w:p>
            <w:pPr>
              <w:spacing w:after="0"/>
              <w:rPr>
                <w:sz w:val="1"/>
                <w:szCs w:val="1"/>
                <w:color w:val="auto"/>
              </w:rPr>
            </w:pPr>
          </w:p>
        </w:tc>
      </w:tr>
      <w:tr>
        <w:trPr>
          <w:trHeight w:val="77"/>
        </w:trPr>
        <w:tc>
          <w:tcPr>
            <w:tcW w:w="5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Company-operated shops</w:t>
            </w: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1.0 %</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4.7 %</w:t>
            </w: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13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1.1 %</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8.3 %</w:t>
            </w:r>
          </w:p>
        </w:tc>
        <w:tc>
          <w:tcPr>
            <w:tcW w:w="0" w:type="dxa"/>
            <w:vAlign w:val="bottom"/>
          </w:tcPr>
          <w:p>
            <w:pPr>
              <w:spacing w:after="0"/>
              <w:rPr>
                <w:sz w:val="1"/>
                <w:szCs w:val="1"/>
                <w:color w:val="auto"/>
              </w:rPr>
            </w:pPr>
          </w:p>
        </w:tc>
      </w:tr>
      <w:tr>
        <w:trPr>
          <w:trHeight w:val="256"/>
        </w:trPr>
        <w:tc>
          <w:tcPr>
            <w:tcW w:w="5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Company-operated shop revenues</w:t>
            </w:r>
          </w:p>
        </w:tc>
        <w:tc>
          <w:tcPr>
            <w:tcW w:w="320" w:type="dxa"/>
            <w:vAlign w:val="bottom"/>
            <w:tcBorders>
              <w:bottom w:val="single" w:sz="8" w:color="D2DCE5"/>
            </w:tcBorders>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173,501</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108,661</w:t>
            </w: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30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464,200</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289,548</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131E29"/>
              </w:rPr>
              <w:t>Company-operated shop gross profit</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34,720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23,111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131E29"/>
              </w:rPr>
              <w:t>82,577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70,141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8"/>
        </w:trPr>
        <w:tc>
          <w:tcPr>
            <w:tcW w:w="51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Company-operated shop contribution </w:t>
            </w:r>
            <w:r>
              <w:rPr>
                <w:rFonts w:ascii="Arial" w:cs="Arial" w:eastAsia="Arial" w:hAnsi="Arial"/>
                <w:sz w:val="23"/>
                <w:szCs w:val="23"/>
                <w:color w:val="131E29"/>
                <w:vertAlign w:val="superscript"/>
              </w:rPr>
              <w:t>3</w:t>
            </w:r>
          </w:p>
        </w:tc>
        <w:tc>
          <w:tcPr>
            <w:tcW w:w="320" w:type="dxa"/>
            <w:vAlign w:val="bottom"/>
            <w:shd w:val="clear" w:color="auto" w:fill="D2DCE5"/>
          </w:tcPr>
          <w:p>
            <w:pPr>
              <w:spacing w:after="0"/>
              <w:rPr>
                <w:sz w:val="24"/>
                <w:szCs w:val="24"/>
                <w:color w:val="auto"/>
              </w:rPr>
            </w:pPr>
          </w:p>
        </w:tc>
        <w:tc>
          <w:tcPr>
            <w:tcW w:w="112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44,344</w:t>
            </w:r>
          </w:p>
        </w:tc>
        <w:tc>
          <w:tcPr>
            <w:tcW w:w="100" w:type="dxa"/>
            <w:vAlign w:val="bottom"/>
            <w:shd w:val="clear" w:color="auto" w:fill="D2DCE5"/>
          </w:tcPr>
          <w:p>
            <w:pPr>
              <w:spacing w:after="0"/>
              <w:rPr>
                <w:sz w:val="24"/>
                <w:szCs w:val="24"/>
                <w:color w:val="auto"/>
              </w:rPr>
            </w:pPr>
          </w:p>
        </w:tc>
        <w:tc>
          <w:tcPr>
            <w:tcW w:w="320" w:type="dxa"/>
            <w:vAlign w:val="bottom"/>
            <w:shd w:val="clear" w:color="auto" w:fill="D2DCE5"/>
          </w:tcPr>
          <w:p>
            <w:pPr>
              <w:spacing w:after="0"/>
              <w:rPr>
                <w:sz w:val="24"/>
                <w:szCs w:val="24"/>
                <w:color w:val="auto"/>
              </w:rPr>
            </w:pPr>
          </w:p>
        </w:tc>
        <w:tc>
          <w:tcPr>
            <w:tcW w:w="112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27,405</w:t>
            </w:r>
          </w:p>
        </w:tc>
        <w:tc>
          <w:tcPr>
            <w:tcW w:w="100" w:type="dxa"/>
            <w:vAlign w:val="bottom"/>
            <w:shd w:val="clear" w:color="auto" w:fill="D2DCE5"/>
          </w:tcPr>
          <w:p>
            <w:pPr>
              <w:spacing w:after="0"/>
              <w:rPr>
                <w:sz w:val="24"/>
                <w:szCs w:val="24"/>
                <w:color w:val="auto"/>
              </w:rPr>
            </w:pPr>
          </w:p>
        </w:tc>
        <w:tc>
          <w:tcPr>
            <w:tcW w:w="1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30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107,648</w:t>
            </w:r>
          </w:p>
        </w:tc>
        <w:tc>
          <w:tcPr>
            <w:tcW w:w="100" w:type="dxa"/>
            <w:vAlign w:val="bottom"/>
            <w:shd w:val="clear" w:color="auto" w:fill="D2DCE5"/>
          </w:tcPr>
          <w:p>
            <w:pPr>
              <w:spacing w:after="0"/>
              <w:rPr>
                <w:sz w:val="24"/>
                <w:szCs w:val="24"/>
                <w:color w:val="auto"/>
              </w:rPr>
            </w:pPr>
          </w:p>
        </w:tc>
        <w:tc>
          <w:tcPr>
            <w:tcW w:w="320" w:type="dxa"/>
            <w:vAlign w:val="bottom"/>
            <w:vMerge w:val="restart"/>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81,179</w:t>
            </w:r>
          </w:p>
        </w:tc>
        <w:tc>
          <w:tcPr>
            <w:tcW w:w="0" w:type="dxa"/>
            <w:vAlign w:val="bottom"/>
          </w:tcPr>
          <w:p>
            <w:pPr>
              <w:spacing w:after="0"/>
              <w:rPr>
                <w:sz w:val="1"/>
                <w:szCs w:val="1"/>
                <w:color w:val="auto"/>
              </w:rPr>
            </w:pPr>
          </w:p>
        </w:tc>
      </w:tr>
      <w:tr>
        <w:trPr>
          <w:trHeight w:val="84"/>
        </w:trPr>
        <w:tc>
          <w:tcPr>
            <w:tcW w:w="5080" w:type="dxa"/>
            <w:vAlign w:val="bottom"/>
            <w:tcBorders>
              <w:bottom w:val="single" w:sz="8" w:color="D2DCE5"/>
            </w:tcBorders>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320" w:type="dxa"/>
            <w:vAlign w:val="bottom"/>
            <w:tcBorders>
              <w:bottom w:val="single" w:sz="8" w:color="D2DCE5"/>
            </w:tcBorders>
            <w:shd w:val="clear" w:color="auto" w:fill="D2DCE5"/>
          </w:tcPr>
          <w:p>
            <w:pPr>
              <w:spacing w:after="0"/>
              <w:rPr>
                <w:sz w:val="7"/>
                <w:szCs w:val="7"/>
                <w:color w:val="auto"/>
              </w:rPr>
            </w:pPr>
          </w:p>
        </w:tc>
        <w:tc>
          <w:tcPr>
            <w:tcW w:w="112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320" w:type="dxa"/>
            <w:vAlign w:val="bottom"/>
            <w:tcBorders>
              <w:bottom w:val="single" w:sz="8" w:color="D2DCE5"/>
            </w:tcBorders>
            <w:shd w:val="clear" w:color="auto" w:fill="D2DCE5"/>
          </w:tcPr>
          <w:p>
            <w:pPr>
              <w:spacing w:after="0"/>
              <w:rPr>
                <w:sz w:val="7"/>
                <w:szCs w:val="7"/>
                <w:color w:val="auto"/>
              </w:rPr>
            </w:pPr>
          </w:p>
        </w:tc>
        <w:tc>
          <w:tcPr>
            <w:tcW w:w="112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140" w:type="dxa"/>
            <w:vAlign w:val="bottom"/>
            <w:tcBorders>
              <w:bottom w:val="single" w:sz="8" w:color="D2DCE5"/>
            </w:tcBorders>
            <w:vMerge w:val="continue"/>
            <w:shd w:val="clear" w:color="auto" w:fill="D2DCE5"/>
          </w:tcPr>
          <w:p>
            <w:pPr>
              <w:spacing w:after="0"/>
              <w:rPr>
                <w:sz w:val="7"/>
                <w:szCs w:val="7"/>
                <w:color w:val="auto"/>
              </w:rPr>
            </w:pPr>
          </w:p>
        </w:tc>
        <w:tc>
          <w:tcPr>
            <w:tcW w:w="130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320" w:type="dxa"/>
            <w:vAlign w:val="bottom"/>
            <w:tcBorders>
              <w:bottom w:val="single" w:sz="8" w:color="D2DCE5"/>
            </w:tcBorders>
            <w:vMerge w:val="continue"/>
            <w:shd w:val="clear" w:color="auto" w:fill="D2DCE5"/>
          </w:tcPr>
          <w:p>
            <w:pPr>
              <w:spacing w:after="0"/>
              <w:rPr>
                <w:sz w:val="7"/>
                <w:szCs w:val="7"/>
                <w:color w:val="auto"/>
              </w:rPr>
            </w:pPr>
          </w:p>
        </w:tc>
        <w:tc>
          <w:tcPr>
            <w:tcW w:w="1120" w:type="dxa"/>
            <w:vAlign w:val="bottom"/>
            <w:tcBorders>
              <w:bottom w:val="single" w:sz="8" w:color="D2DCE5"/>
            </w:tcBorders>
            <w:vMerge w:val="continue"/>
            <w:shd w:val="clear" w:color="auto" w:fill="D2DCE5"/>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5180" w:type="dxa"/>
            <w:vAlign w:val="bottom"/>
            <w:gridSpan w:val="2"/>
          </w:tcPr>
          <w:p>
            <w:pPr>
              <w:ind w:left="20"/>
              <w:spacing w:after="0"/>
              <w:rPr>
                <w:sz w:val="20"/>
                <w:szCs w:val="20"/>
                <w:color w:val="auto"/>
              </w:rPr>
            </w:pPr>
            <w:r>
              <w:rPr>
                <w:rFonts w:ascii="Arial" w:cs="Arial" w:eastAsia="Arial" w:hAnsi="Arial"/>
                <w:sz w:val="18"/>
                <w:szCs w:val="18"/>
                <w:color w:val="131E29"/>
              </w:rPr>
              <w:t>Company-operated shop gross profit as a % of</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180" w:type="dxa"/>
            <w:vAlign w:val="bottom"/>
            <w:gridSpan w:val="2"/>
          </w:tcPr>
          <w:p>
            <w:pPr>
              <w:ind w:left="20"/>
              <w:spacing w:after="0"/>
              <w:rPr>
                <w:sz w:val="20"/>
                <w:szCs w:val="20"/>
                <w:color w:val="auto"/>
              </w:rPr>
            </w:pPr>
            <w:r>
              <w:rPr>
                <w:rFonts w:ascii="Arial" w:cs="Arial" w:eastAsia="Arial" w:hAnsi="Arial"/>
                <w:sz w:val="18"/>
                <w:szCs w:val="18"/>
                <w:color w:val="131E29"/>
              </w:rPr>
              <w:t>company-operated shop revenues</w:t>
            </w:r>
          </w:p>
        </w:tc>
        <w:tc>
          <w:tcPr>
            <w:tcW w:w="32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131E29"/>
              </w:rPr>
              <w:t>20.0 %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131E29"/>
              </w:rPr>
              <w:t>21.3 %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131E29"/>
              </w:rPr>
              <w:t>17.8 %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131E29"/>
              </w:rPr>
              <w:t>24.2 %</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1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Company-operated shop contribution as a % of</w:t>
            </w:r>
          </w:p>
        </w:tc>
        <w:tc>
          <w:tcPr>
            <w:tcW w:w="320" w:type="dxa"/>
            <w:vAlign w:val="bottom"/>
            <w:shd w:val="clear" w:color="auto" w:fill="D2DCE5"/>
          </w:tcPr>
          <w:p>
            <w:pPr>
              <w:spacing w:after="0"/>
              <w:rPr>
                <w:sz w:val="21"/>
                <w:szCs w:val="21"/>
                <w:color w:val="auto"/>
              </w:rPr>
            </w:pPr>
          </w:p>
        </w:tc>
        <w:tc>
          <w:tcPr>
            <w:tcW w:w="11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20" w:type="dxa"/>
            <w:vAlign w:val="bottom"/>
            <w:shd w:val="clear" w:color="auto" w:fill="D2DCE5"/>
          </w:tcPr>
          <w:p>
            <w:pPr>
              <w:spacing w:after="0"/>
              <w:rPr>
                <w:sz w:val="21"/>
                <w:szCs w:val="21"/>
                <w:color w:val="auto"/>
              </w:rPr>
            </w:pPr>
          </w:p>
        </w:tc>
        <w:tc>
          <w:tcPr>
            <w:tcW w:w="11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40" w:type="dxa"/>
            <w:vAlign w:val="bottom"/>
            <w:shd w:val="clear" w:color="auto" w:fill="D2DCE5"/>
          </w:tcPr>
          <w:p>
            <w:pPr>
              <w:spacing w:after="0"/>
              <w:rPr>
                <w:sz w:val="21"/>
                <w:szCs w:val="21"/>
                <w:color w:val="auto"/>
              </w:rPr>
            </w:pPr>
          </w:p>
        </w:tc>
        <w:tc>
          <w:tcPr>
            <w:tcW w:w="130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20" w:type="dxa"/>
            <w:vAlign w:val="bottom"/>
            <w:shd w:val="clear" w:color="auto" w:fill="D2DCE5"/>
          </w:tcPr>
          <w:p>
            <w:pPr>
              <w:spacing w:after="0"/>
              <w:rPr>
                <w:sz w:val="21"/>
                <w:szCs w:val="21"/>
                <w:color w:val="auto"/>
              </w:rPr>
            </w:pPr>
          </w:p>
        </w:tc>
        <w:tc>
          <w:tcPr>
            <w:tcW w:w="112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51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company-operated shop revenues </w:t>
            </w:r>
            <w:r>
              <w:rPr>
                <w:rFonts w:ascii="Arial" w:cs="Arial" w:eastAsia="Arial" w:hAnsi="Arial"/>
                <w:sz w:val="23"/>
                <w:szCs w:val="23"/>
                <w:color w:val="131E29"/>
                <w:vertAlign w:val="superscript"/>
              </w:rPr>
              <w:t>3</w:t>
            </w:r>
          </w:p>
        </w:tc>
        <w:tc>
          <w:tcPr>
            <w:tcW w:w="320" w:type="dxa"/>
            <w:vAlign w:val="bottom"/>
            <w:shd w:val="clear" w:color="auto" w:fill="D2DCE5"/>
          </w:tcPr>
          <w:p>
            <w:pPr>
              <w:spacing w:after="0"/>
              <w:rPr>
                <w:sz w:val="24"/>
                <w:szCs w:val="24"/>
                <w:color w:val="auto"/>
              </w:rPr>
            </w:pPr>
          </w:p>
        </w:tc>
        <w:tc>
          <w:tcPr>
            <w:tcW w:w="11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25.5 %</w:t>
            </w:r>
          </w:p>
        </w:tc>
        <w:tc>
          <w:tcPr>
            <w:tcW w:w="100" w:type="dxa"/>
            <w:vAlign w:val="bottom"/>
            <w:shd w:val="clear" w:color="auto" w:fill="D2DCE5"/>
          </w:tcPr>
          <w:p>
            <w:pPr>
              <w:spacing w:after="0"/>
              <w:rPr>
                <w:sz w:val="24"/>
                <w:szCs w:val="24"/>
                <w:color w:val="auto"/>
              </w:rPr>
            </w:pPr>
          </w:p>
        </w:tc>
        <w:tc>
          <w:tcPr>
            <w:tcW w:w="320" w:type="dxa"/>
            <w:vAlign w:val="bottom"/>
            <w:shd w:val="clear" w:color="auto" w:fill="D2DCE5"/>
          </w:tcPr>
          <w:p>
            <w:pPr>
              <w:spacing w:after="0"/>
              <w:rPr>
                <w:sz w:val="24"/>
                <w:szCs w:val="24"/>
                <w:color w:val="auto"/>
              </w:rPr>
            </w:pPr>
          </w:p>
        </w:tc>
        <w:tc>
          <w:tcPr>
            <w:tcW w:w="11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25.3 %</w:t>
            </w:r>
          </w:p>
        </w:tc>
        <w:tc>
          <w:tcPr>
            <w:tcW w:w="100" w:type="dxa"/>
            <w:vAlign w:val="bottom"/>
            <w:shd w:val="clear" w:color="auto" w:fill="D2DCE5"/>
          </w:tcPr>
          <w:p>
            <w:pPr>
              <w:spacing w:after="0"/>
              <w:rPr>
                <w:sz w:val="24"/>
                <w:szCs w:val="24"/>
                <w:color w:val="auto"/>
              </w:rPr>
            </w:pPr>
          </w:p>
        </w:tc>
        <w:tc>
          <w:tcPr>
            <w:tcW w:w="140" w:type="dxa"/>
            <w:vAlign w:val="bottom"/>
            <w:shd w:val="clear" w:color="auto" w:fill="D2DCE5"/>
          </w:tcPr>
          <w:p>
            <w:pPr>
              <w:spacing w:after="0"/>
              <w:rPr>
                <w:sz w:val="24"/>
                <w:szCs w:val="24"/>
                <w:color w:val="auto"/>
              </w:rPr>
            </w:pPr>
          </w:p>
        </w:tc>
        <w:tc>
          <w:tcPr>
            <w:tcW w:w="13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23.2 %</w:t>
            </w:r>
          </w:p>
        </w:tc>
        <w:tc>
          <w:tcPr>
            <w:tcW w:w="100" w:type="dxa"/>
            <w:vAlign w:val="bottom"/>
            <w:shd w:val="clear" w:color="auto" w:fill="D2DCE5"/>
          </w:tcPr>
          <w:p>
            <w:pPr>
              <w:spacing w:after="0"/>
              <w:rPr>
                <w:sz w:val="24"/>
                <w:szCs w:val="24"/>
                <w:color w:val="auto"/>
              </w:rPr>
            </w:pPr>
          </w:p>
        </w:tc>
        <w:tc>
          <w:tcPr>
            <w:tcW w:w="320" w:type="dxa"/>
            <w:vAlign w:val="bottom"/>
            <w:shd w:val="clear" w:color="auto" w:fill="D2DCE5"/>
          </w:tcPr>
          <w:p>
            <w:pPr>
              <w:spacing w:after="0"/>
              <w:rPr>
                <w:sz w:val="24"/>
                <w:szCs w:val="24"/>
                <w:color w:val="auto"/>
              </w:rPr>
            </w:pPr>
          </w:p>
        </w:tc>
        <w:tc>
          <w:tcPr>
            <w:tcW w:w="11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28.0 %</w:t>
            </w:r>
          </w:p>
        </w:tc>
        <w:tc>
          <w:tcPr>
            <w:tcW w:w="0" w:type="dxa"/>
            <w:vAlign w:val="bottom"/>
          </w:tcPr>
          <w:p>
            <w:pPr>
              <w:spacing w:after="0"/>
              <w:rPr>
                <w:sz w:val="1"/>
                <w:szCs w:val="1"/>
                <w:color w:val="auto"/>
              </w:rPr>
            </w:pPr>
          </w:p>
        </w:tc>
      </w:tr>
      <w:tr>
        <w:trPr>
          <w:trHeight w:val="84"/>
        </w:trPr>
        <w:tc>
          <w:tcPr>
            <w:tcW w:w="5080" w:type="dxa"/>
            <w:vAlign w:val="bottom"/>
            <w:tcBorders>
              <w:bottom w:val="single" w:sz="8" w:color="D2DCE5"/>
            </w:tcBorders>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320" w:type="dxa"/>
            <w:vAlign w:val="bottom"/>
            <w:tcBorders>
              <w:bottom w:val="single" w:sz="8" w:color="D2DCE5"/>
            </w:tcBorders>
            <w:shd w:val="clear" w:color="auto" w:fill="D2DCE5"/>
          </w:tcPr>
          <w:p>
            <w:pPr>
              <w:spacing w:after="0"/>
              <w:rPr>
                <w:sz w:val="7"/>
                <w:szCs w:val="7"/>
                <w:color w:val="auto"/>
              </w:rPr>
            </w:pPr>
          </w:p>
        </w:tc>
        <w:tc>
          <w:tcPr>
            <w:tcW w:w="112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320" w:type="dxa"/>
            <w:vAlign w:val="bottom"/>
            <w:tcBorders>
              <w:bottom w:val="single" w:sz="8" w:color="D2DCE5"/>
            </w:tcBorders>
            <w:shd w:val="clear" w:color="auto" w:fill="D2DCE5"/>
          </w:tcPr>
          <w:p>
            <w:pPr>
              <w:spacing w:after="0"/>
              <w:rPr>
                <w:sz w:val="7"/>
                <w:szCs w:val="7"/>
                <w:color w:val="auto"/>
              </w:rPr>
            </w:pPr>
          </w:p>
        </w:tc>
        <w:tc>
          <w:tcPr>
            <w:tcW w:w="112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140" w:type="dxa"/>
            <w:vAlign w:val="bottom"/>
            <w:tcBorders>
              <w:bottom w:val="single" w:sz="8" w:color="D2DCE5"/>
            </w:tcBorders>
            <w:shd w:val="clear" w:color="auto" w:fill="D2DCE5"/>
          </w:tcPr>
          <w:p>
            <w:pPr>
              <w:spacing w:after="0"/>
              <w:rPr>
                <w:sz w:val="7"/>
                <w:szCs w:val="7"/>
                <w:color w:val="auto"/>
              </w:rPr>
            </w:pPr>
          </w:p>
        </w:tc>
        <w:tc>
          <w:tcPr>
            <w:tcW w:w="130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320" w:type="dxa"/>
            <w:vAlign w:val="bottom"/>
            <w:tcBorders>
              <w:bottom w:val="single" w:sz="8" w:color="D2DCE5"/>
            </w:tcBorders>
            <w:shd w:val="clear" w:color="auto" w:fill="D2DCE5"/>
          </w:tcPr>
          <w:p>
            <w:pPr>
              <w:spacing w:after="0"/>
              <w:rPr>
                <w:sz w:val="7"/>
                <w:szCs w:val="7"/>
                <w:color w:val="auto"/>
              </w:rPr>
            </w:pPr>
          </w:p>
        </w:tc>
        <w:tc>
          <w:tcPr>
            <w:tcW w:w="1120" w:type="dxa"/>
            <w:vAlign w:val="bottom"/>
            <w:tcBorders>
              <w:bottom w:val="single" w:sz="8" w:color="D2DCE5"/>
            </w:tcBorders>
            <w:vMerge w:val="continue"/>
            <w:shd w:val="clear" w:color="auto" w:fill="D2DCE5"/>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5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income (loss)</w:t>
            </w:r>
          </w:p>
        </w:tc>
        <w:tc>
          <w:tcPr>
            <w:tcW w:w="320" w:type="dxa"/>
            <w:vAlign w:val="bottom"/>
            <w:tcBorders>
              <w:bottom w:val="single" w:sz="8" w:color="D2DCE5"/>
            </w:tcBorders>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1,594</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(116,830)</w:t>
            </w: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30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(16,436)</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(109,763)</w:t>
            </w:r>
          </w:p>
        </w:tc>
        <w:tc>
          <w:tcPr>
            <w:tcW w:w="0" w:type="dxa"/>
            <w:vAlign w:val="bottom"/>
          </w:tcPr>
          <w:p>
            <w:pPr>
              <w:spacing w:after="0"/>
              <w:rPr>
                <w:sz w:val="1"/>
                <w:szCs w:val="1"/>
                <w:color w:val="auto"/>
              </w:rPr>
            </w:pPr>
          </w:p>
        </w:tc>
      </w:tr>
      <w:tr>
        <w:trPr>
          <w:trHeight w:val="328"/>
        </w:trPr>
        <w:tc>
          <w:tcPr>
            <w:tcW w:w="5180" w:type="dxa"/>
            <w:vAlign w:val="bottom"/>
            <w:gridSpan w:val="2"/>
          </w:tcPr>
          <w:p>
            <w:pPr>
              <w:ind w:left="20"/>
              <w:spacing w:after="0"/>
              <w:rPr>
                <w:sz w:val="20"/>
                <w:szCs w:val="20"/>
                <w:color w:val="auto"/>
              </w:rPr>
            </w:pPr>
            <w:r>
              <w:rPr>
                <w:rFonts w:ascii="Arial" w:cs="Arial" w:eastAsia="Arial" w:hAnsi="Arial"/>
                <w:sz w:val="18"/>
                <w:szCs w:val="18"/>
                <w:color w:val="131E29"/>
              </w:rPr>
              <w:t xml:space="preserve">Adjusted EBITDA </w:t>
            </w:r>
            <w:r>
              <w:rPr>
                <w:rFonts w:ascii="Arial" w:cs="Arial" w:eastAsia="Arial" w:hAnsi="Arial"/>
                <w:sz w:val="23"/>
                <w:szCs w:val="23"/>
                <w:color w:val="131E29"/>
                <w:vertAlign w:val="superscript"/>
              </w:rPr>
              <w:t>3</w:t>
            </w:r>
          </w:p>
        </w:tc>
        <w:tc>
          <w:tcPr>
            <w:tcW w:w="320" w:type="dxa"/>
            <w:vAlign w:val="bottom"/>
          </w:tcPr>
          <w:p>
            <w:pPr>
              <w:spacing w:after="0"/>
              <w:rPr>
                <w:sz w:val="24"/>
                <w:szCs w:val="24"/>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131E29"/>
              </w:rPr>
              <w:t>27,830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131E29"/>
              </w:rPr>
              <w:t>20,955</w:t>
            </w:r>
          </w:p>
        </w:tc>
        <w:tc>
          <w:tcPr>
            <w:tcW w:w="10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131E29"/>
                <w:w w:val="99"/>
              </w:rPr>
              <w:t>$</w:t>
            </w: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color w:val="131E29"/>
              </w:rPr>
              <w:t>61,431</w:t>
            </w:r>
          </w:p>
        </w:tc>
        <w:tc>
          <w:tcPr>
            <w:tcW w:w="100" w:type="dxa"/>
            <w:vAlign w:val="bottom"/>
          </w:tcPr>
          <w:p>
            <w:pPr>
              <w:spacing w:after="0"/>
              <w:rPr>
                <w:sz w:val="24"/>
                <w:szCs w:val="24"/>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131E29"/>
              </w:rPr>
              <w:t>70,339</w:t>
            </w:r>
          </w:p>
        </w:tc>
        <w:tc>
          <w:tcPr>
            <w:tcW w:w="0" w:type="dxa"/>
            <w:vAlign w:val="bottom"/>
          </w:tcPr>
          <w:p>
            <w:pPr>
              <w:spacing w:after="0"/>
              <w:rPr>
                <w:sz w:val="1"/>
                <w:szCs w:val="1"/>
                <w:color w:val="auto"/>
              </w:rPr>
            </w:pPr>
          </w:p>
        </w:tc>
      </w:tr>
      <w:tr>
        <w:trPr>
          <w:trHeight w:val="77"/>
        </w:trPr>
        <w:tc>
          <w:tcPr>
            <w:tcW w:w="5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income (loss) as % of revenue</w:t>
            </w: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0.8 %</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(90.0)%</w:t>
            </w: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13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(3.1)%</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(30.7)%</w:t>
            </w:r>
          </w:p>
        </w:tc>
        <w:tc>
          <w:tcPr>
            <w:tcW w:w="0" w:type="dxa"/>
            <w:vAlign w:val="bottom"/>
          </w:tcPr>
          <w:p>
            <w:pPr>
              <w:spacing w:after="0"/>
              <w:rPr>
                <w:sz w:val="1"/>
                <w:szCs w:val="1"/>
                <w:color w:val="auto"/>
              </w:rPr>
            </w:pPr>
          </w:p>
        </w:tc>
      </w:tr>
      <w:tr>
        <w:trPr>
          <w:trHeight w:val="328"/>
        </w:trPr>
        <w:tc>
          <w:tcPr>
            <w:tcW w:w="5180" w:type="dxa"/>
            <w:vAlign w:val="bottom"/>
            <w:gridSpan w:val="2"/>
          </w:tcPr>
          <w:p>
            <w:pPr>
              <w:ind w:left="20"/>
              <w:spacing w:after="0"/>
              <w:rPr>
                <w:sz w:val="20"/>
                <w:szCs w:val="20"/>
                <w:color w:val="auto"/>
              </w:rPr>
            </w:pPr>
            <w:r>
              <w:rPr>
                <w:rFonts w:ascii="Arial" w:cs="Arial" w:eastAsia="Arial" w:hAnsi="Arial"/>
                <w:sz w:val="18"/>
                <w:szCs w:val="18"/>
                <w:color w:val="131E29"/>
              </w:rPr>
              <w:t xml:space="preserve">Adjusted EBITDA as % of revenue </w:t>
            </w:r>
            <w:r>
              <w:rPr>
                <w:rFonts w:ascii="Arial" w:cs="Arial" w:eastAsia="Arial" w:hAnsi="Arial"/>
                <w:sz w:val="23"/>
                <w:szCs w:val="23"/>
                <w:color w:val="131E29"/>
                <w:vertAlign w:val="superscript"/>
              </w:rPr>
              <w:t>3</w:t>
            </w:r>
          </w:p>
        </w:tc>
        <w:tc>
          <w:tcPr>
            <w:tcW w:w="3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131E29"/>
              </w:rPr>
              <w:t>14.0 %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131E29"/>
              </w:rPr>
              <w:t>16.1 %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131E29"/>
              </w:rPr>
              <w:t>11.4 %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131E29"/>
              </w:rPr>
              <w:t>19.7 %</w:t>
            </w:r>
          </w:p>
        </w:tc>
        <w:tc>
          <w:tcPr>
            <w:tcW w:w="0" w:type="dxa"/>
            <w:vAlign w:val="bottom"/>
          </w:tcPr>
          <w:p>
            <w:pPr>
              <w:spacing w:after="0"/>
              <w:rPr>
                <w:sz w:val="1"/>
                <w:szCs w:val="1"/>
                <w:color w:val="auto"/>
              </w:rPr>
            </w:pPr>
          </w:p>
        </w:tc>
      </w:tr>
      <w:tr>
        <w:trPr>
          <w:trHeight w:val="77"/>
        </w:trPr>
        <w:tc>
          <w:tcPr>
            <w:tcW w:w="5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08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320" w:type="dxa"/>
            <w:vAlign w:val="bottom"/>
            <w:shd w:val="clear" w:color="auto" w:fill="D2DCE5"/>
          </w:tcPr>
          <w:p>
            <w:pPr>
              <w:spacing w:after="0"/>
              <w:rPr>
                <w:sz w:val="22"/>
                <w:szCs w:val="22"/>
                <w:color w:val="auto"/>
              </w:rPr>
            </w:pPr>
          </w:p>
        </w:tc>
        <w:tc>
          <w:tcPr>
            <w:tcW w:w="11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320" w:type="dxa"/>
            <w:vAlign w:val="bottom"/>
            <w:shd w:val="clear" w:color="auto" w:fill="D2DCE5"/>
          </w:tcPr>
          <w:p>
            <w:pPr>
              <w:spacing w:after="0"/>
              <w:rPr>
                <w:sz w:val="22"/>
                <w:szCs w:val="22"/>
                <w:color w:val="auto"/>
              </w:rPr>
            </w:pPr>
          </w:p>
        </w:tc>
        <w:tc>
          <w:tcPr>
            <w:tcW w:w="11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40" w:type="dxa"/>
            <w:vAlign w:val="bottom"/>
            <w:shd w:val="clear" w:color="auto" w:fill="D2DCE5"/>
          </w:tcPr>
          <w:p>
            <w:pPr>
              <w:spacing w:after="0"/>
              <w:rPr>
                <w:sz w:val="22"/>
                <w:szCs w:val="22"/>
                <w:color w:val="auto"/>
              </w:rPr>
            </w:pPr>
          </w:p>
        </w:tc>
        <w:tc>
          <w:tcPr>
            <w:tcW w:w="130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320" w:type="dxa"/>
            <w:vAlign w:val="bottom"/>
            <w:shd w:val="clear" w:color="auto" w:fill="D2DCE5"/>
          </w:tcPr>
          <w:p>
            <w:pPr>
              <w:spacing w:after="0"/>
              <w:rPr>
                <w:sz w:val="22"/>
                <w:szCs w:val="22"/>
                <w:color w:val="auto"/>
              </w:rPr>
            </w:pPr>
          </w:p>
        </w:tc>
        <w:tc>
          <w:tcPr>
            <w:tcW w:w="1120" w:type="dxa"/>
            <w:vAlign w:val="bottom"/>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5180" w:type="dxa"/>
            <w:vAlign w:val="bottom"/>
            <w:gridSpan w:val="2"/>
          </w:tcPr>
          <w:p>
            <w:pPr>
              <w:ind w:left="20"/>
              <w:spacing w:after="0"/>
              <w:rPr>
                <w:sz w:val="20"/>
                <w:szCs w:val="20"/>
                <w:color w:val="auto"/>
              </w:rPr>
            </w:pPr>
            <w:r>
              <w:rPr>
                <w:rFonts w:ascii="Arial" w:cs="Arial" w:eastAsia="Arial" w:hAnsi="Arial"/>
                <w:sz w:val="18"/>
                <w:szCs w:val="18"/>
                <w:color w:val="131E29"/>
              </w:rPr>
              <w:t xml:space="preserve">Systemwide sales </w:t>
            </w:r>
            <w:r>
              <w:rPr>
                <w:rFonts w:ascii="Arial" w:cs="Arial" w:eastAsia="Arial" w:hAnsi="Arial"/>
                <w:sz w:val="23"/>
                <w:szCs w:val="23"/>
                <w:color w:val="131E29"/>
                <w:vertAlign w:val="superscript"/>
              </w:rPr>
              <w:t>4</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131E29"/>
              </w:rPr>
              <w:t>312,961</w:t>
            </w:r>
          </w:p>
        </w:tc>
        <w:tc>
          <w:tcPr>
            <w:tcW w:w="100" w:type="dxa"/>
            <w:vAlign w:val="bottom"/>
          </w:tcPr>
          <w:p>
            <w:pPr>
              <w:spacing w:after="0"/>
              <w:rPr>
                <w:sz w:val="24"/>
                <w:szCs w:val="24"/>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131E29"/>
              </w:rPr>
              <w:t>241,254</w:t>
            </w:r>
          </w:p>
        </w:tc>
        <w:tc>
          <w:tcPr>
            <w:tcW w:w="10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131E29"/>
                <w:w w:val="99"/>
              </w:rPr>
              <w:t>$</w:t>
            </w: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color w:val="131E29"/>
              </w:rPr>
              <w:t>864,929</w:t>
            </w:r>
          </w:p>
        </w:tc>
        <w:tc>
          <w:tcPr>
            <w:tcW w:w="100" w:type="dxa"/>
            <w:vAlign w:val="bottom"/>
          </w:tcPr>
          <w:p>
            <w:pPr>
              <w:spacing w:after="0"/>
              <w:rPr>
                <w:sz w:val="24"/>
                <w:szCs w:val="24"/>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131E29"/>
              </w:rPr>
              <w:t>673,297</w:t>
            </w:r>
          </w:p>
        </w:tc>
        <w:tc>
          <w:tcPr>
            <w:tcW w:w="0" w:type="dxa"/>
            <w:vAlign w:val="bottom"/>
          </w:tcPr>
          <w:p>
            <w:pPr>
              <w:spacing w:after="0"/>
              <w:rPr>
                <w:sz w:val="1"/>
                <w:szCs w:val="1"/>
                <w:color w:val="auto"/>
              </w:rPr>
            </w:pPr>
          </w:p>
        </w:tc>
      </w:tr>
      <w:tr>
        <w:trPr>
          <w:trHeight w:val="77"/>
        </w:trPr>
        <w:tc>
          <w:tcPr>
            <w:tcW w:w="5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8"/>
        </w:trPr>
        <w:tc>
          <w:tcPr>
            <w:tcW w:w="51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Dutch Rewards member registrations </w:t>
            </w:r>
            <w:r>
              <w:rPr>
                <w:rFonts w:ascii="Arial" w:cs="Arial" w:eastAsia="Arial" w:hAnsi="Arial"/>
                <w:sz w:val="23"/>
                <w:szCs w:val="23"/>
                <w:color w:val="131E29"/>
                <w:vertAlign w:val="superscript"/>
              </w:rPr>
              <w:t>5</w:t>
            </w:r>
          </w:p>
        </w:tc>
        <w:tc>
          <w:tcPr>
            <w:tcW w:w="320" w:type="dxa"/>
            <w:vAlign w:val="bottom"/>
            <w:shd w:val="clear" w:color="auto" w:fill="D2DCE5"/>
          </w:tcPr>
          <w:p>
            <w:pPr>
              <w:spacing w:after="0"/>
              <w:rPr>
                <w:sz w:val="24"/>
                <w:szCs w:val="24"/>
                <w:color w:val="auto"/>
              </w:rPr>
            </w:pPr>
          </w:p>
        </w:tc>
        <w:tc>
          <w:tcPr>
            <w:tcW w:w="112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566</w:t>
            </w:r>
          </w:p>
        </w:tc>
        <w:tc>
          <w:tcPr>
            <w:tcW w:w="100" w:type="dxa"/>
            <w:vAlign w:val="bottom"/>
            <w:shd w:val="clear" w:color="auto" w:fill="D2DCE5"/>
          </w:tcPr>
          <w:p>
            <w:pPr>
              <w:spacing w:after="0"/>
              <w:rPr>
                <w:sz w:val="24"/>
                <w:szCs w:val="24"/>
                <w:color w:val="auto"/>
              </w:rPr>
            </w:pPr>
          </w:p>
        </w:tc>
        <w:tc>
          <w:tcPr>
            <w:tcW w:w="320" w:type="dxa"/>
            <w:vAlign w:val="bottom"/>
            <w:shd w:val="clear" w:color="auto" w:fill="D2DCE5"/>
          </w:tcPr>
          <w:p>
            <w:pPr>
              <w:spacing w:after="0"/>
              <w:rPr>
                <w:sz w:val="24"/>
                <w:szCs w:val="24"/>
                <w:color w:val="auto"/>
              </w:rPr>
            </w:pPr>
          </w:p>
        </w:tc>
        <w:tc>
          <w:tcPr>
            <w:tcW w:w="112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509</w:t>
            </w:r>
          </w:p>
        </w:tc>
        <w:tc>
          <w:tcPr>
            <w:tcW w:w="100" w:type="dxa"/>
            <w:vAlign w:val="bottom"/>
            <w:shd w:val="clear" w:color="auto" w:fill="D2DCE5"/>
          </w:tcPr>
          <w:p>
            <w:pPr>
              <w:spacing w:after="0"/>
              <w:rPr>
                <w:sz w:val="24"/>
                <w:szCs w:val="24"/>
                <w:color w:val="auto"/>
              </w:rPr>
            </w:pPr>
          </w:p>
        </w:tc>
        <w:tc>
          <w:tcPr>
            <w:tcW w:w="140" w:type="dxa"/>
            <w:vAlign w:val="bottom"/>
            <w:shd w:val="clear" w:color="auto" w:fill="D2DCE5"/>
          </w:tcPr>
          <w:p>
            <w:pPr>
              <w:spacing w:after="0"/>
              <w:rPr>
                <w:sz w:val="24"/>
                <w:szCs w:val="24"/>
                <w:color w:val="auto"/>
              </w:rPr>
            </w:pPr>
          </w:p>
        </w:tc>
        <w:tc>
          <w:tcPr>
            <w:tcW w:w="130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1,551</w:t>
            </w:r>
          </w:p>
        </w:tc>
        <w:tc>
          <w:tcPr>
            <w:tcW w:w="100" w:type="dxa"/>
            <w:vAlign w:val="bottom"/>
            <w:shd w:val="clear" w:color="auto" w:fill="D2DCE5"/>
          </w:tcPr>
          <w:p>
            <w:pPr>
              <w:spacing w:after="0"/>
              <w:rPr>
                <w:sz w:val="24"/>
                <w:szCs w:val="24"/>
                <w:color w:val="auto"/>
              </w:rPr>
            </w:pPr>
          </w:p>
        </w:tc>
        <w:tc>
          <w:tcPr>
            <w:tcW w:w="320" w:type="dxa"/>
            <w:vAlign w:val="bottom"/>
            <w:shd w:val="clear" w:color="auto" w:fill="D2DCE5"/>
          </w:tcPr>
          <w:p>
            <w:pPr>
              <w:spacing w:after="0"/>
              <w:rPr>
                <w:sz w:val="24"/>
                <w:szCs w:val="24"/>
                <w:color w:val="auto"/>
              </w:rPr>
            </w:pPr>
          </w:p>
        </w:tc>
        <w:tc>
          <w:tcPr>
            <w:tcW w:w="112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2,738</w:t>
            </w:r>
          </w:p>
        </w:tc>
        <w:tc>
          <w:tcPr>
            <w:tcW w:w="0" w:type="dxa"/>
            <w:vAlign w:val="bottom"/>
          </w:tcPr>
          <w:p>
            <w:pPr>
              <w:spacing w:after="0"/>
              <w:rPr>
                <w:sz w:val="1"/>
                <w:szCs w:val="1"/>
                <w:color w:val="auto"/>
              </w:rPr>
            </w:pPr>
          </w:p>
        </w:tc>
      </w:tr>
      <w:tr>
        <w:trPr>
          <w:trHeight w:val="77"/>
        </w:trPr>
        <w:tc>
          <w:tcPr>
            <w:tcW w:w="5080" w:type="dxa"/>
            <w:vAlign w:val="bottom"/>
            <w:shd w:val="clear" w:color="auto" w:fill="D2DCE5"/>
          </w:tcPr>
          <w:p>
            <w:pPr>
              <w:spacing w:after="0"/>
              <w:rPr>
                <w:sz w:val="6"/>
                <w:szCs w:val="6"/>
                <w:color w:val="auto"/>
              </w:rPr>
            </w:pPr>
          </w:p>
        </w:tc>
        <w:tc>
          <w:tcPr>
            <w:tcW w:w="100" w:type="dxa"/>
            <w:vAlign w:val="bottom"/>
            <w:shd w:val="clear" w:color="auto" w:fill="D2DCE5"/>
          </w:tcPr>
          <w:p>
            <w:pPr>
              <w:spacing w:after="0"/>
              <w:rPr>
                <w:sz w:val="6"/>
                <w:szCs w:val="6"/>
                <w:color w:val="auto"/>
              </w:rPr>
            </w:pPr>
          </w:p>
        </w:tc>
        <w:tc>
          <w:tcPr>
            <w:tcW w:w="320" w:type="dxa"/>
            <w:vAlign w:val="bottom"/>
            <w:shd w:val="clear" w:color="auto" w:fill="D2DCE5"/>
          </w:tcPr>
          <w:p>
            <w:pPr>
              <w:spacing w:after="0"/>
              <w:rPr>
                <w:sz w:val="6"/>
                <w:szCs w:val="6"/>
                <w:color w:val="auto"/>
              </w:rPr>
            </w:pPr>
          </w:p>
        </w:tc>
        <w:tc>
          <w:tcPr>
            <w:tcW w:w="1120" w:type="dxa"/>
            <w:vAlign w:val="bottom"/>
            <w:vMerge w:val="continue"/>
            <w:shd w:val="clear" w:color="auto" w:fill="D2DCE5"/>
          </w:tcPr>
          <w:p>
            <w:pPr>
              <w:spacing w:after="0"/>
              <w:rPr>
                <w:sz w:val="6"/>
                <w:szCs w:val="6"/>
                <w:color w:val="auto"/>
              </w:rPr>
            </w:pPr>
          </w:p>
        </w:tc>
        <w:tc>
          <w:tcPr>
            <w:tcW w:w="100" w:type="dxa"/>
            <w:vAlign w:val="bottom"/>
            <w:shd w:val="clear" w:color="auto" w:fill="D2DCE5"/>
          </w:tcPr>
          <w:p>
            <w:pPr>
              <w:spacing w:after="0"/>
              <w:rPr>
                <w:sz w:val="6"/>
                <w:szCs w:val="6"/>
                <w:color w:val="auto"/>
              </w:rPr>
            </w:pPr>
          </w:p>
        </w:tc>
        <w:tc>
          <w:tcPr>
            <w:tcW w:w="320" w:type="dxa"/>
            <w:vAlign w:val="bottom"/>
            <w:shd w:val="clear" w:color="auto" w:fill="D2DCE5"/>
          </w:tcPr>
          <w:p>
            <w:pPr>
              <w:spacing w:after="0"/>
              <w:rPr>
                <w:sz w:val="6"/>
                <w:szCs w:val="6"/>
                <w:color w:val="auto"/>
              </w:rPr>
            </w:pPr>
          </w:p>
        </w:tc>
        <w:tc>
          <w:tcPr>
            <w:tcW w:w="1120" w:type="dxa"/>
            <w:vAlign w:val="bottom"/>
            <w:vMerge w:val="continue"/>
            <w:shd w:val="clear" w:color="auto" w:fill="D2DCE5"/>
          </w:tcPr>
          <w:p>
            <w:pPr>
              <w:spacing w:after="0"/>
              <w:rPr>
                <w:sz w:val="6"/>
                <w:szCs w:val="6"/>
                <w:color w:val="auto"/>
              </w:rPr>
            </w:pPr>
          </w:p>
        </w:tc>
        <w:tc>
          <w:tcPr>
            <w:tcW w:w="100" w:type="dxa"/>
            <w:vAlign w:val="bottom"/>
            <w:shd w:val="clear" w:color="auto" w:fill="D2DCE5"/>
          </w:tcPr>
          <w:p>
            <w:pPr>
              <w:spacing w:after="0"/>
              <w:rPr>
                <w:sz w:val="6"/>
                <w:szCs w:val="6"/>
                <w:color w:val="auto"/>
              </w:rPr>
            </w:pPr>
          </w:p>
        </w:tc>
        <w:tc>
          <w:tcPr>
            <w:tcW w:w="140" w:type="dxa"/>
            <w:vAlign w:val="bottom"/>
            <w:shd w:val="clear" w:color="auto" w:fill="D2DCE5"/>
          </w:tcPr>
          <w:p>
            <w:pPr>
              <w:spacing w:after="0"/>
              <w:rPr>
                <w:sz w:val="6"/>
                <w:szCs w:val="6"/>
                <w:color w:val="auto"/>
              </w:rPr>
            </w:pPr>
          </w:p>
        </w:tc>
        <w:tc>
          <w:tcPr>
            <w:tcW w:w="1300" w:type="dxa"/>
            <w:vAlign w:val="bottom"/>
            <w:vMerge w:val="continue"/>
            <w:shd w:val="clear" w:color="auto" w:fill="D2DCE5"/>
          </w:tcPr>
          <w:p>
            <w:pPr>
              <w:spacing w:after="0"/>
              <w:rPr>
                <w:sz w:val="6"/>
                <w:szCs w:val="6"/>
                <w:color w:val="auto"/>
              </w:rPr>
            </w:pPr>
          </w:p>
        </w:tc>
        <w:tc>
          <w:tcPr>
            <w:tcW w:w="100" w:type="dxa"/>
            <w:vAlign w:val="bottom"/>
            <w:shd w:val="clear" w:color="auto" w:fill="D2DCE5"/>
          </w:tcPr>
          <w:p>
            <w:pPr>
              <w:spacing w:after="0"/>
              <w:rPr>
                <w:sz w:val="6"/>
                <w:szCs w:val="6"/>
                <w:color w:val="auto"/>
              </w:rPr>
            </w:pPr>
          </w:p>
        </w:tc>
        <w:tc>
          <w:tcPr>
            <w:tcW w:w="320" w:type="dxa"/>
            <w:vAlign w:val="bottom"/>
            <w:shd w:val="clear" w:color="auto" w:fill="D2DCE5"/>
          </w:tcPr>
          <w:p>
            <w:pPr>
              <w:spacing w:after="0"/>
              <w:rPr>
                <w:sz w:val="6"/>
                <w:szCs w:val="6"/>
                <w:color w:val="auto"/>
              </w:rPr>
            </w:pPr>
          </w:p>
        </w:tc>
        <w:tc>
          <w:tcPr>
            <w:tcW w:w="1120" w:type="dxa"/>
            <w:vAlign w:val="bottom"/>
            <w:vMerge w:val="continue"/>
            <w:shd w:val="clear" w:color="auto" w:fill="D2DCE5"/>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508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320" w:type="dxa"/>
            <w:vAlign w:val="bottom"/>
            <w:shd w:val="clear" w:color="auto" w:fill="D2DCE5"/>
          </w:tcPr>
          <w:p>
            <w:pPr>
              <w:spacing w:after="0"/>
              <w:rPr>
                <w:sz w:val="2"/>
                <w:szCs w:val="2"/>
                <w:color w:val="auto"/>
              </w:rPr>
            </w:pPr>
          </w:p>
        </w:tc>
        <w:tc>
          <w:tcPr>
            <w:tcW w:w="112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320" w:type="dxa"/>
            <w:vAlign w:val="bottom"/>
            <w:shd w:val="clear" w:color="auto" w:fill="D2DCE5"/>
          </w:tcPr>
          <w:p>
            <w:pPr>
              <w:spacing w:after="0"/>
              <w:rPr>
                <w:sz w:val="2"/>
                <w:szCs w:val="2"/>
                <w:color w:val="auto"/>
              </w:rPr>
            </w:pPr>
          </w:p>
        </w:tc>
        <w:tc>
          <w:tcPr>
            <w:tcW w:w="112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40" w:type="dxa"/>
            <w:vAlign w:val="bottom"/>
            <w:shd w:val="clear" w:color="auto" w:fill="D2DCE5"/>
          </w:tcPr>
          <w:p>
            <w:pPr>
              <w:spacing w:after="0"/>
              <w:rPr>
                <w:sz w:val="2"/>
                <w:szCs w:val="2"/>
                <w:color w:val="auto"/>
              </w:rPr>
            </w:pPr>
          </w:p>
        </w:tc>
        <w:tc>
          <w:tcPr>
            <w:tcW w:w="130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320" w:type="dxa"/>
            <w:vAlign w:val="bottom"/>
            <w:shd w:val="clear" w:color="auto" w:fill="D2DCE5"/>
          </w:tcPr>
          <w:p>
            <w:pPr>
              <w:spacing w:after="0"/>
              <w:rPr>
                <w:sz w:val="2"/>
                <w:szCs w:val="2"/>
                <w:color w:val="auto"/>
              </w:rPr>
            </w:pPr>
          </w:p>
        </w:tc>
        <w:tc>
          <w:tcPr>
            <w:tcW w:w="1120" w:type="dxa"/>
            <w:vAlign w:val="bottom"/>
            <w:shd w:val="clear" w:color="auto" w:fill="D2DCE5"/>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77" w:lineRule="exact"/>
        <w:rPr>
          <w:sz w:val="20"/>
          <w:szCs w:val="20"/>
          <w:color w:val="auto"/>
        </w:rPr>
      </w:pPr>
    </w:p>
    <w:p>
      <w:pPr>
        <w:jc w:val="both"/>
        <w:ind w:left="180" w:right="20" w:hanging="172"/>
        <w:spacing w:after="0" w:line="226" w:lineRule="auto"/>
        <w:tabs>
          <w:tab w:leader="none" w:pos="241" w:val="left"/>
        </w:tabs>
        <w:numPr>
          <w:ilvl w:val="0"/>
          <w:numId w:val="27"/>
        </w:numPr>
        <w:rPr>
          <w:rFonts w:ascii="Arial" w:cs="Arial" w:eastAsia="Arial" w:hAnsi="Arial"/>
          <w:sz w:val="19"/>
          <w:szCs w:val="19"/>
          <w:color w:val="131E29"/>
          <w:vertAlign w:val="superscript"/>
        </w:rPr>
      </w:pPr>
      <w:r>
        <w:rPr>
          <w:rFonts w:ascii="Arial" w:cs="Arial" w:eastAsia="Arial" w:hAnsi="Arial"/>
          <w:sz w:val="14"/>
          <w:szCs w:val="14"/>
          <w:color w:val="131E29"/>
        </w:rPr>
        <w:t>AUVs are determined based on the net sales for any trailing twelve-month period for systemwide and company-operated shops that have been open a minimum of 15 months. AUVs are calculated by dividing the net sales by the total number of systemwide and company-operated shops, respectively. Management uses this metric as an indicator of shop growth and future expectations of mature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539"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180" w:hanging="172"/>
        <w:spacing w:after="0" w:line="232" w:lineRule="auto"/>
        <w:tabs>
          <w:tab w:leader="none" w:pos="241" w:val="left"/>
        </w:tabs>
        <w:numPr>
          <w:ilvl w:val="0"/>
          <w:numId w:val="28"/>
        </w:numPr>
        <w:rPr>
          <w:rFonts w:ascii="Arial" w:cs="Arial" w:eastAsia="Arial" w:hAnsi="Arial"/>
          <w:sz w:val="19"/>
          <w:szCs w:val="19"/>
          <w:color w:val="131E29"/>
          <w:vertAlign w:val="superscript"/>
        </w:rPr>
      </w:pPr>
      <w:r>
        <w:rPr>
          <w:rFonts w:ascii="Arial" w:cs="Arial" w:eastAsia="Arial" w:hAnsi="Arial"/>
          <w:sz w:val="14"/>
          <w:szCs w:val="14"/>
          <w:color w:val="131E29"/>
        </w:rPr>
        <w:t>Same shop sales growth reflects the change in year-over-year sales for the comparable shop base, which we define as shops open for 15 complete months or longer. Management uses this metric as an indicator of shop growth and future expansion strategy. The number of shops included in the systemwide and company-operated comparable bases for the respective periods are presented in the following table.</w:t>
      </w:r>
    </w:p>
    <w:p>
      <w:pPr>
        <w:spacing w:after="0" w:line="27"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860" w:type="dxa"/>
            <w:vAlign w:val="bottom"/>
            <w:gridSpan w:val="5"/>
          </w:tcPr>
          <w:p>
            <w:pPr>
              <w:ind w:left="160"/>
              <w:spacing w:after="0"/>
              <w:rPr>
                <w:sz w:val="20"/>
                <w:szCs w:val="20"/>
                <w:color w:val="auto"/>
              </w:rPr>
            </w:pPr>
            <w:r>
              <w:rPr>
                <w:rFonts w:ascii="Arial" w:cs="Arial" w:eastAsia="Arial" w:hAnsi="Arial"/>
                <w:sz w:val="14"/>
                <w:szCs w:val="14"/>
                <w:b w:val="1"/>
                <w:bCs w:val="1"/>
                <w:color w:val="131E29"/>
              </w:rPr>
              <w:t>Three Months Ended September 30,</w:t>
            </w:r>
          </w:p>
        </w:tc>
        <w:tc>
          <w:tcPr>
            <w:tcW w:w="2660" w:type="dxa"/>
            <w:vAlign w:val="bottom"/>
            <w:gridSpan w:val="3"/>
          </w:tcPr>
          <w:p>
            <w:pPr>
              <w:jc w:val="right"/>
              <w:ind w:right="68"/>
              <w:spacing w:after="0"/>
              <w:rPr>
                <w:sz w:val="20"/>
                <w:szCs w:val="20"/>
                <w:color w:val="auto"/>
              </w:rPr>
            </w:pPr>
            <w:r>
              <w:rPr>
                <w:rFonts w:ascii="Arial" w:cs="Arial" w:eastAsia="Arial" w:hAnsi="Arial"/>
                <w:sz w:val="14"/>
                <w:szCs w:val="14"/>
                <w:b w:val="1"/>
                <w:bCs w:val="1"/>
                <w:color w:val="131E29"/>
              </w:rPr>
              <w:t>Nine Months Ended September 30,</w:t>
            </w:r>
          </w:p>
        </w:tc>
      </w:tr>
      <w:tr>
        <w:trPr>
          <w:trHeight w:val="26"/>
        </w:trPr>
        <w:tc>
          <w:tcPr>
            <w:tcW w:w="5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8"/>
        </w:trPr>
        <w:tc>
          <w:tcPr>
            <w:tcW w:w="61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131E29"/>
              </w:rPr>
              <w:t>2022</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ind w:right="448"/>
              <w:spacing w:after="0"/>
              <w:rPr>
                <w:sz w:val="20"/>
                <w:szCs w:val="20"/>
                <w:color w:val="auto"/>
              </w:rPr>
            </w:pPr>
            <w:r>
              <w:rPr>
                <w:rFonts w:ascii="Arial" w:cs="Arial" w:eastAsia="Arial" w:hAnsi="Arial"/>
                <w:sz w:val="14"/>
                <w:szCs w:val="14"/>
                <w:b w:val="1"/>
                <w:bCs w:val="1"/>
                <w:color w:val="131E29"/>
              </w:rPr>
              <w:t>2021</w:t>
            </w:r>
          </w:p>
        </w:tc>
        <w:tc>
          <w:tcPr>
            <w:tcW w:w="80" w:type="dxa"/>
            <w:vAlign w:val="bottom"/>
          </w:tcPr>
          <w:p>
            <w:pPr>
              <w:spacing w:after="0"/>
              <w:rPr>
                <w:sz w:val="17"/>
                <w:szCs w:val="17"/>
                <w:color w:val="auto"/>
              </w:rPr>
            </w:pPr>
          </w:p>
        </w:tc>
        <w:tc>
          <w:tcPr>
            <w:tcW w:w="1300" w:type="dxa"/>
            <w:vAlign w:val="bottom"/>
          </w:tcPr>
          <w:p>
            <w:pPr>
              <w:jc w:val="right"/>
              <w:ind w:right="408"/>
              <w:spacing w:after="0"/>
              <w:rPr>
                <w:sz w:val="20"/>
                <w:szCs w:val="20"/>
                <w:color w:val="auto"/>
              </w:rPr>
            </w:pPr>
            <w:r>
              <w:rPr>
                <w:rFonts w:ascii="Arial" w:cs="Arial" w:eastAsia="Arial" w:hAnsi="Arial"/>
                <w:sz w:val="14"/>
                <w:szCs w:val="14"/>
                <w:b w:val="1"/>
                <w:bCs w:val="1"/>
                <w:color w:val="131E29"/>
              </w:rPr>
              <w:t>2022</w:t>
            </w:r>
          </w:p>
        </w:tc>
        <w:tc>
          <w:tcPr>
            <w:tcW w:w="80" w:type="dxa"/>
            <w:vAlign w:val="bottom"/>
          </w:tcPr>
          <w:p>
            <w:pPr>
              <w:spacing w:after="0"/>
              <w:rPr>
                <w:sz w:val="17"/>
                <w:szCs w:val="17"/>
                <w:color w:val="auto"/>
              </w:rPr>
            </w:pPr>
          </w:p>
        </w:tc>
        <w:tc>
          <w:tcPr>
            <w:tcW w:w="1280" w:type="dxa"/>
            <w:vAlign w:val="bottom"/>
          </w:tcPr>
          <w:p>
            <w:pPr>
              <w:jc w:val="right"/>
              <w:ind w:right="408"/>
              <w:spacing w:after="0"/>
              <w:rPr>
                <w:sz w:val="20"/>
                <w:szCs w:val="20"/>
                <w:color w:val="auto"/>
              </w:rPr>
            </w:pPr>
            <w:r>
              <w:rPr>
                <w:rFonts w:ascii="Arial" w:cs="Arial" w:eastAsia="Arial" w:hAnsi="Arial"/>
                <w:sz w:val="14"/>
                <w:szCs w:val="14"/>
                <w:b w:val="1"/>
                <w:bCs w:val="1"/>
                <w:color w:val="131E29"/>
              </w:rPr>
              <w:t>2021</w:t>
            </w:r>
          </w:p>
        </w:tc>
      </w:tr>
      <w:tr>
        <w:trPr>
          <w:trHeight w:val="26"/>
        </w:trPr>
        <w:tc>
          <w:tcPr>
            <w:tcW w:w="5240" w:type="dxa"/>
            <w:vAlign w:val="bottom"/>
            <w:tcBorders>
              <w:bottom w:val="single" w:sz="8" w:color="D2DCE5"/>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3"/>
        </w:trPr>
        <w:tc>
          <w:tcPr>
            <w:tcW w:w="61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Systemwide shop base</w:t>
            </w:r>
          </w:p>
        </w:tc>
        <w:tc>
          <w:tcPr>
            <w:tcW w:w="4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452</w:t>
            </w:r>
          </w:p>
        </w:tc>
        <w:tc>
          <w:tcPr>
            <w:tcW w:w="80" w:type="dxa"/>
            <w:vAlign w:val="bottom"/>
            <w:tcBorders>
              <w:bottom w:val="single" w:sz="8" w:color="D2DCE5"/>
            </w:tcBorders>
            <w:shd w:val="clear" w:color="auto" w:fill="D2DCE5"/>
          </w:tcPr>
          <w:p>
            <w:pPr>
              <w:spacing w:after="0"/>
              <w:rPr>
                <w:sz w:val="17"/>
                <w:szCs w:val="17"/>
                <w:color w:val="auto"/>
              </w:rPr>
            </w:pPr>
          </w:p>
        </w:tc>
        <w:tc>
          <w:tcPr>
            <w:tcW w:w="13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384</w:t>
            </w:r>
          </w:p>
        </w:tc>
        <w:tc>
          <w:tcPr>
            <w:tcW w:w="80" w:type="dxa"/>
            <w:vAlign w:val="bottom"/>
            <w:tcBorders>
              <w:bottom w:val="single" w:sz="8" w:color="D2DCE5"/>
            </w:tcBorders>
            <w:shd w:val="clear" w:color="auto" w:fill="D2DCE5"/>
          </w:tcPr>
          <w:p>
            <w:pPr>
              <w:spacing w:after="0"/>
              <w:rPr>
                <w:sz w:val="17"/>
                <w:szCs w:val="17"/>
                <w:color w:val="auto"/>
              </w:rPr>
            </w:pPr>
          </w:p>
        </w:tc>
        <w:tc>
          <w:tcPr>
            <w:tcW w:w="13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414</w:t>
            </w:r>
          </w:p>
        </w:tc>
        <w:tc>
          <w:tcPr>
            <w:tcW w:w="80" w:type="dxa"/>
            <w:vAlign w:val="bottom"/>
            <w:tcBorders>
              <w:bottom w:val="single" w:sz="8" w:color="D2DCE5"/>
            </w:tcBorders>
            <w:shd w:val="clear" w:color="auto" w:fill="D2DCE5"/>
          </w:tcPr>
          <w:p>
            <w:pPr>
              <w:spacing w:after="0"/>
              <w:rPr>
                <w:sz w:val="17"/>
                <w:szCs w:val="17"/>
                <w:color w:val="auto"/>
              </w:rPr>
            </w:pPr>
          </w:p>
        </w:tc>
        <w:tc>
          <w:tcPr>
            <w:tcW w:w="12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354</w:t>
            </w:r>
          </w:p>
        </w:tc>
      </w:tr>
      <w:tr>
        <w:trPr>
          <w:trHeight w:val="204"/>
        </w:trPr>
        <w:tc>
          <w:tcPr>
            <w:tcW w:w="6180" w:type="dxa"/>
            <w:vAlign w:val="bottom"/>
            <w:gridSpan w:val="2"/>
          </w:tcPr>
          <w:p>
            <w:pPr>
              <w:ind w:left="20"/>
              <w:spacing w:after="0"/>
              <w:rPr>
                <w:sz w:val="20"/>
                <w:szCs w:val="20"/>
                <w:color w:val="auto"/>
              </w:rPr>
            </w:pPr>
            <w:r>
              <w:rPr>
                <w:rFonts w:ascii="Arial" w:cs="Arial" w:eastAsia="Arial" w:hAnsi="Arial"/>
                <w:sz w:val="14"/>
                <w:szCs w:val="14"/>
                <w:color w:val="131E29"/>
              </w:rPr>
              <w:t>Company-operated shop base</w:t>
            </w:r>
          </w:p>
        </w:tc>
        <w:tc>
          <w:tcPr>
            <w:tcW w:w="400" w:type="dxa"/>
            <w:vAlign w:val="bottom"/>
          </w:tcPr>
          <w:p>
            <w:pPr>
              <w:jc w:val="right"/>
              <w:spacing w:after="0"/>
              <w:rPr>
                <w:sz w:val="20"/>
                <w:szCs w:val="20"/>
                <w:color w:val="auto"/>
              </w:rPr>
            </w:pPr>
            <w:r>
              <w:rPr>
                <w:rFonts w:ascii="Arial" w:cs="Arial" w:eastAsia="Arial" w:hAnsi="Arial"/>
                <w:sz w:val="14"/>
                <w:szCs w:val="14"/>
                <w:color w:val="131E29"/>
              </w:rPr>
              <w:t>203</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131E29"/>
              </w:rPr>
              <w:t>145</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131E29"/>
              </w:rPr>
              <w:t>173</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131E29"/>
              </w:rPr>
              <w:t>120</w:t>
            </w:r>
          </w:p>
        </w:tc>
      </w:tr>
    </w:tbl>
    <w:p>
      <w:pPr>
        <w:spacing w:after="0" w:line="287" w:lineRule="exact"/>
        <w:rPr>
          <w:sz w:val="20"/>
          <w:szCs w:val="20"/>
          <w:color w:val="auto"/>
        </w:rPr>
      </w:pPr>
    </w:p>
    <w:p>
      <w:pPr>
        <w:ind w:left="180" w:hanging="172"/>
        <w:spacing w:after="0" w:line="219" w:lineRule="auto"/>
        <w:tabs>
          <w:tab w:leader="none" w:pos="174" w:val="left"/>
        </w:tabs>
        <w:numPr>
          <w:ilvl w:val="0"/>
          <w:numId w:val="29"/>
        </w:numPr>
        <w:rPr>
          <w:rFonts w:ascii="Arial" w:cs="Arial" w:eastAsia="Arial" w:hAnsi="Arial"/>
          <w:sz w:val="19"/>
          <w:szCs w:val="19"/>
          <w:color w:val="131E29"/>
          <w:vertAlign w:val="superscript"/>
        </w:rPr>
      </w:pPr>
      <w:r>
        <w:rPr>
          <w:rFonts w:ascii="Arial" w:cs="Arial" w:eastAsia="Arial" w:hAnsi="Arial"/>
          <w:sz w:val="14"/>
          <w:szCs w:val="14"/>
          <w:color w:val="131E29"/>
        </w:rPr>
        <w:t>Reconciliation of GAAP to non-GAAP results is provided in the section “Non-GAAP Financial Measures” in Part I, Item 2 “Management’s Discussion and Analysis of Financial Condition and Results of Operations”.</w:t>
      </w:r>
    </w:p>
    <w:p>
      <w:pPr>
        <w:spacing w:after="0" w:line="167" w:lineRule="exact"/>
        <w:rPr>
          <w:sz w:val="20"/>
          <w:szCs w:val="20"/>
          <w:color w:val="auto"/>
        </w:rPr>
      </w:pPr>
    </w:p>
    <w:p>
      <w:pPr>
        <w:jc w:val="both"/>
        <w:ind w:left="180" w:hanging="172"/>
        <w:spacing w:after="0" w:line="239" w:lineRule="auto"/>
        <w:tabs>
          <w:tab w:leader="none" w:pos="241" w:val="left"/>
        </w:tabs>
        <w:numPr>
          <w:ilvl w:val="0"/>
          <w:numId w:val="30"/>
        </w:numPr>
        <w:rPr>
          <w:rFonts w:ascii="Arial" w:cs="Arial" w:eastAsia="Arial" w:hAnsi="Arial"/>
          <w:sz w:val="19"/>
          <w:szCs w:val="19"/>
          <w:color w:val="131E29"/>
          <w:vertAlign w:val="superscript"/>
        </w:rPr>
      </w:pPr>
      <w:r>
        <w:rPr>
          <w:rFonts w:ascii="Arial" w:cs="Arial" w:eastAsia="Arial" w:hAnsi="Arial"/>
          <w:sz w:val="14"/>
          <w:szCs w:val="14"/>
          <w:color w:val="131E29"/>
        </w:rPr>
        <w:t>Systemwide sales and systemwide same shop sales include company-operated shop revenue and sales at franchised shops during the comparable periods presented. Franchise sales represent sales at all franchise shops and are revenues to our franchisees. We do not record franchise sales as revenues; however, our royalty revenues and advertising fund contributions are calculated based on a percentage of franchise sales. As these metrics include sales reported to us by our non-consolidated franchise partners, these metrics should be considered as a supplement to, not a substitute for, our results as reported under GAAP. Management uses these metrics as indicators of our system’s overall financial health, growth and future expansion prospects.</w:t>
      </w:r>
    </w:p>
    <w:p>
      <w:pPr>
        <w:spacing w:after="0" w:line="194" w:lineRule="exact"/>
        <w:rPr>
          <w:sz w:val="20"/>
          <w:szCs w:val="20"/>
          <w:color w:val="auto"/>
        </w:rPr>
      </w:pPr>
    </w:p>
    <w:p>
      <w:pPr>
        <w:ind w:left="180" w:hanging="172"/>
        <w:spacing w:after="0" w:line="228" w:lineRule="auto"/>
        <w:tabs>
          <w:tab w:leader="none" w:pos="174" w:val="left"/>
        </w:tabs>
        <w:numPr>
          <w:ilvl w:val="0"/>
          <w:numId w:val="31"/>
        </w:numPr>
        <w:rPr>
          <w:rFonts w:ascii="Arial" w:cs="Arial" w:eastAsia="Arial" w:hAnsi="Arial"/>
          <w:sz w:val="19"/>
          <w:szCs w:val="19"/>
          <w:color w:val="131E29"/>
          <w:vertAlign w:val="superscript"/>
        </w:rPr>
      </w:pPr>
      <w:r>
        <w:rPr>
          <w:rFonts w:ascii="Arial" w:cs="Arial" w:eastAsia="Arial" w:hAnsi="Arial"/>
          <w:sz w:val="14"/>
          <w:szCs w:val="14"/>
          <w:color w:val="131E29"/>
        </w:rPr>
        <w:t>Dutch Rewards, a digitally-based rewards program available exclusively through the Dutch Rewards mobile app, was launched February 2021. Management uses this metric as an indicator of customer loyalty adoption of our Dutch Rewards mobile app and future promotional plans.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416B"/>
        </w:rPr>
        <w:t>Company-operated Shop Results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80" w:type="dxa"/>
            <w:vAlign w:val="bottom"/>
            <w:gridSpan w:val="7"/>
          </w:tcPr>
          <w:p>
            <w:pPr>
              <w:spacing w:after="0"/>
              <w:rPr>
                <w:sz w:val="20"/>
                <w:szCs w:val="20"/>
                <w:color w:val="auto"/>
              </w:rPr>
            </w:pPr>
            <w:r>
              <w:rPr>
                <w:rFonts w:ascii="Arial" w:cs="Arial" w:eastAsia="Arial" w:hAnsi="Arial"/>
                <w:sz w:val="18"/>
                <w:szCs w:val="18"/>
                <w:color w:val="131E29"/>
              </w:rPr>
              <w:t>The results for our company-operated shops segment were as follows: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gridSpan w:val="9"/>
          </w:tcPr>
          <w:p>
            <w:pPr>
              <w:ind w:left="340"/>
              <w:spacing w:after="0"/>
              <w:rPr>
                <w:sz w:val="20"/>
                <w:szCs w:val="20"/>
                <w:color w:val="auto"/>
              </w:rPr>
            </w:pPr>
            <w:r>
              <w:rPr>
                <w:rFonts w:ascii="Arial" w:cs="Arial" w:eastAsia="Arial" w:hAnsi="Arial"/>
                <w:sz w:val="18"/>
                <w:szCs w:val="18"/>
                <w:b w:val="1"/>
                <w:bCs w:val="1"/>
                <w:color w:val="131E29"/>
              </w:rPr>
              <w:t>Three Months Ended September 30,</w:t>
            </w:r>
          </w:p>
        </w:tc>
        <w:tc>
          <w:tcPr>
            <w:tcW w:w="3720" w:type="dxa"/>
            <w:vAlign w:val="bottom"/>
            <w:gridSpan w:val="8"/>
          </w:tcPr>
          <w:p>
            <w:pPr>
              <w:jc w:val="right"/>
              <w:ind w:right="290"/>
              <w:spacing w:after="0"/>
              <w:rPr>
                <w:sz w:val="20"/>
                <w:szCs w:val="20"/>
                <w:color w:val="auto"/>
              </w:rPr>
            </w:pPr>
            <w:r>
              <w:rPr>
                <w:rFonts w:ascii="Arial" w:cs="Arial" w:eastAsia="Arial" w:hAnsi="Arial"/>
                <w:sz w:val="18"/>
                <w:szCs w:val="18"/>
                <w:b w:val="1"/>
                <w:bCs w:val="1"/>
                <w:color w:val="131E29"/>
              </w:rPr>
              <w:t>Nine Months Ended September 30,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131E29"/>
              </w:rPr>
              <w:t>2022</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131E29"/>
              </w:rPr>
              <w:t>2021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131E29"/>
              </w:rPr>
              <w:t>2022</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131E29"/>
              </w:rPr>
              <w:t>2021</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66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060" w:type="dxa"/>
            <w:vAlign w:val="bottom"/>
          </w:tcPr>
          <w:p>
            <w:pPr>
              <w:jc w:val="right"/>
              <w:ind w:right="390"/>
              <w:spacing w:after="0"/>
              <w:rPr>
                <w:sz w:val="20"/>
                <w:szCs w:val="20"/>
                <w:color w:val="auto"/>
              </w:rPr>
            </w:pPr>
            <w:r>
              <w:rPr>
                <w:rFonts w:ascii="Arial" w:cs="Arial" w:eastAsia="Arial" w:hAnsi="Arial"/>
                <w:sz w:val="18"/>
                <w:szCs w:val="18"/>
                <w:color w:val="131E29"/>
              </w:rPr>
              <w:t>$</w:t>
            </w:r>
          </w:p>
        </w:tc>
        <w:tc>
          <w:tcPr>
            <w:tcW w:w="10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131E29"/>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131E29"/>
              </w:rPr>
              <w:t>$</w:t>
            </w:r>
          </w:p>
        </w:tc>
        <w:tc>
          <w:tcPr>
            <w:tcW w:w="1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131E29"/>
              </w:rPr>
              <w:t>%</w:t>
            </w:r>
          </w:p>
        </w:tc>
        <w:tc>
          <w:tcPr>
            <w:tcW w:w="1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131E29"/>
              </w:rPr>
              <w:t>$</w:t>
            </w:r>
          </w:p>
        </w:tc>
        <w:tc>
          <w:tcPr>
            <w:tcW w:w="1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131E29"/>
              </w:rPr>
              <w:t>%</w:t>
            </w:r>
          </w:p>
        </w:tc>
        <w:tc>
          <w:tcPr>
            <w:tcW w:w="1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131E2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5"/>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Company-operated shop revenue</w:t>
            </w: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173,501</w:t>
            </w:r>
          </w:p>
        </w:tc>
        <w:tc>
          <w:tcPr>
            <w:tcW w:w="100" w:type="dxa"/>
            <w:vAlign w:val="bottom"/>
            <w:tcBorders>
              <w:bottom w:val="single" w:sz="8" w:color="D2DCE5"/>
            </w:tcBorders>
            <w:shd w:val="clear" w:color="auto" w:fill="D2DCE5"/>
          </w:tcPr>
          <w:p>
            <w:pPr>
              <w:spacing w:after="0"/>
              <w:rPr>
                <w:sz w:val="21"/>
                <w:szCs w:val="21"/>
                <w:color w:val="auto"/>
              </w:rPr>
            </w:pPr>
          </w:p>
        </w:tc>
        <w:tc>
          <w:tcPr>
            <w:tcW w:w="6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100.0</w:t>
            </w:r>
          </w:p>
        </w:tc>
        <w:tc>
          <w:tcPr>
            <w:tcW w:w="100" w:type="dxa"/>
            <w:vAlign w:val="bottom"/>
            <w:tcBorders>
              <w:bottom w:val="single" w:sz="8" w:color="D2DCE5"/>
            </w:tcBorders>
            <w:shd w:val="clear" w:color="auto" w:fill="D2DCE5"/>
          </w:tcPr>
          <w:p>
            <w:pPr>
              <w:spacing w:after="0"/>
              <w:rPr>
                <w:sz w:val="21"/>
                <w:szCs w:val="21"/>
                <w:color w:val="auto"/>
              </w:rPr>
            </w:pPr>
          </w:p>
        </w:tc>
        <w:tc>
          <w:tcPr>
            <w:tcW w:w="200" w:type="dxa"/>
            <w:vAlign w:val="bottom"/>
            <w:tcBorders>
              <w:bottom w:val="single" w:sz="8" w:color="D2DCE5"/>
            </w:tcBorders>
            <w:shd w:val="clear" w:color="auto" w:fill="D2DCE5"/>
          </w:tcPr>
          <w:p>
            <w:pPr>
              <w:spacing w:after="0"/>
              <w:rPr>
                <w:sz w:val="21"/>
                <w:szCs w:val="21"/>
                <w:color w:val="auto"/>
              </w:rPr>
            </w:pPr>
          </w:p>
        </w:tc>
        <w:tc>
          <w:tcPr>
            <w:tcW w:w="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108,661</w:t>
            </w:r>
          </w:p>
        </w:tc>
        <w:tc>
          <w:tcPr>
            <w:tcW w:w="100" w:type="dxa"/>
            <w:vAlign w:val="bottom"/>
            <w:tcBorders>
              <w:bottom w:val="single" w:sz="8" w:color="D2DCE5"/>
            </w:tcBorders>
            <w:shd w:val="clear" w:color="auto" w:fill="D2DCE5"/>
          </w:tcPr>
          <w:p>
            <w:pPr>
              <w:spacing w:after="0"/>
              <w:rPr>
                <w:sz w:val="21"/>
                <w:szCs w:val="21"/>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100.0</w:t>
            </w:r>
          </w:p>
        </w:tc>
        <w:tc>
          <w:tcPr>
            <w:tcW w:w="100" w:type="dxa"/>
            <w:vAlign w:val="bottom"/>
            <w:tcBorders>
              <w:bottom w:val="single" w:sz="8" w:color="D2DCE5"/>
            </w:tcBorders>
            <w:shd w:val="clear" w:color="auto" w:fill="D2DCE5"/>
          </w:tcPr>
          <w:p>
            <w:pPr>
              <w:spacing w:after="0"/>
              <w:rPr>
                <w:sz w:val="21"/>
                <w:szCs w:val="21"/>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464,200</w:t>
            </w:r>
          </w:p>
        </w:tc>
        <w:tc>
          <w:tcPr>
            <w:tcW w:w="100" w:type="dxa"/>
            <w:vAlign w:val="bottom"/>
            <w:tcBorders>
              <w:bottom w:val="single" w:sz="8" w:color="D2DCE5"/>
            </w:tcBorders>
            <w:shd w:val="clear" w:color="auto" w:fill="D2DCE5"/>
          </w:tcPr>
          <w:p>
            <w:pPr>
              <w:spacing w:after="0"/>
              <w:rPr>
                <w:sz w:val="21"/>
                <w:szCs w:val="21"/>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100.0</w:t>
            </w:r>
          </w:p>
        </w:tc>
        <w:tc>
          <w:tcPr>
            <w:tcW w:w="1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289,548</w:t>
            </w:r>
          </w:p>
        </w:tc>
        <w:tc>
          <w:tcPr>
            <w:tcW w:w="10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100.0</w:t>
            </w:r>
          </w:p>
        </w:tc>
        <w:tc>
          <w:tcPr>
            <w:tcW w:w="0" w:type="dxa"/>
            <w:vAlign w:val="bottom"/>
          </w:tcPr>
          <w:p>
            <w:pPr>
              <w:spacing w:after="0"/>
              <w:rPr>
                <w:sz w:val="1"/>
                <w:szCs w:val="1"/>
                <w:color w:val="auto"/>
              </w:rPr>
            </w:pPr>
          </w:p>
        </w:tc>
      </w:tr>
      <w:tr>
        <w:trPr>
          <w:trHeight w:val="257"/>
        </w:trPr>
        <w:tc>
          <w:tcPr>
            <w:tcW w:w="3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Beverage, food and packaging costs</w:t>
            </w: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47,092</w:t>
            </w:r>
          </w:p>
        </w:tc>
        <w:tc>
          <w:tcPr>
            <w:tcW w:w="100" w:type="dxa"/>
            <w:vAlign w:val="bottom"/>
            <w:tcBorders>
              <w:bottom w:val="single" w:sz="8" w:color="D2DCE5"/>
            </w:tcBorders>
            <w:shd w:val="clear" w:color="auto" w:fill="D2DCE5"/>
          </w:tcPr>
          <w:p>
            <w:pPr>
              <w:spacing w:after="0"/>
              <w:rPr>
                <w:sz w:val="21"/>
                <w:szCs w:val="21"/>
                <w:color w:val="auto"/>
              </w:rPr>
            </w:pPr>
          </w:p>
        </w:tc>
        <w:tc>
          <w:tcPr>
            <w:tcW w:w="6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27.1</w:t>
            </w:r>
          </w:p>
        </w:tc>
        <w:tc>
          <w:tcPr>
            <w:tcW w:w="100" w:type="dxa"/>
            <w:vAlign w:val="bottom"/>
            <w:tcBorders>
              <w:bottom w:val="single" w:sz="8" w:color="D2DCE5"/>
            </w:tcBorders>
            <w:shd w:val="clear" w:color="auto" w:fill="D2DCE5"/>
          </w:tcPr>
          <w:p>
            <w:pPr>
              <w:spacing w:after="0"/>
              <w:rPr>
                <w:sz w:val="21"/>
                <w:szCs w:val="21"/>
                <w:color w:val="auto"/>
              </w:rPr>
            </w:pPr>
          </w:p>
        </w:tc>
        <w:tc>
          <w:tcPr>
            <w:tcW w:w="200" w:type="dxa"/>
            <w:vAlign w:val="bottom"/>
            <w:tcBorders>
              <w:bottom w:val="single" w:sz="8" w:color="D2DCE5"/>
            </w:tcBorders>
            <w:shd w:val="clear" w:color="auto" w:fill="D2DCE5"/>
          </w:tcPr>
          <w:p>
            <w:pPr>
              <w:spacing w:after="0"/>
              <w:rPr>
                <w:sz w:val="21"/>
                <w:szCs w:val="21"/>
                <w:color w:val="auto"/>
              </w:rPr>
            </w:pPr>
          </w:p>
        </w:tc>
        <w:tc>
          <w:tcPr>
            <w:tcW w:w="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27,846</w:t>
            </w:r>
          </w:p>
        </w:tc>
        <w:tc>
          <w:tcPr>
            <w:tcW w:w="100" w:type="dxa"/>
            <w:vAlign w:val="bottom"/>
            <w:tcBorders>
              <w:bottom w:val="single" w:sz="8" w:color="D2DCE5"/>
            </w:tcBorders>
            <w:shd w:val="clear" w:color="auto" w:fill="D2DCE5"/>
          </w:tcPr>
          <w:p>
            <w:pPr>
              <w:spacing w:after="0"/>
              <w:rPr>
                <w:sz w:val="21"/>
                <w:szCs w:val="21"/>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25.6</w:t>
            </w:r>
          </w:p>
        </w:tc>
        <w:tc>
          <w:tcPr>
            <w:tcW w:w="100" w:type="dxa"/>
            <w:vAlign w:val="bottom"/>
            <w:tcBorders>
              <w:bottom w:val="single" w:sz="8" w:color="D2DCE5"/>
            </w:tcBorders>
            <w:shd w:val="clear" w:color="auto" w:fill="D2DCE5"/>
          </w:tcPr>
          <w:p>
            <w:pPr>
              <w:spacing w:after="0"/>
              <w:rPr>
                <w:sz w:val="21"/>
                <w:szCs w:val="21"/>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126,262</w:t>
            </w:r>
          </w:p>
        </w:tc>
        <w:tc>
          <w:tcPr>
            <w:tcW w:w="100" w:type="dxa"/>
            <w:vAlign w:val="bottom"/>
            <w:tcBorders>
              <w:bottom w:val="single" w:sz="8" w:color="D2DCE5"/>
            </w:tcBorders>
            <w:shd w:val="clear" w:color="auto" w:fill="D2DCE5"/>
          </w:tcPr>
          <w:p>
            <w:pPr>
              <w:spacing w:after="0"/>
              <w:rPr>
                <w:sz w:val="21"/>
                <w:szCs w:val="21"/>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27.2</w:t>
            </w:r>
          </w:p>
        </w:tc>
        <w:tc>
          <w:tcPr>
            <w:tcW w:w="1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71,564</w:t>
            </w:r>
          </w:p>
        </w:tc>
        <w:tc>
          <w:tcPr>
            <w:tcW w:w="10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24.7</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0"/>
              <w:spacing w:after="0"/>
              <w:rPr>
                <w:sz w:val="20"/>
                <w:szCs w:val="20"/>
                <w:color w:val="auto"/>
              </w:rPr>
            </w:pPr>
            <w:r>
              <w:rPr>
                <w:rFonts w:ascii="Arial" w:cs="Arial" w:eastAsia="Arial" w:hAnsi="Arial"/>
                <w:sz w:val="18"/>
                <w:szCs w:val="18"/>
                <w:color w:val="131E29"/>
              </w:rPr>
              <w:t>Labor costs</w:t>
            </w:r>
          </w:p>
        </w:tc>
        <w:tc>
          <w:tcPr>
            <w:tcW w:w="1060" w:type="dxa"/>
            <w:vAlign w:val="bottom"/>
          </w:tcPr>
          <w:p>
            <w:pPr>
              <w:jc w:val="right"/>
              <w:spacing w:after="0"/>
              <w:rPr>
                <w:sz w:val="20"/>
                <w:szCs w:val="20"/>
                <w:color w:val="auto"/>
              </w:rPr>
            </w:pPr>
            <w:r>
              <w:rPr>
                <w:rFonts w:ascii="Arial" w:cs="Arial" w:eastAsia="Arial" w:hAnsi="Arial"/>
                <w:sz w:val="18"/>
                <w:szCs w:val="18"/>
                <w:color w:val="131E29"/>
              </w:rPr>
              <w:t>49,000</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131E29"/>
              </w:rPr>
              <w:t>28.3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31E29"/>
              </w:rPr>
              <w:t>33,307</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131E29"/>
              </w:rPr>
              <w:t>30.7</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131E29"/>
              </w:rPr>
              <w:t>138,001</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131E29"/>
              </w:rPr>
              <w:t>29.8</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87,695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131E29"/>
              </w:rPr>
              <w:t>30.3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Occupancy and other costs</w:t>
            </w: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28,517</w:t>
            </w:r>
          </w:p>
        </w:tc>
        <w:tc>
          <w:tcPr>
            <w:tcW w:w="100" w:type="dxa"/>
            <w:vAlign w:val="bottom"/>
            <w:tcBorders>
              <w:bottom w:val="single" w:sz="8" w:color="D2DCE5"/>
            </w:tcBorders>
            <w:shd w:val="clear" w:color="auto" w:fill="D2DCE5"/>
          </w:tcPr>
          <w:p>
            <w:pPr>
              <w:spacing w:after="0"/>
              <w:rPr>
                <w:sz w:val="21"/>
                <w:szCs w:val="21"/>
                <w:color w:val="auto"/>
              </w:rPr>
            </w:pPr>
          </w:p>
        </w:tc>
        <w:tc>
          <w:tcPr>
            <w:tcW w:w="6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16.4</w:t>
            </w:r>
          </w:p>
        </w:tc>
        <w:tc>
          <w:tcPr>
            <w:tcW w:w="100" w:type="dxa"/>
            <w:vAlign w:val="bottom"/>
            <w:tcBorders>
              <w:bottom w:val="single" w:sz="8" w:color="D2DCE5"/>
            </w:tcBorders>
            <w:shd w:val="clear" w:color="auto" w:fill="D2DCE5"/>
          </w:tcPr>
          <w:p>
            <w:pPr>
              <w:spacing w:after="0"/>
              <w:rPr>
                <w:sz w:val="21"/>
                <w:szCs w:val="21"/>
                <w:color w:val="auto"/>
              </w:rPr>
            </w:pPr>
          </w:p>
        </w:tc>
        <w:tc>
          <w:tcPr>
            <w:tcW w:w="200" w:type="dxa"/>
            <w:vAlign w:val="bottom"/>
            <w:tcBorders>
              <w:bottom w:val="single" w:sz="8" w:color="D2DCE5"/>
            </w:tcBorders>
            <w:shd w:val="clear" w:color="auto" w:fill="D2DCE5"/>
          </w:tcPr>
          <w:p>
            <w:pPr>
              <w:spacing w:after="0"/>
              <w:rPr>
                <w:sz w:val="21"/>
                <w:szCs w:val="21"/>
                <w:color w:val="auto"/>
              </w:rPr>
            </w:pPr>
          </w:p>
        </w:tc>
        <w:tc>
          <w:tcPr>
            <w:tcW w:w="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17,041</w:t>
            </w:r>
          </w:p>
        </w:tc>
        <w:tc>
          <w:tcPr>
            <w:tcW w:w="100" w:type="dxa"/>
            <w:vAlign w:val="bottom"/>
            <w:tcBorders>
              <w:bottom w:val="single" w:sz="8" w:color="D2DCE5"/>
            </w:tcBorders>
            <w:shd w:val="clear" w:color="auto" w:fill="D2DCE5"/>
          </w:tcPr>
          <w:p>
            <w:pPr>
              <w:spacing w:after="0"/>
              <w:rPr>
                <w:sz w:val="21"/>
                <w:szCs w:val="21"/>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15.7</w:t>
            </w:r>
          </w:p>
        </w:tc>
        <w:tc>
          <w:tcPr>
            <w:tcW w:w="100" w:type="dxa"/>
            <w:vAlign w:val="bottom"/>
            <w:tcBorders>
              <w:bottom w:val="single" w:sz="8" w:color="D2DCE5"/>
            </w:tcBorders>
            <w:shd w:val="clear" w:color="auto" w:fill="D2DCE5"/>
          </w:tcPr>
          <w:p>
            <w:pPr>
              <w:spacing w:after="0"/>
              <w:rPr>
                <w:sz w:val="21"/>
                <w:szCs w:val="21"/>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78,141</w:t>
            </w:r>
          </w:p>
        </w:tc>
        <w:tc>
          <w:tcPr>
            <w:tcW w:w="100" w:type="dxa"/>
            <w:vAlign w:val="bottom"/>
            <w:tcBorders>
              <w:bottom w:val="single" w:sz="8" w:color="D2DCE5"/>
            </w:tcBorders>
            <w:shd w:val="clear" w:color="auto" w:fill="D2DCE5"/>
          </w:tcPr>
          <w:p>
            <w:pPr>
              <w:spacing w:after="0"/>
              <w:rPr>
                <w:sz w:val="21"/>
                <w:szCs w:val="21"/>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16.8</w:t>
            </w:r>
          </w:p>
        </w:tc>
        <w:tc>
          <w:tcPr>
            <w:tcW w:w="1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42,484</w:t>
            </w:r>
          </w:p>
        </w:tc>
        <w:tc>
          <w:tcPr>
            <w:tcW w:w="10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14.7</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0"/>
              <w:spacing w:after="0"/>
              <w:rPr>
                <w:sz w:val="20"/>
                <w:szCs w:val="20"/>
                <w:color w:val="auto"/>
              </w:rPr>
            </w:pPr>
            <w:r>
              <w:rPr>
                <w:rFonts w:ascii="Arial" w:cs="Arial" w:eastAsia="Arial" w:hAnsi="Arial"/>
                <w:sz w:val="18"/>
                <w:szCs w:val="18"/>
                <w:color w:val="131E29"/>
              </w:rPr>
              <w:t>Pre-opening costs</w:t>
            </w:r>
          </w:p>
        </w:tc>
        <w:tc>
          <w:tcPr>
            <w:tcW w:w="1060" w:type="dxa"/>
            <w:vAlign w:val="bottom"/>
          </w:tcPr>
          <w:p>
            <w:pPr>
              <w:jc w:val="right"/>
              <w:spacing w:after="0"/>
              <w:rPr>
                <w:sz w:val="20"/>
                <w:szCs w:val="20"/>
                <w:color w:val="auto"/>
              </w:rPr>
            </w:pPr>
            <w:r>
              <w:rPr>
                <w:rFonts w:ascii="Arial" w:cs="Arial" w:eastAsia="Arial" w:hAnsi="Arial"/>
                <w:sz w:val="18"/>
                <w:szCs w:val="18"/>
                <w:color w:val="131E29"/>
              </w:rPr>
              <w:t>4,548</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131E29"/>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31E29"/>
              </w:rPr>
              <w:t>3,062</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131E29"/>
              </w:rPr>
              <w:t>2.8</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131E29"/>
              </w:rPr>
              <w:t>14,148</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131E29"/>
              </w:rPr>
              <w:t>3.0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6,626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131E29"/>
              </w:rPr>
              <w:t>2.3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Depreciation and amortization</w:t>
            </w: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9,624</w:t>
            </w:r>
          </w:p>
        </w:tc>
        <w:tc>
          <w:tcPr>
            <w:tcW w:w="100" w:type="dxa"/>
            <w:vAlign w:val="bottom"/>
            <w:tcBorders>
              <w:bottom w:val="single" w:sz="8" w:color="D2DCE5"/>
            </w:tcBorders>
            <w:shd w:val="clear" w:color="auto" w:fill="D2DCE5"/>
          </w:tcPr>
          <w:p>
            <w:pPr>
              <w:spacing w:after="0"/>
              <w:rPr>
                <w:sz w:val="23"/>
                <w:szCs w:val="23"/>
                <w:color w:val="auto"/>
              </w:rPr>
            </w:pPr>
          </w:p>
        </w:tc>
        <w:tc>
          <w:tcPr>
            <w:tcW w:w="6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5.6</w:t>
            </w:r>
          </w:p>
        </w:tc>
        <w:tc>
          <w:tcPr>
            <w:tcW w:w="100" w:type="dxa"/>
            <w:vAlign w:val="bottom"/>
            <w:tcBorders>
              <w:bottom w:val="single" w:sz="8" w:color="D2DCE5"/>
            </w:tcBorders>
            <w:shd w:val="clear" w:color="auto" w:fill="D2DCE5"/>
          </w:tcPr>
          <w:p>
            <w:pPr>
              <w:spacing w:after="0"/>
              <w:rPr>
                <w:sz w:val="23"/>
                <w:szCs w:val="23"/>
                <w:color w:val="auto"/>
              </w:rPr>
            </w:pPr>
          </w:p>
        </w:tc>
        <w:tc>
          <w:tcPr>
            <w:tcW w:w="200" w:type="dxa"/>
            <w:vAlign w:val="bottom"/>
            <w:tcBorders>
              <w:bottom w:val="single" w:sz="8" w:color="D2DCE5"/>
            </w:tcBorders>
            <w:shd w:val="clear" w:color="auto" w:fill="D2DCE5"/>
          </w:tcPr>
          <w:p>
            <w:pPr>
              <w:spacing w:after="0"/>
              <w:rPr>
                <w:sz w:val="23"/>
                <w:szCs w:val="23"/>
                <w:color w:val="auto"/>
              </w:rPr>
            </w:pPr>
          </w:p>
        </w:tc>
        <w:tc>
          <w:tcPr>
            <w:tcW w:w="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4,294</w:t>
            </w:r>
          </w:p>
        </w:tc>
        <w:tc>
          <w:tcPr>
            <w:tcW w:w="100" w:type="dxa"/>
            <w:vAlign w:val="bottom"/>
            <w:tcBorders>
              <w:bottom w:val="single" w:sz="8" w:color="D2DCE5"/>
            </w:tcBorders>
            <w:shd w:val="clear" w:color="auto" w:fill="D2DCE5"/>
          </w:tcPr>
          <w:p>
            <w:pPr>
              <w:spacing w:after="0"/>
              <w:rPr>
                <w:sz w:val="23"/>
                <w:szCs w:val="23"/>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3.9</w:t>
            </w:r>
          </w:p>
        </w:tc>
        <w:tc>
          <w:tcPr>
            <w:tcW w:w="100" w:type="dxa"/>
            <w:vAlign w:val="bottom"/>
            <w:tcBorders>
              <w:bottom w:val="single" w:sz="8" w:color="D2DCE5"/>
            </w:tcBorders>
            <w:shd w:val="clear" w:color="auto" w:fill="D2DCE5"/>
          </w:tcPr>
          <w:p>
            <w:pPr>
              <w:spacing w:after="0"/>
              <w:rPr>
                <w:sz w:val="23"/>
                <w:szCs w:val="23"/>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25,071</w:t>
            </w:r>
          </w:p>
        </w:tc>
        <w:tc>
          <w:tcPr>
            <w:tcW w:w="100" w:type="dxa"/>
            <w:vAlign w:val="bottom"/>
            <w:tcBorders>
              <w:bottom w:val="single" w:sz="8" w:color="D2DCE5"/>
            </w:tcBorders>
            <w:shd w:val="clear" w:color="auto" w:fill="D2DCE5"/>
          </w:tcPr>
          <w:p>
            <w:pPr>
              <w:spacing w:after="0"/>
              <w:rPr>
                <w:sz w:val="23"/>
                <w:szCs w:val="23"/>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5.4</w:t>
            </w:r>
          </w:p>
        </w:tc>
        <w:tc>
          <w:tcPr>
            <w:tcW w:w="1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11,038</w:t>
            </w:r>
          </w:p>
        </w:tc>
        <w:tc>
          <w:tcPr>
            <w:tcW w:w="100" w:type="dxa"/>
            <w:vAlign w:val="bottom"/>
            <w:tcBorders>
              <w:bottom w:val="single" w:sz="8" w:color="D2DCE5"/>
            </w:tcBorders>
            <w:shd w:val="clear" w:color="auto" w:fill="D2DCE5"/>
          </w:tcPr>
          <w:p>
            <w:pPr>
              <w:spacing w:after="0"/>
              <w:rPr>
                <w:sz w:val="23"/>
                <w:szCs w:val="23"/>
                <w:color w:val="auto"/>
              </w:rPr>
            </w:pPr>
          </w:p>
        </w:tc>
        <w:tc>
          <w:tcPr>
            <w:tcW w:w="100" w:type="dxa"/>
            <w:vAlign w:val="bottom"/>
            <w:tcBorders>
              <w:bottom w:val="single" w:sz="8" w:color="D2DCE5"/>
            </w:tcBorders>
            <w:shd w:val="clear" w:color="auto" w:fill="D2DCE5"/>
          </w:tcPr>
          <w:p>
            <w:pPr>
              <w:spacing w:after="0"/>
              <w:rPr>
                <w:sz w:val="23"/>
                <w:szCs w:val="23"/>
                <w:color w:val="auto"/>
              </w:rPr>
            </w:pPr>
          </w:p>
        </w:tc>
        <w:tc>
          <w:tcPr>
            <w:tcW w:w="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3.8</w:t>
            </w:r>
          </w:p>
        </w:tc>
        <w:tc>
          <w:tcPr>
            <w:tcW w:w="0" w:type="dxa"/>
            <w:vAlign w:val="bottom"/>
          </w:tcPr>
          <w:p>
            <w:pPr>
              <w:spacing w:after="0"/>
              <w:rPr>
                <w:sz w:val="1"/>
                <w:szCs w:val="1"/>
                <w:color w:val="auto"/>
              </w:rPr>
            </w:pPr>
          </w:p>
        </w:tc>
      </w:tr>
      <w:tr>
        <w:trPr>
          <w:trHeight w:val="264"/>
        </w:trPr>
        <w:tc>
          <w:tcPr>
            <w:tcW w:w="3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 gross profit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34,720</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23,111</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21.3</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82,577</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17.8</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70,141</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24.2</w:t>
            </w:r>
          </w:p>
        </w:tc>
        <w:tc>
          <w:tcPr>
            <w:tcW w:w="0" w:type="dxa"/>
            <w:vAlign w:val="bottom"/>
          </w:tcPr>
          <w:p>
            <w:pPr>
              <w:spacing w:after="0"/>
              <w:rPr>
                <w:sz w:val="1"/>
                <w:szCs w:val="1"/>
                <w:color w:val="auto"/>
              </w:rPr>
            </w:pPr>
          </w:p>
        </w:tc>
      </w:tr>
      <w:tr>
        <w:trPr>
          <w:trHeight w:val="20"/>
        </w:trPr>
        <w:tc>
          <w:tcPr>
            <w:tcW w:w="356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36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 xml:space="preserve">Company-operated shop contribution </w:t>
            </w:r>
            <w:r>
              <w:rPr>
                <w:rFonts w:ascii="Arial" w:cs="Arial" w:eastAsia="Arial" w:hAnsi="Arial"/>
                <w:sz w:val="23"/>
                <w:szCs w:val="23"/>
                <w:color w:val="131E29"/>
                <w:vertAlign w:val="superscript"/>
              </w:rPr>
              <w:t>1</w:t>
            </w:r>
          </w:p>
        </w:tc>
        <w:tc>
          <w:tcPr>
            <w:tcW w:w="10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44,344</w:t>
            </w:r>
          </w:p>
        </w:tc>
        <w:tc>
          <w:tcPr>
            <w:tcW w:w="100" w:type="dxa"/>
            <w:vAlign w:val="bottom"/>
            <w:shd w:val="clear" w:color="auto" w:fill="D2DCE5"/>
          </w:tcPr>
          <w:p>
            <w:pPr>
              <w:spacing w:after="0"/>
              <w:rPr>
                <w:sz w:val="24"/>
                <w:szCs w:val="24"/>
                <w:color w:val="auto"/>
              </w:rPr>
            </w:pPr>
          </w:p>
        </w:tc>
        <w:tc>
          <w:tcPr>
            <w:tcW w:w="6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25.6</w:t>
            </w:r>
          </w:p>
        </w:tc>
        <w:tc>
          <w:tcPr>
            <w:tcW w:w="100" w:type="dxa"/>
            <w:vAlign w:val="bottom"/>
            <w:shd w:val="clear" w:color="auto" w:fill="D2DCE5"/>
          </w:tcPr>
          <w:p>
            <w:pPr>
              <w:spacing w:after="0"/>
              <w:rPr>
                <w:sz w:val="24"/>
                <w:szCs w:val="24"/>
                <w:color w:val="auto"/>
              </w:rPr>
            </w:pPr>
          </w:p>
        </w:tc>
        <w:tc>
          <w:tcPr>
            <w:tcW w:w="200" w:type="dxa"/>
            <w:vAlign w:val="bottom"/>
            <w:shd w:val="clear" w:color="auto" w:fill="D2DCE5"/>
          </w:tcPr>
          <w:p>
            <w:pPr>
              <w:spacing w:after="0"/>
              <w:rPr>
                <w:sz w:val="24"/>
                <w:szCs w:val="24"/>
                <w:color w:val="auto"/>
              </w:rPr>
            </w:pPr>
          </w:p>
        </w:tc>
        <w:tc>
          <w:tcPr>
            <w:tcW w:w="8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27,405</w:t>
            </w:r>
          </w:p>
        </w:tc>
        <w:tc>
          <w:tcPr>
            <w:tcW w:w="100" w:type="dxa"/>
            <w:vAlign w:val="bottom"/>
            <w:shd w:val="clear" w:color="auto" w:fill="D2DCE5"/>
          </w:tcPr>
          <w:p>
            <w:pPr>
              <w:spacing w:after="0"/>
              <w:rPr>
                <w:sz w:val="24"/>
                <w:szCs w:val="24"/>
                <w:color w:val="auto"/>
              </w:rPr>
            </w:pPr>
          </w:p>
        </w:tc>
        <w:tc>
          <w:tcPr>
            <w:tcW w:w="68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25.2</w:t>
            </w:r>
          </w:p>
        </w:tc>
        <w:tc>
          <w:tcPr>
            <w:tcW w:w="100" w:type="dxa"/>
            <w:vAlign w:val="bottom"/>
            <w:shd w:val="clear" w:color="auto" w:fill="D2DCE5"/>
          </w:tcPr>
          <w:p>
            <w:pPr>
              <w:spacing w:after="0"/>
              <w:rPr>
                <w:sz w:val="24"/>
                <w:szCs w:val="24"/>
                <w:color w:val="auto"/>
              </w:rPr>
            </w:pPr>
          </w:p>
        </w:tc>
        <w:tc>
          <w:tcPr>
            <w:tcW w:w="10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107,648</w:t>
            </w:r>
          </w:p>
        </w:tc>
        <w:tc>
          <w:tcPr>
            <w:tcW w:w="100" w:type="dxa"/>
            <w:vAlign w:val="bottom"/>
            <w:shd w:val="clear" w:color="auto" w:fill="D2DCE5"/>
          </w:tcPr>
          <w:p>
            <w:pPr>
              <w:spacing w:after="0"/>
              <w:rPr>
                <w:sz w:val="24"/>
                <w:szCs w:val="24"/>
                <w:color w:val="auto"/>
              </w:rPr>
            </w:pPr>
          </w:p>
        </w:tc>
        <w:tc>
          <w:tcPr>
            <w:tcW w:w="68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23.2</w:t>
            </w:r>
          </w:p>
        </w:tc>
        <w:tc>
          <w:tcPr>
            <w:tcW w:w="100" w:type="dxa"/>
            <w:vAlign w:val="bottom"/>
            <w:shd w:val="clear" w:color="auto" w:fill="D2DCE5"/>
          </w:tcPr>
          <w:p>
            <w:pPr>
              <w:spacing w:after="0"/>
              <w:rPr>
                <w:sz w:val="24"/>
                <w:szCs w:val="24"/>
                <w:color w:val="auto"/>
              </w:rPr>
            </w:pPr>
          </w:p>
        </w:tc>
        <w:tc>
          <w:tcPr>
            <w:tcW w:w="10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81,179</w:t>
            </w:r>
          </w:p>
        </w:tc>
        <w:tc>
          <w:tcPr>
            <w:tcW w:w="100" w:type="dxa"/>
            <w:vAlign w:val="bottom"/>
            <w:shd w:val="clear" w:color="auto" w:fill="D2DCE5"/>
          </w:tcPr>
          <w:p>
            <w:pPr>
              <w:spacing w:after="0"/>
              <w:rPr>
                <w:sz w:val="24"/>
                <w:szCs w:val="24"/>
                <w:color w:val="auto"/>
              </w:rPr>
            </w:pPr>
          </w:p>
        </w:tc>
        <w:tc>
          <w:tcPr>
            <w:tcW w:w="100" w:type="dxa"/>
            <w:vAlign w:val="bottom"/>
            <w:shd w:val="clear" w:color="auto" w:fill="D2DCE5"/>
          </w:tcPr>
          <w:p>
            <w:pPr>
              <w:spacing w:after="0"/>
              <w:rPr>
                <w:sz w:val="24"/>
                <w:szCs w:val="24"/>
                <w:color w:val="auto"/>
              </w:rPr>
            </w:pPr>
          </w:p>
        </w:tc>
        <w:tc>
          <w:tcPr>
            <w:tcW w:w="6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28.0</w:t>
            </w:r>
          </w:p>
        </w:tc>
        <w:tc>
          <w:tcPr>
            <w:tcW w:w="0" w:type="dxa"/>
            <w:vAlign w:val="bottom"/>
          </w:tcPr>
          <w:p>
            <w:pPr>
              <w:spacing w:after="0"/>
              <w:rPr>
                <w:sz w:val="1"/>
                <w:szCs w:val="1"/>
                <w:color w:val="auto"/>
              </w:rPr>
            </w:pPr>
          </w:p>
        </w:tc>
      </w:tr>
      <w:tr>
        <w:trPr>
          <w:trHeight w:val="91"/>
        </w:trPr>
        <w:tc>
          <w:tcPr>
            <w:tcW w:w="3560" w:type="dxa"/>
            <w:vAlign w:val="bottom"/>
            <w:shd w:val="clear" w:color="auto" w:fill="D2DCE5"/>
          </w:tcPr>
          <w:p>
            <w:pPr>
              <w:spacing w:after="0"/>
              <w:rPr>
                <w:sz w:val="7"/>
                <w:szCs w:val="7"/>
                <w:color w:val="auto"/>
              </w:rPr>
            </w:pPr>
          </w:p>
        </w:tc>
        <w:tc>
          <w:tcPr>
            <w:tcW w:w="100" w:type="dxa"/>
            <w:vAlign w:val="bottom"/>
            <w:shd w:val="clear" w:color="auto" w:fill="D2DCE5"/>
          </w:tcPr>
          <w:p>
            <w:pPr>
              <w:spacing w:after="0"/>
              <w:rPr>
                <w:sz w:val="7"/>
                <w:szCs w:val="7"/>
                <w:color w:val="auto"/>
              </w:rPr>
            </w:pPr>
          </w:p>
        </w:tc>
        <w:tc>
          <w:tcPr>
            <w:tcW w:w="1060" w:type="dxa"/>
            <w:vAlign w:val="bottom"/>
            <w:vMerge w:val="continue"/>
            <w:shd w:val="clear" w:color="auto" w:fill="D2DCE5"/>
          </w:tcPr>
          <w:p>
            <w:pPr>
              <w:spacing w:after="0"/>
              <w:rPr>
                <w:sz w:val="7"/>
                <w:szCs w:val="7"/>
                <w:color w:val="auto"/>
              </w:rPr>
            </w:pPr>
          </w:p>
        </w:tc>
        <w:tc>
          <w:tcPr>
            <w:tcW w:w="100" w:type="dxa"/>
            <w:vAlign w:val="bottom"/>
            <w:shd w:val="clear" w:color="auto" w:fill="D2DCE5"/>
          </w:tcPr>
          <w:p>
            <w:pPr>
              <w:spacing w:after="0"/>
              <w:rPr>
                <w:sz w:val="7"/>
                <w:szCs w:val="7"/>
                <w:color w:val="auto"/>
              </w:rPr>
            </w:pPr>
          </w:p>
        </w:tc>
        <w:tc>
          <w:tcPr>
            <w:tcW w:w="660" w:type="dxa"/>
            <w:vAlign w:val="bottom"/>
            <w:vMerge w:val="continue"/>
            <w:shd w:val="clear" w:color="auto" w:fill="D2DCE5"/>
          </w:tcPr>
          <w:p>
            <w:pPr>
              <w:spacing w:after="0"/>
              <w:rPr>
                <w:sz w:val="7"/>
                <w:szCs w:val="7"/>
                <w:color w:val="auto"/>
              </w:rPr>
            </w:pPr>
          </w:p>
        </w:tc>
        <w:tc>
          <w:tcPr>
            <w:tcW w:w="100" w:type="dxa"/>
            <w:vAlign w:val="bottom"/>
            <w:shd w:val="clear" w:color="auto" w:fill="D2DCE5"/>
          </w:tcPr>
          <w:p>
            <w:pPr>
              <w:spacing w:after="0"/>
              <w:rPr>
                <w:sz w:val="7"/>
                <w:szCs w:val="7"/>
                <w:color w:val="auto"/>
              </w:rPr>
            </w:pPr>
          </w:p>
        </w:tc>
        <w:tc>
          <w:tcPr>
            <w:tcW w:w="200" w:type="dxa"/>
            <w:vAlign w:val="bottom"/>
            <w:shd w:val="clear" w:color="auto" w:fill="D2DCE5"/>
          </w:tcPr>
          <w:p>
            <w:pPr>
              <w:spacing w:after="0"/>
              <w:rPr>
                <w:sz w:val="7"/>
                <w:szCs w:val="7"/>
                <w:color w:val="auto"/>
              </w:rPr>
            </w:pPr>
          </w:p>
        </w:tc>
        <w:tc>
          <w:tcPr>
            <w:tcW w:w="860" w:type="dxa"/>
            <w:vAlign w:val="bottom"/>
            <w:vMerge w:val="continue"/>
            <w:shd w:val="clear" w:color="auto" w:fill="D2DCE5"/>
          </w:tcPr>
          <w:p>
            <w:pPr>
              <w:spacing w:after="0"/>
              <w:rPr>
                <w:sz w:val="7"/>
                <w:szCs w:val="7"/>
                <w:color w:val="auto"/>
              </w:rPr>
            </w:pPr>
          </w:p>
        </w:tc>
        <w:tc>
          <w:tcPr>
            <w:tcW w:w="100" w:type="dxa"/>
            <w:vAlign w:val="bottom"/>
            <w:shd w:val="clear" w:color="auto" w:fill="D2DCE5"/>
          </w:tcPr>
          <w:p>
            <w:pPr>
              <w:spacing w:after="0"/>
              <w:rPr>
                <w:sz w:val="7"/>
                <w:szCs w:val="7"/>
                <w:color w:val="auto"/>
              </w:rPr>
            </w:pPr>
          </w:p>
        </w:tc>
        <w:tc>
          <w:tcPr>
            <w:tcW w:w="680" w:type="dxa"/>
            <w:vAlign w:val="bottom"/>
            <w:vMerge w:val="continue"/>
            <w:shd w:val="clear" w:color="auto" w:fill="D2DCE5"/>
          </w:tcPr>
          <w:p>
            <w:pPr>
              <w:spacing w:after="0"/>
              <w:rPr>
                <w:sz w:val="7"/>
                <w:szCs w:val="7"/>
                <w:color w:val="auto"/>
              </w:rPr>
            </w:pPr>
          </w:p>
        </w:tc>
        <w:tc>
          <w:tcPr>
            <w:tcW w:w="100" w:type="dxa"/>
            <w:vAlign w:val="bottom"/>
            <w:shd w:val="clear" w:color="auto" w:fill="D2DCE5"/>
          </w:tcPr>
          <w:p>
            <w:pPr>
              <w:spacing w:after="0"/>
              <w:rPr>
                <w:sz w:val="7"/>
                <w:szCs w:val="7"/>
                <w:color w:val="auto"/>
              </w:rPr>
            </w:pPr>
          </w:p>
        </w:tc>
        <w:tc>
          <w:tcPr>
            <w:tcW w:w="1000" w:type="dxa"/>
            <w:vAlign w:val="bottom"/>
            <w:vMerge w:val="continue"/>
            <w:shd w:val="clear" w:color="auto" w:fill="D2DCE5"/>
          </w:tcPr>
          <w:p>
            <w:pPr>
              <w:spacing w:after="0"/>
              <w:rPr>
                <w:sz w:val="7"/>
                <w:szCs w:val="7"/>
                <w:color w:val="auto"/>
              </w:rPr>
            </w:pPr>
          </w:p>
        </w:tc>
        <w:tc>
          <w:tcPr>
            <w:tcW w:w="100" w:type="dxa"/>
            <w:vAlign w:val="bottom"/>
            <w:shd w:val="clear" w:color="auto" w:fill="D2DCE5"/>
          </w:tcPr>
          <w:p>
            <w:pPr>
              <w:spacing w:after="0"/>
              <w:rPr>
                <w:sz w:val="7"/>
                <w:szCs w:val="7"/>
                <w:color w:val="auto"/>
              </w:rPr>
            </w:pPr>
          </w:p>
        </w:tc>
        <w:tc>
          <w:tcPr>
            <w:tcW w:w="680" w:type="dxa"/>
            <w:vAlign w:val="bottom"/>
            <w:vMerge w:val="continue"/>
            <w:shd w:val="clear" w:color="auto" w:fill="D2DCE5"/>
          </w:tcPr>
          <w:p>
            <w:pPr>
              <w:spacing w:after="0"/>
              <w:rPr>
                <w:sz w:val="7"/>
                <w:szCs w:val="7"/>
                <w:color w:val="auto"/>
              </w:rPr>
            </w:pPr>
          </w:p>
        </w:tc>
        <w:tc>
          <w:tcPr>
            <w:tcW w:w="100" w:type="dxa"/>
            <w:vAlign w:val="bottom"/>
            <w:shd w:val="clear" w:color="auto" w:fill="D2DCE5"/>
          </w:tcPr>
          <w:p>
            <w:pPr>
              <w:spacing w:after="0"/>
              <w:rPr>
                <w:sz w:val="7"/>
                <w:szCs w:val="7"/>
                <w:color w:val="auto"/>
              </w:rPr>
            </w:pPr>
          </w:p>
        </w:tc>
        <w:tc>
          <w:tcPr>
            <w:tcW w:w="1020" w:type="dxa"/>
            <w:vAlign w:val="bottom"/>
            <w:vMerge w:val="continue"/>
            <w:shd w:val="clear" w:color="auto" w:fill="D2DCE5"/>
          </w:tcPr>
          <w:p>
            <w:pPr>
              <w:spacing w:after="0"/>
              <w:rPr>
                <w:sz w:val="7"/>
                <w:szCs w:val="7"/>
                <w:color w:val="auto"/>
              </w:rPr>
            </w:pPr>
          </w:p>
        </w:tc>
        <w:tc>
          <w:tcPr>
            <w:tcW w:w="100" w:type="dxa"/>
            <w:vAlign w:val="bottom"/>
            <w:shd w:val="clear" w:color="auto" w:fill="D2DCE5"/>
          </w:tcPr>
          <w:p>
            <w:pPr>
              <w:spacing w:after="0"/>
              <w:rPr>
                <w:sz w:val="7"/>
                <w:szCs w:val="7"/>
                <w:color w:val="auto"/>
              </w:rPr>
            </w:pPr>
          </w:p>
        </w:tc>
        <w:tc>
          <w:tcPr>
            <w:tcW w:w="100" w:type="dxa"/>
            <w:vAlign w:val="bottom"/>
            <w:shd w:val="clear" w:color="auto" w:fill="D2DCE5"/>
          </w:tcPr>
          <w:p>
            <w:pPr>
              <w:spacing w:after="0"/>
              <w:rPr>
                <w:sz w:val="7"/>
                <w:szCs w:val="7"/>
                <w:color w:val="auto"/>
              </w:rPr>
            </w:pPr>
          </w:p>
        </w:tc>
        <w:tc>
          <w:tcPr>
            <w:tcW w:w="620" w:type="dxa"/>
            <w:vAlign w:val="bottom"/>
            <w:vMerge w:val="continue"/>
            <w:shd w:val="clear" w:color="auto" w:fill="D2DCE5"/>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356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06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66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200" w:type="dxa"/>
            <w:vAlign w:val="bottom"/>
            <w:shd w:val="clear" w:color="auto" w:fill="D2DCE5"/>
          </w:tcPr>
          <w:p>
            <w:pPr>
              <w:spacing w:after="0"/>
              <w:rPr>
                <w:sz w:val="2"/>
                <w:szCs w:val="2"/>
                <w:color w:val="auto"/>
              </w:rPr>
            </w:pPr>
          </w:p>
        </w:tc>
        <w:tc>
          <w:tcPr>
            <w:tcW w:w="86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68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00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68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02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620" w:type="dxa"/>
            <w:vAlign w:val="bottom"/>
            <w:shd w:val="clear" w:color="auto" w:fill="D2DCE5"/>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77" w:lineRule="exact"/>
        <w:rPr>
          <w:sz w:val="20"/>
          <w:szCs w:val="20"/>
          <w:color w:val="auto"/>
        </w:rPr>
      </w:pPr>
    </w:p>
    <w:p>
      <w:pPr>
        <w:ind w:left="180" w:hanging="172"/>
        <w:spacing w:after="0" w:line="278" w:lineRule="auto"/>
        <w:tabs>
          <w:tab w:leader="none" w:pos="174" w:val="left"/>
        </w:tabs>
        <w:numPr>
          <w:ilvl w:val="0"/>
          <w:numId w:val="32"/>
        </w:numPr>
        <w:rPr>
          <w:rFonts w:ascii="Arial" w:cs="Arial" w:eastAsia="Arial" w:hAnsi="Arial"/>
          <w:sz w:val="9"/>
          <w:szCs w:val="9"/>
          <w:color w:val="131E29"/>
        </w:rPr>
      </w:pPr>
      <w:r>
        <w:rPr>
          <w:rFonts w:ascii="Arial" w:cs="Arial" w:eastAsia="Arial" w:hAnsi="Arial"/>
          <w:sz w:val="14"/>
          <w:szCs w:val="14"/>
          <w:color w:val="131E29"/>
        </w:rPr>
        <w:t>Reconciliation of GAAP to non-GAAP results is provided in the section “Non-GAAP Financial Measures” in Part I, 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Company-operated Shop Segment Performance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Company-operated Shop Revenue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gridSpan w:val="8"/>
          </w:tcPr>
          <w:p>
            <w:pPr>
              <w:ind w:left="640"/>
              <w:spacing w:after="0"/>
              <w:rPr>
                <w:sz w:val="20"/>
                <w:szCs w:val="20"/>
                <w:color w:val="auto"/>
              </w:rPr>
            </w:pPr>
            <w:r>
              <w:rPr>
                <w:rFonts w:ascii="Arial" w:cs="Arial" w:eastAsia="Arial" w:hAnsi="Arial"/>
                <w:sz w:val="18"/>
                <w:szCs w:val="18"/>
                <w:b w:val="1"/>
                <w:bCs w:val="1"/>
                <w:color w:val="131E29"/>
              </w:rPr>
              <w:t>Three Months Ended September 30,</w:t>
            </w:r>
          </w:p>
        </w:tc>
        <w:tc>
          <w:tcPr>
            <w:tcW w:w="3640" w:type="dxa"/>
            <w:vAlign w:val="bottom"/>
            <w:gridSpan w:val="7"/>
          </w:tcPr>
          <w:p>
            <w:pPr>
              <w:jc w:val="right"/>
              <w:spacing w:after="0"/>
              <w:rPr>
                <w:sz w:val="20"/>
                <w:szCs w:val="20"/>
                <w:color w:val="auto"/>
              </w:rPr>
            </w:pPr>
            <w:r>
              <w:rPr>
                <w:rFonts w:ascii="Arial" w:cs="Arial" w:eastAsia="Arial" w:hAnsi="Arial"/>
                <w:sz w:val="18"/>
                <w:szCs w:val="18"/>
                <w:b w:val="1"/>
                <w:bCs w:val="1"/>
                <w:color w:val="131E29"/>
              </w:rPr>
              <w:t>Nine Months Ended September 30,</w:t>
            </w:r>
          </w:p>
        </w:tc>
        <w:tc>
          <w:tcPr>
            <w:tcW w:w="660" w:type="dxa"/>
            <w:vAlign w:val="bottom"/>
          </w:tcPr>
          <w:p>
            <w:pPr>
              <w:spacing w:after="0"/>
              <w:rPr>
                <w:sz w:val="20"/>
                <w:szCs w:val="20"/>
                <w:color w:val="auto"/>
              </w:rPr>
            </w:pPr>
          </w:p>
        </w:tc>
      </w:tr>
      <w:tr>
        <w:trPr>
          <w:trHeight w:val="27"/>
        </w:trPr>
        <w:tc>
          <w:tcPr>
            <w:tcW w:w="2500" w:type="dxa"/>
            <w:vAlign w:val="bottom"/>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r>
      <w:tr>
        <w:trPr>
          <w:trHeight w:val="238"/>
        </w:trPr>
        <w:tc>
          <w:tcPr>
            <w:tcW w:w="250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3"/>
          </w:tcPr>
          <w:p>
            <w:pPr>
              <w:ind w:left="200"/>
              <w:spacing w:after="0"/>
              <w:rPr>
                <w:sz w:val="20"/>
                <w:szCs w:val="20"/>
                <w:color w:val="auto"/>
              </w:rPr>
            </w:pPr>
            <w:r>
              <w:rPr>
                <w:rFonts w:ascii="Arial" w:cs="Arial" w:eastAsia="Arial" w:hAnsi="Arial"/>
                <w:sz w:val="18"/>
                <w:szCs w:val="18"/>
                <w:b w:val="1"/>
                <w:bCs w:val="1"/>
                <w:color w:val="131E29"/>
              </w:rPr>
              <w:t>2022 v. 2021</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55"/>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right"/>
              <w:ind w:right="379"/>
              <w:spacing w:after="0"/>
              <w:rPr>
                <w:sz w:val="20"/>
                <w:szCs w:val="20"/>
                <w:color w:val="auto"/>
              </w:rPr>
            </w:pPr>
            <w:r>
              <w:rPr>
                <w:rFonts w:ascii="Arial" w:cs="Arial" w:eastAsia="Arial" w:hAnsi="Arial"/>
                <w:sz w:val="18"/>
                <w:szCs w:val="18"/>
                <w:b w:val="1"/>
                <w:bCs w:val="1"/>
                <w:color w:val="131E29"/>
              </w:rPr>
              <w:t>2022 v. 2021</w:t>
            </w:r>
          </w:p>
        </w:tc>
      </w:tr>
      <w:tr>
        <w:trPr>
          <w:trHeight w:val="26"/>
        </w:trPr>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131E29"/>
            </w:tcBorders>
          </w:tcPr>
          <w:p>
            <w:pPr>
              <w:spacing w:after="0"/>
              <w:rPr>
                <w:sz w:val="2"/>
                <w:szCs w:val="2"/>
                <w:color w:val="auto"/>
              </w:rPr>
            </w:pPr>
          </w:p>
        </w:tc>
        <w:tc>
          <w:tcPr>
            <w:tcW w:w="880" w:type="dxa"/>
            <w:vAlign w:val="bottom"/>
            <w:tcBorders>
              <w:bottom w:val="single" w:sz="8" w:color="131E29"/>
            </w:tcBorders>
          </w:tcPr>
          <w:p>
            <w:pPr>
              <w:spacing w:after="0"/>
              <w:rPr>
                <w:sz w:val="2"/>
                <w:szCs w:val="2"/>
                <w:color w:val="auto"/>
              </w:rPr>
            </w:pPr>
          </w:p>
        </w:tc>
        <w:tc>
          <w:tcPr>
            <w:tcW w:w="8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8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8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6"/>
        </w:trPr>
        <w:tc>
          <w:tcPr>
            <w:tcW w:w="25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Company-operated shop</w:t>
            </w:r>
          </w:p>
        </w:tc>
        <w:tc>
          <w:tcPr>
            <w:tcW w:w="10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108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880" w:type="dxa"/>
            <w:vAlign w:val="bottom"/>
            <w:shd w:val="clear" w:color="auto" w:fill="D2DCE5"/>
          </w:tcPr>
          <w:p>
            <w:pPr>
              <w:spacing w:after="0"/>
              <w:rPr>
                <w:sz w:val="20"/>
                <w:szCs w:val="20"/>
                <w:color w:val="auto"/>
              </w:rPr>
            </w:pPr>
          </w:p>
        </w:tc>
        <w:tc>
          <w:tcPr>
            <w:tcW w:w="8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0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240" w:type="dxa"/>
            <w:vAlign w:val="bottom"/>
            <w:shd w:val="clear" w:color="auto" w:fill="D2DCE5"/>
          </w:tcPr>
          <w:p>
            <w:pPr>
              <w:spacing w:after="0"/>
              <w:rPr>
                <w:sz w:val="20"/>
                <w:szCs w:val="20"/>
                <w:color w:val="auto"/>
              </w:rPr>
            </w:pPr>
          </w:p>
        </w:tc>
        <w:tc>
          <w:tcPr>
            <w:tcW w:w="8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40" w:type="dxa"/>
            <w:vAlign w:val="bottom"/>
            <w:shd w:val="clear" w:color="auto" w:fill="D2DCE5"/>
          </w:tcPr>
          <w:p>
            <w:pPr>
              <w:spacing w:after="0"/>
              <w:rPr>
                <w:sz w:val="20"/>
                <w:szCs w:val="20"/>
                <w:color w:val="auto"/>
              </w:rPr>
            </w:pPr>
          </w:p>
        </w:tc>
        <w:tc>
          <w:tcPr>
            <w:tcW w:w="1060" w:type="dxa"/>
            <w:vAlign w:val="bottom"/>
            <w:shd w:val="clear" w:color="auto" w:fill="D2DCE5"/>
          </w:tcPr>
          <w:p>
            <w:pPr>
              <w:spacing w:after="0"/>
              <w:rPr>
                <w:sz w:val="20"/>
                <w:szCs w:val="20"/>
                <w:color w:val="auto"/>
              </w:rPr>
            </w:pPr>
          </w:p>
        </w:tc>
        <w:tc>
          <w:tcPr>
            <w:tcW w:w="660" w:type="dxa"/>
            <w:vAlign w:val="bottom"/>
            <w:shd w:val="clear" w:color="auto" w:fill="D2DCE5"/>
          </w:tcPr>
          <w:p>
            <w:pPr>
              <w:spacing w:after="0"/>
              <w:rPr>
                <w:sz w:val="20"/>
                <w:szCs w:val="20"/>
                <w:color w:val="auto"/>
              </w:rPr>
            </w:pPr>
          </w:p>
        </w:tc>
      </w:tr>
      <w:tr>
        <w:trPr>
          <w:trHeight w:val="244"/>
        </w:trPr>
        <w:tc>
          <w:tcPr>
            <w:tcW w:w="25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revenue</w:t>
            </w:r>
          </w:p>
        </w:tc>
        <w:tc>
          <w:tcPr>
            <w:tcW w:w="1080" w:type="dxa"/>
            <w:vAlign w:val="bottom"/>
            <w:shd w:val="clear" w:color="auto" w:fill="D2DCE5"/>
          </w:tcPr>
          <w:p>
            <w:pPr>
              <w:jc w:val="right"/>
              <w:ind w:right="50"/>
              <w:spacing w:after="0"/>
              <w:rPr>
                <w:sz w:val="20"/>
                <w:szCs w:val="20"/>
                <w:color w:val="auto"/>
              </w:rPr>
            </w:pPr>
            <w:r>
              <w:rPr>
                <w:rFonts w:ascii="Arial" w:cs="Arial" w:eastAsia="Arial" w:hAnsi="Arial"/>
                <w:sz w:val="18"/>
                <w:szCs w:val="18"/>
                <w:color w:val="131E29"/>
              </w:rPr>
              <w:t>$  173,501</w:t>
            </w:r>
          </w:p>
        </w:tc>
        <w:tc>
          <w:tcPr>
            <w:tcW w:w="80" w:type="dxa"/>
            <w:vAlign w:val="bottom"/>
            <w:shd w:val="clear" w:color="auto" w:fill="D2DCE5"/>
          </w:tcPr>
          <w:p>
            <w:pPr>
              <w:spacing w:after="0"/>
              <w:rPr>
                <w:sz w:val="21"/>
                <w:szCs w:val="21"/>
                <w:color w:val="auto"/>
              </w:rPr>
            </w:pPr>
          </w:p>
        </w:tc>
        <w:tc>
          <w:tcPr>
            <w:tcW w:w="108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131E29"/>
              </w:rPr>
              <w:t>$  108,661</w:t>
            </w:r>
          </w:p>
        </w:tc>
        <w:tc>
          <w:tcPr>
            <w:tcW w:w="100" w:type="dxa"/>
            <w:vAlign w:val="bottom"/>
            <w:shd w:val="clear" w:color="auto" w:fill="D2DCE5"/>
          </w:tcPr>
          <w:p>
            <w:pPr>
              <w:spacing w:after="0"/>
              <w:rPr>
                <w:sz w:val="21"/>
                <w:szCs w:val="21"/>
                <w:color w:val="auto"/>
              </w:rPr>
            </w:pPr>
          </w:p>
        </w:tc>
        <w:tc>
          <w:tcPr>
            <w:tcW w:w="28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88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rPr>
              <w:t>64,840</w:t>
            </w:r>
          </w:p>
        </w:tc>
        <w:tc>
          <w:tcPr>
            <w:tcW w:w="84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rPr>
              <w:t>59.7%</w:t>
            </w:r>
          </w:p>
        </w:tc>
        <w:tc>
          <w:tcPr>
            <w:tcW w:w="100" w:type="dxa"/>
            <w:vAlign w:val="bottom"/>
            <w:shd w:val="clear" w:color="auto" w:fill="D2DCE5"/>
          </w:tcPr>
          <w:p>
            <w:pPr>
              <w:spacing w:after="0"/>
              <w:rPr>
                <w:sz w:val="21"/>
                <w:szCs w:val="21"/>
                <w:color w:val="auto"/>
              </w:rPr>
            </w:pPr>
          </w:p>
        </w:tc>
        <w:tc>
          <w:tcPr>
            <w:tcW w:w="1080" w:type="dxa"/>
            <w:vAlign w:val="bottom"/>
            <w:shd w:val="clear" w:color="auto" w:fill="D2DCE5"/>
          </w:tcPr>
          <w:p>
            <w:pPr>
              <w:jc w:val="right"/>
              <w:ind w:right="12"/>
              <w:spacing w:after="0"/>
              <w:rPr>
                <w:sz w:val="20"/>
                <w:szCs w:val="20"/>
                <w:color w:val="auto"/>
              </w:rPr>
            </w:pPr>
            <w:r>
              <w:rPr>
                <w:rFonts w:ascii="Arial" w:cs="Arial" w:eastAsia="Arial" w:hAnsi="Arial"/>
                <w:sz w:val="16"/>
                <w:szCs w:val="16"/>
                <w:color w:val="131E29"/>
              </w:rPr>
              <w:t>$464,200</w:t>
            </w: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jc w:val="right"/>
              <w:ind w:right="39"/>
              <w:spacing w:after="0"/>
              <w:rPr>
                <w:sz w:val="20"/>
                <w:szCs w:val="20"/>
                <w:color w:val="auto"/>
              </w:rPr>
            </w:pPr>
            <w:r>
              <w:rPr>
                <w:rFonts w:ascii="Arial" w:cs="Arial" w:eastAsia="Arial" w:hAnsi="Arial"/>
                <w:sz w:val="16"/>
                <w:szCs w:val="16"/>
                <w:color w:val="131E29"/>
              </w:rPr>
              <w:t>$</w:t>
            </w:r>
          </w:p>
        </w:tc>
        <w:tc>
          <w:tcPr>
            <w:tcW w:w="8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289,548</w:t>
            </w: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jc w:val="right"/>
              <w:ind w:right="39"/>
              <w:spacing w:after="0"/>
              <w:rPr>
                <w:sz w:val="20"/>
                <w:szCs w:val="20"/>
                <w:color w:val="auto"/>
              </w:rPr>
            </w:pPr>
            <w:r>
              <w:rPr>
                <w:rFonts w:ascii="Arial" w:cs="Arial" w:eastAsia="Arial" w:hAnsi="Arial"/>
                <w:sz w:val="16"/>
                <w:szCs w:val="16"/>
                <w:color w:val="131E29"/>
              </w:rPr>
              <w:t>$</w:t>
            </w:r>
          </w:p>
        </w:tc>
        <w:tc>
          <w:tcPr>
            <w:tcW w:w="1060" w:type="dxa"/>
            <w:vAlign w:val="bottom"/>
            <w:shd w:val="clear" w:color="auto" w:fill="D2DCE5"/>
          </w:tcPr>
          <w:p>
            <w:pPr>
              <w:jc w:val="right"/>
              <w:ind w:right="255"/>
              <w:spacing w:after="0"/>
              <w:rPr>
                <w:sz w:val="20"/>
                <w:szCs w:val="20"/>
                <w:color w:val="auto"/>
              </w:rPr>
            </w:pPr>
            <w:r>
              <w:rPr>
                <w:rFonts w:ascii="Arial" w:cs="Arial" w:eastAsia="Arial" w:hAnsi="Arial"/>
                <w:sz w:val="16"/>
                <w:szCs w:val="16"/>
                <w:color w:val="131E29"/>
              </w:rPr>
              <w:t>174,652</w:t>
            </w:r>
          </w:p>
        </w:tc>
        <w:tc>
          <w:tcPr>
            <w:tcW w:w="660" w:type="dxa"/>
            <w:vAlign w:val="bottom"/>
            <w:shd w:val="clear" w:color="auto" w:fill="D2DCE5"/>
          </w:tcPr>
          <w:p>
            <w:pPr>
              <w:jc w:val="right"/>
              <w:ind w:right="99"/>
              <w:spacing w:after="0"/>
              <w:rPr>
                <w:sz w:val="20"/>
                <w:szCs w:val="20"/>
                <w:color w:val="auto"/>
              </w:rPr>
            </w:pPr>
            <w:r>
              <w:rPr>
                <w:rFonts w:ascii="Arial" w:cs="Arial" w:eastAsia="Arial" w:hAnsi="Arial"/>
                <w:sz w:val="16"/>
                <w:szCs w:val="16"/>
                <w:color w:val="131E29"/>
              </w:rPr>
              <w:t>60.3%</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September 30, 2022 v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31E29"/>
        </w:rPr>
        <w:t>The Company-operated shop revenue increase was driven by the following:</w:t>
      </w:r>
    </w:p>
    <w:p>
      <w:pPr>
        <w:spacing w:after="0" w:line="171"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b w:val="1"/>
          <w:bCs w:val="1"/>
          <w:color w:val="006098"/>
        </w:rPr>
      </w:pPr>
      <w:r>
        <w:rPr>
          <w:rFonts w:ascii="Arial" w:cs="Arial" w:eastAsia="Arial" w:hAnsi="Arial"/>
          <w:sz w:val="18"/>
          <w:szCs w:val="18"/>
          <w:color w:val="131E29"/>
        </w:rPr>
        <w:t>$63.8 million from company-operated shops opened during 2022 and 2021.</w:t>
      </w:r>
    </w:p>
    <w:p>
      <w:pPr>
        <w:spacing w:after="0" w:line="106" w:lineRule="exact"/>
        <w:rPr>
          <w:rFonts w:ascii="Arial" w:cs="Arial" w:eastAsia="Arial" w:hAnsi="Arial"/>
          <w:sz w:val="18"/>
          <w:szCs w:val="18"/>
          <w:b w:val="1"/>
          <w:bCs w:val="1"/>
          <w:color w:val="006098"/>
        </w:rPr>
      </w:pPr>
    </w:p>
    <w:p>
      <w:pPr>
        <w:ind w:left="320" w:hanging="312"/>
        <w:spacing w:after="0"/>
        <w:tabs>
          <w:tab w:leader="none" w:pos="320" w:val="left"/>
        </w:tabs>
        <w:numPr>
          <w:ilvl w:val="0"/>
          <w:numId w:val="33"/>
        </w:numPr>
        <w:rPr>
          <w:rFonts w:ascii="Arial" w:cs="Arial" w:eastAsia="Arial" w:hAnsi="Arial"/>
          <w:sz w:val="18"/>
          <w:szCs w:val="18"/>
          <w:b w:val="1"/>
          <w:bCs w:val="1"/>
          <w:color w:val="006098"/>
        </w:rPr>
      </w:pPr>
      <w:r>
        <w:rPr>
          <w:rFonts w:ascii="Arial" w:cs="Arial" w:eastAsia="Arial" w:hAnsi="Arial"/>
          <w:sz w:val="18"/>
          <w:szCs w:val="18"/>
          <w:color w:val="131E29"/>
        </w:rPr>
        <w:t>$1.0 million from growth in same shop sales (1.0% for 2022) in the comparable shop base</w:t>
      </w:r>
      <w:r>
        <w:rPr>
          <w:rFonts w:ascii="Arial" w:cs="Arial" w:eastAsia="Arial" w:hAnsi="Arial"/>
          <w:sz w:val="23"/>
          <w:szCs w:val="23"/>
          <w:color w:val="131E29"/>
          <w:vertAlign w:val="superscript"/>
        </w:rPr>
        <w:t>1</w:t>
      </w:r>
      <w:r>
        <w:rPr>
          <w:rFonts w:ascii="Arial" w:cs="Arial" w:eastAsia="Arial" w:hAnsi="Arial"/>
          <w:sz w:val="18"/>
          <w:szCs w:val="18"/>
          <w:color w:val="131E29"/>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131E29"/>
        </w:rPr>
        <w:t>In the three months ended September 30, 2022, menu prices increased on average 4.4%.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30"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9"/>
          <w:szCs w:val="19"/>
          <w:color w:val="131E29"/>
          <w:vertAlign w:val="superscript"/>
        </w:rPr>
      </w:pPr>
      <w:r>
        <w:rPr>
          <w:rFonts w:ascii="Arial" w:cs="Arial" w:eastAsia="Arial" w:hAnsi="Arial"/>
          <w:sz w:val="14"/>
          <w:szCs w:val="14"/>
          <w:color w:val="131E29"/>
        </w:rPr>
        <w:t>For purposes of calculating company-operated same shop revenue, the revenue for 203 company-operated shops was included in the comparable shop base.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Nine Months Ended September 30, 2022 v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31E29"/>
        </w:rPr>
        <w:t>The Company-operated shop revenue increase was driven by the following:</w:t>
      </w:r>
    </w:p>
    <w:p>
      <w:pPr>
        <w:spacing w:after="0" w:line="171"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b w:val="1"/>
          <w:bCs w:val="1"/>
          <w:color w:val="006098"/>
        </w:rPr>
      </w:pPr>
      <w:r>
        <w:rPr>
          <w:rFonts w:ascii="Arial" w:cs="Arial" w:eastAsia="Arial" w:hAnsi="Arial"/>
          <w:sz w:val="18"/>
          <w:szCs w:val="18"/>
          <w:color w:val="131E29"/>
        </w:rPr>
        <w:t>$174.4 million from company-operated shops opened during 2022 and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Beverage, Food and Packaging Costs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20" w:type="dxa"/>
            <w:vAlign w:val="bottom"/>
            <w:gridSpan w:val="9"/>
          </w:tcPr>
          <w:p>
            <w:pPr>
              <w:ind w:left="720"/>
              <w:spacing w:after="0"/>
              <w:rPr>
                <w:sz w:val="20"/>
                <w:szCs w:val="20"/>
                <w:color w:val="auto"/>
              </w:rPr>
            </w:pPr>
            <w:r>
              <w:rPr>
                <w:rFonts w:ascii="Arial" w:cs="Arial" w:eastAsia="Arial" w:hAnsi="Arial"/>
                <w:sz w:val="18"/>
                <w:szCs w:val="18"/>
                <w:b w:val="1"/>
                <w:bCs w:val="1"/>
                <w:color w:val="131E29"/>
              </w:rPr>
              <w:t>Three Months Ended September 30,</w:t>
            </w:r>
          </w:p>
        </w:tc>
        <w:tc>
          <w:tcPr>
            <w:tcW w:w="4700" w:type="dxa"/>
            <w:vAlign w:val="bottom"/>
            <w:gridSpan w:val="8"/>
          </w:tcPr>
          <w:p>
            <w:pPr>
              <w:jc w:val="center"/>
              <w:spacing w:after="0"/>
              <w:rPr>
                <w:sz w:val="20"/>
                <w:szCs w:val="20"/>
                <w:color w:val="auto"/>
              </w:rPr>
            </w:pPr>
            <w:r>
              <w:rPr>
                <w:rFonts w:ascii="Arial" w:cs="Arial" w:eastAsia="Arial" w:hAnsi="Arial"/>
                <w:sz w:val="18"/>
                <w:szCs w:val="18"/>
                <w:b w:val="1"/>
                <w:bCs w:val="1"/>
                <w:color w:val="131E29"/>
                <w:w w:val="99"/>
              </w:rPr>
              <w:t>Nine Months Ended September 30,</w:t>
            </w:r>
          </w:p>
        </w:tc>
        <w:tc>
          <w:tcPr>
            <w:tcW w:w="0" w:type="dxa"/>
            <w:vAlign w:val="bottom"/>
          </w:tcPr>
          <w:p>
            <w:pPr>
              <w:spacing w:after="0"/>
              <w:rPr>
                <w:sz w:val="1"/>
                <w:szCs w:val="1"/>
                <w:color w:val="auto"/>
              </w:rPr>
            </w:pPr>
          </w:p>
        </w:tc>
      </w:tr>
      <w:tr>
        <w:trPr>
          <w:trHeight w:val="27"/>
        </w:trPr>
        <w:tc>
          <w:tcPr>
            <w:tcW w:w="1920" w:type="dxa"/>
            <w:vAlign w:val="bottom"/>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92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3"/>
          </w:tcPr>
          <w:p>
            <w:pPr>
              <w:ind w:left="440"/>
              <w:spacing w:after="0"/>
              <w:rPr>
                <w:sz w:val="20"/>
                <w:szCs w:val="20"/>
                <w:color w:val="auto"/>
              </w:rPr>
            </w:pPr>
            <w:r>
              <w:rPr>
                <w:rFonts w:ascii="Arial" w:cs="Arial" w:eastAsia="Arial" w:hAnsi="Arial"/>
                <w:sz w:val="18"/>
                <w:szCs w:val="18"/>
                <w:b w:val="1"/>
                <w:bCs w:val="1"/>
                <w:color w:val="131E29"/>
              </w:rPr>
              <w:t>2022 v. 2021</w:t>
            </w: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131E29"/>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131E29"/>
              </w:rPr>
              <w:t>2022 v. 2021</w:t>
            </w:r>
          </w:p>
        </w:tc>
        <w:tc>
          <w:tcPr>
            <w:tcW w:w="0" w:type="dxa"/>
            <w:vAlign w:val="bottom"/>
          </w:tcPr>
          <w:p>
            <w:pPr>
              <w:spacing w:after="0"/>
              <w:rPr>
                <w:sz w:val="1"/>
                <w:szCs w:val="1"/>
                <w:color w:val="auto"/>
              </w:rPr>
            </w:pPr>
          </w:p>
        </w:tc>
      </w:tr>
      <w:tr>
        <w:trPr>
          <w:trHeight w:val="25"/>
        </w:trPr>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131E29"/>
            </w:tcBorders>
          </w:tcPr>
          <w:p>
            <w:pPr>
              <w:spacing w:after="0"/>
              <w:rPr>
                <w:sz w:val="2"/>
                <w:szCs w:val="2"/>
                <w:color w:val="auto"/>
              </w:rPr>
            </w:pPr>
          </w:p>
        </w:tc>
        <w:tc>
          <w:tcPr>
            <w:tcW w:w="82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960" w:type="dxa"/>
            <w:vAlign w:val="bottom"/>
            <w:tcBorders>
              <w:bottom w:val="single" w:sz="8" w:color="131E29"/>
            </w:tcBorders>
          </w:tcPr>
          <w:p>
            <w:pPr>
              <w:spacing w:after="0"/>
              <w:rPr>
                <w:sz w:val="2"/>
                <w:szCs w:val="2"/>
                <w:color w:val="auto"/>
              </w:rPr>
            </w:pPr>
          </w:p>
        </w:tc>
        <w:tc>
          <w:tcPr>
            <w:tcW w:w="118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6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0" w:type="dxa"/>
            <w:vAlign w:val="bottom"/>
            <w:tcBorders>
              <w:bottom w:val="single" w:sz="8" w:color="131E29"/>
            </w:tcBorders>
          </w:tcPr>
          <w:p>
            <w:pPr>
              <w:spacing w:after="0"/>
              <w:rPr>
                <w:sz w:val="2"/>
                <w:szCs w:val="2"/>
                <w:color w:val="auto"/>
              </w:rPr>
            </w:pPr>
          </w:p>
        </w:tc>
        <w:tc>
          <w:tcPr>
            <w:tcW w:w="84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60" w:type="dxa"/>
            <w:vAlign w:val="bottom"/>
            <w:tcBorders>
              <w:bottom w:val="single" w:sz="8" w:color="131E29"/>
            </w:tcBorders>
          </w:tcPr>
          <w:p>
            <w:pPr>
              <w:spacing w:after="0"/>
              <w:rPr>
                <w:sz w:val="2"/>
                <w:szCs w:val="2"/>
                <w:color w:val="auto"/>
              </w:rPr>
            </w:pPr>
          </w:p>
        </w:tc>
        <w:tc>
          <w:tcPr>
            <w:tcW w:w="980" w:type="dxa"/>
            <w:vAlign w:val="bottom"/>
            <w:tcBorders>
              <w:bottom w:val="single" w:sz="8" w:color="131E29"/>
            </w:tcBorders>
          </w:tcPr>
          <w:p>
            <w:pPr>
              <w:spacing w:after="0"/>
              <w:rPr>
                <w:sz w:val="2"/>
                <w:szCs w:val="2"/>
                <w:color w:val="auto"/>
              </w:rPr>
            </w:pPr>
          </w:p>
        </w:tc>
        <w:tc>
          <w:tcPr>
            <w:tcW w:w="120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92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Beverage, food and</w:t>
            </w:r>
          </w:p>
        </w:tc>
        <w:tc>
          <w:tcPr>
            <w:tcW w:w="98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   47,092</w:t>
            </w:r>
          </w:p>
        </w:tc>
        <w:tc>
          <w:tcPr>
            <w:tcW w:w="100" w:type="dxa"/>
            <w:vAlign w:val="bottom"/>
            <w:shd w:val="clear" w:color="auto" w:fill="D2DCE5"/>
          </w:tcPr>
          <w:p>
            <w:pPr>
              <w:spacing w:after="0"/>
              <w:rPr>
                <w:sz w:val="18"/>
                <w:szCs w:val="18"/>
                <w:color w:val="auto"/>
              </w:rPr>
            </w:pPr>
          </w:p>
        </w:tc>
        <w:tc>
          <w:tcPr>
            <w:tcW w:w="1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w w:val="79"/>
              </w:rPr>
              <w:t>$</w:t>
            </w:r>
          </w:p>
        </w:tc>
        <w:tc>
          <w:tcPr>
            <w:tcW w:w="8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27,846</w:t>
            </w:r>
          </w:p>
        </w:tc>
        <w:tc>
          <w:tcPr>
            <w:tcW w:w="100" w:type="dxa"/>
            <w:vAlign w:val="bottom"/>
            <w:shd w:val="clear" w:color="auto" w:fill="D2DCE5"/>
          </w:tcPr>
          <w:p>
            <w:pPr>
              <w:spacing w:after="0"/>
              <w:rPr>
                <w:sz w:val="18"/>
                <w:szCs w:val="18"/>
                <w:color w:val="auto"/>
              </w:rPr>
            </w:pPr>
          </w:p>
        </w:tc>
        <w:tc>
          <w:tcPr>
            <w:tcW w:w="22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w w:val="79"/>
              </w:rPr>
              <w:t>$</w:t>
            </w:r>
          </w:p>
        </w:tc>
        <w:tc>
          <w:tcPr>
            <w:tcW w:w="960" w:type="dxa"/>
            <w:vAlign w:val="bottom"/>
            <w:vMerge w:val="restart"/>
            <w:shd w:val="clear" w:color="auto" w:fill="D2DCE5"/>
          </w:tcPr>
          <w:p>
            <w:pPr>
              <w:ind w:left="120"/>
              <w:spacing w:after="0"/>
              <w:rPr>
                <w:sz w:val="20"/>
                <w:szCs w:val="20"/>
                <w:color w:val="auto"/>
              </w:rPr>
            </w:pPr>
            <w:r>
              <w:rPr>
                <w:rFonts w:ascii="Arial" w:cs="Arial" w:eastAsia="Arial" w:hAnsi="Arial"/>
                <w:sz w:val="18"/>
                <w:szCs w:val="18"/>
                <w:color w:val="131E29"/>
              </w:rPr>
              <w:t>19,246</w:t>
            </w:r>
          </w:p>
        </w:tc>
        <w:tc>
          <w:tcPr>
            <w:tcW w:w="1180" w:type="dxa"/>
            <w:vAlign w:val="bottom"/>
            <w:vMerge w:val="restart"/>
            <w:shd w:val="clear" w:color="auto" w:fill="D2DCE5"/>
          </w:tcPr>
          <w:p>
            <w:pPr>
              <w:jc w:val="right"/>
              <w:ind w:right="290"/>
              <w:spacing w:after="0"/>
              <w:rPr>
                <w:sz w:val="20"/>
                <w:szCs w:val="20"/>
                <w:color w:val="auto"/>
              </w:rPr>
            </w:pPr>
            <w:r>
              <w:rPr>
                <w:rFonts w:ascii="Arial" w:cs="Arial" w:eastAsia="Arial" w:hAnsi="Arial"/>
                <w:sz w:val="18"/>
                <w:szCs w:val="18"/>
                <w:color w:val="131E29"/>
              </w:rPr>
              <w:t>69.1%</w:t>
            </w:r>
          </w:p>
        </w:tc>
        <w:tc>
          <w:tcPr>
            <w:tcW w:w="100" w:type="dxa"/>
            <w:vAlign w:val="bottom"/>
            <w:shd w:val="clear" w:color="auto" w:fill="D2DCE5"/>
          </w:tcPr>
          <w:p>
            <w:pPr>
              <w:spacing w:after="0"/>
              <w:rPr>
                <w:sz w:val="18"/>
                <w:szCs w:val="18"/>
                <w:color w:val="auto"/>
              </w:rPr>
            </w:pPr>
          </w:p>
        </w:tc>
        <w:tc>
          <w:tcPr>
            <w:tcW w:w="10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  126,262</w:t>
            </w:r>
          </w:p>
        </w:tc>
        <w:tc>
          <w:tcPr>
            <w:tcW w:w="80" w:type="dxa"/>
            <w:vAlign w:val="bottom"/>
            <w:shd w:val="clear" w:color="auto" w:fill="D2DCE5"/>
          </w:tcPr>
          <w:p>
            <w:pPr>
              <w:spacing w:after="0"/>
              <w:rPr>
                <w:sz w:val="18"/>
                <w:szCs w:val="18"/>
                <w:color w:val="auto"/>
              </w:rPr>
            </w:pPr>
          </w:p>
        </w:tc>
        <w:tc>
          <w:tcPr>
            <w:tcW w:w="2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8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71,564</w:t>
            </w:r>
          </w:p>
        </w:tc>
        <w:tc>
          <w:tcPr>
            <w:tcW w:w="80" w:type="dxa"/>
            <w:vAlign w:val="bottom"/>
            <w:shd w:val="clear" w:color="auto" w:fill="D2DCE5"/>
          </w:tcPr>
          <w:p>
            <w:pPr>
              <w:spacing w:after="0"/>
              <w:rPr>
                <w:sz w:val="18"/>
                <w:szCs w:val="18"/>
                <w:color w:val="auto"/>
              </w:rPr>
            </w:pPr>
          </w:p>
        </w:tc>
        <w:tc>
          <w:tcPr>
            <w:tcW w:w="260" w:type="dxa"/>
            <w:vAlign w:val="bottom"/>
            <w:vMerge w:val="restart"/>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980" w:type="dxa"/>
            <w:vAlign w:val="bottom"/>
            <w:vMerge w:val="restart"/>
            <w:shd w:val="clear" w:color="auto" w:fill="D2DCE5"/>
          </w:tcPr>
          <w:p>
            <w:pPr>
              <w:jc w:val="right"/>
              <w:ind w:right="190"/>
              <w:spacing w:after="0"/>
              <w:rPr>
                <w:sz w:val="20"/>
                <w:szCs w:val="20"/>
                <w:color w:val="auto"/>
              </w:rPr>
            </w:pPr>
            <w:r>
              <w:rPr>
                <w:rFonts w:ascii="Arial" w:cs="Arial" w:eastAsia="Arial" w:hAnsi="Arial"/>
                <w:sz w:val="18"/>
                <w:szCs w:val="18"/>
                <w:color w:val="131E29"/>
              </w:rPr>
              <w:t>54,698</w:t>
            </w:r>
          </w:p>
        </w:tc>
        <w:tc>
          <w:tcPr>
            <w:tcW w:w="1200" w:type="dxa"/>
            <w:vAlign w:val="bottom"/>
            <w:vMerge w:val="restart"/>
            <w:shd w:val="clear" w:color="auto" w:fill="D2DCE5"/>
          </w:tcPr>
          <w:p>
            <w:pPr>
              <w:jc w:val="right"/>
              <w:ind w:right="310"/>
              <w:spacing w:after="0"/>
              <w:rPr>
                <w:sz w:val="20"/>
                <w:szCs w:val="20"/>
                <w:color w:val="auto"/>
              </w:rPr>
            </w:pPr>
            <w:r>
              <w:rPr>
                <w:rFonts w:ascii="Arial" w:cs="Arial" w:eastAsia="Arial" w:hAnsi="Arial"/>
                <w:sz w:val="18"/>
                <w:szCs w:val="18"/>
                <w:color w:val="131E29"/>
              </w:rPr>
              <w:t>76.4%</w:t>
            </w:r>
          </w:p>
        </w:tc>
        <w:tc>
          <w:tcPr>
            <w:tcW w:w="0" w:type="dxa"/>
            <w:vAlign w:val="bottom"/>
          </w:tcPr>
          <w:p>
            <w:pPr>
              <w:spacing w:after="0"/>
              <w:rPr>
                <w:sz w:val="1"/>
                <w:szCs w:val="1"/>
                <w:color w:val="auto"/>
              </w:rPr>
            </w:pPr>
          </w:p>
        </w:tc>
      </w:tr>
      <w:tr>
        <w:trPr>
          <w:trHeight w:val="208"/>
        </w:trPr>
        <w:tc>
          <w:tcPr>
            <w:tcW w:w="19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6"/>
                <w:szCs w:val="16"/>
                <w:color w:val="131E29"/>
              </w:rPr>
              <w:t>packaging costs</w:t>
            </w:r>
          </w:p>
        </w:tc>
        <w:tc>
          <w:tcPr>
            <w:tcW w:w="980" w:type="dxa"/>
            <w:vAlign w:val="bottom"/>
            <w:tcBorders>
              <w:bottom w:val="single" w:sz="8" w:color="D2DCE5"/>
            </w:tcBorders>
            <w:vMerge w:val="continue"/>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160" w:type="dxa"/>
            <w:vAlign w:val="bottom"/>
            <w:tcBorders>
              <w:bottom w:val="single" w:sz="8" w:color="D2DCE5"/>
            </w:tcBorders>
            <w:vMerge w:val="continue"/>
            <w:shd w:val="clear" w:color="auto" w:fill="D2DCE5"/>
          </w:tcPr>
          <w:p>
            <w:pPr>
              <w:spacing w:after="0"/>
              <w:rPr>
                <w:sz w:val="18"/>
                <w:szCs w:val="18"/>
                <w:color w:val="auto"/>
              </w:rPr>
            </w:pPr>
          </w:p>
        </w:tc>
        <w:tc>
          <w:tcPr>
            <w:tcW w:w="820" w:type="dxa"/>
            <w:vAlign w:val="bottom"/>
            <w:tcBorders>
              <w:bottom w:val="single" w:sz="8" w:color="D2DCE5"/>
            </w:tcBorders>
            <w:vMerge w:val="continue"/>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220" w:type="dxa"/>
            <w:vAlign w:val="bottom"/>
            <w:tcBorders>
              <w:bottom w:val="single" w:sz="8" w:color="D2DCE5"/>
            </w:tcBorders>
            <w:vMerge w:val="continue"/>
            <w:shd w:val="clear" w:color="auto" w:fill="D2DCE5"/>
          </w:tcPr>
          <w:p>
            <w:pPr>
              <w:spacing w:after="0"/>
              <w:rPr>
                <w:sz w:val="18"/>
                <w:szCs w:val="18"/>
                <w:color w:val="auto"/>
              </w:rPr>
            </w:pPr>
          </w:p>
        </w:tc>
        <w:tc>
          <w:tcPr>
            <w:tcW w:w="960" w:type="dxa"/>
            <w:vAlign w:val="bottom"/>
            <w:tcBorders>
              <w:bottom w:val="single" w:sz="8" w:color="D2DCE5"/>
            </w:tcBorders>
            <w:vMerge w:val="continue"/>
            <w:shd w:val="clear" w:color="auto" w:fill="D2DCE5"/>
          </w:tcPr>
          <w:p>
            <w:pPr>
              <w:spacing w:after="0"/>
              <w:rPr>
                <w:sz w:val="18"/>
                <w:szCs w:val="18"/>
                <w:color w:val="auto"/>
              </w:rPr>
            </w:pPr>
          </w:p>
        </w:tc>
        <w:tc>
          <w:tcPr>
            <w:tcW w:w="1180" w:type="dxa"/>
            <w:vAlign w:val="bottom"/>
            <w:tcBorders>
              <w:bottom w:val="single" w:sz="8" w:color="D2DCE5"/>
            </w:tcBorders>
            <w:vMerge w:val="continue"/>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1060" w:type="dxa"/>
            <w:vAlign w:val="bottom"/>
            <w:tcBorders>
              <w:bottom w:val="single" w:sz="8" w:color="D2DCE5"/>
            </w:tcBorders>
            <w:vMerge w:val="continue"/>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200" w:type="dxa"/>
            <w:vAlign w:val="bottom"/>
            <w:tcBorders>
              <w:bottom w:val="single" w:sz="8" w:color="D2DCE5"/>
            </w:tcBorders>
            <w:vMerge w:val="continue"/>
            <w:shd w:val="clear" w:color="auto" w:fill="D2DCE5"/>
          </w:tcPr>
          <w:p>
            <w:pPr>
              <w:spacing w:after="0"/>
              <w:rPr>
                <w:sz w:val="18"/>
                <w:szCs w:val="18"/>
                <w:color w:val="auto"/>
              </w:rPr>
            </w:pPr>
          </w:p>
        </w:tc>
        <w:tc>
          <w:tcPr>
            <w:tcW w:w="840" w:type="dxa"/>
            <w:vAlign w:val="bottom"/>
            <w:tcBorders>
              <w:bottom w:val="single" w:sz="8" w:color="D2DCE5"/>
            </w:tcBorders>
            <w:vMerge w:val="continue"/>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260" w:type="dxa"/>
            <w:vAlign w:val="bottom"/>
            <w:tcBorders>
              <w:bottom w:val="single" w:sz="8" w:color="D2DCE5"/>
            </w:tcBorders>
            <w:vMerge w:val="continue"/>
            <w:shd w:val="clear" w:color="auto" w:fill="D2DCE5"/>
          </w:tcPr>
          <w:p>
            <w:pPr>
              <w:spacing w:after="0"/>
              <w:rPr>
                <w:sz w:val="18"/>
                <w:szCs w:val="18"/>
                <w:color w:val="auto"/>
              </w:rPr>
            </w:pPr>
          </w:p>
        </w:tc>
        <w:tc>
          <w:tcPr>
            <w:tcW w:w="980" w:type="dxa"/>
            <w:vAlign w:val="bottom"/>
            <w:tcBorders>
              <w:bottom w:val="single" w:sz="8" w:color="D2DCE5"/>
            </w:tcBorders>
            <w:vMerge w:val="continue"/>
            <w:shd w:val="clear" w:color="auto" w:fill="D2DCE5"/>
          </w:tcPr>
          <w:p>
            <w:pPr>
              <w:spacing w:after="0"/>
              <w:rPr>
                <w:sz w:val="18"/>
                <w:szCs w:val="18"/>
                <w:color w:val="auto"/>
              </w:rPr>
            </w:pPr>
          </w:p>
        </w:tc>
        <w:tc>
          <w:tcPr>
            <w:tcW w:w="1200" w:type="dxa"/>
            <w:vAlign w:val="bottom"/>
            <w:tcBorders>
              <w:bottom w:val="single" w:sz="8" w:color="D2DCE5"/>
            </w:tcBorders>
            <w:vMerge w:val="continue"/>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2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w:t>
            </w:r>
          </w:p>
        </w:tc>
        <w:tc>
          <w:tcPr>
            <w:tcW w:w="980" w:type="dxa"/>
            <w:vAlign w:val="bottom"/>
            <w:vMerge w:val="restart"/>
          </w:tcPr>
          <w:p>
            <w:pPr>
              <w:jc w:val="right"/>
              <w:ind w:right="150"/>
              <w:spacing w:after="0"/>
              <w:rPr>
                <w:sz w:val="20"/>
                <w:szCs w:val="20"/>
                <w:color w:val="auto"/>
              </w:rPr>
            </w:pPr>
            <w:r>
              <w:rPr>
                <w:rFonts w:ascii="Arial" w:cs="Arial" w:eastAsia="Arial" w:hAnsi="Arial"/>
                <w:sz w:val="18"/>
                <w:szCs w:val="18"/>
                <w:color w:val="131E29"/>
              </w:rPr>
              <w:t>27.1%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restart"/>
          </w:tcPr>
          <w:p>
            <w:pPr>
              <w:jc w:val="right"/>
              <w:ind w:right="150"/>
              <w:spacing w:after="0"/>
              <w:rPr>
                <w:sz w:val="20"/>
                <w:szCs w:val="20"/>
                <w:color w:val="auto"/>
              </w:rPr>
            </w:pPr>
            <w:r>
              <w:rPr>
                <w:rFonts w:ascii="Arial" w:cs="Arial" w:eastAsia="Arial" w:hAnsi="Arial"/>
                <w:sz w:val="18"/>
                <w:szCs w:val="18"/>
                <w:color w:val="131E29"/>
              </w:rPr>
              <w:t>25.6%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vMerge w:val="restart"/>
          </w:tcPr>
          <w:p>
            <w:pPr>
              <w:ind w:left="120"/>
              <w:spacing w:after="0"/>
              <w:rPr>
                <w:sz w:val="20"/>
                <w:szCs w:val="20"/>
                <w:color w:val="auto"/>
              </w:rPr>
            </w:pPr>
            <w:r>
              <w:rPr>
                <w:rFonts w:ascii="Arial" w:cs="Arial" w:eastAsia="Arial" w:hAnsi="Arial"/>
                <w:sz w:val="18"/>
                <w:szCs w:val="18"/>
                <w:color w:val="131E29"/>
              </w:rPr>
              <w:t>N/A</w:t>
            </w:r>
          </w:p>
        </w:tc>
        <w:tc>
          <w:tcPr>
            <w:tcW w:w="1280" w:type="dxa"/>
            <w:vAlign w:val="bottom"/>
            <w:gridSpan w:val="2"/>
            <w:vMerge w:val="restart"/>
          </w:tcPr>
          <w:p>
            <w:pPr>
              <w:ind w:left="520"/>
              <w:spacing w:after="0"/>
              <w:rPr>
                <w:sz w:val="20"/>
                <w:szCs w:val="20"/>
                <w:color w:val="auto"/>
              </w:rPr>
            </w:pPr>
            <w:r>
              <w:rPr>
                <w:rFonts w:ascii="Arial" w:cs="Arial" w:eastAsia="Arial" w:hAnsi="Arial"/>
                <w:sz w:val="18"/>
                <w:szCs w:val="18"/>
                <w:color w:val="131E29"/>
              </w:rPr>
              <w:t>150 bps</w:t>
            </w: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131E29"/>
              </w:rPr>
              <w:t>27.2%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restart"/>
          </w:tcPr>
          <w:p>
            <w:pPr>
              <w:jc w:val="right"/>
              <w:ind w:right="170"/>
              <w:spacing w:after="0"/>
              <w:rPr>
                <w:sz w:val="20"/>
                <w:szCs w:val="20"/>
                <w:color w:val="auto"/>
              </w:rPr>
            </w:pPr>
            <w:r>
              <w:rPr>
                <w:rFonts w:ascii="Arial" w:cs="Arial" w:eastAsia="Arial" w:hAnsi="Arial"/>
                <w:sz w:val="18"/>
                <w:szCs w:val="18"/>
                <w:color w:val="131E29"/>
              </w:rPr>
              <w:t>24.7%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restart"/>
          </w:tcPr>
          <w:p>
            <w:pPr>
              <w:jc w:val="right"/>
              <w:ind w:right="470"/>
              <w:spacing w:after="0"/>
              <w:rPr>
                <w:sz w:val="20"/>
                <w:szCs w:val="20"/>
                <w:color w:val="auto"/>
              </w:rPr>
            </w:pPr>
            <w:r>
              <w:rPr>
                <w:rFonts w:ascii="Arial" w:cs="Arial" w:eastAsia="Arial" w:hAnsi="Arial"/>
                <w:sz w:val="18"/>
                <w:szCs w:val="18"/>
                <w:color w:val="131E29"/>
              </w:rPr>
              <w:t>N/A</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131E29"/>
              </w:rPr>
              <w:t>250 bps</w:t>
            </w:r>
          </w:p>
        </w:tc>
        <w:tc>
          <w:tcPr>
            <w:tcW w:w="0" w:type="dxa"/>
            <w:vAlign w:val="bottom"/>
          </w:tcPr>
          <w:p>
            <w:pPr>
              <w:spacing w:after="0"/>
              <w:rPr>
                <w:sz w:val="1"/>
                <w:szCs w:val="1"/>
                <w:color w:val="auto"/>
              </w:rPr>
            </w:pPr>
          </w:p>
        </w:tc>
      </w:tr>
      <w:tr>
        <w:trPr>
          <w:trHeight w:val="217"/>
        </w:trPr>
        <w:tc>
          <w:tcPr>
            <w:tcW w:w="1920" w:type="dxa"/>
            <w:vAlign w:val="bottom"/>
            <w:gridSpan w:val="2"/>
          </w:tcPr>
          <w:p>
            <w:pPr>
              <w:ind w:left="20"/>
              <w:spacing w:after="0"/>
              <w:rPr>
                <w:sz w:val="20"/>
                <w:szCs w:val="20"/>
                <w:color w:val="auto"/>
              </w:rPr>
            </w:pPr>
            <w:r>
              <w:rPr>
                <w:rFonts w:ascii="Arial" w:cs="Arial" w:eastAsia="Arial" w:hAnsi="Arial"/>
                <w:sz w:val="16"/>
                <w:szCs w:val="16"/>
                <w:i w:val="1"/>
                <w:iCs w:val="1"/>
                <w:color w:val="131E29"/>
              </w:rPr>
              <w:t>revenue</w:t>
            </w: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September 30, 2022 v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31E29"/>
        </w:rPr>
        <w:t>The beverage, food and packaging costs impacts for the year-over-year comparison, in dollars and basis points, were driven by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480" w:type="dxa"/>
            <w:vAlign w:val="bottom"/>
            <w:gridSpan w:val="2"/>
          </w:tcPr>
          <w:p>
            <w:pPr>
              <w:ind w:left="20"/>
              <w:spacing w:after="0"/>
              <w:rPr>
                <w:sz w:val="20"/>
                <w:szCs w:val="20"/>
                <w:color w:val="auto"/>
              </w:rPr>
            </w:pPr>
            <w:r>
              <w:rPr>
                <w:rFonts w:ascii="Arial" w:cs="Arial" w:eastAsia="Arial" w:hAnsi="Arial"/>
                <w:sz w:val="14"/>
                <w:szCs w:val="14"/>
                <w:color w:val="131E29"/>
              </w:rPr>
              <w:t>(in thousands, except BPS; unaudited)</w:t>
            </w:r>
          </w:p>
        </w:tc>
        <w:tc>
          <w:tcPr>
            <w:tcW w:w="360" w:type="dxa"/>
            <w:vAlign w:val="bottom"/>
          </w:tcPr>
          <w:p>
            <w:pPr>
              <w:spacing w:after="0"/>
              <w:rPr>
                <w:sz w:val="20"/>
                <w:szCs w:val="20"/>
                <w:color w:val="auto"/>
              </w:rPr>
            </w:pPr>
          </w:p>
        </w:tc>
        <w:tc>
          <w:tcPr>
            <w:tcW w:w="980" w:type="dxa"/>
            <w:vAlign w:val="bottom"/>
          </w:tcPr>
          <w:p>
            <w:pPr>
              <w:jc w:val="right"/>
              <w:ind w:right="538"/>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320" w:type="dxa"/>
            <w:vAlign w:val="bottom"/>
          </w:tcPr>
          <w:p>
            <w:pPr>
              <w:jc w:val="right"/>
              <w:ind w:right="398"/>
              <w:spacing w:after="0"/>
              <w:rPr>
                <w:sz w:val="20"/>
                <w:szCs w:val="20"/>
                <w:color w:val="auto"/>
              </w:rPr>
            </w:pPr>
            <w:r>
              <w:rPr>
                <w:rFonts w:ascii="Arial" w:cs="Arial" w:eastAsia="Arial" w:hAnsi="Arial"/>
                <w:sz w:val="18"/>
                <w:szCs w:val="18"/>
                <w:b w:val="1"/>
                <w:bCs w:val="1"/>
                <w:color w:val="131E29"/>
              </w:rPr>
              <w:t>BPS</w:t>
            </w:r>
          </w:p>
        </w:tc>
      </w:tr>
      <w:tr>
        <w:trPr>
          <w:trHeight w:val="25"/>
        </w:trPr>
        <w:tc>
          <w:tcPr>
            <w:tcW w:w="84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60" w:type="dxa"/>
            <w:vAlign w:val="bottom"/>
            <w:tcBorders>
              <w:bottom w:val="single" w:sz="8" w:color="131E29"/>
            </w:tcBorders>
          </w:tcPr>
          <w:p>
            <w:pPr>
              <w:spacing w:after="0"/>
              <w:rPr>
                <w:sz w:val="2"/>
                <w:szCs w:val="2"/>
                <w:color w:val="auto"/>
              </w:rPr>
            </w:pPr>
          </w:p>
        </w:tc>
        <w:tc>
          <w:tcPr>
            <w:tcW w:w="98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131E29"/>
            </w:tcBorders>
          </w:tcPr>
          <w:p>
            <w:pPr>
              <w:spacing w:after="0"/>
              <w:rPr>
                <w:sz w:val="2"/>
                <w:szCs w:val="2"/>
                <w:color w:val="auto"/>
              </w:rPr>
            </w:pPr>
          </w:p>
        </w:tc>
      </w:tr>
      <w:tr>
        <w:trPr>
          <w:trHeight w:val="237"/>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Shop weeks</w:t>
            </w:r>
          </w:p>
        </w:tc>
        <w:tc>
          <w:tcPr>
            <w:tcW w:w="360" w:type="dxa"/>
            <w:vAlign w:val="bottom"/>
            <w:shd w:val="clear" w:color="auto" w:fill="D2DCE5"/>
          </w:tcPr>
          <w:p>
            <w:pPr>
              <w:jc w:val="right"/>
              <w:ind w:right="159"/>
              <w:spacing w:after="0"/>
              <w:rPr>
                <w:sz w:val="20"/>
                <w:szCs w:val="20"/>
                <w:color w:val="auto"/>
              </w:rPr>
            </w:pPr>
            <w:r>
              <w:rPr>
                <w:rFonts w:ascii="Arial" w:cs="Arial" w:eastAsia="Arial" w:hAnsi="Arial"/>
                <w:sz w:val="16"/>
                <w:szCs w:val="16"/>
                <w:color w:val="131E29"/>
              </w:rPr>
              <w:t>$</w:t>
            </w: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13,453</w:t>
            </w:r>
          </w:p>
        </w:tc>
        <w:tc>
          <w:tcPr>
            <w:tcW w:w="100" w:type="dxa"/>
            <w:vAlign w:val="bottom"/>
            <w:shd w:val="clear" w:color="auto" w:fill="D2DCE5"/>
          </w:tcPr>
          <w:p>
            <w:pPr>
              <w:spacing w:after="0"/>
              <w:rPr>
                <w:sz w:val="20"/>
                <w:szCs w:val="20"/>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N/A</w:t>
            </w:r>
          </w:p>
        </w:tc>
      </w:tr>
      <w:tr>
        <w:trPr>
          <w:trHeight w:val="233"/>
        </w:trPr>
        <w:tc>
          <w:tcPr>
            <w:tcW w:w="8480" w:type="dxa"/>
            <w:vAlign w:val="bottom"/>
            <w:gridSpan w:val="2"/>
          </w:tcPr>
          <w:p>
            <w:pPr>
              <w:ind w:left="20"/>
              <w:spacing w:after="0"/>
              <w:rPr>
                <w:sz w:val="20"/>
                <w:szCs w:val="20"/>
                <w:color w:val="auto"/>
              </w:rPr>
            </w:pPr>
            <w:r>
              <w:rPr>
                <w:rFonts w:ascii="Arial" w:cs="Arial" w:eastAsia="Arial" w:hAnsi="Arial"/>
                <w:sz w:val="16"/>
                <w:szCs w:val="16"/>
                <w:color w:val="131E29"/>
              </w:rPr>
              <w:t>Higher ingredient costs</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131E29"/>
              </w:rPr>
              <w:t>6,094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131E29"/>
              </w:rPr>
              <w:t>350</w:t>
            </w:r>
          </w:p>
        </w:tc>
      </w:tr>
      <w:tr>
        <w:trPr>
          <w:trHeight w:val="253"/>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Volume</w:t>
            </w:r>
          </w:p>
        </w:tc>
        <w:tc>
          <w:tcPr>
            <w:tcW w:w="360" w:type="dxa"/>
            <w:vAlign w:val="bottom"/>
            <w:shd w:val="clear" w:color="auto" w:fill="D2DCE5"/>
          </w:tcPr>
          <w:p>
            <w:pPr>
              <w:spacing w:after="0"/>
              <w:rPr>
                <w:sz w:val="21"/>
                <w:szCs w:val="21"/>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(9)</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N/A</w:t>
            </w:r>
          </w:p>
        </w:tc>
      </w:tr>
      <w:tr>
        <w:trPr>
          <w:trHeight w:val="233"/>
        </w:trPr>
        <w:tc>
          <w:tcPr>
            <w:tcW w:w="8480" w:type="dxa"/>
            <w:vAlign w:val="bottom"/>
            <w:gridSpan w:val="2"/>
          </w:tcPr>
          <w:p>
            <w:pPr>
              <w:ind w:left="20"/>
              <w:spacing w:after="0"/>
              <w:rPr>
                <w:sz w:val="20"/>
                <w:szCs w:val="20"/>
                <w:color w:val="auto"/>
              </w:rPr>
            </w:pPr>
            <w:r>
              <w:rPr>
                <w:rFonts w:ascii="Arial" w:cs="Arial" w:eastAsia="Arial" w:hAnsi="Arial"/>
                <w:sz w:val="16"/>
                <w:szCs w:val="16"/>
                <w:color w:val="131E29"/>
              </w:rPr>
              <w:t>New shop impact</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131E29"/>
              </w:rPr>
              <w:t>(444)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131E29"/>
              </w:rPr>
              <w:t>(30)</w:t>
            </w:r>
          </w:p>
        </w:tc>
      </w:tr>
      <w:tr>
        <w:trPr>
          <w:trHeight w:val="253"/>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Higher shop operating expenses</w:t>
            </w:r>
          </w:p>
        </w:tc>
        <w:tc>
          <w:tcPr>
            <w:tcW w:w="360" w:type="dxa"/>
            <w:vAlign w:val="bottom"/>
            <w:shd w:val="clear" w:color="auto" w:fill="D2DCE5"/>
          </w:tcPr>
          <w:p>
            <w:pPr>
              <w:spacing w:after="0"/>
              <w:rPr>
                <w:sz w:val="21"/>
                <w:szCs w:val="21"/>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152</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20</w:t>
            </w:r>
          </w:p>
        </w:tc>
      </w:tr>
      <w:tr>
        <w:trPr>
          <w:trHeight w:val="237"/>
        </w:trPr>
        <w:tc>
          <w:tcPr>
            <w:tcW w:w="8400" w:type="dxa"/>
            <w:vAlign w:val="bottom"/>
            <w:tcBorders>
              <w:bottom w:val="single" w:sz="8" w:color="131E29"/>
            </w:tcBorders>
          </w:tcPr>
          <w:p>
            <w:pPr>
              <w:ind w:left="20"/>
              <w:spacing w:after="0"/>
              <w:rPr>
                <w:sz w:val="20"/>
                <w:szCs w:val="20"/>
                <w:color w:val="auto"/>
              </w:rPr>
            </w:pPr>
            <w:r>
              <w:rPr>
                <w:rFonts w:ascii="Arial" w:cs="Arial" w:eastAsia="Arial" w:hAnsi="Arial"/>
                <w:sz w:val="16"/>
                <w:szCs w:val="16"/>
                <w:color w:val="131E29"/>
              </w:rPr>
              <w:t>Pricing impacts</w:t>
            </w:r>
          </w:p>
        </w:tc>
        <w:tc>
          <w:tcPr>
            <w:tcW w:w="80" w:type="dxa"/>
            <w:vAlign w:val="bottom"/>
            <w:tcBorders>
              <w:bottom w:val="single" w:sz="8" w:color="D2DCE5"/>
            </w:tcBorders>
          </w:tcPr>
          <w:p>
            <w:pPr>
              <w:spacing w:after="0"/>
              <w:rPr>
                <w:sz w:val="20"/>
                <w:szCs w:val="20"/>
                <w:color w:val="auto"/>
              </w:rPr>
            </w:pPr>
          </w:p>
        </w:tc>
        <w:tc>
          <w:tcPr>
            <w:tcW w:w="360" w:type="dxa"/>
            <w:vAlign w:val="bottom"/>
            <w:tcBorders>
              <w:bottom w:val="single" w:sz="8" w:color="131E29"/>
            </w:tcBorders>
          </w:tcPr>
          <w:p>
            <w:pPr>
              <w:spacing w:after="0"/>
              <w:rPr>
                <w:sz w:val="20"/>
                <w:szCs w:val="20"/>
                <w:color w:val="auto"/>
              </w:rPr>
            </w:pPr>
          </w:p>
        </w:tc>
        <w:tc>
          <w:tcPr>
            <w:tcW w:w="980" w:type="dxa"/>
            <w:vAlign w:val="bottom"/>
            <w:tcBorders>
              <w:bottom w:val="single" w:sz="8" w:color="131E29"/>
            </w:tcBorders>
          </w:tcPr>
          <w:p>
            <w:pPr>
              <w:jc w:val="right"/>
              <w:spacing w:after="0"/>
              <w:rPr>
                <w:sz w:val="20"/>
                <w:szCs w:val="20"/>
                <w:color w:val="auto"/>
              </w:rPr>
            </w:pPr>
            <w:r>
              <w:rPr>
                <w:rFonts w:ascii="Arial" w:cs="Arial" w:eastAsia="Arial" w:hAnsi="Arial"/>
                <w:sz w:val="16"/>
                <w:szCs w:val="16"/>
                <w:color w:val="131E29"/>
              </w:rPr>
              <w:t>N/A</w:t>
            </w:r>
          </w:p>
        </w:tc>
        <w:tc>
          <w:tcPr>
            <w:tcW w:w="100" w:type="dxa"/>
            <w:vAlign w:val="bottom"/>
            <w:tcBorders>
              <w:bottom w:val="single" w:sz="8" w:color="D2DCE5"/>
            </w:tcBorders>
          </w:tcPr>
          <w:p>
            <w:pPr>
              <w:spacing w:after="0"/>
              <w:rPr>
                <w:sz w:val="20"/>
                <w:szCs w:val="20"/>
                <w:color w:val="auto"/>
              </w:rPr>
            </w:pPr>
          </w:p>
        </w:tc>
        <w:tc>
          <w:tcPr>
            <w:tcW w:w="1320" w:type="dxa"/>
            <w:vAlign w:val="bottom"/>
            <w:tcBorders>
              <w:bottom w:val="single" w:sz="8" w:color="131E29"/>
            </w:tcBorders>
          </w:tcPr>
          <w:p>
            <w:pPr>
              <w:jc w:val="right"/>
              <w:spacing w:after="0"/>
              <w:rPr>
                <w:sz w:val="20"/>
                <w:szCs w:val="20"/>
                <w:color w:val="auto"/>
              </w:rPr>
            </w:pPr>
            <w:r>
              <w:rPr>
                <w:rFonts w:ascii="Arial" w:cs="Arial" w:eastAsia="Arial" w:hAnsi="Arial"/>
                <w:sz w:val="16"/>
                <w:szCs w:val="16"/>
                <w:color w:val="131E29"/>
              </w:rPr>
              <w:t>(190)</w:t>
            </w:r>
          </w:p>
        </w:tc>
      </w:tr>
      <w:tr>
        <w:trPr>
          <w:trHeight w:val="236"/>
        </w:trPr>
        <w:tc>
          <w:tcPr>
            <w:tcW w:w="8400" w:type="dxa"/>
            <w:vAlign w:val="bottom"/>
            <w:tcBorders>
              <w:bottom w:val="single" w:sz="8" w:color="131E29"/>
            </w:tcBorders>
            <w:shd w:val="clear" w:color="auto" w:fill="D2DCE5"/>
          </w:tcPr>
          <w:p>
            <w:pPr>
              <w:ind w:left="140"/>
              <w:spacing w:after="0"/>
              <w:rPr>
                <w:sz w:val="20"/>
                <w:szCs w:val="20"/>
                <w:color w:val="auto"/>
              </w:rPr>
            </w:pPr>
            <w:r>
              <w:rPr>
                <w:rFonts w:ascii="Arial" w:cs="Arial" w:eastAsia="Arial" w:hAnsi="Arial"/>
                <w:sz w:val="16"/>
                <w:szCs w:val="16"/>
                <w:b w:val="1"/>
                <w:bCs w:val="1"/>
                <w:color w:val="131E29"/>
              </w:rPr>
              <w:t>Total change</w:t>
            </w:r>
          </w:p>
        </w:tc>
        <w:tc>
          <w:tcPr>
            <w:tcW w:w="80" w:type="dxa"/>
            <w:vAlign w:val="bottom"/>
            <w:shd w:val="clear" w:color="auto" w:fill="D2DCE5"/>
          </w:tcPr>
          <w:p>
            <w:pPr>
              <w:spacing w:after="0"/>
              <w:rPr>
                <w:sz w:val="20"/>
                <w:szCs w:val="20"/>
                <w:color w:val="auto"/>
              </w:rPr>
            </w:pPr>
          </w:p>
        </w:tc>
        <w:tc>
          <w:tcPr>
            <w:tcW w:w="360" w:type="dxa"/>
            <w:vAlign w:val="bottom"/>
            <w:tcBorders>
              <w:bottom w:val="single" w:sz="8" w:color="131E29"/>
            </w:tcBorders>
            <w:shd w:val="clear" w:color="auto" w:fill="D2DCE5"/>
          </w:tcPr>
          <w:p>
            <w:pPr>
              <w:jc w:val="right"/>
              <w:ind w:right="159"/>
              <w:spacing w:after="0"/>
              <w:rPr>
                <w:sz w:val="20"/>
                <w:szCs w:val="20"/>
                <w:color w:val="auto"/>
              </w:rPr>
            </w:pPr>
            <w:r>
              <w:rPr>
                <w:rFonts w:ascii="Arial" w:cs="Arial" w:eastAsia="Arial" w:hAnsi="Arial"/>
                <w:sz w:val="16"/>
                <w:szCs w:val="16"/>
                <w:b w:val="1"/>
                <w:bCs w:val="1"/>
                <w:color w:val="131E29"/>
              </w:rPr>
              <w:t>$</w:t>
            </w:r>
          </w:p>
        </w:tc>
        <w:tc>
          <w:tcPr>
            <w:tcW w:w="98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6"/>
                <w:szCs w:val="16"/>
                <w:b w:val="1"/>
                <w:bCs w:val="1"/>
                <w:color w:val="131E29"/>
              </w:rPr>
              <w:t>19,246</w:t>
            </w:r>
          </w:p>
        </w:tc>
        <w:tc>
          <w:tcPr>
            <w:tcW w:w="100" w:type="dxa"/>
            <w:vAlign w:val="bottom"/>
            <w:shd w:val="clear" w:color="auto" w:fill="D2DCE5"/>
          </w:tcPr>
          <w:p>
            <w:pPr>
              <w:spacing w:after="0"/>
              <w:rPr>
                <w:sz w:val="20"/>
                <w:szCs w:val="20"/>
                <w:color w:val="auto"/>
              </w:rPr>
            </w:pPr>
          </w:p>
        </w:tc>
        <w:tc>
          <w:tcPr>
            <w:tcW w:w="13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6"/>
                <w:szCs w:val="16"/>
                <w:b w:val="1"/>
                <w:bCs w:val="1"/>
                <w:color w:val="131E29"/>
              </w:rPr>
              <w:t>150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Nine Months Ended September 30, 2022 v 2021</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The beverage, food and packaging costs impacts for the year-over-year comparison, presented in dollars and basis points, were driven by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88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536"/>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320" w:type="dxa"/>
            <w:vAlign w:val="bottom"/>
          </w:tcPr>
          <w:p>
            <w:pPr>
              <w:jc w:val="right"/>
              <w:ind w:right="391"/>
              <w:spacing w:after="0"/>
              <w:rPr>
                <w:sz w:val="20"/>
                <w:szCs w:val="20"/>
                <w:color w:val="auto"/>
              </w:rPr>
            </w:pPr>
            <w:r>
              <w:rPr>
                <w:rFonts w:ascii="Arial" w:cs="Arial" w:eastAsia="Arial" w:hAnsi="Arial"/>
                <w:sz w:val="18"/>
                <w:szCs w:val="18"/>
                <w:b w:val="1"/>
                <w:bCs w:val="1"/>
                <w:color w:val="131E29"/>
              </w:rPr>
              <w:t>BPS</w:t>
            </w:r>
          </w:p>
        </w:tc>
        <w:tc>
          <w:tcPr>
            <w:tcW w:w="0" w:type="dxa"/>
            <w:vAlign w:val="bottom"/>
          </w:tcPr>
          <w:p>
            <w:pPr>
              <w:spacing w:after="0"/>
              <w:rPr>
                <w:sz w:val="1"/>
                <w:szCs w:val="1"/>
                <w:color w:val="auto"/>
              </w:rPr>
            </w:pPr>
          </w:p>
        </w:tc>
      </w:tr>
      <w:tr>
        <w:trPr>
          <w:trHeight w:val="26"/>
        </w:trPr>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80" w:type="dxa"/>
            <w:vAlign w:val="bottom"/>
            <w:tcBorders>
              <w:bottom w:val="single" w:sz="8" w:color="131E29"/>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80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8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Shop weeks</w:t>
            </w:r>
          </w:p>
        </w:tc>
        <w:tc>
          <w:tcPr>
            <w:tcW w:w="10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98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40" w:type="dxa"/>
            <w:vAlign w:val="bottom"/>
            <w:shd w:val="clear" w:color="auto" w:fill="D2DCE5"/>
          </w:tcPr>
          <w:p>
            <w:pPr>
              <w:spacing w:after="0"/>
              <w:rPr>
                <w:sz w:val="22"/>
                <w:szCs w:val="22"/>
                <w:color w:val="auto"/>
              </w:rPr>
            </w:pPr>
          </w:p>
        </w:tc>
        <w:tc>
          <w:tcPr>
            <w:tcW w:w="1000" w:type="dxa"/>
            <w:vAlign w:val="bottom"/>
            <w:shd w:val="clear" w:color="auto" w:fill="D2DCE5"/>
          </w:tcPr>
          <w:p>
            <w:pPr>
              <w:spacing w:after="0"/>
              <w:rPr>
                <w:sz w:val="22"/>
                <w:szCs w:val="22"/>
                <w:color w:val="auto"/>
              </w:rPr>
            </w:pPr>
          </w:p>
        </w:tc>
        <w:tc>
          <w:tcPr>
            <w:tcW w:w="124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104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940" w:type="dxa"/>
            <w:vAlign w:val="bottom"/>
            <w:gridSpan w:val="3"/>
            <w:shd w:val="clear" w:color="auto" w:fill="D2DCE5"/>
          </w:tcPr>
          <w:p>
            <w:pPr>
              <w:jc w:val="right"/>
              <w:ind w:right="120"/>
              <w:spacing w:after="0"/>
              <w:rPr>
                <w:sz w:val="20"/>
                <w:szCs w:val="20"/>
                <w:color w:val="auto"/>
              </w:rPr>
            </w:pPr>
            <w:r>
              <w:rPr>
                <w:rFonts w:ascii="Arial" w:cs="Arial" w:eastAsia="Arial" w:hAnsi="Arial"/>
                <w:sz w:val="16"/>
                <w:szCs w:val="16"/>
                <w:color w:val="131E29"/>
              </w:rPr>
              <w:t>$</w:t>
            </w:r>
          </w:p>
        </w:tc>
        <w:tc>
          <w:tcPr>
            <w:tcW w:w="80" w:type="dxa"/>
            <w:vAlign w:val="bottom"/>
            <w:shd w:val="clear" w:color="auto" w:fill="D2DCE5"/>
          </w:tcPr>
          <w:p>
            <w:pPr>
              <w:spacing w:after="0"/>
              <w:rPr>
                <w:sz w:val="22"/>
                <w:szCs w:val="22"/>
                <w:color w:val="auto"/>
              </w:rPr>
            </w:pPr>
          </w:p>
        </w:tc>
        <w:tc>
          <w:tcPr>
            <w:tcW w:w="220" w:type="dxa"/>
            <w:vAlign w:val="bottom"/>
            <w:shd w:val="clear" w:color="auto" w:fill="D2DCE5"/>
          </w:tcPr>
          <w:p>
            <w:pPr>
              <w:spacing w:after="0"/>
              <w:rPr>
                <w:sz w:val="22"/>
                <w:szCs w:val="22"/>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39,094</w:t>
            </w:r>
          </w:p>
        </w:tc>
        <w:tc>
          <w:tcPr>
            <w:tcW w:w="100" w:type="dxa"/>
            <w:vAlign w:val="bottom"/>
            <w:shd w:val="clear" w:color="auto" w:fill="D2DCE5"/>
          </w:tcPr>
          <w:p>
            <w:pPr>
              <w:spacing w:after="0"/>
              <w:rPr>
                <w:sz w:val="22"/>
                <w:szCs w:val="22"/>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N/A</w:t>
            </w:r>
          </w:p>
        </w:tc>
        <w:tc>
          <w:tcPr>
            <w:tcW w:w="0" w:type="dxa"/>
            <w:vAlign w:val="bottom"/>
          </w:tcPr>
          <w:p>
            <w:pPr>
              <w:spacing w:after="0"/>
              <w:rPr>
                <w:sz w:val="1"/>
                <w:szCs w:val="1"/>
                <w:color w:val="auto"/>
              </w:rPr>
            </w:pPr>
          </w:p>
        </w:tc>
      </w:tr>
      <w:tr>
        <w:trPr>
          <w:trHeight w:val="260"/>
        </w:trPr>
        <w:tc>
          <w:tcPr>
            <w:tcW w:w="1880" w:type="dxa"/>
            <w:vAlign w:val="bottom"/>
            <w:gridSpan w:val="2"/>
          </w:tcPr>
          <w:p>
            <w:pPr>
              <w:ind w:left="20"/>
              <w:spacing w:after="0"/>
              <w:rPr>
                <w:sz w:val="20"/>
                <w:szCs w:val="20"/>
                <w:color w:val="auto"/>
              </w:rPr>
            </w:pPr>
            <w:r>
              <w:rPr>
                <w:rFonts w:ascii="Arial" w:cs="Arial" w:eastAsia="Arial" w:hAnsi="Arial"/>
                <w:sz w:val="16"/>
                <w:szCs w:val="16"/>
                <w:color w:val="131E29"/>
              </w:rPr>
              <w:t>Higher ingredient costs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131E29"/>
              </w:rPr>
              <w:t>17,364</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131E29"/>
              </w:rPr>
              <w:t>370</w:t>
            </w:r>
          </w:p>
        </w:tc>
        <w:tc>
          <w:tcPr>
            <w:tcW w:w="0" w:type="dxa"/>
            <w:vAlign w:val="bottom"/>
          </w:tcPr>
          <w:p>
            <w:pPr>
              <w:spacing w:after="0"/>
              <w:rPr>
                <w:sz w:val="1"/>
                <w:szCs w:val="1"/>
                <w:color w:val="auto"/>
              </w:rPr>
            </w:pPr>
          </w:p>
        </w:tc>
      </w:tr>
      <w:tr>
        <w:trPr>
          <w:trHeight w:val="280"/>
        </w:trPr>
        <w:tc>
          <w:tcPr>
            <w:tcW w:w="18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Volume</w:t>
            </w:r>
          </w:p>
        </w:tc>
        <w:tc>
          <w:tcPr>
            <w:tcW w:w="1020" w:type="dxa"/>
            <w:vAlign w:val="bottom"/>
            <w:shd w:val="clear" w:color="auto" w:fill="D2DCE5"/>
          </w:tcPr>
          <w:p>
            <w:pPr>
              <w:spacing w:after="0"/>
              <w:rPr>
                <w:sz w:val="24"/>
                <w:szCs w:val="24"/>
                <w:color w:val="auto"/>
              </w:rPr>
            </w:pPr>
          </w:p>
        </w:tc>
        <w:tc>
          <w:tcPr>
            <w:tcW w:w="100" w:type="dxa"/>
            <w:vAlign w:val="bottom"/>
            <w:shd w:val="clear" w:color="auto" w:fill="D2DCE5"/>
          </w:tcPr>
          <w:p>
            <w:pPr>
              <w:spacing w:after="0"/>
              <w:rPr>
                <w:sz w:val="24"/>
                <w:szCs w:val="24"/>
                <w:color w:val="auto"/>
              </w:rPr>
            </w:pPr>
          </w:p>
        </w:tc>
        <w:tc>
          <w:tcPr>
            <w:tcW w:w="980" w:type="dxa"/>
            <w:vAlign w:val="bottom"/>
            <w:shd w:val="clear" w:color="auto" w:fill="D2DCE5"/>
          </w:tcPr>
          <w:p>
            <w:pPr>
              <w:spacing w:after="0"/>
              <w:rPr>
                <w:sz w:val="24"/>
                <w:szCs w:val="24"/>
                <w:color w:val="auto"/>
              </w:rPr>
            </w:pPr>
          </w:p>
        </w:tc>
        <w:tc>
          <w:tcPr>
            <w:tcW w:w="100" w:type="dxa"/>
            <w:vAlign w:val="bottom"/>
            <w:shd w:val="clear" w:color="auto" w:fill="D2DCE5"/>
          </w:tcPr>
          <w:p>
            <w:pPr>
              <w:spacing w:after="0"/>
              <w:rPr>
                <w:sz w:val="24"/>
                <w:szCs w:val="24"/>
                <w:color w:val="auto"/>
              </w:rPr>
            </w:pPr>
          </w:p>
        </w:tc>
        <w:tc>
          <w:tcPr>
            <w:tcW w:w="240" w:type="dxa"/>
            <w:vAlign w:val="bottom"/>
            <w:shd w:val="clear" w:color="auto" w:fill="D2DCE5"/>
          </w:tcPr>
          <w:p>
            <w:pPr>
              <w:spacing w:after="0"/>
              <w:rPr>
                <w:sz w:val="24"/>
                <w:szCs w:val="24"/>
                <w:color w:val="auto"/>
              </w:rPr>
            </w:pPr>
          </w:p>
        </w:tc>
        <w:tc>
          <w:tcPr>
            <w:tcW w:w="1000" w:type="dxa"/>
            <w:vAlign w:val="bottom"/>
            <w:shd w:val="clear" w:color="auto" w:fill="D2DCE5"/>
          </w:tcPr>
          <w:p>
            <w:pPr>
              <w:spacing w:after="0"/>
              <w:rPr>
                <w:sz w:val="24"/>
                <w:szCs w:val="24"/>
                <w:color w:val="auto"/>
              </w:rPr>
            </w:pPr>
          </w:p>
        </w:tc>
        <w:tc>
          <w:tcPr>
            <w:tcW w:w="1240" w:type="dxa"/>
            <w:vAlign w:val="bottom"/>
            <w:shd w:val="clear" w:color="auto" w:fill="D2DCE5"/>
          </w:tcPr>
          <w:p>
            <w:pPr>
              <w:spacing w:after="0"/>
              <w:rPr>
                <w:sz w:val="24"/>
                <w:szCs w:val="24"/>
                <w:color w:val="auto"/>
              </w:rPr>
            </w:pPr>
          </w:p>
        </w:tc>
        <w:tc>
          <w:tcPr>
            <w:tcW w:w="80" w:type="dxa"/>
            <w:vAlign w:val="bottom"/>
            <w:shd w:val="clear" w:color="auto" w:fill="D2DCE5"/>
          </w:tcPr>
          <w:p>
            <w:pPr>
              <w:spacing w:after="0"/>
              <w:rPr>
                <w:sz w:val="24"/>
                <w:szCs w:val="24"/>
                <w:color w:val="auto"/>
              </w:rPr>
            </w:pPr>
          </w:p>
        </w:tc>
        <w:tc>
          <w:tcPr>
            <w:tcW w:w="1040" w:type="dxa"/>
            <w:vAlign w:val="bottom"/>
            <w:shd w:val="clear" w:color="auto" w:fill="D2DCE5"/>
          </w:tcPr>
          <w:p>
            <w:pPr>
              <w:spacing w:after="0"/>
              <w:rPr>
                <w:sz w:val="24"/>
                <w:szCs w:val="24"/>
                <w:color w:val="auto"/>
              </w:rPr>
            </w:pPr>
          </w:p>
        </w:tc>
        <w:tc>
          <w:tcPr>
            <w:tcW w:w="100" w:type="dxa"/>
            <w:vAlign w:val="bottom"/>
            <w:shd w:val="clear" w:color="auto" w:fill="D2DCE5"/>
          </w:tcPr>
          <w:p>
            <w:pPr>
              <w:spacing w:after="0"/>
              <w:rPr>
                <w:sz w:val="24"/>
                <w:szCs w:val="24"/>
                <w:color w:val="auto"/>
              </w:rPr>
            </w:pPr>
          </w:p>
        </w:tc>
        <w:tc>
          <w:tcPr>
            <w:tcW w:w="620" w:type="dxa"/>
            <w:vAlign w:val="bottom"/>
            <w:shd w:val="clear" w:color="auto" w:fill="D2DCE5"/>
          </w:tcPr>
          <w:p>
            <w:pPr>
              <w:spacing w:after="0"/>
              <w:rPr>
                <w:sz w:val="24"/>
                <w:szCs w:val="24"/>
                <w:color w:val="auto"/>
              </w:rPr>
            </w:pPr>
          </w:p>
        </w:tc>
        <w:tc>
          <w:tcPr>
            <w:tcW w:w="80" w:type="dxa"/>
            <w:vAlign w:val="bottom"/>
            <w:shd w:val="clear" w:color="auto" w:fill="D2DCE5"/>
          </w:tcPr>
          <w:p>
            <w:pPr>
              <w:spacing w:after="0"/>
              <w:rPr>
                <w:sz w:val="24"/>
                <w:szCs w:val="24"/>
                <w:color w:val="auto"/>
              </w:rPr>
            </w:pPr>
          </w:p>
        </w:tc>
        <w:tc>
          <w:tcPr>
            <w:tcW w:w="240" w:type="dxa"/>
            <w:vAlign w:val="bottom"/>
            <w:shd w:val="clear" w:color="auto" w:fill="D2DCE5"/>
          </w:tcPr>
          <w:p>
            <w:pPr>
              <w:spacing w:after="0"/>
              <w:rPr>
                <w:sz w:val="24"/>
                <w:szCs w:val="24"/>
                <w:color w:val="auto"/>
              </w:rPr>
            </w:pPr>
          </w:p>
        </w:tc>
        <w:tc>
          <w:tcPr>
            <w:tcW w:w="80" w:type="dxa"/>
            <w:vAlign w:val="bottom"/>
            <w:shd w:val="clear" w:color="auto" w:fill="D2DCE5"/>
          </w:tcPr>
          <w:p>
            <w:pPr>
              <w:spacing w:after="0"/>
              <w:rPr>
                <w:sz w:val="24"/>
                <w:szCs w:val="24"/>
                <w:color w:val="auto"/>
              </w:rPr>
            </w:pPr>
          </w:p>
        </w:tc>
        <w:tc>
          <w:tcPr>
            <w:tcW w:w="220" w:type="dxa"/>
            <w:vAlign w:val="bottom"/>
            <w:shd w:val="clear" w:color="auto" w:fill="D2DCE5"/>
          </w:tcPr>
          <w:p>
            <w:pPr>
              <w:spacing w:after="0"/>
              <w:rPr>
                <w:sz w:val="24"/>
                <w:szCs w:val="24"/>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(2,806)</w:t>
            </w:r>
          </w:p>
        </w:tc>
        <w:tc>
          <w:tcPr>
            <w:tcW w:w="100" w:type="dxa"/>
            <w:vAlign w:val="bottom"/>
            <w:shd w:val="clear" w:color="auto" w:fill="D2DCE5"/>
          </w:tcPr>
          <w:p>
            <w:pPr>
              <w:spacing w:after="0"/>
              <w:rPr>
                <w:sz w:val="24"/>
                <w:szCs w:val="24"/>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N/A</w:t>
            </w:r>
          </w:p>
        </w:tc>
        <w:tc>
          <w:tcPr>
            <w:tcW w:w="0" w:type="dxa"/>
            <w:vAlign w:val="bottom"/>
          </w:tcPr>
          <w:p>
            <w:pPr>
              <w:spacing w:after="0"/>
              <w:rPr>
                <w:sz w:val="1"/>
                <w:szCs w:val="1"/>
                <w:color w:val="auto"/>
              </w:rPr>
            </w:pPr>
          </w:p>
        </w:tc>
      </w:tr>
      <w:tr>
        <w:trPr>
          <w:trHeight w:val="260"/>
        </w:trPr>
        <w:tc>
          <w:tcPr>
            <w:tcW w:w="1880" w:type="dxa"/>
            <w:vAlign w:val="bottom"/>
            <w:gridSpan w:val="2"/>
          </w:tcPr>
          <w:p>
            <w:pPr>
              <w:ind w:left="20"/>
              <w:spacing w:after="0"/>
              <w:rPr>
                <w:sz w:val="20"/>
                <w:szCs w:val="20"/>
                <w:color w:val="auto"/>
              </w:rPr>
            </w:pPr>
            <w:r>
              <w:rPr>
                <w:rFonts w:ascii="Arial" w:cs="Arial" w:eastAsia="Arial" w:hAnsi="Arial"/>
                <w:sz w:val="16"/>
                <w:szCs w:val="16"/>
                <w:color w:val="131E29"/>
              </w:rPr>
              <w:t>New shop impact</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131E29"/>
              </w:rPr>
              <w:t>302</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131E29"/>
              </w:rPr>
              <w:t>10</w:t>
            </w:r>
          </w:p>
        </w:tc>
        <w:tc>
          <w:tcPr>
            <w:tcW w:w="0" w:type="dxa"/>
            <w:vAlign w:val="bottom"/>
          </w:tcPr>
          <w:p>
            <w:pPr>
              <w:spacing w:after="0"/>
              <w:rPr>
                <w:sz w:val="1"/>
                <w:szCs w:val="1"/>
                <w:color w:val="auto"/>
              </w:rPr>
            </w:pPr>
          </w:p>
        </w:tc>
      </w:tr>
      <w:tr>
        <w:trPr>
          <w:trHeight w:val="280"/>
        </w:trPr>
        <w:tc>
          <w:tcPr>
            <w:tcW w:w="3000" w:type="dxa"/>
            <w:vAlign w:val="bottom"/>
            <w:gridSpan w:val="4"/>
            <w:shd w:val="clear" w:color="auto" w:fill="D2DCE5"/>
          </w:tcPr>
          <w:p>
            <w:pPr>
              <w:ind w:left="20"/>
              <w:spacing w:after="0"/>
              <w:rPr>
                <w:sz w:val="20"/>
                <w:szCs w:val="20"/>
                <w:color w:val="auto"/>
              </w:rPr>
            </w:pPr>
            <w:r>
              <w:rPr>
                <w:rFonts w:ascii="Arial" w:cs="Arial" w:eastAsia="Arial" w:hAnsi="Arial"/>
                <w:sz w:val="16"/>
                <w:szCs w:val="16"/>
                <w:color w:val="131E29"/>
              </w:rPr>
              <w:t>Higher shop operating expenses</w:t>
            </w:r>
          </w:p>
        </w:tc>
        <w:tc>
          <w:tcPr>
            <w:tcW w:w="980" w:type="dxa"/>
            <w:vAlign w:val="bottom"/>
            <w:shd w:val="clear" w:color="auto" w:fill="D2DCE5"/>
          </w:tcPr>
          <w:p>
            <w:pPr>
              <w:spacing w:after="0"/>
              <w:rPr>
                <w:sz w:val="24"/>
                <w:szCs w:val="24"/>
                <w:color w:val="auto"/>
              </w:rPr>
            </w:pPr>
          </w:p>
        </w:tc>
        <w:tc>
          <w:tcPr>
            <w:tcW w:w="100" w:type="dxa"/>
            <w:vAlign w:val="bottom"/>
            <w:shd w:val="clear" w:color="auto" w:fill="D2DCE5"/>
          </w:tcPr>
          <w:p>
            <w:pPr>
              <w:spacing w:after="0"/>
              <w:rPr>
                <w:sz w:val="24"/>
                <w:szCs w:val="24"/>
                <w:color w:val="auto"/>
              </w:rPr>
            </w:pPr>
          </w:p>
        </w:tc>
        <w:tc>
          <w:tcPr>
            <w:tcW w:w="240" w:type="dxa"/>
            <w:vAlign w:val="bottom"/>
            <w:shd w:val="clear" w:color="auto" w:fill="D2DCE5"/>
          </w:tcPr>
          <w:p>
            <w:pPr>
              <w:spacing w:after="0"/>
              <w:rPr>
                <w:sz w:val="24"/>
                <w:szCs w:val="24"/>
                <w:color w:val="auto"/>
              </w:rPr>
            </w:pPr>
          </w:p>
        </w:tc>
        <w:tc>
          <w:tcPr>
            <w:tcW w:w="1000" w:type="dxa"/>
            <w:vAlign w:val="bottom"/>
            <w:shd w:val="clear" w:color="auto" w:fill="D2DCE5"/>
          </w:tcPr>
          <w:p>
            <w:pPr>
              <w:spacing w:after="0"/>
              <w:rPr>
                <w:sz w:val="24"/>
                <w:szCs w:val="24"/>
                <w:color w:val="auto"/>
              </w:rPr>
            </w:pPr>
          </w:p>
        </w:tc>
        <w:tc>
          <w:tcPr>
            <w:tcW w:w="1240" w:type="dxa"/>
            <w:vAlign w:val="bottom"/>
            <w:shd w:val="clear" w:color="auto" w:fill="D2DCE5"/>
          </w:tcPr>
          <w:p>
            <w:pPr>
              <w:spacing w:after="0"/>
              <w:rPr>
                <w:sz w:val="24"/>
                <w:szCs w:val="24"/>
                <w:color w:val="auto"/>
              </w:rPr>
            </w:pPr>
          </w:p>
        </w:tc>
        <w:tc>
          <w:tcPr>
            <w:tcW w:w="80" w:type="dxa"/>
            <w:vAlign w:val="bottom"/>
            <w:shd w:val="clear" w:color="auto" w:fill="D2DCE5"/>
          </w:tcPr>
          <w:p>
            <w:pPr>
              <w:spacing w:after="0"/>
              <w:rPr>
                <w:sz w:val="24"/>
                <w:szCs w:val="24"/>
                <w:color w:val="auto"/>
              </w:rPr>
            </w:pPr>
          </w:p>
        </w:tc>
        <w:tc>
          <w:tcPr>
            <w:tcW w:w="1040" w:type="dxa"/>
            <w:vAlign w:val="bottom"/>
            <w:shd w:val="clear" w:color="auto" w:fill="D2DCE5"/>
          </w:tcPr>
          <w:p>
            <w:pPr>
              <w:spacing w:after="0"/>
              <w:rPr>
                <w:sz w:val="24"/>
                <w:szCs w:val="24"/>
                <w:color w:val="auto"/>
              </w:rPr>
            </w:pPr>
          </w:p>
        </w:tc>
        <w:tc>
          <w:tcPr>
            <w:tcW w:w="100" w:type="dxa"/>
            <w:vAlign w:val="bottom"/>
            <w:shd w:val="clear" w:color="auto" w:fill="D2DCE5"/>
          </w:tcPr>
          <w:p>
            <w:pPr>
              <w:spacing w:after="0"/>
              <w:rPr>
                <w:sz w:val="24"/>
                <w:szCs w:val="24"/>
                <w:color w:val="auto"/>
              </w:rPr>
            </w:pPr>
          </w:p>
        </w:tc>
        <w:tc>
          <w:tcPr>
            <w:tcW w:w="620" w:type="dxa"/>
            <w:vAlign w:val="bottom"/>
            <w:shd w:val="clear" w:color="auto" w:fill="D2DCE5"/>
          </w:tcPr>
          <w:p>
            <w:pPr>
              <w:spacing w:after="0"/>
              <w:rPr>
                <w:sz w:val="24"/>
                <w:szCs w:val="24"/>
                <w:color w:val="auto"/>
              </w:rPr>
            </w:pPr>
          </w:p>
        </w:tc>
        <w:tc>
          <w:tcPr>
            <w:tcW w:w="80" w:type="dxa"/>
            <w:vAlign w:val="bottom"/>
            <w:shd w:val="clear" w:color="auto" w:fill="D2DCE5"/>
          </w:tcPr>
          <w:p>
            <w:pPr>
              <w:spacing w:after="0"/>
              <w:rPr>
                <w:sz w:val="24"/>
                <w:szCs w:val="24"/>
                <w:color w:val="auto"/>
              </w:rPr>
            </w:pPr>
          </w:p>
        </w:tc>
        <w:tc>
          <w:tcPr>
            <w:tcW w:w="240" w:type="dxa"/>
            <w:vAlign w:val="bottom"/>
            <w:shd w:val="clear" w:color="auto" w:fill="D2DCE5"/>
          </w:tcPr>
          <w:p>
            <w:pPr>
              <w:spacing w:after="0"/>
              <w:rPr>
                <w:sz w:val="24"/>
                <w:szCs w:val="24"/>
                <w:color w:val="auto"/>
              </w:rPr>
            </w:pPr>
          </w:p>
        </w:tc>
        <w:tc>
          <w:tcPr>
            <w:tcW w:w="80" w:type="dxa"/>
            <w:vAlign w:val="bottom"/>
            <w:shd w:val="clear" w:color="auto" w:fill="D2DCE5"/>
          </w:tcPr>
          <w:p>
            <w:pPr>
              <w:spacing w:after="0"/>
              <w:rPr>
                <w:sz w:val="24"/>
                <w:szCs w:val="24"/>
                <w:color w:val="auto"/>
              </w:rPr>
            </w:pPr>
          </w:p>
        </w:tc>
        <w:tc>
          <w:tcPr>
            <w:tcW w:w="220" w:type="dxa"/>
            <w:vAlign w:val="bottom"/>
            <w:shd w:val="clear" w:color="auto" w:fill="D2DCE5"/>
          </w:tcPr>
          <w:p>
            <w:pPr>
              <w:spacing w:after="0"/>
              <w:rPr>
                <w:sz w:val="24"/>
                <w:szCs w:val="24"/>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744</w:t>
            </w:r>
          </w:p>
        </w:tc>
        <w:tc>
          <w:tcPr>
            <w:tcW w:w="100" w:type="dxa"/>
            <w:vAlign w:val="bottom"/>
            <w:shd w:val="clear" w:color="auto" w:fill="D2DCE5"/>
          </w:tcPr>
          <w:p>
            <w:pPr>
              <w:spacing w:after="0"/>
              <w:rPr>
                <w:sz w:val="24"/>
                <w:szCs w:val="24"/>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20</w:t>
            </w:r>
          </w:p>
        </w:tc>
        <w:tc>
          <w:tcPr>
            <w:tcW w:w="0" w:type="dxa"/>
            <w:vAlign w:val="bottom"/>
          </w:tcPr>
          <w:p>
            <w:pPr>
              <w:spacing w:after="0"/>
              <w:rPr>
                <w:sz w:val="1"/>
                <w:szCs w:val="1"/>
                <w:color w:val="auto"/>
              </w:rPr>
            </w:pPr>
          </w:p>
        </w:tc>
      </w:tr>
      <w:tr>
        <w:trPr>
          <w:trHeight w:val="260"/>
        </w:trPr>
        <w:tc>
          <w:tcPr>
            <w:tcW w:w="1880" w:type="dxa"/>
            <w:vAlign w:val="bottom"/>
            <w:gridSpan w:val="2"/>
          </w:tcPr>
          <w:p>
            <w:pPr>
              <w:ind w:left="20"/>
              <w:spacing w:after="0"/>
              <w:rPr>
                <w:sz w:val="20"/>
                <w:szCs w:val="20"/>
                <w:color w:val="auto"/>
              </w:rPr>
            </w:pPr>
            <w:r>
              <w:rPr>
                <w:rFonts w:ascii="Arial" w:cs="Arial" w:eastAsia="Arial" w:hAnsi="Arial"/>
                <w:sz w:val="16"/>
                <w:szCs w:val="16"/>
                <w:color w:val="131E29"/>
              </w:rPr>
              <w:t>Pricing impacts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131E29"/>
              </w:rPr>
              <w:t>N/A</w:t>
            </w:r>
          </w:p>
        </w:tc>
        <w:tc>
          <w:tcPr>
            <w:tcW w:w="1320" w:type="dxa"/>
            <w:vAlign w:val="bottom"/>
          </w:tcPr>
          <w:p>
            <w:pPr>
              <w:jc w:val="right"/>
              <w:spacing w:after="0"/>
              <w:rPr>
                <w:sz w:val="20"/>
                <w:szCs w:val="20"/>
                <w:color w:val="auto"/>
              </w:rPr>
            </w:pPr>
            <w:r>
              <w:rPr>
                <w:rFonts w:ascii="Arial" w:cs="Arial" w:eastAsia="Arial" w:hAnsi="Arial"/>
                <w:sz w:val="18"/>
                <w:szCs w:val="18"/>
                <w:color w:val="131E29"/>
              </w:rPr>
              <w:t>(140)</w:t>
            </w:r>
          </w:p>
        </w:tc>
        <w:tc>
          <w:tcPr>
            <w:tcW w:w="0" w:type="dxa"/>
            <w:vAlign w:val="bottom"/>
          </w:tcPr>
          <w:p>
            <w:pPr>
              <w:spacing w:after="0"/>
              <w:rPr>
                <w:sz w:val="1"/>
                <w:szCs w:val="1"/>
                <w:color w:val="auto"/>
              </w:rPr>
            </w:pPr>
          </w:p>
        </w:tc>
      </w:tr>
      <w:tr>
        <w:trPr>
          <w:trHeight w:val="273"/>
        </w:trPr>
        <w:tc>
          <w:tcPr>
            <w:tcW w:w="1880" w:type="dxa"/>
            <w:vAlign w:val="bottom"/>
            <w:tcBorders>
              <w:bottom w:val="single" w:sz="8" w:color="131E29"/>
            </w:tcBorders>
            <w:gridSpan w:val="2"/>
            <w:shd w:val="clear" w:color="auto" w:fill="D2DCE5"/>
          </w:tcPr>
          <w:p>
            <w:pPr>
              <w:ind w:left="20"/>
              <w:spacing w:after="0"/>
              <w:rPr>
                <w:sz w:val="20"/>
                <w:szCs w:val="20"/>
                <w:color w:val="auto"/>
              </w:rPr>
            </w:pPr>
            <w:r>
              <w:rPr>
                <w:rFonts w:ascii="Arial" w:cs="Arial" w:eastAsia="Arial" w:hAnsi="Arial"/>
                <w:sz w:val="16"/>
                <w:szCs w:val="16"/>
                <w:color w:val="131E29"/>
              </w:rPr>
              <w:t>Promotional discounts</w:t>
            </w:r>
          </w:p>
        </w:tc>
        <w:tc>
          <w:tcPr>
            <w:tcW w:w="1020" w:type="dxa"/>
            <w:vAlign w:val="bottom"/>
            <w:tcBorders>
              <w:bottom w:val="single" w:sz="8" w:color="131E29"/>
            </w:tcBorders>
            <w:shd w:val="clear" w:color="auto" w:fill="D2DCE5"/>
          </w:tcPr>
          <w:p>
            <w:pPr>
              <w:spacing w:after="0"/>
              <w:rPr>
                <w:sz w:val="23"/>
                <w:szCs w:val="23"/>
                <w:color w:val="auto"/>
              </w:rPr>
            </w:pPr>
          </w:p>
        </w:tc>
        <w:tc>
          <w:tcPr>
            <w:tcW w:w="100" w:type="dxa"/>
            <w:vAlign w:val="bottom"/>
            <w:tcBorders>
              <w:bottom w:val="single" w:sz="8" w:color="131E29"/>
            </w:tcBorders>
            <w:shd w:val="clear" w:color="auto" w:fill="D2DCE5"/>
          </w:tcPr>
          <w:p>
            <w:pPr>
              <w:spacing w:after="0"/>
              <w:rPr>
                <w:sz w:val="23"/>
                <w:szCs w:val="23"/>
                <w:color w:val="auto"/>
              </w:rPr>
            </w:pPr>
          </w:p>
        </w:tc>
        <w:tc>
          <w:tcPr>
            <w:tcW w:w="980" w:type="dxa"/>
            <w:vAlign w:val="bottom"/>
            <w:tcBorders>
              <w:bottom w:val="single" w:sz="8" w:color="131E29"/>
            </w:tcBorders>
            <w:shd w:val="clear" w:color="auto" w:fill="D2DCE5"/>
          </w:tcPr>
          <w:p>
            <w:pPr>
              <w:spacing w:after="0"/>
              <w:rPr>
                <w:sz w:val="23"/>
                <w:szCs w:val="23"/>
                <w:color w:val="auto"/>
              </w:rPr>
            </w:pPr>
          </w:p>
        </w:tc>
        <w:tc>
          <w:tcPr>
            <w:tcW w:w="100" w:type="dxa"/>
            <w:vAlign w:val="bottom"/>
            <w:tcBorders>
              <w:bottom w:val="single" w:sz="8" w:color="131E29"/>
            </w:tcBorders>
            <w:shd w:val="clear" w:color="auto" w:fill="D2DCE5"/>
          </w:tcPr>
          <w:p>
            <w:pPr>
              <w:spacing w:after="0"/>
              <w:rPr>
                <w:sz w:val="23"/>
                <w:szCs w:val="23"/>
                <w:color w:val="auto"/>
              </w:rPr>
            </w:pPr>
          </w:p>
        </w:tc>
        <w:tc>
          <w:tcPr>
            <w:tcW w:w="240" w:type="dxa"/>
            <w:vAlign w:val="bottom"/>
            <w:tcBorders>
              <w:bottom w:val="single" w:sz="8" w:color="131E29"/>
            </w:tcBorders>
            <w:shd w:val="clear" w:color="auto" w:fill="D2DCE5"/>
          </w:tcPr>
          <w:p>
            <w:pPr>
              <w:spacing w:after="0"/>
              <w:rPr>
                <w:sz w:val="23"/>
                <w:szCs w:val="23"/>
                <w:color w:val="auto"/>
              </w:rPr>
            </w:pPr>
          </w:p>
        </w:tc>
        <w:tc>
          <w:tcPr>
            <w:tcW w:w="1000" w:type="dxa"/>
            <w:vAlign w:val="bottom"/>
            <w:tcBorders>
              <w:bottom w:val="single" w:sz="8" w:color="131E29"/>
            </w:tcBorders>
            <w:shd w:val="clear" w:color="auto" w:fill="D2DCE5"/>
          </w:tcPr>
          <w:p>
            <w:pPr>
              <w:spacing w:after="0"/>
              <w:rPr>
                <w:sz w:val="23"/>
                <w:szCs w:val="23"/>
                <w:color w:val="auto"/>
              </w:rPr>
            </w:pPr>
          </w:p>
        </w:tc>
        <w:tc>
          <w:tcPr>
            <w:tcW w:w="1240" w:type="dxa"/>
            <w:vAlign w:val="bottom"/>
            <w:tcBorders>
              <w:bottom w:val="single" w:sz="8" w:color="131E29"/>
            </w:tcBorders>
            <w:shd w:val="clear" w:color="auto" w:fill="D2DCE5"/>
          </w:tcPr>
          <w:p>
            <w:pPr>
              <w:spacing w:after="0"/>
              <w:rPr>
                <w:sz w:val="23"/>
                <w:szCs w:val="23"/>
                <w:color w:val="auto"/>
              </w:rPr>
            </w:pPr>
          </w:p>
        </w:tc>
        <w:tc>
          <w:tcPr>
            <w:tcW w:w="80" w:type="dxa"/>
            <w:vAlign w:val="bottom"/>
            <w:tcBorders>
              <w:bottom w:val="single" w:sz="8" w:color="131E29"/>
            </w:tcBorders>
            <w:shd w:val="clear" w:color="auto" w:fill="D2DCE5"/>
          </w:tcPr>
          <w:p>
            <w:pPr>
              <w:spacing w:after="0"/>
              <w:rPr>
                <w:sz w:val="23"/>
                <w:szCs w:val="23"/>
                <w:color w:val="auto"/>
              </w:rPr>
            </w:pPr>
          </w:p>
        </w:tc>
        <w:tc>
          <w:tcPr>
            <w:tcW w:w="1040" w:type="dxa"/>
            <w:vAlign w:val="bottom"/>
            <w:tcBorders>
              <w:bottom w:val="single" w:sz="8" w:color="131E29"/>
            </w:tcBorders>
            <w:shd w:val="clear" w:color="auto" w:fill="D2DCE5"/>
          </w:tcPr>
          <w:p>
            <w:pPr>
              <w:spacing w:after="0"/>
              <w:rPr>
                <w:sz w:val="23"/>
                <w:szCs w:val="23"/>
                <w:color w:val="auto"/>
              </w:rPr>
            </w:pPr>
          </w:p>
        </w:tc>
        <w:tc>
          <w:tcPr>
            <w:tcW w:w="100" w:type="dxa"/>
            <w:vAlign w:val="bottom"/>
            <w:tcBorders>
              <w:bottom w:val="single" w:sz="8" w:color="131E29"/>
            </w:tcBorders>
            <w:shd w:val="clear" w:color="auto" w:fill="D2DCE5"/>
          </w:tcPr>
          <w:p>
            <w:pPr>
              <w:spacing w:after="0"/>
              <w:rPr>
                <w:sz w:val="23"/>
                <w:szCs w:val="23"/>
                <w:color w:val="auto"/>
              </w:rPr>
            </w:pPr>
          </w:p>
        </w:tc>
        <w:tc>
          <w:tcPr>
            <w:tcW w:w="620" w:type="dxa"/>
            <w:vAlign w:val="bottom"/>
            <w:tcBorders>
              <w:bottom w:val="single" w:sz="8" w:color="131E29"/>
            </w:tcBorders>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240" w:type="dxa"/>
            <w:vAlign w:val="bottom"/>
            <w:tcBorders>
              <w:bottom w:val="single" w:sz="8" w:color="131E29"/>
            </w:tcBorders>
            <w:shd w:val="clear" w:color="auto" w:fill="D2DCE5"/>
          </w:tcPr>
          <w:p>
            <w:pPr>
              <w:spacing w:after="0"/>
              <w:rPr>
                <w:sz w:val="23"/>
                <w:szCs w:val="23"/>
                <w:color w:val="auto"/>
              </w:rPr>
            </w:pPr>
          </w:p>
        </w:tc>
        <w:tc>
          <w:tcPr>
            <w:tcW w:w="80" w:type="dxa"/>
            <w:vAlign w:val="bottom"/>
            <w:tcBorders>
              <w:bottom w:val="single" w:sz="8" w:color="131E29"/>
            </w:tcBorders>
            <w:shd w:val="clear" w:color="auto" w:fill="D2DCE5"/>
          </w:tcPr>
          <w:p>
            <w:pPr>
              <w:spacing w:after="0"/>
              <w:rPr>
                <w:sz w:val="23"/>
                <w:szCs w:val="23"/>
                <w:color w:val="auto"/>
              </w:rPr>
            </w:pPr>
          </w:p>
        </w:tc>
        <w:tc>
          <w:tcPr>
            <w:tcW w:w="220" w:type="dxa"/>
            <w:vAlign w:val="bottom"/>
            <w:tcBorders>
              <w:bottom w:val="single" w:sz="8" w:color="131E29"/>
            </w:tcBorders>
            <w:shd w:val="clear" w:color="auto" w:fill="D2DCE5"/>
          </w:tcPr>
          <w:p>
            <w:pPr>
              <w:spacing w:after="0"/>
              <w:rPr>
                <w:sz w:val="23"/>
                <w:szCs w:val="23"/>
                <w:color w:val="auto"/>
              </w:rPr>
            </w:pPr>
          </w:p>
        </w:tc>
        <w:tc>
          <w:tcPr>
            <w:tcW w:w="800" w:type="dxa"/>
            <w:vAlign w:val="bottom"/>
            <w:tcBorders>
              <w:bottom w:val="single" w:sz="8" w:color="131E29"/>
            </w:tcBorders>
            <w:shd w:val="clear" w:color="auto" w:fill="D2DCE5"/>
          </w:tcPr>
          <w:p>
            <w:pPr>
              <w:ind w:left="520"/>
              <w:spacing w:after="0"/>
              <w:rPr>
                <w:sz w:val="20"/>
                <w:szCs w:val="20"/>
                <w:color w:val="auto"/>
              </w:rPr>
            </w:pPr>
            <w:r>
              <w:rPr>
                <w:rFonts w:ascii="Arial" w:cs="Arial" w:eastAsia="Arial" w:hAnsi="Arial"/>
                <w:sz w:val="16"/>
                <w:szCs w:val="16"/>
                <w:color w:val="131E29"/>
                <w:w w:val="97"/>
              </w:rPr>
              <w:t>N/A</w:t>
            </w:r>
          </w:p>
        </w:tc>
        <w:tc>
          <w:tcPr>
            <w:tcW w:w="100" w:type="dxa"/>
            <w:vAlign w:val="bottom"/>
            <w:shd w:val="clear" w:color="auto" w:fill="D2DCE5"/>
          </w:tcPr>
          <w:p>
            <w:pPr>
              <w:spacing w:after="0"/>
              <w:rPr>
                <w:sz w:val="23"/>
                <w:szCs w:val="23"/>
                <w:color w:val="auto"/>
              </w:rPr>
            </w:pPr>
          </w:p>
        </w:tc>
        <w:tc>
          <w:tcPr>
            <w:tcW w:w="13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color w:val="131E29"/>
              </w:rPr>
              <w:t>(10)</w:t>
            </w:r>
          </w:p>
        </w:tc>
        <w:tc>
          <w:tcPr>
            <w:tcW w:w="0" w:type="dxa"/>
            <w:vAlign w:val="bottom"/>
          </w:tcPr>
          <w:p>
            <w:pPr>
              <w:spacing w:after="0"/>
              <w:rPr>
                <w:sz w:val="1"/>
                <w:szCs w:val="1"/>
                <w:color w:val="auto"/>
              </w:rPr>
            </w:pPr>
          </w:p>
        </w:tc>
      </w:tr>
      <w:tr>
        <w:trPr>
          <w:trHeight w:val="236"/>
        </w:trPr>
        <w:tc>
          <w:tcPr>
            <w:tcW w:w="1880" w:type="dxa"/>
            <w:vAlign w:val="bottom"/>
            <w:gridSpan w:val="2"/>
          </w:tcPr>
          <w:p>
            <w:pPr>
              <w:ind w:left="140"/>
              <w:spacing w:after="0"/>
              <w:rPr>
                <w:sz w:val="20"/>
                <w:szCs w:val="20"/>
                <w:color w:val="auto"/>
              </w:rPr>
            </w:pPr>
            <w:r>
              <w:rPr>
                <w:rFonts w:ascii="Arial" w:cs="Arial" w:eastAsia="Arial" w:hAnsi="Arial"/>
                <w:sz w:val="16"/>
                <w:szCs w:val="16"/>
                <w:b w:val="1"/>
                <w:bCs w:val="1"/>
                <w:color w:val="131E29"/>
              </w:rPr>
              <w:t>Total change</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131E29"/>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131E29"/>
              </w:rPr>
              <w:t>54,698</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131E29"/>
              </w:rPr>
              <w:t>250</w:t>
            </w:r>
          </w:p>
        </w:tc>
        <w:tc>
          <w:tcPr>
            <w:tcW w:w="0" w:type="dxa"/>
            <w:vAlign w:val="bottom"/>
          </w:tcPr>
          <w:p>
            <w:pPr>
              <w:spacing w:after="0"/>
              <w:rPr>
                <w:sz w:val="1"/>
                <w:szCs w:val="1"/>
                <w:color w:val="auto"/>
              </w:rPr>
            </w:pPr>
          </w:p>
        </w:tc>
      </w:tr>
      <w:tr>
        <w:trPr>
          <w:trHeight w:val="473"/>
        </w:trPr>
        <w:tc>
          <w:tcPr>
            <w:tcW w:w="1880" w:type="dxa"/>
            <w:vAlign w:val="bottom"/>
            <w:tcBorders>
              <w:top w:val="single" w:sz="8" w:color="131E29"/>
            </w:tcBorders>
            <w:gridSpan w:val="2"/>
          </w:tcPr>
          <w:p>
            <w:pPr>
              <w:spacing w:after="0"/>
              <w:rPr>
                <w:sz w:val="20"/>
                <w:szCs w:val="20"/>
                <w:color w:val="auto"/>
              </w:rPr>
            </w:pPr>
            <w:r>
              <w:rPr>
                <w:rFonts w:ascii="Arial" w:cs="Arial" w:eastAsia="Arial" w:hAnsi="Arial"/>
                <w:sz w:val="18"/>
                <w:szCs w:val="18"/>
                <w:b w:val="1"/>
                <w:bCs w:val="1"/>
                <w:i w:val="1"/>
                <w:iCs w:val="1"/>
                <w:color w:val="006098"/>
              </w:rPr>
              <w:t>Labor Costs</w:t>
            </w:r>
          </w:p>
        </w:tc>
        <w:tc>
          <w:tcPr>
            <w:tcW w:w="1020" w:type="dxa"/>
            <w:vAlign w:val="bottom"/>
            <w:tcBorders>
              <w:top w:val="single" w:sz="8" w:color="131E29"/>
            </w:tcBorders>
          </w:tcPr>
          <w:p>
            <w:pPr>
              <w:spacing w:after="0"/>
              <w:rPr>
                <w:sz w:val="24"/>
                <w:szCs w:val="24"/>
                <w:color w:val="auto"/>
              </w:rPr>
            </w:pPr>
          </w:p>
        </w:tc>
        <w:tc>
          <w:tcPr>
            <w:tcW w:w="100" w:type="dxa"/>
            <w:vAlign w:val="bottom"/>
            <w:tcBorders>
              <w:top w:val="single" w:sz="8" w:color="131E29"/>
            </w:tcBorders>
          </w:tcPr>
          <w:p>
            <w:pPr>
              <w:spacing w:after="0"/>
              <w:rPr>
                <w:sz w:val="24"/>
                <w:szCs w:val="24"/>
                <w:color w:val="auto"/>
              </w:rPr>
            </w:pPr>
          </w:p>
        </w:tc>
        <w:tc>
          <w:tcPr>
            <w:tcW w:w="980" w:type="dxa"/>
            <w:vAlign w:val="bottom"/>
            <w:tcBorders>
              <w:top w:val="single" w:sz="8" w:color="131E29"/>
            </w:tcBorders>
          </w:tcPr>
          <w:p>
            <w:pPr>
              <w:spacing w:after="0"/>
              <w:rPr>
                <w:sz w:val="24"/>
                <w:szCs w:val="24"/>
                <w:color w:val="auto"/>
              </w:rPr>
            </w:pPr>
          </w:p>
        </w:tc>
        <w:tc>
          <w:tcPr>
            <w:tcW w:w="100" w:type="dxa"/>
            <w:vAlign w:val="bottom"/>
            <w:tcBorders>
              <w:top w:val="single" w:sz="8" w:color="131E29"/>
            </w:tcBorders>
          </w:tcPr>
          <w:p>
            <w:pPr>
              <w:spacing w:after="0"/>
              <w:rPr>
                <w:sz w:val="24"/>
                <w:szCs w:val="24"/>
                <w:color w:val="auto"/>
              </w:rPr>
            </w:pPr>
          </w:p>
        </w:tc>
        <w:tc>
          <w:tcPr>
            <w:tcW w:w="240" w:type="dxa"/>
            <w:vAlign w:val="bottom"/>
            <w:tcBorders>
              <w:top w:val="single" w:sz="8" w:color="131E29"/>
            </w:tcBorders>
          </w:tcPr>
          <w:p>
            <w:pPr>
              <w:spacing w:after="0"/>
              <w:rPr>
                <w:sz w:val="24"/>
                <w:szCs w:val="24"/>
                <w:color w:val="auto"/>
              </w:rPr>
            </w:pPr>
          </w:p>
        </w:tc>
        <w:tc>
          <w:tcPr>
            <w:tcW w:w="1000" w:type="dxa"/>
            <w:vAlign w:val="bottom"/>
            <w:tcBorders>
              <w:top w:val="single" w:sz="8" w:color="131E29"/>
            </w:tcBorders>
          </w:tcPr>
          <w:p>
            <w:pPr>
              <w:spacing w:after="0"/>
              <w:rPr>
                <w:sz w:val="24"/>
                <w:szCs w:val="24"/>
                <w:color w:val="auto"/>
              </w:rPr>
            </w:pPr>
          </w:p>
        </w:tc>
        <w:tc>
          <w:tcPr>
            <w:tcW w:w="1240" w:type="dxa"/>
            <w:vAlign w:val="bottom"/>
            <w:tcBorders>
              <w:top w:val="single" w:sz="8" w:color="131E29"/>
            </w:tcBorders>
          </w:tcPr>
          <w:p>
            <w:pPr>
              <w:spacing w:after="0"/>
              <w:rPr>
                <w:sz w:val="24"/>
                <w:szCs w:val="24"/>
                <w:color w:val="auto"/>
              </w:rPr>
            </w:pPr>
          </w:p>
        </w:tc>
        <w:tc>
          <w:tcPr>
            <w:tcW w:w="80" w:type="dxa"/>
            <w:vAlign w:val="bottom"/>
            <w:tcBorders>
              <w:top w:val="single" w:sz="8" w:color="131E29"/>
            </w:tcBorders>
          </w:tcPr>
          <w:p>
            <w:pPr>
              <w:spacing w:after="0"/>
              <w:rPr>
                <w:sz w:val="24"/>
                <w:szCs w:val="24"/>
                <w:color w:val="auto"/>
              </w:rPr>
            </w:pPr>
          </w:p>
        </w:tc>
        <w:tc>
          <w:tcPr>
            <w:tcW w:w="1040" w:type="dxa"/>
            <w:vAlign w:val="bottom"/>
            <w:tcBorders>
              <w:top w:val="single" w:sz="8" w:color="131E29"/>
            </w:tcBorders>
          </w:tcPr>
          <w:p>
            <w:pPr>
              <w:spacing w:after="0"/>
              <w:rPr>
                <w:sz w:val="24"/>
                <w:szCs w:val="24"/>
                <w:color w:val="auto"/>
              </w:rPr>
            </w:pPr>
          </w:p>
        </w:tc>
        <w:tc>
          <w:tcPr>
            <w:tcW w:w="100" w:type="dxa"/>
            <w:vAlign w:val="bottom"/>
            <w:tcBorders>
              <w:top w:val="single" w:sz="8" w:color="131E29"/>
            </w:tcBorders>
          </w:tcPr>
          <w:p>
            <w:pPr>
              <w:spacing w:after="0"/>
              <w:rPr>
                <w:sz w:val="24"/>
                <w:szCs w:val="24"/>
                <w:color w:val="auto"/>
              </w:rPr>
            </w:pPr>
          </w:p>
        </w:tc>
        <w:tc>
          <w:tcPr>
            <w:tcW w:w="620" w:type="dxa"/>
            <w:vAlign w:val="bottom"/>
            <w:tcBorders>
              <w:top w:val="single" w:sz="8" w:color="131E29"/>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131E29"/>
            </w:tcBorders>
          </w:tcPr>
          <w:p>
            <w:pPr>
              <w:spacing w:after="0"/>
              <w:rPr>
                <w:sz w:val="24"/>
                <w:szCs w:val="24"/>
                <w:color w:val="auto"/>
              </w:rPr>
            </w:pPr>
          </w:p>
        </w:tc>
        <w:tc>
          <w:tcPr>
            <w:tcW w:w="80" w:type="dxa"/>
            <w:vAlign w:val="bottom"/>
            <w:tcBorders>
              <w:top w:val="single" w:sz="8" w:color="131E29"/>
            </w:tcBorders>
          </w:tcPr>
          <w:p>
            <w:pPr>
              <w:spacing w:after="0"/>
              <w:rPr>
                <w:sz w:val="24"/>
                <w:szCs w:val="24"/>
                <w:color w:val="auto"/>
              </w:rPr>
            </w:pPr>
          </w:p>
        </w:tc>
        <w:tc>
          <w:tcPr>
            <w:tcW w:w="220" w:type="dxa"/>
            <w:vAlign w:val="bottom"/>
            <w:tcBorders>
              <w:top w:val="single" w:sz="8" w:color="131E29"/>
            </w:tcBorders>
          </w:tcPr>
          <w:p>
            <w:pPr>
              <w:spacing w:after="0"/>
              <w:rPr>
                <w:sz w:val="24"/>
                <w:szCs w:val="24"/>
                <w:color w:val="auto"/>
              </w:rPr>
            </w:pPr>
          </w:p>
        </w:tc>
        <w:tc>
          <w:tcPr>
            <w:tcW w:w="800" w:type="dxa"/>
            <w:vAlign w:val="bottom"/>
            <w:tcBorders>
              <w:top w:val="single" w:sz="8" w:color="131E29"/>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131E29"/>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gridSpan w:val="8"/>
          </w:tcPr>
          <w:p>
            <w:pPr>
              <w:ind w:left="800"/>
              <w:spacing w:after="0"/>
              <w:rPr>
                <w:sz w:val="20"/>
                <w:szCs w:val="20"/>
                <w:color w:val="auto"/>
              </w:rPr>
            </w:pPr>
            <w:r>
              <w:rPr>
                <w:rFonts w:ascii="Arial" w:cs="Arial" w:eastAsia="Arial" w:hAnsi="Arial"/>
                <w:sz w:val="18"/>
                <w:szCs w:val="18"/>
                <w:b w:val="1"/>
                <w:bCs w:val="1"/>
                <w:color w:val="131E29"/>
              </w:rPr>
              <w:t>Three Months Ended September 30,</w:t>
            </w:r>
          </w:p>
        </w:tc>
        <w:tc>
          <w:tcPr>
            <w:tcW w:w="4600" w:type="dxa"/>
            <w:vAlign w:val="bottom"/>
            <w:gridSpan w:val="10"/>
          </w:tcPr>
          <w:p>
            <w:pPr>
              <w:jc w:val="right"/>
              <w:ind w:right="731"/>
              <w:spacing w:after="0"/>
              <w:rPr>
                <w:sz w:val="20"/>
                <w:szCs w:val="20"/>
                <w:color w:val="auto"/>
              </w:rPr>
            </w:pPr>
            <w:r>
              <w:rPr>
                <w:rFonts w:ascii="Arial" w:cs="Arial" w:eastAsia="Arial" w:hAnsi="Arial"/>
                <w:sz w:val="18"/>
                <w:szCs w:val="18"/>
                <w:b w:val="1"/>
                <w:bCs w:val="1"/>
                <w:color w:val="131E29"/>
              </w:rPr>
              <w:t>Nine Months Ended September 30,</w:t>
            </w:r>
          </w:p>
        </w:tc>
        <w:tc>
          <w:tcPr>
            <w:tcW w:w="0" w:type="dxa"/>
            <w:vAlign w:val="bottom"/>
          </w:tcPr>
          <w:p>
            <w:pPr>
              <w:spacing w:after="0"/>
              <w:rPr>
                <w:sz w:val="1"/>
                <w:szCs w:val="1"/>
                <w:color w:val="auto"/>
              </w:rPr>
            </w:pPr>
          </w:p>
        </w:tc>
      </w:tr>
      <w:tr>
        <w:trPr>
          <w:trHeight w:val="27"/>
        </w:trPr>
        <w:tc>
          <w:tcPr>
            <w:tcW w:w="1880" w:type="dxa"/>
            <w:vAlign w:val="bottom"/>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88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3"/>
          </w:tcPr>
          <w:p>
            <w:pPr>
              <w:ind w:left="480"/>
              <w:spacing w:after="0"/>
              <w:rPr>
                <w:sz w:val="20"/>
                <w:szCs w:val="20"/>
                <w:color w:val="auto"/>
              </w:rPr>
            </w:pPr>
            <w:r>
              <w:rPr>
                <w:rFonts w:ascii="Arial" w:cs="Arial" w:eastAsia="Arial" w:hAnsi="Arial"/>
                <w:sz w:val="18"/>
                <w:szCs w:val="18"/>
                <w:b w:val="1"/>
                <w:bCs w:val="1"/>
                <w:color w:val="131E29"/>
              </w:rPr>
              <w:t>2022 v. 2021</w:t>
            </w: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131E29"/>
              </w:rPr>
              <w:t>2021</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3"/>
          </w:tcPr>
          <w:p>
            <w:pPr>
              <w:jc w:val="right"/>
              <w:ind w:right="611"/>
              <w:spacing w:after="0"/>
              <w:rPr>
                <w:sz w:val="20"/>
                <w:szCs w:val="20"/>
                <w:color w:val="auto"/>
              </w:rPr>
            </w:pPr>
            <w:r>
              <w:rPr>
                <w:rFonts w:ascii="Arial" w:cs="Arial" w:eastAsia="Arial" w:hAnsi="Arial"/>
                <w:sz w:val="18"/>
                <w:szCs w:val="18"/>
                <w:b w:val="1"/>
                <w:bCs w:val="1"/>
                <w:color w:val="131E29"/>
              </w:rPr>
              <w:t>2022 v. 2021</w:t>
            </w:r>
          </w:p>
        </w:tc>
        <w:tc>
          <w:tcPr>
            <w:tcW w:w="0" w:type="dxa"/>
            <w:vAlign w:val="bottom"/>
          </w:tcPr>
          <w:p>
            <w:pPr>
              <w:spacing w:after="0"/>
              <w:rPr>
                <w:sz w:val="1"/>
                <w:szCs w:val="1"/>
                <w:color w:val="auto"/>
              </w:rPr>
            </w:pPr>
          </w:p>
        </w:tc>
      </w:tr>
      <w:tr>
        <w:trPr>
          <w:trHeight w:val="26"/>
        </w:trPr>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8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1000" w:type="dxa"/>
            <w:vAlign w:val="bottom"/>
            <w:tcBorders>
              <w:bottom w:val="single" w:sz="8" w:color="131E29"/>
            </w:tcBorders>
          </w:tcPr>
          <w:p>
            <w:pPr>
              <w:spacing w:after="0"/>
              <w:rPr>
                <w:sz w:val="2"/>
                <w:szCs w:val="2"/>
                <w:color w:val="auto"/>
              </w:rPr>
            </w:pPr>
          </w:p>
        </w:tc>
        <w:tc>
          <w:tcPr>
            <w:tcW w:w="124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0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40" w:type="dxa"/>
            <w:vAlign w:val="bottom"/>
            <w:tcBorders>
              <w:bottom w:val="single" w:sz="8" w:color="131E29"/>
            </w:tcBorders>
            <w:gridSpan w:val="3"/>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80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132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8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Labor costs</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   49,000</w:t>
            </w:r>
          </w:p>
        </w:tc>
        <w:tc>
          <w:tcPr>
            <w:tcW w:w="100" w:type="dxa"/>
            <w:vAlign w:val="bottom"/>
            <w:shd w:val="clear" w:color="auto" w:fill="D2DCE5"/>
          </w:tcPr>
          <w:p>
            <w:pPr>
              <w:spacing w:after="0"/>
              <w:rPr>
                <w:sz w:val="22"/>
                <w:szCs w:val="22"/>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   33,307</w:t>
            </w:r>
          </w:p>
        </w:tc>
        <w:tc>
          <w:tcPr>
            <w:tcW w:w="100" w:type="dxa"/>
            <w:vAlign w:val="bottom"/>
            <w:shd w:val="clear" w:color="auto" w:fill="D2DCE5"/>
          </w:tcPr>
          <w:p>
            <w:pPr>
              <w:spacing w:after="0"/>
              <w:rPr>
                <w:sz w:val="22"/>
                <w:szCs w:val="22"/>
                <w:color w:val="auto"/>
              </w:rPr>
            </w:pPr>
          </w:p>
        </w:tc>
        <w:tc>
          <w:tcPr>
            <w:tcW w:w="240" w:type="dxa"/>
            <w:vAlign w:val="bottom"/>
            <w:shd w:val="clear" w:color="auto" w:fill="D2DCE5"/>
          </w:tcPr>
          <w:p>
            <w:pPr>
              <w:jc w:val="right"/>
              <w:ind w:right="50"/>
              <w:spacing w:after="0"/>
              <w:rPr>
                <w:sz w:val="20"/>
                <w:szCs w:val="20"/>
                <w:color w:val="auto"/>
              </w:rPr>
            </w:pPr>
            <w:r>
              <w:rPr>
                <w:rFonts w:ascii="Arial" w:cs="Arial" w:eastAsia="Arial" w:hAnsi="Arial"/>
                <w:sz w:val="18"/>
                <w:szCs w:val="18"/>
                <w:color w:val="131E29"/>
                <w:w w:val="79"/>
              </w:rPr>
              <w:t>$</w:t>
            </w:r>
          </w:p>
        </w:tc>
        <w:tc>
          <w:tcPr>
            <w:tcW w:w="1000" w:type="dxa"/>
            <w:vAlign w:val="bottom"/>
            <w:shd w:val="clear" w:color="auto" w:fill="D2DCE5"/>
          </w:tcPr>
          <w:p>
            <w:pPr>
              <w:jc w:val="right"/>
              <w:ind w:right="210"/>
              <w:spacing w:after="0"/>
              <w:rPr>
                <w:sz w:val="20"/>
                <w:szCs w:val="20"/>
                <w:color w:val="auto"/>
              </w:rPr>
            </w:pPr>
            <w:r>
              <w:rPr>
                <w:rFonts w:ascii="Arial" w:cs="Arial" w:eastAsia="Arial" w:hAnsi="Arial"/>
                <w:sz w:val="18"/>
                <w:szCs w:val="18"/>
                <w:color w:val="131E29"/>
              </w:rPr>
              <w:t>15,693</w:t>
            </w:r>
          </w:p>
        </w:tc>
        <w:tc>
          <w:tcPr>
            <w:tcW w:w="1240" w:type="dxa"/>
            <w:vAlign w:val="bottom"/>
            <w:shd w:val="clear" w:color="auto" w:fill="D2DCE5"/>
          </w:tcPr>
          <w:p>
            <w:pPr>
              <w:jc w:val="right"/>
              <w:ind w:right="350"/>
              <w:spacing w:after="0"/>
              <w:rPr>
                <w:sz w:val="20"/>
                <w:szCs w:val="20"/>
                <w:color w:val="auto"/>
              </w:rPr>
            </w:pPr>
            <w:r>
              <w:rPr>
                <w:rFonts w:ascii="Arial" w:cs="Arial" w:eastAsia="Arial" w:hAnsi="Arial"/>
                <w:sz w:val="18"/>
                <w:szCs w:val="18"/>
                <w:color w:val="131E29"/>
              </w:rPr>
              <w:t>47.1%</w:t>
            </w:r>
          </w:p>
        </w:tc>
        <w:tc>
          <w:tcPr>
            <w:tcW w:w="80" w:type="dxa"/>
            <w:vAlign w:val="bottom"/>
            <w:shd w:val="clear" w:color="auto" w:fill="D2DCE5"/>
          </w:tcPr>
          <w:p>
            <w:pPr>
              <w:spacing w:after="0"/>
              <w:rPr>
                <w:sz w:val="22"/>
                <w:szCs w:val="22"/>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  138,001</w:t>
            </w:r>
          </w:p>
        </w:tc>
        <w:tc>
          <w:tcPr>
            <w:tcW w:w="100" w:type="dxa"/>
            <w:vAlign w:val="bottom"/>
            <w:shd w:val="clear" w:color="auto" w:fill="D2DCE5"/>
          </w:tcPr>
          <w:p>
            <w:pPr>
              <w:spacing w:after="0"/>
              <w:rPr>
                <w:sz w:val="22"/>
                <w:szCs w:val="22"/>
                <w:color w:val="auto"/>
              </w:rPr>
            </w:pPr>
          </w:p>
        </w:tc>
        <w:tc>
          <w:tcPr>
            <w:tcW w:w="940" w:type="dxa"/>
            <w:vAlign w:val="bottom"/>
            <w:gridSpan w:val="3"/>
            <w:shd w:val="clear" w:color="auto" w:fill="D2DCE5"/>
          </w:tcPr>
          <w:p>
            <w:pPr>
              <w:jc w:val="right"/>
              <w:ind w:right="80"/>
              <w:spacing w:after="0"/>
              <w:rPr>
                <w:sz w:val="20"/>
                <w:szCs w:val="20"/>
                <w:color w:val="auto"/>
              </w:rPr>
            </w:pPr>
            <w:r>
              <w:rPr>
                <w:rFonts w:ascii="Arial" w:cs="Arial" w:eastAsia="Arial" w:hAnsi="Arial"/>
                <w:sz w:val="18"/>
                <w:szCs w:val="18"/>
                <w:color w:val="131E29"/>
              </w:rPr>
              <w:t>$  87,695</w:t>
            </w:r>
          </w:p>
        </w:tc>
        <w:tc>
          <w:tcPr>
            <w:tcW w:w="80" w:type="dxa"/>
            <w:vAlign w:val="bottom"/>
            <w:shd w:val="clear" w:color="auto" w:fill="D2DCE5"/>
          </w:tcPr>
          <w:p>
            <w:pPr>
              <w:spacing w:after="0"/>
              <w:rPr>
                <w:sz w:val="22"/>
                <w:szCs w:val="22"/>
                <w:color w:val="auto"/>
              </w:rPr>
            </w:pPr>
          </w:p>
        </w:tc>
        <w:tc>
          <w:tcPr>
            <w:tcW w:w="220" w:type="dxa"/>
            <w:vAlign w:val="bottom"/>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50,306</w:t>
            </w:r>
          </w:p>
        </w:tc>
        <w:tc>
          <w:tcPr>
            <w:tcW w:w="100" w:type="dxa"/>
            <w:vAlign w:val="bottom"/>
            <w:shd w:val="clear" w:color="auto" w:fill="D2DCE5"/>
          </w:tcPr>
          <w:p>
            <w:pPr>
              <w:spacing w:after="0"/>
              <w:rPr>
                <w:sz w:val="22"/>
                <w:szCs w:val="22"/>
                <w:color w:val="auto"/>
              </w:rPr>
            </w:pPr>
          </w:p>
        </w:tc>
        <w:tc>
          <w:tcPr>
            <w:tcW w:w="1320" w:type="dxa"/>
            <w:vAlign w:val="bottom"/>
            <w:shd w:val="clear" w:color="auto" w:fill="D2DCE5"/>
          </w:tcPr>
          <w:p>
            <w:pPr>
              <w:jc w:val="right"/>
              <w:ind w:right="311"/>
              <w:spacing w:after="0"/>
              <w:rPr>
                <w:sz w:val="20"/>
                <w:szCs w:val="20"/>
                <w:color w:val="auto"/>
              </w:rPr>
            </w:pPr>
            <w:r>
              <w:rPr>
                <w:rFonts w:ascii="Arial" w:cs="Arial" w:eastAsia="Arial" w:hAnsi="Arial"/>
                <w:sz w:val="18"/>
                <w:szCs w:val="18"/>
                <w:color w:val="131E29"/>
              </w:rPr>
              <w:t>57.4%</w:t>
            </w:r>
          </w:p>
        </w:tc>
        <w:tc>
          <w:tcPr>
            <w:tcW w:w="0" w:type="dxa"/>
            <w:vAlign w:val="bottom"/>
          </w:tcPr>
          <w:p>
            <w:pPr>
              <w:spacing w:after="0"/>
              <w:rPr>
                <w:sz w:val="1"/>
                <w:szCs w:val="1"/>
                <w:color w:val="auto"/>
              </w:rPr>
            </w:pPr>
          </w:p>
        </w:tc>
      </w:tr>
      <w:tr>
        <w:trPr>
          <w:trHeight w:val="202"/>
        </w:trPr>
        <w:tc>
          <w:tcPr>
            <w:tcW w:w="188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w:t>
            </w:r>
          </w:p>
        </w:tc>
        <w:tc>
          <w:tcPr>
            <w:tcW w:w="1020" w:type="dxa"/>
            <w:vAlign w:val="bottom"/>
            <w:vMerge w:val="restart"/>
          </w:tcPr>
          <w:p>
            <w:pPr>
              <w:jc w:val="right"/>
              <w:ind w:right="170"/>
              <w:spacing w:after="0"/>
              <w:rPr>
                <w:sz w:val="20"/>
                <w:szCs w:val="20"/>
                <w:color w:val="auto"/>
              </w:rPr>
            </w:pPr>
            <w:r>
              <w:rPr>
                <w:rFonts w:ascii="Arial" w:cs="Arial" w:eastAsia="Arial" w:hAnsi="Arial"/>
                <w:sz w:val="18"/>
                <w:szCs w:val="18"/>
                <w:color w:val="131E29"/>
              </w:rPr>
              <w:t>28.3%</w:t>
            </w:r>
          </w:p>
        </w:tc>
        <w:tc>
          <w:tcPr>
            <w:tcW w:w="100" w:type="dxa"/>
            <w:vAlign w:val="bottom"/>
          </w:tcPr>
          <w:p>
            <w:pPr>
              <w:spacing w:after="0"/>
              <w:rPr>
                <w:sz w:val="17"/>
                <w:szCs w:val="17"/>
                <w:color w:val="auto"/>
              </w:rPr>
            </w:pPr>
          </w:p>
        </w:tc>
        <w:tc>
          <w:tcPr>
            <w:tcW w:w="980" w:type="dxa"/>
            <w:vAlign w:val="bottom"/>
            <w:vMerge w:val="restart"/>
          </w:tcPr>
          <w:p>
            <w:pPr>
              <w:jc w:val="right"/>
              <w:ind w:right="150"/>
              <w:spacing w:after="0"/>
              <w:rPr>
                <w:sz w:val="20"/>
                <w:szCs w:val="20"/>
                <w:color w:val="auto"/>
              </w:rPr>
            </w:pPr>
            <w:r>
              <w:rPr>
                <w:rFonts w:ascii="Arial" w:cs="Arial" w:eastAsia="Arial" w:hAnsi="Arial"/>
                <w:sz w:val="18"/>
                <w:szCs w:val="18"/>
                <w:color w:val="131E29"/>
              </w:rPr>
              <w:t>30.7%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restart"/>
          </w:tcPr>
          <w:p>
            <w:pPr>
              <w:jc w:val="right"/>
              <w:ind w:right="490"/>
              <w:spacing w:after="0"/>
              <w:rPr>
                <w:sz w:val="20"/>
                <w:szCs w:val="20"/>
                <w:color w:val="auto"/>
              </w:rPr>
            </w:pPr>
            <w:r>
              <w:rPr>
                <w:rFonts w:ascii="Arial" w:cs="Arial" w:eastAsia="Arial" w:hAnsi="Arial"/>
                <w:sz w:val="18"/>
                <w:szCs w:val="18"/>
                <w:color w:val="131E29"/>
              </w:rPr>
              <w:t>N/A</w:t>
            </w:r>
          </w:p>
        </w:tc>
        <w:tc>
          <w:tcPr>
            <w:tcW w:w="1320" w:type="dxa"/>
            <w:vAlign w:val="bottom"/>
            <w:gridSpan w:val="2"/>
            <w:vMerge w:val="restart"/>
          </w:tcPr>
          <w:p>
            <w:pPr>
              <w:ind w:left="500"/>
              <w:spacing w:after="0"/>
              <w:rPr>
                <w:sz w:val="20"/>
                <w:szCs w:val="20"/>
                <w:color w:val="auto"/>
              </w:rPr>
            </w:pPr>
            <w:r>
              <w:rPr>
                <w:rFonts w:ascii="Arial" w:cs="Arial" w:eastAsia="Arial" w:hAnsi="Arial"/>
                <w:sz w:val="18"/>
                <w:szCs w:val="18"/>
                <w:color w:val="131E29"/>
              </w:rPr>
              <w:t>(240)bps</w:t>
            </w:r>
          </w:p>
        </w:tc>
        <w:tc>
          <w:tcPr>
            <w:tcW w:w="1040" w:type="dxa"/>
            <w:vAlign w:val="bottom"/>
            <w:vMerge w:val="restart"/>
          </w:tcPr>
          <w:p>
            <w:pPr>
              <w:jc w:val="right"/>
              <w:ind w:right="170"/>
              <w:spacing w:after="0"/>
              <w:rPr>
                <w:sz w:val="20"/>
                <w:szCs w:val="20"/>
                <w:color w:val="auto"/>
              </w:rPr>
            </w:pPr>
            <w:r>
              <w:rPr>
                <w:rFonts w:ascii="Arial" w:cs="Arial" w:eastAsia="Arial" w:hAnsi="Arial"/>
                <w:sz w:val="18"/>
                <w:szCs w:val="18"/>
                <w:color w:val="131E29"/>
              </w:rPr>
              <w:t>29.8%</w:t>
            </w:r>
          </w:p>
        </w:tc>
        <w:tc>
          <w:tcPr>
            <w:tcW w:w="100" w:type="dxa"/>
            <w:vAlign w:val="bottom"/>
          </w:tcPr>
          <w:p>
            <w:pPr>
              <w:spacing w:after="0"/>
              <w:rPr>
                <w:sz w:val="17"/>
                <w:szCs w:val="17"/>
                <w:color w:val="auto"/>
              </w:rPr>
            </w:pPr>
          </w:p>
        </w:tc>
        <w:tc>
          <w:tcPr>
            <w:tcW w:w="94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131E29"/>
              </w:rPr>
              <w:t>30.3%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8"/>
                <w:szCs w:val="18"/>
                <w:color w:val="131E29"/>
              </w:rPr>
              <w:t>N/A</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131E29"/>
              </w:rPr>
              <w:t>(50)bps</w:t>
            </w:r>
          </w:p>
        </w:tc>
        <w:tc>
          <w:tcPr>
            <w:tcW w:w="0" w:type="dxa"/>
            <w:vAlign w:val="bottom"/>
          </w:tcPr>
          <w:p>
            <w:pPr>
              <w:spacing w:after="0"/>
              <w:rPr>
                <w:sz w:val="1"/>
                <w:szCs w:val="1"/>
                <w:color w:val="auto"/>
              </w:rPr>
            </w:pPr>
          </w:p>
        </w:tc>
      </w:tr>
      <w:tr>
        <w:trPr>
          <w:trHeight w:val="217"/>
        </w:trPr>
        <w:tc>
          <w:tcPr>
            <w:tcW w:w="1880" w:type="dxa"/>
            <w:vAlign w:val="bottom"/>
            <w:gridSpan w:val="2"/>
          </w:tcPr>
          <w:p>
            <w:pPr>
              <w:ind w:left="20"/>
              <w:spacing w:after="0"/>
              <w:rPr>
                <w:sz w:val="20"/>
                <w:szCs w:val="20"/>
                <w:color w:val="auto"/>
              </w:rPr>
            </w:pPr>
            <w:r>
              <w:rPr>
                <w:rFonts w:ascii="Arial" w:cs="Arial" w:eastAsia="Arial" w:hAnsi="Arial"/>
                <w:sz w:val="16"/>
                <w:szCs w:val="16"/>
                <w:i w:val="1"/>
                <w:iCs w:val="1"/>
                <w:color w:val="131E29"/>
              </w:rPr>
              <w:t>revenue</w:t>
            </w: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September 30, 2022 v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31E29"/>
        </w:rPr>
        <w:t>The labor costs impacts for the year-over-year comparison, presented in dollars and basis points, were driven by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480" w:type="dxa"/>
            <w:vAlign w:val="bottom"/>
            <w:gridSpan w:val="2"/>
          </w:tcPr>
          <w:p>
            <w:pPr>
              <w:ind w:left="20"/>
              <w:spacing w:after="0"/>
              <w:rPr>
                <w:sz w:val="20"/>
                <w:szCs w:val="20"/>
                <w:color w:val="auto"/>
              </w:rPr>
            </w:pPr>
            <w:r>
              <w:rPr>
                <w:rFonts w:ascii="Arial" w:cs="Arial" w:eastAsia="Arial" w:hAnsi="Arial"/>
                <w:sz w:val="14"/>
                <w:szCs w:val="14"/>
                <w:color w:val="131E29"/>
              </w:rPr>
              <w:t>(in thousands, except BPS; unaudited)</w:t>
            </w:r>
          </w:p>
        </w:tc>
        <w:tc>
          <w:tcPr>
            <w:tcW w:w="360" w:type="dxa"/>
            <w:vAlign w:val="bottom"/>
          </w:tcPr>
          <w:p>
            <w:pPr>
              <w:spacing w:after="0"/>
              <w:rPr>
                <w:sz w:val="20"/>
                <w:szCs w:val="20"/>
                <w:color w:val="auto"/>
              </w:rPr>
            </w:pPr>
          </w:p>
        </w:tc>
        <w:tc>
          <w:tcPr>
            <w:tcW w:w="980" w:type="dxa"/>
            <w:vAlign w:val="bottom"/>
          </w:tcPr>
          <w:p>
            <w:pPr>
              <w:jc w:val="right"/>
              <w:ind w:right="538"/>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320" w:type="dxa"/>
            <w:vAlign w:val="bottom"/>
          </w:tcPr>
          <w:p>
            <w:pPr>
              <w:jc w:val="right"/>
              <w:ind w:right="398"/>
              <w:spacing w:after="0"/>
              <w:rPr>
                <w:sz w:val="20"/>
                <w:szCs w:val="20"/>
                <w:color w:val="auto"/>
              </w:rPr>
            </w:pPr>
            <w:r>
              <w:rPr>
                <w:rFonts w:ascii="Arial" w:cs="Arial" w:eastAsia="Arial" w:hAnsi="Arial"/>
                <w:sz w:val="18"/>
                <w:szCs w:val="18"/>
                <w:b w:val="1"/>
                <w:bCs w:val="1"/>
                <w:color w:val="131E29"/>
              </w:rPr>
              <w:t>BPS</w:t>
            </w:r>
          </w:p>
        </w:tc>
      </w:tr>
      <w:tr>
        <w:trPr>
          <w:trHeight w:val="25"/>
        </w:trPr>
        <w:tc>
          <w:tcPr>
            <w:tcW w:w="84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60" w:type="dxa"/>
            <w:vAlign w:val="bottom"/>
            <w:tcBorders>
              <w:bottom w:val="single" w:sz="8" w:color="131E29"/>
            </w:tcBorders>
          </w:tcPr>
          <w:p>
            <w:pPr>
              <w:spacing w:after="0"/>
              <w:rPr>
                <w:sz w:val="2"/>
                <w:szCs w:val="2"/>
                <w:color w:val="auto"/>
              </w:rPr>
            </w:pPr>
          </w:p>
        </w:tc>
        <w:tc>
          <w:tcPr>
            <w:tcW w:w="98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131E29"/>
            </w:tcBorders>
          </w:tcPr>
          <w:p>
            <w:pPr>
              <w:spacing w:after="0"/>
              <w:rPr>
                <w:sz w:val="2"/>
                <w:szCs w:val="2"/>
                <w:color w:val="auto"/>
              </w:rPr>
            </w:pPr>
          </w:p>
        </w:tc>
      </w:tr>
      <w:tr>
        <w:trPr>
          <w:trHeight w:val="237"/>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Shop weeks</w:t>
            </w:r>
          </w:p>
        </w:tc>
        <w:tc>
          <w:tcPr>
            <w:tcW w:w="360" w:type="dxa"/>
            <w:vAlign w:val="bottom"/>
            <w:shd w:val="clear" w:color="auto" w:fill="D2DCE5"/>
          </w:tcPr>
          <w:p>
            <w:pPr>
              <w:jc w:val="right"/>
              <w:ind w:right="159"/>
              <w:spacing w:after="0"/>
              <w:rPr>
                <w:sz w:val="20"/>
                <w:szCs w:val="20"/>
                <w:color w:val="auto"/>
              </w:rPr>
            </w:pPr>
            <w:r>
              <w:rPr>
                <w:rFonts w:ascii="Arial" w:cs="Arial" w:eastAsia="Arial" w:hAnsi="Arial"/>
                <w:sz w:val="16"/>
                <w:szCs w:val="16"/>
                <w:color w:val="131E29"/>
              </w:rPr>
              <w:t>$</w:t>
            </w: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16,069</w:t>
            </w:r>
          </w:p>
        </w:tc>
        <w:tc>
          <w:tcPr>
            <w:tcW w:w="100" w:type="dxa"/>
            <w:vAlign w:val="bottom"/>
            <w:shd w:val="clear" w:color="auto" w:fill="D2DCE5"/>
          </w:tcPr>
          <w:p>
            <w:pPr>
              <w:spacing w:after="0"/>
              <w:rPr>
                <w:sz w:val="20"/>
                <w:szCs w:val="20"/>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N/A</w:t>
            </w:r>
          </w:p>
        </w:tc>
      </w:tr>
      <w:tr>
        <w:trPr>
          <w:trHeight w:val="233"/>
        </w:trPr>
        <w:tc>
          <w:tcPr>
            <w:tcW w:w="8480" w:type="dxa"/>
            <w:vAlign w:val="bottom"/>
            <w:gridSpan w:val="2"/>
          </w:tcPr>
          <w:p>
            <w:pPr>
              <w:ind w:left="20"/>
              <w:spacing w:after="0"/>
              <w:rPr>
                <w:sz w:val="20"/>
                <w:szCs w:val="20"/>
                <w:color w:val="auto"/>
              </w:rPr>
            </w:pPr>
            <w:r>
              <w:rPr>
                <w:rFonts w:ascii="Arial" w:cs="Arial" w:eastAsia="Arial" w:hAnsi="Arial"/>
                <w:sz w:val="16"/>
                <w:szCs w:val="16"/>
                <w:color w:val="131E29"/>
              </w:rPr>
              <w:t>Legislated minimum wage increases and higher minimum staffing standards</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131E29"/>
              </w:rPr>
              <w:t>1,526</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131E29"/>
              </w:rPr>
              <w:t>90</w:t>
            </w:r>
          </w:p>
        </w:tc>
      </w:tr>
      <w:tr>
        <w:trPr>
          <w:trHeight w:val="253"/>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Volume</w:t>
            </w:r>
          </w:p>
        </w:tc>
        <w:tc>
          <w:tcPr>
            <w:tcW w:w="360" w:type="dxa"/>
            <w:vAlign w:val="bottom"/>
            <w:shd w:val="clear" w:color="auto" w:fill="D2DCE5"/>
          </w:tcPr>
          <w:p>
            <w:pPr>
              <w:spacing w:after="0"/>
              <w:rPr>
                <w:sz w:val="21"/>
                <w:szCs w:val="21"/>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N/A</w:t>
            </w:r>
          </w:p>
        </w:tc>
      </w:tr>
      <w:tr>
        <w:trPr>
          <w:trHeight w:val="233"/>
        </w:trPr>
        <w:tc>
          <w:tcPr>
            <w:tcW w:w="8480" w:type="dxa"/>
            <w:vAlign w:val="bottom"/>
            <w:gridSpan w:val="2"/>
          </w:tcPr>
          <w:p>
            <w:pPr>
              <w:ind w:left="20"/>
              <w:spacing w:after="0"/>
              <w:rPr>
                <w:sz w:val="20"/>
                <w:szCs w:val="20"/>
                <w:color w:val="auto"/>
              </w:rPr>
            </w:pPr>
            <w:r>
              <w:rPr>
                <w:rFonts w:ascii="Arial" w:cs="Arial" w:eastAsia="Arial" w:hAnsi="Arial"/>
                <w:sz w:val="16"/>
                <w:szCs w:val="16"/>
                <w:color w:val="131E29"/>
              </w:rPr>
              <w:t>Lower COVID-19 leave expenses</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131E29"/>
              </w:rPr>
              <w:t>(246)</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131E29"/>
              </w:rPr>
              <w:t>(10)</w:t>
            </w:r>
          </w:p>
        </w:tc>
      </w:tr>
      <w:tr>
        <w:trPr>
          <w:trHeight w:val="253"/>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New shop impact</w:t>
            </w:r>
          </w:p>
        </w:tc>
        <w:tc>
          <w:tcPr>
            <w:tcW w:w="360" w:type="dxa"/>
            <w:vAlign w:val="bottom"/>
            <w:shd w:val="clear" w:color="auto" w:fill="D2DCE5"/>
          </w:tcPr>
          <w:p>
            <w:pPr>
              <w:spacing w:after="0"/>
              <w:rPr>
                <w:sz w:val="21"/>
                <w:szCs w:val="21"/>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(1,324)</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(80)</w:t>
            </w:r>
          </w:p>
        </w:tc>
      </w:tr>
      <w:tr>
        <w:trPr>
          <w:trHeight w:val="233"/>
        </w:trPr>
        <w:tc>
          <w:tcPr>
            <w:tcW w:w="8480" w:type="dxa"/>
            <w:vAlign w:val="bottom"/>
            <w:gridSpan w:val="2"/>
          </w:tcPr>
          <w:p>
            <w:pPr>
              <w:ind w:left="20"/>
              <w:spacing w:after="0"/>
              <w:rPr>
                <w:sz w:val="20"/>
                <w:szCs w:val="20"/>
                <w:color w:val="auto"/>
              </w:rPr>
            </w:pPr>
            <w:r>
              <w:rPr>
                <w:rFonts w:ascii="Arial" w:cs="Arial" w:eastAsia="Arial" w:hAnsi="Arial"/>
                <w:sz w:val="16"/>
                <w:szCs w:val="16"/>
                <w:color w:val="131E29"/>
              </w:rPr>
              <w:t>Pricing impacts</w:t>
            </w:r>
          </w:p>
        </w:tc>
        <w:tc>
          <w:tcPr>
            <w:tcW w:w="36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6"/>
                <w:szCs w:val="16"/>
                <w:color w:val="131E29"/>
              </w:rPr>
              <w:t>N/A</w:t>
            </w:r>
          </w:p>
        </w:tc>
        <w:tc>
          <w:tcPr>
            <w:tcW w:w="1320" w:type="dxa"/>
            <w:vAlign w:val="bottom"/>
          </w:tcPr>
          <w:p>
            <w:pPr>
              <w:jc w:val="right"/>
              <w:spacing w:after="0"/>
              <w:rPr>
                <w:sz w:val="20"/>
                <w:szCs w:val="20"/>
                <w:color w:val="auto"/>
              </w:rPr>
            </w:pPr>
            <w:r>
              <w:rPr>
                <w:rFonts w:ascii="Arial" w:cs="Arial" w:eastAsia="Arial" w:hAnsi="Arial"/>
                <w:sz w:val="16"/>
                <w:szCs w:val="16"/>
                <w:color w:val="131E29"/>
              </w:rPr>
              <w:t>(220)</w:t>
            </w:r>
          </w:p>
        </w:tc>
      </w:tr>
      <w:tr>
        <w:trPr>
          <w:trHeight w:val="253"/>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Promotional discounts</w:t>
            </w:r>
          </w:p>
        </w:tc>
        <w:tc>
          <w:tcPr>
            <w:tcW w:w="360" w:type="dxa"/>
            <w:vAlign w:val="bottom"/>
            <w:shd w:val="clear" w:color="auto" w:fill="D2DCE5"/>
          </w:tcPr>
          <w:p>
            <w:pPr>
              <w:spacing w:after="0"/>
              <w:rPr>
                <w:sz w:val="21"/>
                <w:szCs w:val="21"/>
                <w:color w:val="auto"/>
              </w:rPr>
            </w:pPr>
          </w:p>
        </w:tc>
        <w:tc>
          <w:tcPr>
            <w:tcW w:w="1080" w:type="dxa"/>
            <w:vAlign w:val="bottom"/>
            <w:gridSpan w:val="2"/>
            <w:shd w:val="clear" w:color="auto" w:fill="D2DCE5"/>
          </w:tcPr>
          <w:p>
            <w:pPr>
              <w:ind w:left="700"/>
              <w:spacing w:after="0"/>
              <w:rPr>
                <w:sz w:val="20"/>
                <w:szCs w:val="20"/>
                <w:color w:val="auto"/>
              </w:rPr>
            </w:pPr>
            <w:r>
              <w:rPr>
                <w:rFonts w:ascii="Arial" w:cs="Arial" w:eastAsia="Arial" w:hAnsi="Arial"/>
                <w:sz w:val="16"/>
                <w:szCs w:val="16"/>
                <w:color w:val="131E29"/>
              </w:rPr>
              <w:t>N/A</w:t>
            </w: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w:t>
            </w:r>
          </w:p>
        </w:tc>
      </w:tr>
      <w:tr>
        <w:trPr>
          <w:trHeight w:val="236"/>
        </w:trPr>
        <w:tc>
          <w:tcPr>
            <w:tcW w:w="8400" w:type="dxa"/>
            <w:vAlign w:val="bottom"/>
            <w:tcBorders>
              <w:bottom w:val="single" w:sz="8" w:color="131E29"/>
            </w:tcBorders>
          </w:tcPr>
          <w:p>
            <w:pPr>
              <w:ind w:left="20"/>
              <w:spacing w:after="0"/>
              <w:rPr>
                <w:sz w:val="20"/>
                <w:szCs w:val="20"/>
                <w:color w:val="auto"/>
              </w:rPr>
            </w:pPr>
            <w:r>
              <w:rPr>
                <w:rFonts w:ascii="Arial" w:cs="Arial" w:eastAsia="Arial" w:hAnsi="Arial"/>
                <w:sz w:val="16"/>
                <w:szCs w:val="16"/>
                <w:color w:val="131E29"/>
              </w:rPr>
              <w:t>Other</w:t>
            </w:r>
          </w:p>
        </w:tc>
        <w:tc>
          <w:tcPr>
            <w:tcW w:w="80" w:type="dxa"/>
            <w:vAlign w:val="bottom"/>
            <w:tcBorders>
              <w:bottom w:val="single" w:sz="8" w:color="D2DCE5"/>
            </w:tcBorders>
          </w:tcPr>
          <w:p>
            <w:pPr>
              <w:spacing w:after="0"/>
              <w:rPr>
                <w:sz w:val="20"/>
                <w:szCs w:val="20"/>
                <w:color w:val="auto"/>
              </w:rPr>
            </w:pPr>
          </w:p>
        </w:tc>
        <w:tc>
          <w:tcPr>
            <w:tcW w:w="360" w:type="dxa"/>
            <w:vAlign w:val="bottom"/>
            <w:tcBorders>
              <w:bottom w:val="single" w:sz="8" w:color="131E29"/>
            </w:tcBorders>
          </w:tcPr>
          <w:p>
            <w:pPr>
              <w:spacing w:after="0"/>
              <w:rPr>
                <w:sz w:val="20"/>
                <w:szCs w:val="20"/>
                <w:color w:val="auto"/>
              </w:rPr>
            </w:pPr>
          </w:p>
        </w:tc>
        <w:tc>
          <w:tcPr>
            <w:tcW w:w="980" w:type="dxa"/>
            <w:vAlign w:val="bottom"/>
            <w:tcBorders>
              <w:bottom w:val="single" w:sz="8" w:color="131E29"/>
            </w:tcBorders>
          </w:tcPr>
          <w:p>
            <w:pPr>
              <w:jc w:val="right"/>
              <w:spacing w:after="0"/>
              <w:rPr>
                <w:sz w:val="20"/>
                <w:szCs w:val="20"/>
                <w:color w:val="auto"/>
              </w:rPr>
            </w:pPr>
            <w:r>
              <w:rPr>
                <w:rFonts w:ascii="Arial" w:cs="Arial" w:eastAsia="Arial" w:hAnsi="Arial"/>
                <w:sz w:val="16"/>
                <w:szCs w:val="16"/>
                <w:color w:val="131E29"/>
              </w:rPr>
              <w:t>(335)</w:t>
            </w:r>
          </w:p>
        </w:tc>
        <w:tc>
          <w:tcPr>
            <w:tcW w:w="100" w:type="dxa"/>
            <w:vAlign w:val="bottom"/>
            <w:tcBorders>
              <w:bottom w:val="single" w:sz="8" w:color="D2DCE5"/>
            </w:tcBorders>
          </w:tcPr>
          <w:p>
            <w:pPr>
              <w:spacing w:after="0"/>
              <w:rPr>
                <w:sz w:val="20"/>
                <w:szCs w:val="20"/>
                <w:color w:val="auto"/>
              </w:rPr>
            </w:pPr>
          </w:p>
        </w:tc>
        <w:tc>
          <w:tcPr>
            <w:tcW w:w="1320" w:type="dxa"/>
            <w:vAlign w:val="bottom"/>
            <w:tcBorders>
              <w:bottom w:val="single" w:sz="8" w:color="131E29"/>
            </w:tcBorders>
          </w:tcPr>
          <w:p>
            <w:pPr>
              <w:jc w:val="right"/>
              <w:spacing w:after="0"/>
              <w:rPr>
                <w:sz w:val="20"/>
                <w:szCs w:val="20"/>
                <w:color w:val="auto"/>
              </w:rPr>
            </w:pPr>
            <w:r>
              <w:rPr>
                <w:rFonts w:ascii="Arial" w:cs="Arial" w:eastAsia="Arial" w:hAnsi="Arial"/>
                <w:sz w:val="16"/>
                <w:szCs w:val="16"/>
                <w:color w:val="131E29"/>
              </w:rPr>
              <w:t>(20)</w:t>
            </w:r>
          </w:p>
        </w:tc>
      </w:tr>
      <w:tr>
        <w:trPr>
          <w:trHeight w:val="237"/>
        </w:trPr>
        <w:tc>
          <w:tcPr>
            <w:tcW w:w="8400" w:type="dxa"/>
            <w:vAlign w:val="bottom"/>
            <w:tcBorders>
              <w:bottom w:val="single" w:sz="8" w:color="131E29"/>
            </w:tcBorders>
            <w:shd w:val="clear" w:color="auto" w:fill="D2DCE5"/>
          </w:tcPr>
          <w:p>
            <w:pPr>
              <w:ind w:left="140"/>
              <w:spacing w:after="0"/>
              <w:rPr>
                <w:sz w:val="20"/>
                <w:szCs w:val="20"/>
                <w:color w:val="auto"/>
              </w:rPr>
            </w:pPr>
            <w:r>
              <w:rPr>
                <w:rFonts w:ascii="Arial" w:cs="Arial" w:eastAsia="Arial" w:hAnsi="Arial"/>
                <w:sz w:val="16"/>
                <w:szCs w:val="16"/>
                <w:b w:val="1"/>
                <w:bCs w:val="1"/>
                <w:color w:val="131E29"/>
              </w:rPr>
              <w:t>Total change</w:t>
            </w:r>
          </w:p>
        </w:tc>
        <w:tc>
          <w:tcPr>
            <w:tcW w:w="80" w:type="dxa"/>
            <w:vAlign w:val="bottom"/>
            <w:shd w:val="clear" w:color="auto" w:fill="D2DCE5"/>
          </w:tcPr>
          <w:p>
            <w:pPr>
              <w:spacing w:after="0"/>
              <w:rPr>
                <w:sz w:val="20"/>
                <w:szCs w:val="20"/>
                <w:color w:val="auto"/>
              </w:rPr>
            </w:pPr>
          </w:p>
        </w:tc>
        <w:tc>
          <w:tcPr>
            <w:tcW w:w="360" w:type="dxa"/>
            <w:vAlign w:val="bottom"/>
            <w:tcBorders>
              <w:bottom w:val="single" w:sz="8" w:color="131E29"/>
            </w:tcBorders>
            <w:shd w:val="clear" w:color="auto" w:fill="D2DCE5"/>
          </w:tcPr>
          <w:p>
            <w:pPr>
              <w:jc w:val="right"/>
              <w:ind w:right="159"/>
              <w:spacing w:after="0"/>
              <w:rPr>
                <w:sz w:val="20"/>
                <w:szCs w:val="20"/>
                <w:color w:val="auto"/>
              </w:rPr>
            </w:pPr>
            <w:r>
              <w:rPr>
                <w:rFonts w:ascii="Arial" w:cs="Arial" w:eastAsia="Arial" w:hAnsi="Arial"/>
                <w:sz w:val="16"/>
                <w:szCs w:val="16"/>
                <w:b w:val="1"/>
                <w:bCs w:val="1"/>
                <w:color w:val="131E29"/>
              </w:rPr>
              <w:t>$</w:t>
            </w:r>
          </w:p>
        </w:tc>
        <w:tc>
          <w:tcPr>
            <w:tcW w:w="98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6"/>
                <w:szCs w:val="16"/>
                <w:b w:val="1"/>
                <w:bCs w:val="1"/>
                <w:color w:val="131E29"/>
              </w:rPr>
              <w:t>15,693</w:t>
            </w:r>
          </w:p>
        </w:tc>
        <w:tc>
          <w:tcPr>
            <w:tcW w:w="100" w:type="dxa"/>
            <w:vAlign w:val="bottom"/>
            <w:shd w:val="clear" w:color="auto" w:fill="D2DCE5"/>
          </w:tcPr>
          <w:p>
            <w:pPr>
              <w:spacing w:after="0"/>
              <w:rPr>
                <w:sz w:val="20"/>
                <w:szCs w:val="20"/>
                <w:color w:val="auto"/>
              </w:rPr>
            </w:pPr>
          </w:p>
        </w:tc>
        <w:tc>
          <w:tcPr>
            <w:tcW w:w="13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6"/>
                <w:szCs w:val="16"/>
                <w:b w:val="1"/>
                <w:bCs w:val="1"/>
                <w:color w:val="131E29"/>
              </w:rPr>
              <w:t>(240)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Nine Months Ended September 30, 2022 v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31E29"/>
        </w:rPr>
        <w:t>The labor costs impacts for the year-over-year comparison, presented in dollars and basis points, were driven by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86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131E29"/>
                <w:w w:val="99"/>
              </w:rPr>
              <w: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7"/>
              <w:spacing w:after="0"/>
              <w:rPr>
                <w:sz w:val="20"/>
                <w:szCs w:val="20"/>
                <w:color w:val="auto"/>
              </w:rPr>
            </w:pPr>
            <w:r>
              <w:rPr>
                <w:rFonts w:ascii="Arial" w:cs="Arial" w:eastAsia="Arial" w:hAnsi="Arial"/>
                <w:sz w:val="18"/>
                <w:szCs w:val="18"/>
                <w:b w:val="1"/>
                <w:bCs w:val="1"/>
                <w:color w:val="131E29"/>
              </w:rPr>
              <w:t>BPS</w:t>
            </w:r>
          </w:p>
        </w:tc>
        <w:tc>
          <w:tcPr>
            <w:tcW w:w="0" w:type="dxa"/>
            <w:vAlign w:val="bottom"/>
          </w:tcPr>
          <w:p>
            <w:pPr>
              <w:spacing w:after="0"/>
              <w:rPr>
                <w:sz w:val="1"/>
                <w:szCs w:val="1"/>
                <w:color w:val="auto"/>
              </w:rPr>
            </w:pPr>
          </w:p>
        </w:tc>
      </w:tr>
      <w:tr>
        <w:trPr>
          <w:trHeight w:val="26"/>
        </w:trPr>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40" w:type="dxa"/>
            <w:vAlign w:val="bottom"/>
            <w:tcBorders>
              <w:bottom w:val="single" w:sz="8" w:color="131E29"/>
            </w:tcBorders>
          </w:tcPr>
          <w:p>
            <w:pPr>
              <w:spacing w:after="0"/>
              <w:rPr>
                <w:sz w:val="2"/>
                <w:szCs w:val="2"/>
                <w:color w:val="auto"/>
              </w:rPr>
            </w:pPr>
          </w:p>
        </w:tc>
        <w:tc>
          <w:tcPr>
            <w:tcW w:w="4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6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80" w:type="dxa"/>
            <w:vAlign w:val="bottom"/>
            <w:tcBorders>
              <w:bottom w:val="single" w:sz="8" w:color="131E29"/>
            </w:tcBorders>
          </w:tcPr>
          <w:p>
            <w:pPr>
              <w:spacing w:after="0"/>
              <w:rPr>
                <w:sz w:val="2"/>
                <w:szCs w:val="2"/>
                <w:color w:val="auto"/>
              </w:rPr>
            </w:pPr>
          </w:p>
        </w:tc>
        <w:tc>
          <w:tcPr>
            <w:tcW w:w="122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Shop weeks</w:t>
            </w: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0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40" w:type="dxa"/>
            <w:vAlign w:val="bottom"/>
            <w:shd w:val="clear" w:color="auto" w:fill="D2DCE5"/>
          </w:tcPr>
          <w:p>
            <w:pPr>
              <w:spacing w:after="0"/>
              <w:rPr>
                <w:sz w:val="20"/>
                <w:szCs w:val="20"/>
                <w:color w:val="auto"/>
              </w:rPr>
            </w:pPr>
          </w:p>
        </w:tc>
        <w:tc>
          <w:tcPr>
            <w:tcW w:w="1180" w:type="dxa"/>
            <w:vAlign w:val="bottom"/>
            <w:shd w:val="clear" w:color="auto" w:fill="D2DCE5"/>
          </w:tcPr>
          <w:p>
            <w:pPr>
              <w:spacing w:after="0"/>
              <w:rPr>
                <w:sz w:val="20"/>
                <w:szCs w:val="20"/>
                <w:color w:val="auto"/>
              </w:rPr>
            </w:pPr>
          </w:p>
        </w:tc>
        <w:tc>
          <w:tcPr>
            <w:tcW w:w="9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10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000" w:type="dxa"/>
            <w:vAlign w:val="bottom"/>
            <w:gridSpan w:val="3"/>
            <w:shd w:val="clear" w:color="auto" w:fill="D2DCE5"/>
          </w:tcPr>
          <w:p>
            <w:pPr>
              <w:jc w:val="right"/>
              <w:ind w:right="540"/>
              <w:spacing w:after="0"/>
              <w:rPr>
                <w:sz w:val="20"/>
                <w:szCs w:val="20"/>
                <w:color w:val="auto"/>
              </w:rPr>
            </w:pPr>
            <w:r>
              <w:rPr>
                <w:rFonts w:ascii="Arial" w:cs="Arial" w:eastAsia="Arial" w:hAnsi="Arial"/>
                <w:sz w:val="16"/>
                <w:szCs w:val="16"/>
                <w:color w:val="131E29"/>
              </w:rPr>
              <w:t>$</w:t>
            </w:r>
          </w:p>
        </w:tc>
        <w:tc>
          <w:tcPr>
            <w:tcW w:w="800" w:type="dxa"/>
            <w:vAlign w:val="bottom"/>
            <w:gridSpan w:val="3"/>
            <w:shd w:val="clear" w:color="auto" w:fill="D2DCE5"/>
          </w:tcPr>
          <w:p>
            <w:pPr>
              <w:jc w:val="right"/>
              <w:spacing w:after="0"/>
              <w:rPr>
                <w:sz w:val="20"/>
                <w:szCs w:val="20"/>
                <w:color w:val="auto"/>
              </w:rPr>
            </w:pPr>
            <w:r>
              <w:rPr>
                <w:rFonts w:ascii="Arial" w:cs="Arial" w:eastAsia="Arial" w:hAnsi="Arial"/>
                <w:sz w:val="16"/>
                <w:szCs w:val="16"/>
                <w:color w:val="131E29"/>
              </w:rPr>
              <w:t>45,386</w:t>
            </w:r>
          </w:p>
        </w:tc>
        <w:tc>
          <w:tcPr>
            <w:tcW w:w="100" w:type="dxa"/>
            <w:vAlign w:val="bottom"/>
            <w:shd w:val="clear" w:color="auto" w:fill="D2DCE5"/>
          </w:tcPr>
          <w:p>
            <w:pPr>
              <w:spacing w:after="0"/>
              <w:rPr>
                <w:sz w:val="20"/>
                <w:szCs w:val="20"/>
                <w:color w:val="auto"/>
              </w:rPr>
            </w:pPr>
          </w:p>
        </w:tc>
        <w:tc>
          <w:tcPr>
            <w:tcW w:w="380" w:type="dxa"/>
            <w:vAlign w:val="bottom"/>
            <w:shd w:val="clear" w:color="auto" w:fill="D2DCE5"/>
          </w:tcPr>
          <w:p>
            <w:pPr>
              <w:spacing w:after="0"/>
              <w:rPr>
                <w:sz w:val="20"/>
                <w:szCs w:val="20"/>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N/A</w:t>
            </w:r>
          </w:p>
        </w:tc>
        <w:tc>
          <w:tcPr>
            <w:tcW w:w="0" w:type="dxa"/>
            <w:vAlign w:val="bottom"/>
          </w:tcPr>
          <w:p>
            <w:pPr>
              <w:spacing w:after="0"/>
              <w:rPr>
                <w:sz w:val="1"/>
                <w:szCs w:val="1"/>
                <w:color w:val="auto"/>
              </w:rPr>
            </w:pPr>
          </w:p>
        </w:tc>
      </w:tr>
      <w:tr>
        <w:trPr>
          <w:trHeight w:val="233"/>
        </w:trPr>
        <w:tc>
          <w:tcPr>
            <w:tcW w:w="5540" w:type="dxa"/>
            <w:vAlign w:val="bottom"/>
            <w:gridSpan w:val="8"/>
          </w:tcPr>
          <w:p>
            <w:pPr>
              <w:ind w:left="20"/>
              <w:spacing w:after="0"/>
              <w:rPr>
                <w:sz w:val="20"/>
                <w:szCs w:val="20"/>
                <w:color w:val="auto"/>
              </w:rPr>
            </w:pPr>
            <w:r>
              <w:rPr>
                <w:rFonts w:ascii="Arial" w:cs="Arial" w:eastAsia="Arial" w:hAnsi="Arial"/>
                <w:sz w:val="16"/>
                <w:szCs w:val="16"/>
                <w:color w:val="131E29"/>
              </w:rPr>
              <w:t>Legislated minimum wage increases and higher minimum staffing standards</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131E29"/>
              </w:rPr>
              <w:t>9,276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131E29"/>
              </w:rPr>
              <w:t>200</w:t>
            </w:r>
          </w:p>
        </w:tc>
        <w:tc>
          <w:tcPr>
            <w:tcW w:w="0" w:type="dxa"/>
            <w:vAlign w:val="bottom"/>
          </w:tcPr>
          <w:p>
            <w:pPr>
              <w:spacing w:after="0"/>
              <w:rPr>
                <w:sz w:val="1"/>
                <w:szCs w:val="1"/>
                <w:color w:val="auto"/>
              </w:rPr>
            </w:pPr>
          </w:p>
        </w:tc>
      </w:tr>
      <w:tr>
        <w:trPr>
          <w:trHeight w:val="253"/>
        </w:trPr>
        <w:tc>
          <w:tcPr>
            <w:tcW w:w="18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Volume</w:t>
            </w:r>
          </w:p>
        </w:tc>
        <w:tc>
          <w:tcPr>
            <w:tcW w:w="10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1180" w:type="dxa"/>
            <w:vAlign w:val="bottom"/>
            <w:shd w:val="clear" w:color="auto" w:fill="D2DCE5"/>
          </w:tcPr>
          <w:p>
            <w:pPr>
              <w:spacing w:after="0"/>
              <w:rPr>
                <w:sz w:val="21"/>
                <w:szCs w:val="21"/>
                <w:color w:val="auto"/>
              </w:rPr>
            </w:pPr>
          </w:p>
        </w:tc>
        <w:tc>
          <w:tcPr>
            <w:tcW w:w="9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640" w:type="dxa"/>
            <w:vAlign w:val="bottom"/>
            <w:shd w:val="clear" w:color="auto" w:fill="D2DCE5"/>
          </w:tcPr>
          <w:p>
            <w:pPr>
              <w:spacing w:after="0"/>
              <w:rPr>
                <w:sz w:val="21"/>
                <w:szCs w:val="21"/>
                <w:color w:val="auto"/>
              </w:rPr>
            </w:pPr>
          </w:p>
        </w:tc>
        <w:tc>
          <w:tcPr>
            <w:tcW w:w="800" w:type="dxa"/>
            <w:vAlign w:val="bottom"/>
            <w:gridSpan w:val="3"/>
            <w:shd w:val="clear" w:color="auto" w:fill="D2DCE5"/>
          </w:tcPr>
          <w:p>
            <w:pPr>
              <w:jc w:val="right"/>
              <w:spacing w:after="0"/>
              <w:rPr>
                <w:sz w:val="20"/>
                <w:szCs w:val="20"/>
                <w:color w:val="auto"/>
              </w:rPr>
            </w:pPr>
            <w:r>
              <w:rPr>
                <w:rFonts w:ascii="Arial" w:cs="Arial" w:eastAsia="Arial" w:hAnsi="Arial"/>
                <w:sz w:val="16"/>
                <w:szCs w:val="16"/>
                <w:color w:val="131E29"/>
              </w:rPr>
              <w:t>(509)</w:t>
            </w:r>
          </w:p>
        </w:tc>
        <w:tc>
          <w:tcPr>
            <w:tcW w:w="100" w:type="dxa"/>
            <w:vAlign w:val="bottom"/>
            <w:shd w:val="clear" w:color="auto" w:fill="D2DCE5"/>
          </w:tcPr>
          <w:p>
            <w:pPr>
              <w:spacing w:after="0"/>
              <w:rPr>
                <w:sz w:val="21"/>
                <w:szCs w:val="21"/>
                <w:color w:val="auto"/>
              </w:rPr>
            </w:pPr>
          </w:p>
        </w:tc>
        <w:tc>
          <w:tcPr>
            <w:tcW w:w="380" w:type="dxa"/>
            <w:vAlign w:val="bottom"/>
            <w:shd w:val="clear" w:color="auto" w:fill="D2DCE5"/>
          </w:tcPr>
          <w:p>
            <w:pPr>
              <w:spacing w:after="0"/>
              <w:rPr>
                <w:sz w:val="21"/>
                <w:szCs w:val="21"/>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N/A</w:t>
            </w:r>
          </w:p>
        </w:tc>
        <w:tc>
          <w:tcPr>
            <w:tcW w:w="0" w:type="dxa"/>
            <w:vAlign w:val="bottom"/>
          </w:tcPr>
          <w:p>
            <w:pPr>
              <w:spacing w:after="0"/>
              <w:rPr>
                <w:sz w:val="1"/>
                <w:szCs w:val="1"/>
                <w:color w:val="auto"/>
              </w:rPr>
            </w:pPr>
          </w:p>
        </w:tc>
      </w:tr>
      <w:tr>
        <w:trPr>
          <w:trHeight w:val="233"/>
        </w:trPr>
        <w:tc>
          <w:tcPr>
            <w:tcW w:w="2980" w:type="dxa"/>
            <w:vAlign w:val="bottom"/>
            <w:gridSpan w:val="4"/>
          </w:tcPr>
          <w:p>
            <w:pPr>
              <w:ind w:left="20"/>
              <w:spacing w:after="0"/>
              <w:rPr>
                <w:sz w:val="20"/>
                <w:szCs w:val="20"/>
                <w:color w:val="auto"/>
              </w:rPr>
            </w:pPr>
            <w:r>
              <w:rPr>
                <w:rFonts w:ascii="Arial" w:cs="Arial" w:eastAsia="Arial" w:hAnsi="Arial"/>
                <w:sz w:val="16"/>
                <w:szCs w:val="16"/>
                <w:color w:val="131E29"/>
              </w:rPr>
              <w:t>Lower COVID-19 leave expenses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131E29"/>
              </w:rPr>
              <w:t>(1,771)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131E29"/>
              </w:rPr>
              <w:t>(40)</w:t>
            </w:r>
          </w:p>
        </w:tc>
        <w:tc>
          <w:tcPr>
            <w:tcW w:w="0" w:type="dxa"/>
            <w:vAlign w:val="bottom"/>
          </w:tcPr>
          <w:p>
            <w:pPr>
              <w:spacing w:after="0"/>
              <w:rPr>
                <w:sz w:val="1"/>
                <w:szCs w:val="1"/>
                <w:color w:val="auto"/>
              </w:rPr>
            </w:pPr>
          </w:p>
        </w:tc>
      </w:tr>
      <w:tr>
        <w:trPr>
          <w:trHeight w:val="253"/>
        </w:trPr>
        <w:tc>
          <w:tcPr>
            <w:tcW w:w="18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New shop impact</w:t>
            </w:r>
          </w:p>
        </w:tc>
        <w:tc>
          <w:tcPr>
            <w:tcW w:w="10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1180" w:type="dxa"/>
            <w:vAlign w:val="bottom"/>
            <w:shd w:val="clear" w:color="auto" w:fill="D2DCE5"/>
          </w:tcPr>
          <w:p>
            <w:pPr>
              <w:spacing w:after="0"/>
              <w:rPr>
                <w:sz w:val="21"/>
                <w:szCs w:val="21"/>
                <w:color w:val="auto"/>
              </w:rPr>
            </w:pPr>
          </w:p>
        </w:tc>
        <w:tc>
          <w:tcPr>
            <w:tcW w:w="9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640" w:type="dxa"/>
            <w:vAlign w:val="bottom"/>
            <w:shd w:val="clear" w:color="auto" w:fill="D2DCE5"/>
          </w:tcPr>
          <w:p>
            <w:pPr>
              <w:spacing w:after="0"/>
              <w:rPr>
                <w:sz w:val="21"/>
                <w:szCs w:val="21"/>
                <w:color w:val="auto"/>
              </w:rPr>
            </w:pPr>
          </w:p>
        </w:tc>
        <w:tc>
          <w:tcPr>
            <w:tcW w:w="800" w:type="dxa"/>
            <w:vAlign w:val="bottom"/>
            <w:gridSpan w:val="3"/>
            <w:shd w:val="clear" w:color="auto" w:fill="D2DCE5"/>
          </w:tcPr>
          <w:p>
            <w:pPr>
              <w:jc w:val="right"/>
              <w:spacing w:after="0"/>
              <w:rPr>
                <w:sz w:val="20"/>
                <w:szCs w:val="20"/>
                <w:color w:val="auto"/>
              </w:rPr>
            </w:pPr>
            <w:r>
              <w:rPr>
                <w:rFonts w:ascii="Arial" w:cs="Arial" w:eastAsia="Arial" w:hAnsi="Arial"/>
                <w:sz w:val="16"/>
                <w:szCs w:val="16"/>
                <w:color w:val="131E29"/>
              </w:rPr>
              <w:t>(1,517)</w:t>
            </w:r>
          </w:p>
        </w:tc>
        <w:tc>
          <w:tcPr>
            <w:tcW w:w="100" w:type="dxa"/>
            <w:vAlign w:val="bottom"/>
            <w:shd w:val="clear" w:color="auto" w:fill="D2DCE5"/>
          </w:tcPr>
          <w:p>
            <w:pPr>
              <w:spacing w:after="0"/>
              <w:rPr>
                <w:sz w:val="21"/>
                <w:szCs w:val="21"/>
                <w:color w:val="auto"/>
              </w:rPr>
            </w:pPr>
          </w:p>
        </w:tc>
        <w:tc>
          <w:tcPr>
            <w:tcW w:w="380" w:type="dxa"/>
            <w:vAlign w:val="bottom"/>
            <w:shd w:val="clear" w:color="auto" w:fill="D2DCE5"/>
          </w:tcPr>
          <w:p>
            <w:pPr>
              <w:spacing w:after="0"/>
              <w:rPr>
                <w:sz w:val="21"/>
                <w:szCs w:val="21"/>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(30)</w:t>
            </w:r>
          </w:p>
        </w:tc>
        <w:tc>
          <w:tcPr>
            <w:tcW w:w="0" w:type="dxa"/>
            <w:vAlign w:val="bottom"/>
          </w:tcPr>
          <w:p>
            <w:pPr>
              <w:spacing w:after="0"/>
              <w:rPr>
                <w:sz w:val="1"/>
                <w:szCs w:val="1"/>
                <w:color w:val="auto"/>
              </w:rPr>
            </w:pPr>
          </w:p>
        </w:tc>
      </w:tr>
      <w:tr>
        <w:trPr>
          <w:trHeight w:val="233"/>
        </w:trPr>
        <w:tc>
          <w:tcPr>
            <w:tcW w:w="1860" w:type="dxa"/>
            <w:vAlign w:val="bottom"/>
            <w:gridSpan w:val="2"/>
          </w:tcPr>
          <w:p>
            <w:pPr>
              <w:ind w:left="20"/>
              <w:spacing w:after="0"/>
              <w:rPr>
                <w:sz w:val="20"/>
                <w:szCs w:val="20"/>
                <w:color w:val="auto"/>
              </w:rPr>
            </w:pPr>
            <w:r>
              <w:rPr>
                <w:rFonts w:ascii="Arial" w:cs="Arial" w:eastAsia="Arial" w:hAnsi="Arial"/>
                <w:sz w:val="16"/>
                <w:szCs w:val="16"/>
                <w:color w:val="131E29"/>
              </w:rPr>
              <w:t>Pricing impacts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131E29"/>
              </w:rPr>
              <w:t>N/A</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131E29"/>
              </w:rPr>
              <w:t>(170)</w:t>
            </w:r>
          </w:p>
        </w:tc>
        <w:tc>
          <w:tcPr>
            <w:tcW w:w="0" w:type="dxa"/>
            <w:vAlign w:val="bottom"/>
          </w:tcPr>
          <w:p>
            <w:pPr>
              <w:spacing w:after="0"/>
              <w:rPr>
                <w:sz w:val="1"/>
                <w:szCs w:val="1"/>
                <w:color w:val="auto"/>
              </w:rPr>
            </w:pPr>
          </w:p>
        </w:tc>
      </w:tr>
      <w:tr>
        <w:trPr>
          <w:trHeight w:val="253"/>
        </w:trPr>
        <w:tc>
          <w:tcPr>
            <w:tcW w:w="18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Promotional discounts</w:t>
            </w:r>
          </w:p>
        </w:tc>
        <w:tc>
          <w:tcPr>
            <w:tcW w:w="10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1180" w:type="dxa"/>
            <w:vAlign w:val="bottom"/>
            <w:shd w:val="clear" w:color="auto" w:fill="D2DCE5"/>
          </w:tcPr>
          <w:p>
            <w:pPr>
              <w:spacing w:after="0"/>
              <w:rPr>
                <w:sz w:val="21"/>
                <w:szCs w:val="21"/>
                <w:color w:val="auto"/>
              </w:rPr>
            </w:pPr>
          </w:p>
        </w:tc>
        <w:tc>
          <w:tcPr>
            <w:tcW w:w="9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640" w:type="dxa"/>
            <w:vAlign w:val="bottom"/>
            <w:shd w:val="clear" w:color="auto" w:fill="D2DCE5"/>
          </w:tcPr>
          <w:p>
            <w:pPr>
              <w:spacing w:after="0"/>
              <w:rPr>
                <w:sz w:val="21"/>
                <w:szCs w:val="21"/>
                <w:color w:val="auto"/>
              </w:rPr>
            </w:pPr>
          </w:p>
        </w:tc>
        <w:tc>
          <w:tcPr>
            <w:tcW w:w="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N/A</w:t>
            </w:r>
          </w:p>
        </w:tc>
        <w:tc>
          <w:tcPr>
            <w:tcW w:w="100" w:type="dxa"/>
            <w:vAlign w:val="bottom"/>
            <w:shd w:val="clear" w:color="auto" w:fill="D2DCE5"/>
          </w:tcPr>
          <w:p>
            <w:pPr>
              <w:spacing w:after="0"/>
              <w:rPr>
                <w:sz w:val="21"/>
                <w:szCs w:val="21"/>
                <w:color w:val="auto"/>
              </w:rPr>
            </w:pPr>
          </w:p>
        </w:tc>
        <w:tc>
          <w:tcPr>
            <w:tcW w:w="380" w:type="dxa"/>
            <w:vAlign w:val="bottom"/>
            <w:shd w:val="clear" w:color="auto" w:fill="D2DCE5"/>
          </w:tcPr>
          <w:p>
            <w:pPr>
              <w:spacing w:after="0"/>
              <w:rPr>
                <w:sz w:val="21"/>
                <w:szCs w:val="21"/>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w:t>
            </w:r>
          </w:p>
        </w:tc>
        <w:tc>
          <w:tcPr>
            <w:tcW w:w="0" w:type="dxa"/>
            <w:vAlign w:val="bottom"/>
          </w:tcPr>
          <w:p>
            <w:pPr>
              <w:spacing w:after="0"/>
              <w:rPr>
                <w:sz w:val="1"/>
                <w:szCs w:val="1"/>
                <w:color w:val="auto"/>
              </w:rPr>
            </w:pPr>
          </w:p>
        </w:tc>
      </w:tr>
      <w:tr>
        <w:trPr>
          <w:trHeight w:val="237"/>
        </w:trPr>
        <w:tc>
          <w:tcPr>
            <w:tcW w:w="1860" w:type="dxa"/>
            <w:vAlign w:val="bottom"/>
            <w:tcBorders>
              <w:bottom w:val="single" w:sz="8" w:color="131E29"/>
            </w:tcBorders>
            <w:gridSpan w:val="2"/>
          </w:tcPr>
          <w:p>
            <w:pPr>
              <w:ind w:left="20"/>
              <w:spacing w:after="0"/>
              <w:rPr>
                <w:sz w:val="20"/>
                <w:szCs w:val="20"/>
                <w:color w:val="auto"/>
              </w:rPr>
            </w:pPr>
            <w:r>
              <w:rPr>
                <w:rFonts w:ascii="Arial" w:cs="Arial" w:eastAsia="Arial" w:hAnsi="Arial"/>
                <w:sz w:val="16"/>
                <w:szCs w:val="16"/>
                <w:color w:val="131E29"/>
              </w:rPr>
              <w:t>Other</w:t>
            </w:r>
          </w:p>
        </w:tc>
        <w:tc>
          <w:tcPr>
            <w:tcW w:w="1020" w:type="dxa"/>
            <w:vAlign w:val="bottom"/>
            <w:tcBorders>
              <w:bottom w:val="single" w:sz="8" w:color="131E29"/>
            </w:tcBorders>
          </w:tcPr>
          <w:p>
            <w:pPr>
              <w:spacing w:after="0"/>
              <w:rPr>
                <w:sz w:val="20"/>
                <w:szCs w:val="20"/>
                <w:color w:val="auto"/>
              </w:rPr>
            </w:pPr>
          </w:p>
        </w:tc>
        <w:tc>
          <w:tcPr>
            <w:tcW w:w="100" w:type="dxa"/>
            <w:vAlign w:val="bottom"/>
            <w:tcBorders>
              <w:bottom w:val="single" w:sz="8" w:color="131E29"/>
            </w:tcBorders>
          </w:tcPr>
          <w:p>
            <w:pPr>
              <w:spacing w:after="0"/>
              <w:rPr>
                <w:sz w:val="20"/>
                <w:szCs w:val="20"/>
                <w:color w:val="auto"/>
              </w:rPr>
            </w:pPr>
          </w:p>
        </w:tc>
        <w:tc>
          <w:tcPr>
            <w:tcW w:w="1040" w:type="dxa"/>
            <w:vAlign w:val="bottom"/>
            <w:tcBorders>
              <w:bottom w:val="single" w:sz="8" w:color="131E29"/>
            </w:tcBorders>
          </w:tcPr>
          <w:p>
            <w:pPr>
              <w:spacing w:after="0"/>
              <w:rPr>
                <w:sz w:val="20"/>
                <w:szCs w:val="20"/>
                <w:color w:val="auto"/>
              </w:rPr>
            </w:pPr>
          </w:p>
        </w:tc>
        <w:tc>
          <w:tcPr>
            <w:tcW w:w="100" w:type="dxa"/>
            <w:vAlign w:val="bottom"/>
            <w:tcBorders>
              <w:bottom w:val="single" w:sz="8" w:color="131E29"/>
            </w:tcBorders>
          </w:tcPr>
          <w:p>
            <w:pPr>
              <w:spacing w:after="0"/>
              <w:rPr>
                <w:sz w:val="20"/>
                <w:szCs w:val="20"/>
                <w:color w:val="auto"/>
              </w:rPr>
            </w:pPr>
          </w:p>
        </w:tc>
        <w:tc>
          <w:tcPr>
            <w:tcW w:w="240" w:type="dxa"/>
            <w:vAlign w:val="bottom"/>
            <w:tcBorders>
              <w:bottom w:val="single" w:sz="8" w:color="131E29"/>
            </w:tcBorders>
          </w:tcPr>
          <w:p>
            <w:pPr>
              <w:spacing w:after="0"/>
              <w:rPr>
                <w:sz w:val="20"/>
                <w:szCs w:val="20"/>
                <w:color w:val="auto"/>
              </w:rPr>
            </w:pPr>
          </w:p>
        </w:tc>
        <w:tc>
          <w:tcPr>
            <w:tcW w:w="1180" w:type="dxa"/>
            <w:vAlign w:val="bottom"/>
            <w:tcBorders>
              <w:bottom w:val="single" w:sz="8" w:color="131E29"/>
            </w:tcBorders>
          </w:tcPr>
          <w:p>
            <w:pPr>
              <w:spacing w:after="0"/>
              <w:rPr>
                <w:sz w:val="20"/>
                <w:szCs w:val="20"/>
                <w:color w:val="auto"/>
              </w:rPr>
            </w:pPr>
          </w:p>
        </w:tc>
        <w:tc>
          <w:tcPr>
            <w:tcW w:w="980" w:type="dxa"/>
            <w:vAlign w:val="bottom"/>
            <w:tcBorders>
              <w:bottom w:val="single" w:sz="8" w:color="131E29"/>
            </w:tcBorders>
          </w:tcPr>
          <w:p>
            <w:pPr>
              <w:spacing w:after="0"/>
              <w:rPr>
                <w:sz w:val="20"/>
                <w:szCs w:val="20"/>
                <w:color w:val="auto"/>
              </w:rPr>
            </w:pPr>
          </w:p>
        </w:tc>
        <w:tc>
          <w:tcPr>
            <w:tcW w:w="80" w:type="dxa"/>
            <w:vAlign w:val="bottom"/>
            <w:tcBorders>
              <w:bottom w:val="single" w:sz="8" w:color="131E29"/>
            </w:tcBorders>
          </w:tcPr>
          <w:p>
            <w:pPr>
              <w:spacing w:after="0"/>
              <w:rPr>
                <w:sz w:val="20"/>
                <w:szCs w:val="20"/>
                <w:color w:val="auto"/>
              </w:rPr>
            </w:pPr>
          </w:p>
        </w:tc>
        <w:tc>
          <w:tcPr>
            <w:tcW w:w="1040" w:type="dxa"/>
            <w:vAlign w:val="bottom"/>
            <w:tcBorders>
              <w:bottom w:val="single" w:sz="8" w:color="131E29"/>
            </w:tcBorders>
          </w:tcPr>
          <w:p>
            <w:pPr>
              <w:spacing w:after="0"/>
              <w:rPr>
                <w:sz w:val="20"/>
                <w:szCs w:val="20"/>
                <w:color w:val="auto"/>
              </w:rPr>
            </w:pPr>
          </w:p>
        </w:tc>
        <w:tc>
          <w:tcPr>
            <w:tcW w:w="100" w:type="dxa"/>
            <w:vAlign w:val="bottom"/>
            <w:tcBorders>
              <w:bottom w:val="single" w:sz="8" w:color="131E29"/>
            </w:tcBorders>
          </w:tcPr>
          <w:p>
            <w:pPr>
              <w:spacing w:after="0"/>
              <w:rPr>
                <w:sz w:val="20"/>
                <w:szCs w:val="20"/>
                <w:color w:val="auto"/>
              </w:rPr>
            </w:pPr>
          </w:p>
        </w:tc>
        <w:tc>
          <w:tcPr>
            <w:tcW w:w="260" w:type="dxa"/>
            <w:vAlign w:val="bottom"/>
            <w:tcBorders>
              <w:bottom w:val="single" w:sz="8" w:color="131E29"/>
            </w:tcBorders>
          </w:tcPr>
          <w:p>
            <w:pPr>
              <w:spacing w:after="0"/>
              <w:rPr>
                <w:sz w:val="20"/>
                <w:szCs w:val="20"/>
                <w:color w:val="auto"/>
              </w:rPr>
            </w:pPr>
          </w:p>
        </w:tc>
        <w:tc>
          <w:tcPr>
            <w:tcW w:w="100" w:type="dxa"/>
            <w:vAlign w:val="bottom"/>
            <w:tcBorders>
              <w:bottom w:val="single" w:sz="8" w:color="D2DCE5"/>
            </w:tcBorders>
          </w:tcPr>
          <w:p>
            <w:pPr>
              <w:spacing w:after="0"/>
              <w:rPr>
                <w:sz w:val="20"/>
                <w:szCs w:val="20"/>
                <w:color w:val="auto"/>
              </w:rPr>
            </w:pPr>
          </w:p>
        </w:tc>
        <w:tc>
          <w:tcPr>
            <w:tcW w:w="640" w:type="dxa"/>
            <w:vAlign w:val="bottom"/>
            <w:tcBorders>
              <w:bottom w:val="single" w:sz="8" w:color="131E29"/>
            </w:tcBorders>
          </w:tcPr>
          <w:p>
            <w:pPr>
              <w:spacing w:after="0"/>
              <w:rPr>
                <w:sz w:val="20"/>
                <w:szCs w:val="20"/>
                <w:color w:val="auto"/>
              </w:rPr>
            </w:pPr>
          </w:p>
        </w:tc>
        <w:tc>
          <w:tcPr>
            <w:tcW w:w="800" w:type="dxa"/>
            <w:vAlign w:val="bottom"/>
            <w:tcBorders>
              <w:bottom w:val="single" w:sz="8" w:color="131E29"/>
            </w:tcBorders>
            <w:gridSpan w:val="3"/>
          </w:tcPr>
          <w:p>
            <w:pPr>
              <w:jc w:val="right"/>
              <w:spacing w:after="0"/>
              <w:rPr>
                <w:sz w:val="20"/>
                <w:szCs w:val="20"/>
                <w:color w:val="auto"/>
              </w:rPr>
            </w:pPr>
            <w:r>
              <w:rPr>
                <w:rFonts w:ascii="Arial" w:cs="Arial" w:eastAsia="Arial" w:hAnsi="Arial"/>
                <w:sz w:val="16"/>
                <w:szCs w:val="16"/>
                <w:color w:val="131E29"/>
              </w:rPr>
              <w:t>(559)</w:t>
            </w:r>
          </w:p>
        </w:tc>
        <w:tc>
          <w:tcPr>
            <w:tcW w:w="100" w:type="dxa"/>
            <w:vAlign w:val="bottom"/>
            <w:tcBorders>
              <w:bottom w:val="single" w:sz="8" w:color="D2DCE5"/>
            </w:tcBorders>
          </w:tcPr>
          <w:p>
            <w:pPr>
              <w:spacing w:after="0"/>
              <w:rPr>
                <w:sz w:val="20"/>
                <w:szCs w:val="20"/>
                <w:color w:val="auto"/>
              </w:rPr>
            </w:pPr>
          </w:p>
        </w:tc>
        <w:tc>
          <w:tcPr>
            <w:tcW w:w="380" w:type="dxa"/>
            <w:vAlign w:val="bottom"/>
            <w:tcBorders>
              <w:bottom w:val="single" w:sz="8" w:color="131E29"/>
            </w:tcBorders>
          </w:tcPr>
          <w:p>
            <w:pPr>
              <w:spacing w:after="0"/>
              <w:rPr>
                <w:sz w:val="20"/>
                <w:szCs w:val="20"/>
                <w:color w:val="auto"/>
              </w:rPr>
            </w:pPr>
          </w:p>
        </w:tc>
        <w:tc>
          <w:tcPr>
            <w:tcW w:w="1220" w:type="dxa"/>
            <w:vAlign w:val="bottom"/>
            <w:tcBorders>
              <w:bottom w:val="single" w:sz="8" w:color="131E29"/>
            </w:tcBorders>
          </w:tcPr>
          <w:p>
            <w:pPr>
              <w:jc w:val="right"/>
              <w:spacing w:after="0"/>
              <w:rPr>
                <w:sz w:val="20"/>
                <w:szCs w:val="20"/>
                <w:color w:val="auto"/>
              </w:rPr>
            </w:pPr>
            <w:r>
              <w:rPr>
                <w:rFonts w:ascii="Arial" w:cs="Arial" w:eastAsia="Arial" w:hAnsi="Arial"/>
                <w:sz w:val="16"/>
                <w:szCs w:val="16"/>
                <w:color w:val="131E29"/>
              </w:rPr>
              <w:t>(10)</w:t>
            </w:r>
          </w:p>
        </w:tc>
        <w:tc>
          <w:tcPr>
            <w:tcW w:w="0" w:type="dxa"/>
            <w:vAlign w:val="bottom"/>
          </w:tcPr>
          <w:p>
            <w:pPr>
              <w:spacing w:after="0"/>
              <w:rPr>
                <w:sz w:val="1"/>
                <w:szCs w:val="1"/>
                <w:color w:val="auto"/>
              </w:rPr>
            </w:pPr>
          </w:p>
        </w:tc>
      </w:tr>
      <w:tr>
        <w:trPr>
          <w:trHeight w:val="237"/>
        </w:trPr>
        <w:tc>
          <w:tcPr>
            <w:tcW w:w="1860" w:type="dxa"/>
            <w:vAlign w:val="bottom"/>
            <w:gridSpan w:val="2"/>
            <w:shd w:val="clear" w:color="auto" w:fill="D2DCE5"/>
          </w:tcPr>
          <w:p>
            <w:pPr>
              <w:ind w:left="140"/>
              <w:spacing w:after="0"/>
              <w:rPr>
                <w:sz w:val="20"/>
                <w:szCs w:val="20"/>
                <w:color w:val="auto"/>
              </w:rPr>
            </w:pPr>
            <w:r>
              <w:rPr>
                <w:rFonts w:ascii="Arial" w:cs="Arial" w:eastAsia="Arial" w:hAnsi="Arial"/>
                <w:sz w:val="16"/>
                <w:szCs w:val="16"/>
                <w:b w:val="1"/>
                <w:bCs w:val="1"/>
                <w:color w:val="131E29"/>
              </w:rPr>
              <w:t>Total change</w:t>
            </w: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0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40" w:type="dxa"/>
            <w:vAlign w:val="bottom"/>
            <w:shd w:val="clear" w:color="auto" w:fill="D2DCE5"/>
          </w:tcPr>
          <w:p>
            <w:pPr>
              <w:spacing w:after="0"/>
              <w:rPr>
                <w:sz w:val="20"/>
                <w:szCs w:val="20"/>
                <w:color w:val="auto"/>
              </w:rPr>
            </w:pPr>
          </w:p>
        </w:tc>
        <w:tc>
          <w:tcPr>
            <w:tcW w:w="1180" w:type="dxa"/>
            <w:vAlign w:val="bottom"/>
            <w:shd w:val="clear" w:color="auto" w:fill="D2DCE5"/>
          </w:tcPr>
          <w:p>
            <w:pPr>
              <w:spacing w:after="0"/>
              <w:rPr>
                <w:sz w:val="20"/>
                <w:szCs w:val="20"/>
                <w:color w:val="auto"/>
              </w:rPr>
            </w:pPr>
          </w:p>
        </w:tc>
        <w:tc>
          <w:tcPr>
            <w:tcW w:w="9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10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000" w:type="dxa"/>
            <w:vAlign w:val="bottom"/>
            <w:gridSpan w:val="3"/>
            <w:shd w:val="clear" w:color="auto" w:fill="D2DCE5"/>
          </w:tcPr>
          <w:p>
            <w:pPr>
              <w:jc w:val="right"/>
              <w:ind w:right="540"/>
              <w:spacing w:after="0"/>
              <w:rPr>
                <w:sz w:val="20"/>
                <w:szCs w:val="20"/>
                <w:color w:val="auto"/>
              </w:rPr>
            </w:pPr>
            <w:r>
              <w:rPr>
                <w:rFonts w:ascii="Arial" w:cs="Arial" w:eastAsia="Arial" w:hAnsi="Arial"/>
                <w:sz w:val="16"/>
                <w:szCs w:val="16"/>
                <w:b w:val="1"/>
                <w:bCs w:val="1"/>
                <w:color w:val="131E29"/>
              </w:rPr>
              <w:t>$</w:t>
            </w:r>
          </w:p>
        </w:tc>
        <w:tc>
          <w:tcPr>
            <w:tcW w:w="800" w:type="dxa"/>
            <w:vAlign w:val="bottom"/>
            <w:gridSpan w:val="3"/>
            <w:shd w:val="clear" w:color="auto" w:fill="D2DCE5"/>
          </w:tcPr>
          <w:p>
            <w:pPr>
              <w:jc w:val="right"/>
              <w:spacing w:after="0"/>
              <w:rPr>
                <w:sz w:val="20"/>
                <w:szCs w:val="20"/>
                <w:color w:val="auto"/>
              </w:rPr>
            </w:pPr>
            <w:r>
              <w:rPr>
                <w:rFonts w:ascii="Arial" w:cs="Arial" w:eastAsia="Arial" w:hAnsi="Arial"/>
                <w:sz w:val="16"/>
                <w:szCs w:val="16"/>
                <w:b w:val="1"/>
                <w:bCs w:val="1"/>
                <w:color w:val="131E29"/>
              </w:rPr>
              <w:t>50,306</w:t>
            </w:r>
          </w:p>
        </w:tc>
        <w:tc>
          <w:tcPr>
            <w:tcW w:w="100" w:type="dxa"/>
            <w:vAlign w:val="bottom"/>
            <w:shd w:val="clear" w:color="auto" w:fill="D2DCE5"/>
          </w:tcPr>
          <w:p>
            <w:pPr>
              <w:spacing w:after="0"/>
              <w:rPr>
                <w:sz w:val="20"/>
                <w:szCs w:val="20"/>
                <w:color w:val="auto"/>
              </w:rPr>
            </w:pPr>
          </w:p>
        </w:tc>
        <w:tc>
          <w:tcPr>
            <w:tcW w:w="380" w:type="dxa"/>
            <w:vAlign w:val="bottom"/>
            <w:shd w:val="clear" w:color="auto" w:fill="D2DCE5"/>
          </w:tcPr>
          <w:p>
            <w:pPr>
              <w:spacing w:after="0"/>
              <w:rPr>
                <w:sz w:val="20"/>
                <w:szCs w:val="20"/>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6"/>
                <w:szCs w:val="16"/>
                <w:b w:val="1"/>
                <w:bCs w:val="1"/>
                <w:color w:val="131E29"/>
              </w:rPr>
              <w:t>(50)</w:t>
            </w:r>
          </w:p>
        </w:tc>
        <w:tc>
          <w:tcPr>
            <w:tcW w:w="0" w:type="dxa"/>
            <w:vAlign w:val="bottom"/>
          </w:tcPr>
          <w:p>
            <w:pPr>
              <w:spacing w:after="0"/>
              <w:rPr>
                <w:sz w:val="1"/>
                <w:szCs w:val="1"/>
                <w:color w:val="auto"/>
              </w:rPr>
            </w:pPr>
          </w:p>
        </w:tc>
      </w:tr>
      <w:tr>
        <w:trPr>
          <w:trHeight w:val="473"/>
        </w:trPr>
        <w:tc>
          <w:tcPr>
            <w:tcW w:w="2980" w:type="dxa"/>
            <w:vAlign w:val="bottom"/>
            <w:tcBorders>
              <w:top w:val="single" w:sz="8" w:color="131E29"/>
            </w:tcBorders>
            <w:gridSpan w:val="4"/>
          </w:tcPr>
          <w:p>
            <w:pPr>
              <w:spacing w:after="0"/>
              <w:rPr>
                <w:sz w:val="20"/>
                <w:szCs w:val="20"/>
                <w:color w:val="auto"/>
              </w:rPr>
            </w:pPr>
            <w:r>
              <w:rPr>
                <w:rFonts w:ascii="Arial" w:cs="Arial" w:eastAsia="Arial" w:hAnsi="Arial"/>
                <w:sz w:val="18"/>
                <w:szCs w:val="18"/>
                <w:b w:val="1"/>
                <w:bCs w:val="1"/>
                <w:i w:val="1"/>
                <w:iCs w:val="1"/>
                <w:color w:val="006098"/>
              </w:rPr>
              <w:t>Occupancy and Other Costs</w:t>
            </w:r>
          </w:p>
        </w:tc>
        <w:tc>
          <w:tcPr>
            <w:tcW w:w="1040" w:type="dxa"/>
            <w:vAlign w:val="bottom"/>
            <w:tcBorders>
              <w:top w:val="single" w:sz="8" w:color="131E29"/>
            </w:tcBorders>
          </w:tcPr>
          <w:p>
            <w:pPr>
              <w:spacing w:after="0"/>
              <w:rPr>
                <w:sz w:val="24"/>
                <w:szCs w:val="24"/>
                <w:color w:val="auto"/>
              </w:rPr>
            </w:pPr>
          </w:p>
        </w:tc>
        <w:tc>
          <w:tcPr>
            <w:tcW w:w="100" w:type="dxa"/>
            <w:vAlign w:val="bottom"/>
            <w:tcBorders>
              <w:top w:val="single" w:sz="8" w:color="131E29"/>
            </w:tcBorders>
          </w:tcPr>
          <w:p>
            <w:pPr>
              <w:spacing w:after="0"/>
              <w:rPr>
                <w:sz w:val="24"/>
                <w:szCs w:val="24"/>
                <w:color w:val="auto"/>
              </w:rPr>
            </w:pPr>
          </w:p>
        </w:tc>
        <w:tc>
          <w:tcPr>
            <w:tcW w:w="240" w:type="dxa"/>
            <w:vAlign w:val="bottom"/>
            <w:tcBorders>
              <w:top w:val="single" w:sz="8" w:color="131E29"/>
            </w:tcBorders>
          </w:tcPr>
          <w:p>
            <w:pPr>
              <w:spacing w:after="0"/>
              <w:rPr>
                <w:sz w:val="24"/>
                <w:szCs w:val="24"/>
                <w:color w:val="auto"/>
              </w:rPr>
            </w:pPr>
          </w:p>
        </w:tc>
        <w:tc>
          <w:tcPr>
            <w:tcW w:w="1180" w:type="dxa"/>
            <w:vAlign w:val="bottom"/>
            <w:tcBorders>
              <w:top w:val="single" w:sz="8" w:color="131E29"/>
            </w:tcBorders>
          </w:tcPr>
          <w:p>
            <w:pPr>
              <w:spacing w:after="0"/>
              <w:rPr>
                <w:sz w:val="24"/>
                <w:szCs w:val="24"/>
                <w:color w:val="auto"/>
              </w:rPr>
            </w:pPr>
          </w:p>
        </w:tc>
        <w:tc>
          <w:tcPr>
            <w:tcW w:w="980" w:type="dxa"/>
            <w:vAlign w:val="bottom"/>
            <w:tcBorders>
              <w:top w:val="single" w:sz="8" w:color="131E29"/>
            </w:tcBorders>
          </w:tcPr>
          <w:p>
            <w:pPr>
              <w:spacing w:after="0"/>
              <w:rPr>
                <w:sz w:val="24"/>
                <w:szCs w:val="24"/>
                <w:color w:val="auto"/>
              </w:rPr>
            </w:pPr>
          </w:p>
        </w:tc>
        <w:tc>
          <w:tcPr>
            <w:tcW w:w="80" w:type="dxa"/>
            <w:vAlign w:val="bottom"/>
            <w:tcBorders>
              <w:top w:val="single" w:sz="8" w:color="131E29"/>
            </w:tcBorders>
          </w:tcPr>
          <w:p>
            <w:pPr>
              <w:spacing w:after="0"/>
              <w:rPr>
                <w:sz w:val="24"/>
                <w:szCs w:val="24"/>
                <w:color w:val="auto"/>
              </w:rPr>
            </w:pPr>
          </w:p>
        </w:tc>
        <w:tc>
          <w:tcPr>
            <w:tcW w:w="1040" w:type="dxa"/>
            <w:vAlign w:val="bottom"/>
            <w:tcBorders>
              <w:top w:val="single" w:sz="8" w:color="131E29"/>
            </w:tcBorders>
          </w:tcPr>
          <w:p>
            <w:pPr>
              <w:spacing w:after="0"/>
              <w:rPr>
                <w:sz w:val="24"/>
                <w:szCs w:val="24"/>
                <w:color w:val="auto"/>
              </w:rPr>
            </w:pPr>
          </w:p>
        </w:tc>
        <w:tc>
          <w:tcPr>
            <w:tcW w:w="100" w:type="dxa"/>
            <w:vAlign w:val="bottom"/>
            <w:tcBorders>
              <w:top w:val="single" w:sz="8" w:color="131E29"/>
            </w:tcBorders>
          </w:tcPr>
          <w:p>
            <w:pPr>
              <w:spacing w:after="0"/>
              <w:rPr>
                <w:sz w:val="24"/>
                <w:szCs w:val="24"/>
                <w:color w:val="auto"/>
              </w:rPr>
            </w:pPr>
          </w:p>
        </w:tc>
        <w:tc>
          <w:tcPr>
            <w:tcW w:w="260" w:type="dxa"/>
            <w:vAlign w:val="bottom"/>
            <w:tcBorders>
              <w:top w:val="single" w:sz="8" w:color="131E29"/>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131E29"/>
            </w:tcBorders>
          </w:tcPr>
          <w:p>
            <w:pPr>
              <w:spacing w:after="0"/>
              <w:rPr>
                <w:sz w:val="24"/>
                <w:szCs w:val="24"/>
                <w:color w:val="auto"/>
              </w:rPr>
            </w:pPr>
          </w:p>
        </w:tc>
        <w:tc>
          <w:tcPr>
            <w:tcW w:w="40" w:type="dxa"/>
            <w:vAlign w:val="bottom"/>
            <w:tcBorders>
              <w:top w:val="single" w:sz="8" w:color="131E29"/>
            </w:tcBorders>
          </w:tcPr>
          <w:p>
            <w:pPr>
              <w:spacing w:after="0"/>
              <w:rPr>
                <w:sz w:val="24"/>
                <w:szCs w:val="24"/>
                <w:color w:val="auto"/>
              </w:rPr>
            </w:pPr>
          </w:p>
        </w:tc>
        <w:tc>
          <w:tcPr>
            <w:tcW w:w="100" w:type="dxa"/>
            <w:vAlign w:val="bottom"/>
            <w:tcBorders>
              <w:top w:val="single" w:sz="8" w:color="131E29"/>
            </w:tcBorders>
          </w:tcPr>
          <w:p>
            <w:pPr>
              <w:spacing w:after="0"/>
              <w:rPr>
                <w:sz w:val="24"/>
                <w:szCs w:val="24"/>
                <w:color w:val="auto"/>
              </w:rPr>
            </w:pPr>
          </w:p>
        </w:tc>
        <w:tc>
          <w:tcPr>
            <w:tcW w:w="660" w:type="dxa"/>
            <w:vAlign w:val="bottom"/>
            <w:tcBorders>
              <w:top w:val="single" w:sz="8" w:color="131E29"/>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131E29"/>
            </w:tcBorders>
          </w:tcPr>
          <w:p>
            <w:pPr>
              <w:spacing w:after="0"/>
              <w:rPr>
                <w:sz w:val="24"/>
                <w:szCs w:val="24"/>
                <w:color w:val="auto"/>
              </w:rPr>
            </w:pPr>
          </w:p>
        </w:tc>
        <w:tc>
          <w:tcPr>
            <w:tcW w:w="1220" w:type="dxa"/>
            <w:vAlign w:val="bottom"/>
            <w:tcBorders>
              <w:top w:val="single" w:sz="8" w:color="131E29"/>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gridSpan w:val="8"/>
          </w:tcPr>
          <w:p>
            <w:pPr>
              <w:jc w:val="center"/>
              <w:ind w:right="80"/>
              <w:spacing w:after="0"/>
              <w:rPr>
                <w:sz w:val="20"/>
                <w:szCs w:val="20"/>
                <w:color w:val="auto"/>
              </w:rPr>
            </w:pPr>
            <w:r>
              <w:rPr>
                <w:rFonts w:ascii="Arial" w:cs="Arial" w:eastAsia="Arial" w:hAnsi="Arial"/>
                <w:sz w:val="18"/>
                <w:szCs w:val="18"/>
                <w:b w:val="1"/>
                <w:bCs w:val="1"/>
                <w:color w:val="131E29"/>
                <w:w w:val="99"/>
              </w:rPr>
              <w:t>Three Months Ended September 30,</w:t>
            </w:r>
          </w:p>
        </w:tc>
        <w:tc>
          <w:tcPr>
            <w:tcW w:w="4640" w:type="dxa"/>
            <w:vAlign w:val="bottom"/>
            <w:gridSpan w:val="11"/>
          </w:tcPr>
          <w:p>
            <w:pPr>
              <w:jc w:val="right"/>
              <w:ind w:right="757"/>
              <w:spacing w:after="0"/>
              <w:rPr>
                <w:sz w:val="20"/>
                <w:szCs w:val="20"/>
                <w:color w:val="auto"/>
              </w:rPr>
            </w:pPr>
            <w:r>
              <w:rPr>
                <w:rFonts w:ascii="Arial" w:cs="Arial" w:eastAsia="Arial" w:hAnsi="Arial"/>
                <w:sz w:val="18"/>
                <w:szCs w:val="18"/>
                <w:b w:val="1"/>
                <w:bCs w:val="1"/>
                <w:color w:val="131E29"/>
              </w:rPr>
              <w:t>Nine Months Ended September 30,</w:t>
            </w:r>
          </w:p>
        </w:tc>
        <w:tc>
          <w:tcPr>
            <w:tcW w:w="0" w:type="dxa"/>
            <w:vAlign w:val="bottom"/>
          </w:tcPr>
          <w:p>
            <w:pPr>
              <w:spacing w:after="0"/>
              <w:rPr>
                <w:sz w:val="1"/>
                <w:szCs w:val="1"/>
                <w:color w:val="auto"/>
              </w:rPr>
            </w:pPr>
          </w:p>
        </w:tc>
      </w:tr>
      <w:tr>
        <w:trPr>
          <w:trHeight w:val="27"/>
        </w:trPr>
        <w:tc>
          <w:tcPr>
            <w:tcW w:w="1860" w:type="dxa"/>
            <w:vAlign w:val="bottom"/>
            <w:gridSpan w:val="2"/>
          </w:tcPr>
          <w:p>
            <w:pPr>
              <w:spacing w:after="0"/>
              <w:rPr>
                <w:sz w:val="2"/>
                <w:szCs w:val="2"/>
                <w:color w:val="auto"/>
              </w:rPr>
            </w:pPr>
          </w:p>
        </w:tc>
        <w:tc>
          <w:tcPr>
            <w:tcW w:w="102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104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2160" w:type="dxa"/>
            <w:vAlign w:val="bottom"/>
            <w:tcBorders>
              <w:bottom w:val="single" w:sz="8" w:color="131E29"/>
            </w:tcBorders>
            <w:gridSpan w:val="2"/>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86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3"/>
          </w:tcPr>
          <w:p>
            <w:pPr>
              <w:ind w:left="440"/>
              <w:spacing w:after="0"/>
              <w:rPr>
                <w:sz w:val="20"/>
                <w:szCs w:val="20"/>
                <w:color w:val="auto"/>
              </w:rPr>
            </w:pPr>
            <w:r>
              <w:rPr>
                <w:rFonts w:ascii="Arial" w:cs="Arial" w:eastAsia="Arial" w:hAnsi="Arial"/>
                <w:sz w:val="18"/>
                <w:szCs w:val="18"/>
                <w:b w:val="1"/>
                <w:bCs w:val="1"/>
                <w:color w:val="131E29"/>
              </w:rPr>
              <w:t>2022 v. 2021</w:t>
            </w: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131E29"/>
              </w:rPr>
              <w:t>2021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00" w:type="dxa"/>
            <w:vAlign w:val="bottom"/>
            <w:gridSpan w:val="3"/>
          </w:tcPr>
          <w:p>
            <w:pPr>
              <w:jc w:val="right"/>
              <w:ind w:right="577"/>
              <w:spacing w:after="0"/>
              <w:rPr>
                <w:sz w:val="20"/>
                <w:szCs w:val="20"/>
                <w:color w:val="auto"/>
              </w:rPr>
            </w:pPr>
            <w:r>
              <w:rPr>
                <w:rFonts w:ascii="Arial" w:cs="Arial" w:eastAsia="Arial" w:hAnsi="Arial"/>
                <w:sz w:val="18"/>
                <w:szCs w:val="18"/>
                <w:b w:val="1"/>
                <w:bCs w:val="1"/>
                <w:color w:val="131E29"/>
                <w:w w:val="97"/>
              </w:rPr>
              <w:t>2022 v. 2021</w:t>
            </w:r>
          </w:p>
        </w:tc>
        <w:tc>
          <w:tcPr>
            <w:tcW w:w="0" w:type="dxa"/>
            <w:vAlign w:val="bottom"/>
          </w:tcPr>
          <w:p>
            <w:pPr>
              <w:spacing w:after="0"/>
              <w:rPr>
                <w:sz w:val="1"/>
                <w:szCs w:val="1"/>
                <w:color w:val="auto"/>
              </w:rPr>
            </w:pPr>
          </w:p>
        </w:tc>
      </w:tr>
      <w:tr>
        <w:trPr>
          <w:trHeight w:val="26"/>
        </w:trPr>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1180" w:type="dxa"/>
            <w:vAlign w:val="bottom"/>
            <w:tcBorders>
              <w:bottom w:val="single" w:sz="8" w:color="131E29"/>
            </w:tcBorders>
          </w:tcPr>
          <w:p>
            <w:pPr>
              <w:spacing w:after="0"/>
              <w:rPr>
                <w:sz w:val="2"/>
                <w:szCs w:val="2"/>
                <w:color w:val="auto"/>
              </w:rPr>
            </w:pPr>
          </w:p>
        </w:tc>
        <w:tc>
          <w:tcPr>
            <w:tcW w:w="98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0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640" w:type="dxa"/>
            <w:vAlign w:val="bottom"/>
            <w:tcBorders>
              <w:bottom w:val="single" w:sz="8" w:color="131E29"/>
            </w:tcBorders>
          </w:tcPr>
          <w:p>
            <w:pPr>
              <w:spacing w:after="0"/>
              <w:rPr>
                <w:sz w:val="2"/>
                <w:szCs w:val="2"/>
                <w:color w:val="auto"/>
              </w:rPr>
            </w:pPr>
          </w:p>
        </w:tc>
        <w:tc>
          <w:tcPr>
            <w:tcW w:w="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6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380" w:type="dxa"/>
            <w:vAlign w:val="bottom"/>
            <w:tcBorders>
              <w:bottom w:val="single" w:sz="8" w:color="131E29"/>
            </w:tcBorders>
          </w:tcPr>
          <w:p>
            <w:pPr>
              <w:spacing w:after="0"/>
              <w:rPr>
                <w:sz w:val="2"/>
                <w:szCs w:val="2"/>
                <w:color w:val="auto"/>
              </w:rPr>
            </w:pPr>
          </w:p>
        </w:tc>
        <w:tc>
          <w:tcPr>
            <w:tcW w:w="122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8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Occupancy and other</w:t>
            </w:r>
          </w:p>
        </w:tc>
        <w:tc>
          <w:tcPr>
            <w:tcW w:w="10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   28,517</w:t>
            </w:r>
          </w:p>
        </w:tc>
        <w:tc>
          <w:tcPr>
            <w:tcW w:w="100" w:type="dxa"/>
            <w:vAlign w:val="bottom"/>
            <w:shd w:val="clear" w:color="auto" w:fill="D2DCE5"/>
          </w:tcPr>
          <w:p>
            <w:pPr>
              <w:spacing w:after="0"/>
              <w:rPr>
                <w:sz w:val="18"/>
                <w:szCs w:val="18"/>
                <w:color w:val="auto"/>
              </w:rPr>
            </w:pP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   17,041</w:t>
            </w:r>
          </w:p>
        </w:tc>
        <w:tc>
          <w:tcPr>
            <w:tcW w:w="100" w:type="dxa"/>
            <w:vAlign w:val="bottom"/>
            <w:shd w:val="clear" w:color="auto" w:fill="D2DCE5"/>
          </w:tcPr>
          <w:p>
            <w:pPr>
              <w:spacing w:after="0"/>
              <w:rPr>
                <w:sz w:val="18"/>
                <w:szCs w:val="18"/>
                <w:color w:val="auto"/>
              </w:rPr>
            </w:pPr>
          </w:p>
        </w:tc>
        <w:tc>
          <w:tcPr>
            <w:tcW w:w="24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1180" w:type="dxa"/>
            <w:vAlign w:val="bottom"/>
            <w:vMerge w:val="restart"/>
            <w:shd w:val="clear" w:color="auto" w:fill="D2DCE5"/>
          </w:tcPr>
          <w:p>
            <w:pPr>
              <w:jc w:val="right"/>
              <w:ind w:right="370"/>
              <w:spacing w:after="0"/>
              <w:rPr>
                <w:sz w:val="20"/>
                <w:szCs w:val="20"/>
                <w:color w:val="auto"/>
              </w:rPr>
            </w:pPr>
            <w:r>
              <w:rPr>
                <w:rFonts w:ascii="Arial" w:cs="Arial" w:eastAsia="Arial" w:hAnsi="Arial"/>
                <w:sz w:val="18"/>
                <w:szCs w:val="18"/>
                <w:color w:val="131E29"/>
              </w:rPr>
              <w:t>11,476</w:t>
            </w:r>
          </w:p>
        </w:tc>
        <w:tc>
          <w:tcPr>
            <w:tcW w:w="980" w:type="dxa"/>
            <w:vAlign w:val="bottom"/>
            <w:vMerge w:val="restart"/>
            <w:shd w:val="clear" w:color="auto" w:fill="D2DCE5"/>
          </w:tcPr>
          <w:p>
            <w:pPr>
              <w:jc w:val="right"/>
              <w:ind w:right="290"/>
              <w:spacing w:after="0"/>
              <w:rPr>
                <w:sz w:val="20"/>
                <w:szCs w:val="20"/>
                <w:color w:val="auto"/>
              </w:rPr>
            </w:pPr>
            <w:r>
              <w:rPr>
                <w:rFonts w:ascii="Arial" w:cs="Arial" w:eastAsia="Arial" w:hAnsi="Arial"/>
                <w:sz w:val="18"/>
                <w:szCs w:val="18"/>
                <w:color w:val="131E29"/>
              </w:rPr>
              <w:t>67.3%</w:t>
            </w:r>
          </w:p>
        </w:tc>
        <w:tc>
          <w:tcPr>
            <w:tcW w:w="80" w:type="dxa"/>
            <w:vAlign w:val="bottom"/>
            <w:shd w:val="clear" w:color="auto" w:fill="D2DCE5"/>
          </w:tcPr>
          <w:p>
            <w:pPr>
              <w:spacing w:after="0"/>
              <w:rPr>
                <w:sz w:val="18"/>
                <w:szCs w:val="18"/>
                <w:color w:val="auto"/>
              </w:rPr>
            </w:pP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   78,141</w:t>
            </w:r>
          </w:p>
        </w:tc>
        <w:tc>
          <w:tcPr>
            <w:tcW w:w="100" w:type="dxa"/>
            <w:vAlign w:val="bottom"/>
            <w:shd w:val="clear" w:color="auto" w:fill="D2DCE5"/>
          </w:tcPr>
          <w:p>
            <w:pPr>
              <w:spacing w:after="0"/>
              <w:rPr>
                <w:sz w:val="18"/>
                <w:szCs w:val="18"/>
                <w:color w:val="auto"/>
              </w:rPr>
            </w:pPr>
          </w:p>
        </w:tc>
        <w:tc>
          <w:tcPr>
            <w:tcW w:w="1000" w:type="dxa"/>
            <w:vAlign w:val="bottom"/>
            <w:gridSpan w:val="3"/>
            <w:vMerge w:val="restart"/>
            <w:shd w:val="clear" w:color="auto" w:fill="D2DCE5"/>
          </w:tcPr>
          <w:p>
            <w:pPr>
              <w:jc w:val="right"/>
              <w:ind w:right="40"/>
              <w:spacing w:after="0"/>
              <w:rPr>
                <w:sz w:val="20"/>
                <w:szCs w:val="20"/>
                <w:color w:val="auto"/>
              </w:rPr>
            </w:pPr>
            <w:r>
              <w:rPr>
                <w:rFonts w:ascii="Arial" w:cs="Arial" w:eastAsia="Arial" w:hAnsi="Arial"/>
                <w:sz w:val="18"/>
                <w:szCs w:val="18"/>
                <w:color w:val="131E29"/>
              </w:rPr>
              <w:t>$   42,484</w:t>
            </w:r>
          </w:p>
        </w:tc>
        <w:tc>
          <w:tcPr>
            <w:tcW w:w="1280" w:type="dxa"/>
            <w:vAlign w:val="bottom"/>
            <w:gridSpan w:val="5"/>
            <w:vMerge w:val="restart"/>
            <w:shd w:val="clear" w:color="auto" w:fill="D2DCE5"/>
          </w:tcPr>
          <w:p>
            <w:pPr>
              <w:jc w:val="right"/>
              <w:ind w:right="240"/>
              <w:spacing w:after="0"/>
              <w:rPr>
                <w:sz w:val="20"/>
                <w:szCs w:val="20"/>
                <w:color w:val="auto"/>
              </w:rPr>
            </w:pPr>
            <w:r>
              <w:rPr>
                <w:rFonts w:ascii="Arial" w:cs="Arial" w:eastAsia="Arial" w:hAnsi="Arial"/>
                <w:sz w:val="18"/>
                <w:szCs w:val="18"/>
                <w:color w:val="131E29"/>
              </w:rPr>
              <w:t>$   35,657</w:t>
            </w:r>
          </w:p>
        </w:tc>
        <w:tc>
          <w:tcPr>
            <w:tcW w:w="1220" w:type="dxa"/>
            <w:vAlign w:val="bottom"/>
            <w:vMerge w:val="restart"/>
            <w:shd w:val="clear" w:color="auto" w:fill="D2DCE5"/>
          </w:tcPr>
          <w:p>
            <w:pPr>
              <w:jc w:val="right"/>
              <w:ind w:right="297"/>
              <w:spacing w:after="0"/>
              <w:rPr>
                <w:sz w:val="20"/>
                <w:szCs w:val="20"/>
                <w:color w:val="auto"/>
              </w:rPr>
            </w:pPr>
            <w:r>
              <w:rPr>
                <w:rFonts w:ascii="Arial" w:cs="Arial" w:eastAsia="Arial" w:hAnsi="Arial"/>
                <w:sz w:val="18"/>
                <w:szCs w:val="18"/>
                <w:color w:val="131E29"/>
              </w:rPr>
              <w:t>83.9%</w:t>
            </w:r>
          </w:p>
        </w:tc>
        <w:tc>
          <w:tcPr>
            <w:tcW w:w="0" w:type="dxa"/>
            <w:vAlign w:val="bottom"/>
          </w:tcPr>
          <w:p>
            <w:pPr>
              <w:spacing w:after="0"/>
              <w:rPr>
                <w:sz w:val="1"/>
                <w:szCs w:val="1"/>
                <w:color w:val="auto"/>
              </w:rPr>
            </w:pPr>
          </w:p>
        </w:tc>
      </w:tr>
      <w:tr>
        <w:trPr>
          <w:trHeight w:val="208"/>
        </w:trPr>
        <w:tc>
          <w:tcPr>
            <w:tcW w:w="18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6"/>
                <w:szCs w:val="16"/>
                <w:color w:val="131E29"/>
              </w:rPr>
              <w:t>costs</w:t>
            </w:r>
          </w:p>
        </w:tc>
        <w:tc>
          <w:tcPr>
            <w:tcW w:w="1020" w:type="dxa"/>
            <w:vAlign w:val="bottom"/>
            <w:tcBorders>
              <w:bottom w:val="single" w:sz="8" w:color="D2DCE5"/>
            </w:tcBorders>
            <w:vMerge w:val="continue"/>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vMerge w:val="continue"/>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240" w:type="dxa"/>
            <w:vAlign w:val="bottom"/>
            <w:tcBorders>
              <w:bottom w:val="single" w:sz="8" w:color="D2DCE5"/>
            </w:tcBorders>
            <w:vMerge w:val="continue"/>
            <w:shd w:val="clear" w:color="auto" w:fill="D2DCE5"/>
          </w:tcPr>
          <w:p>
            <w:pPr>
              <w:spacing w:after="0"/>
              <w:rPr>
                <w:sz w:val="18"/>
                <w:szCs w:val="18"/>
                <w:color w:val="auto"/>
              </w:rPr>
            </w:pPr>
          </w:p>
        </w:tc>
        <w:tc>
          <w:tcPr>
            <w:tcW w:w="1180" w:type="dxa"/>
            <w:vAlign w:val="bottom"/>
            <w:tcBorders>
              <w:bottom w:val="single" w:sz="8" w:color="D2DCE5"/>
            </w:tcBorders>
            <w:vMerge w:val="continue"/>
            <w:shd w:val="clear" w:color="auto" w:fill="D2DCE5"/>
          </w:tcPr>
          <w:p>
            <w:pPr>
              <w:spacing w:after="0"/>
              <w:rPr>
                <w:sz w:val="18"/>
                <w:szCs w:val="18"/>
                <w:color w:val="auto"/>
              </w:rPr>
            </w:pPr>
          </w:p>
        </w:tc>
        <w:tc>
          <w:tcPr>
            <w:tcW w:w="980" w:type="dxa"/>
            <w:vAlign w:val="bottom"/>
            <w:tcBorders>
              <w:bottom w:val="single" w:sz="8" w:color="D2DCE5"/>
            </w:tcBorders>
            <w:vMerge w:val="continue"/>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vMerge w:val="continue"/>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1000" w:type="dxa"/>
            <w:vAlign w:val="bottom"/>
            <w:tcBorders>
              <w:bottom w:val="single" w:sz="8" w:color="D2DCE5"/>
            </w:tcBorders>
            <w:gridSpan w:val="3"/>
            <w:vMerge w:val="continue"/>
            <w:shd w:val="clear" w:color="auto" w:fill="D2DCE5"/>
          </w:tcPr>
          <w:p>
            <w:pPr>
              <w:spacing w:after="0"/>
              <w:rPr>
                <w:sz w:val="18"/>
                <w:szCs w:val="18"/>
                <w:color w:val="auto"/>
              </w:rPr>
            </w:pPr>
          </w:p>
        </w:tc>
        <w:tc>
          <w:tcPr>
            <w:tcW w:w="1280" w:type="dxa"/>
            <w:vAlign w:val="bottom"/>
            <w:tcBorders>
              <w:bottom w:val="single" w:sz="8" w:color="D2DCE5"/>
            </w:tcBorders>
            <w:gridSpan w:val="5"/>
            <w:vMerge w:val="continue"/>
            <w:shd w:val="clear" w:color="auto" w:fill="D2DCE5"/>
          </w:tcPr>
          <w:p>
            <w:pPr>
              <w:spacing w:after="0"/>
              <w:rPr>
                <w:sz w:val="18"/>
                <w:szCs w:val="18"/>
                <w:color w:val="auto"/>
              </w:rPr>
            </w:pPr>
          </w:p>
        </w:tc>
        <w:tc>
          <w:tcPr>
            <w:tcW w:w="1220" w:type="dxa"/>
            <w:vAlign w:val="bottom"/>
            <w:tcBorders>
              <w:bottom w:val="single" w:sz="8" w:color="D2DCE5"/>
            </w:tcBorders>
            <w:vMerge w:val="continue"/>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6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w:t>
            </w:r>
          </w:p>
        </w:tc>
        <w:tc>
          <w:tcPr>
            <w:tcW w:w="1020" w:type="dxa"/>
            <w:vAlign w:val="bottom"/>
            <w:vMerge w:val="restart"/>
          </w:tcPr>
          <w:p>
            <w:pPr>
              <w:jc w:val="right"/>
              <w:ind w:right="170"/>
              <w:spacing w:after="0"/>
              <w:rPr>
                <w:sz w:val="20"/>
                <w:szCs w:val="20"/>
                <w:color w:val="auto"/>
              </w:rPr>
            </w:pPr>
            <w:r>
              <w:rPr>
                <w:rFonts w:ascii="Arial" w:cs="Arial" w:eastAsia="Arial" w:hAnsi="Arial"/>
                <w:sz w:val="18"/>
                <w:szCs w:val="18"/>
                <w:color w:val="131E29"/>
              </w:rPr>
              <w:t>16.4%</w:t>
            </w:r>
          </w:p>
        </w:tc>
        <w:tc>
          <w:tcPr>
            <w:tcW w:w="100" w:type="dxa"/>
            <w:vAlign w:val="bottom"/>
          </w:tcPr>
          <w:p>
            <w:pPr>
              <w:spacing w:after="0"/>
              <w:rPr>
                <w:sz w:val="17"/>
                <w:szCs w:val="17"/>
                <w:color w:val="auto"/>
              </w:rPr>
            </w:pPr>
          </w:p>
        </w:tc>
        <w:tc>
          <w:tcPr>
            <w:tcW w:w="1040" w:type="dxa"/>
            <w:vAlign w:val="bottom"/>
            <w:vMerge w:val="restart"/>
          </w:tcPr>
          <w:p>
            <w:pPr>
              <w:jc w:val="right"/>
              <w:ind w:right="170"/>
              <w:spacing w:after="0"/>
              <w:rPr>
                <w:sz w:val="20"/>
                <w:szCs w:val="20"/>
                <w:color w:val="auto"/>
              </w:rPr>
            </w:pPr>
            <w:r>
              <w:rPr>
                <w:rFonts w:ascii="Arial" w:cs="Arial" w:eastAsia="Arial" w:hAnsi="Arial"/>
                <w:sz w:val="18"/>
                <w:szCs w:val="18"/>
                <w:color w:val="131E29"/>
              </w:rPr>
              <w:t>15.7%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vMerge w:val="restart"/>
          </w:tcPr>
          <w:p>
            <w:pPr>
              <w:jc w:val="right"/>
              <w:ind w:right="670"/>
              <w:spacing w:after="0"/>
              <w:rPr>
                <w:sz w:val="20"/>
                <w:szCs w:val="20"/>
                <w:color w:val="auto"/>
              </w:rPr>
            </w:pPr>
            <w:r>
              <w:rPr>
                <w:rFonts w:ascii="Arial" w:cs="Arial" w:eastAsia="Arial" w:hAnsi="Arial"/>
                <w:sz w:val="18"/>
                <w:szCs w:val="18"/>
                <w:color w:val="131E29"/>
              </w:rPr>
              <w:t>N/A</w:t>
            </w:r>
          </w:p>
        </w:tc>
        <w:tc>
          <w:tcPr>
            <w:tcW w:w="1060" w:type="dxa"/>
            <w:vAlign w:val="bottom"/>
            <w:gridSpan w:val="2"/>
            <w:vMerge w:val="restart"/>
          </w:tcPr>
          <w:p>
            <w:pPr>
              <w:ind w:left="420"/>
              <w:spacing w:after="0"/>
              <w:rPr>
                <w:sz w:val="20"/>
                <w:szCs w:val="20"/>
                <w:color w:val="auto"/>
              </w:rPr>
            </w:pPr>
            <w:r>
              <w:rPr>
                <w:rFonts w:ascii="Arial" w:cs="Arial" w:eastAsia="Arial" w:hAnsi="Arial"/>
                <w:sz w:val="18"/>
                <w:szCs w:val="18"/>
                <w:color w:val="131E29"/>
              </w:rPr>
              <w:t>70 bps</w:t>
            </w:r>
          </w:p>
        </w:tc>
        <w:tc>
          <w:tcPr>
            <w:tcW w:w="1040" w:type="dxa"/>
            <w:vAlign w:val="bottom"/>
            <w:vMerge w:val="restart"/>
          </w:tcPr>
          <w:p>
            <w:pPr>
              <w:jc w:val="right"/>
              <w:ind w:right="170"/>
              <w:spacing w:after="0"/>
              <w:rPr>
                <w:sz w:val="20"/>
                <w:szCs w:val="20"/>
                <w:color w:val="auto"/>
              </w:rPr>
            </w:pPr>
            <w:r>
              <w:rPr>
                <w:rFonts w:ascii="Arial" w:cs="Arial" w:eastAsia="Arial" w:hAnsi="Arial"/>
                <w:sz w:val="18"/>
                <w:szCs w:val="18"/>
                <w:color w:val="131E29"/>
              </w:rPr>
              <w:t>16.8%</w:t>
            </w:r>
          </w:p>
        </w:tc>
        <w:tc>
          <w:tcPr>
            <w:tcW w:w="100" w:type="dxa"/>
            <w:vAlign w:val="bottom"/>
          </w:tcPr>
          <w:p>
            <w:pPr>
              <w:spacing w:after="0"/>
              <w:rPr>
                <w:sz w:val="17"/>
                <w:szCs w:val="17"/>
                <w:color w:val="auto"/>
              </w:rPr>
            </w:pP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131E29"/>
              </w:rPr>
              <w:t>14.7%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131E29"/>
              </w:rPr>
              <w:t>N/A</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131E29"/>
              </w:rPr>
              <w:t>210 bps</w:t>
            </w:r>
          </w:p>
        </w:tc>
        <w:tc>
          <w:tcPr>
            <w:tcW w:w="0" w:type="dxa"/>
            <w:vAlign w:val="bottom"/>
          </w:tcPr>
          <w:p>
            <w:pPr>
              <w:spacing w:after="0"/>
              <w:rPr>
                <w:sz w:val="1"/>
                <w:szCs w:val="1"/>
                <w:color w:val="auto"/>
              </w:rPr>
            </w:pPr>
          </w:p>
        </w:tc>
      </w:tr>
      <w:tr>
        <w:trPr>
          <w:trHeight w:val="217"/>
        </w:trPr>
        <w:tc>
          <w:tcPr>
            <w:tcW w:w="1860" w:type="dxa"/>
            <w:vAlign w:val="bottom"/>
            <w:gridSpan w:val="2"/>
          </w:tcPr>
          <w:p>
            <w:pPr>
              <w:ind w:left="20"/>
              <w:spacing w:after="0"/>
              <w:rPr>
                <w:sz w:val="20"/>
                <w:szCs w:val="20"/>
                <w:color w:val="auto"/>
              </w:rPr>
            </w:pPr>
            <w:r>
              <w:rPr>
                <w:rFonts w:ascii="Arial" w:cs="Arial" w:eastAsia="Arial" w:hAnsi="Arial"/>
                <w:sz w:val="16"/>
                <w:szCs w:val="16"/>
                <w:i w:val="1"/>
                <w:iCs w:val="1"/>
                <w:color w:val="131E29"/>
              </w:rPr>
              <w:t>revenue</w:t>
            </w: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September 30, 2022 v 2021</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occupancy and other costs impacts for the year-over-year comparison, presented in dollars and basis points, were driven by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480" w:type="dxa"/>
            <w:vAlign w:val="bottom"/>
            <w:gridSpan w:val="2"/>
          </w:tcPr>
          <w:p>
            <w:pPr>
              <w:ind w:left="20"/>
              <w:spacing w:after="0"/>
              <w:rPr>
                <w:sz w:val="20"/>
                <w:szCs w:val="20"/>
                <w:color w:val="auto"/>
              </w:rPr>
            </w:pPr>
            <w:r>
              <w:rPr>
                <w:rFonts w:ascii="Arial" w:cs="Arial" w:eastAsia="Arial" w:hAnsi="Arial"/>
                <w:sz w:val="14"/>
                <w:szCs w:val="14"/>
                <w:color w:val="131E29"/>
              </w:rPr>
              <w:t>(in thousands, except BPS; unaudited)</w:t>
            </w:r>
          </w:p>
        </w:tc>
        <w:tc>
          <w:tcPr>
            <w:tcW w:w="360" w:type="dxa"/>
            <w:vAlign w:val="bottom"/>
          </w:tcPr>
          <w:p>
            <w:pPr>
              <w:spacing w:after="0"/>
              <w:rPr>
                <w:sz w:val="20"/>
                <w:szCs w:val="20"/>
                <w:color w:val="auto"/>
              </w:rPr>
            </w:pPr>
          </w:p>
        </w:tc>
        <w:tc>
          <w:tcPr>
            <w:tcW w:w="980" w:type="dxa"/>
            <w:vAlign w:val="bottom"/>
          </w:tcPr>
          <w:p>
            <w:pPr>
              <w:jc w:val="right"/>
              <w:ind w:right="538"/>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320" w:type="dxa"/>
            <w:vAlign w:val="bottom"/>
          </w:tcPr>
          <w:p>
            <w:pPr>
              <w:jc w:val="right"/>
              <w:ind w:right="398"/>
              <w:spacing w:after="0"/>
              <w:rPr>
                <w:sz w:val="20"/>
                <w:szCs w:val="20"/>
                <w:color w:val="auto"/>
              </w:rPr>
            </w:pPr>
            <w:r>
              <w:rPr>
                <w:rFonts w:ascii="Arial" w:cs="Arial" w:eastAsia="Arial" w:hAnsi="Arial"/>
                <w:sz w:val="18"/>
                <w:szCs w:val="18"/>
                <w:b w:val="1"/>
                <w:bCs w:val="1"/>
                <w:color w:val="131E29"/>
              </w:rPr>
              <w:t>BPS</w:t>
            </w:r>
          </w:p>
        </w:tc>
      </w:tr>
      <w:tr>
        <w:trPr>
          <w:trHeight w:val="25"/>
        </w:trPr>
        <w:tc>
          <w:tcPr>
            <w:tcW w:w="84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60" w:type="dxa"/>
            <w:vAlign w:val="bottom"/>
            <w:tcBorders>
              <w:bottom w:val="single" w:sz="8" w:color="131E29"/>
            </w:tcBorders>
          </w:tcPr>
          <w:p>
            <w:pPr>
              <w:spacing w:after="0"/>
              <w:rPr>
                <w:sz w:val="2"/>
                <w:szCs w:val="2"/>
                <w:color w:val="auto"/>
              </w:rPr>
            </w:pPr>
          </w:p>
        </w:tc>
        <w:tc>
          <w:tcPr>
            <w:tcW w:w="98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131E29"/>
            </w:tcBorders>
          </w:tcPr>
          <w:p>
            <w:pPr>
              <w:spacing w:after="0"/>
              <w:rPr>
                <w:sz w:val="2"/>
                <w:szCs w:val="2"/>
                <w:color w:val="auto"/>
              </w:rPr>
            </w:pPr>
          </w:p>
        </w:tc>
      </w:tr>
      <w:tr>
        <w:trPr>
          <w:trHeight w:val="237"/>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Shop weeks</w:t>
            </w:r>
          </w:p>
        </w:tc>
        <w:tc>
          <w:tcPr>
            <w:tcW w:w="360" w:type="dxa"/>
            <w:vAlign w:val="bottom"/>
            <w:shd w:val="clear" w:color="auto" w:fill="D2DCE5"/>
          </w:tcPr>
          <w:p>
            <w:pPr>
              <w:jc w:val="right"/>
              <w:ind w:right="159"/>
              <w:spacing w:after="0"/>
              <w:rPr>
                <w:sz w:val="20"/>
                <w:szCs w:val="20"/>
                <w:color w:val="auto"/>
              </w:rPr>
            </w:pPr>
            <w:r>
              <w:rPr>
                <w:rFonts w:ascii="Arial" w:cs="Arial" w:eastAsia="Arial" w:hAnsi="Arial"/>
                <w:sz w:val="16"/>
                <w:szCs w:val="16"/>
                <w:color w:val="131E29"/>
              </w:rPr>
              <w:t>$</w:t>
            </w: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8,235</w:t>
            </w:r>
          </w:p>
        </w:tc>
        <w:tc>
          <w:tcPr>
            <w:tcW w:w="100" w:type="dxa"/>
            <w:vAlign w:val="bottom"/>
            <w:shd w:val="clear" w:color="auto" w:fill="D2DCE5"/>
          </w:tcPr>
          <w:p>
            <w:pPr>
              <w:spacing w:after="0"/>
              <w:rPr>
                <w:sz w:val="20"/>
                <w:szCs w:val="20"/>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N/A</w:t>
            </w:r>
          </w:p>
        </w:tc>
      </w:tr>
      <w:tr>
        <w:trPr>
          <w:trHeight w:val="233"/>
        </w:trPr>
        <w:tc>
          <w:tcPr>
            <w:tcW w:w="8480" w:type="dxa"/>
            <w:vAlign w:val="bottom"/>
            <w:gridSpan w:val="2"/>
          </w:tcPr>
          <w:p>
            <w:pPr>
              <w:ind w:left="20"/>
              <w:spacing w:after="0"/>
              <w:rPr>
                <w:sz w:val="20"/>
                <w:szCs w:val="20"/>
                <w:color w:val="auto"/>
              </w:rPr>
            </w:pPr>
            <w:r>
              <w:rPr>
                <w:rFonts w:ascii="Arial" w:cs="Arial" w:eastAsia="Arial" w:hAnsi="Arial"/>
                <w:sz w:val="16"/>
                <w:szCs w:val="16"/>
                <w:color w:val="131E29"/>
              </w:rPr>
              <w:t>Occupancy cost escalation</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131E29"/>
              </w:rPr>
              <w:t>3,399</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131E29"/>
              </w:rPr>
              <w:t>200</w:t>
            </w:r>
          </w:p>
        </w:tc>
      </w:tr>
      <w:tr>
        <w:trPr>
          <w:trHeight w:val="253"/>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Higher preventative maintenance programs</w:t>
            </w:r>
          </w:p>
        </w:tc>
        <w:tc>
          <w:tcPr>
            <w:tcW w:w="360" w:type="dxa"/>
            <w:vAlign w:val="bottom"/>
            <w:shd w:val="clear" w:color="auto" w:fill="D2DCE5"/>
          </w:tcPr>
          <w:p>
            <w:pPr>
              <w:spacing w:after="0"/>
              <w:rPr>
                <w:sz w:val="21"/>
                <w:szCs w:val="21"/>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77</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w:t>
            </w:r>
          </w:p>
        </w:tc>
      </w:tr>
      <w:tr>
        <w:trPr>
          <w:trHeight w:val="233"/>
        </w:trPr>
        <w:tc>
          <w:tcPr>
            <w:tcW w:w="8480" w:type="dxa"/>
            <w:vAlign w:val="bottom"/>
            <w:gridSpan w:val="2"/>
          </w:tcPr>
          <w:p>
            <w:pPr>
              <w:ind w:left="20"/>
              <w:spacing w:after="0"/>
              <w:rPr>
                <w:sz w:val="20"/>
                <w:szCs w:val="20"/>
                <w:color w:val="auto"/>
              </w:rPr>
            </w:pPr>
            <w:r>
              <w:rPr>
                <w:rFonts w:ascii="Arial" w:cs="Arial" w:eastAsia="Arial" w:hAnsi="Arial"/>
                <w:sz w:val="16"/>
                <w:szCs w:val="16"/>
                <w:color w:val="131E29"/>
              </w:rPr>
              <w:t>Rent/CAMS</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131E29"/>
              </w:rPr>
              <w:t>120</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131E29"/>
              </w:rPr>
              <w:t>10</w:t>
            </w:r>
          </w:p>
        </w:tc>
      </w:tr>
      <w:tr>
        <w:trPr>
          <w:trHeight w:val="253"/>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New shop impact</w:t>
            </w:r>
          </w:p>
        </w:tc>
        <w:tc>
          <w:tcPr>
            <w:tcW w:w="360" w:type="dxa"/>
            <w:vAlign w:val="bottom"/>
            <w:shd w:val="clear" w:color="auto" w:fill="D2DCE5"/>
          </w:tcPr>
          <w:p>
            <w:pPr>
              <w:spacing w:after="0"/>
              <w:rPr>
                <w:sz w:val="21"/>
                <w:szCs w:val="21"/>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343</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w:t>
            </w:r>
          </w:p>
        </w:tc>
      </w:tr>
      <w:tr>
        <w:trPr>
          <w:trHeight w:val="233"/>
        </w:trPr>
        <w:tc>
          <w:tcPr>
            <w:tcW w:w="8480" w:type="dxa"/>
            <w:vAlign w:val="bottom"/>
            <w:gridSpan w:val="2"/>
          </w:tcPr>
          <w:p>
            <w:pPr>
              <w:ind w:left="20"/>
              <w:spacing w:after="0"/>
              <w:rPr>
                <w:sz w:val="20"/>
                <w:szCs w:val="20"/>
                <w:color w:val="auto"/>
              </w:rPr>
            </w:pPr>
            <w:r>
              <w:rPr>
                <w:rFonts w:ascii="Arial" w:cs="Arial" w:eastAsia="Arial" w:hAnsi="Arial"/>
                <w:sz w:val="16"/>
                <w:szCs w:val="16"/>
                <w:color w:val="131E29"/>
              </w:rPr>
              <w:t>Volume</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131E29"/>
              </w:rPr>
              <w:t>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131E29"/>
              </w:rPr>
              <w:t>N/A</w:t>
            </w:r>
          </w:p>
        </w:tc>
      </w:tr>
      <w:tr>
        <w:trPr>
          <w:trHeight w:val="253"/>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Cash tender reinstitution</w:t>
            </w:r>
          </w:p>
        </w:tc>
        <w:tc>
          <w:tcPr>
            <w:tcW w:w="360" w:type="dxa"/>
            <w:vAlign w:val="bottom"/>
            <w:shd w:val="clear" w:color="auto" w:fill="D2DCE5"/>
          </w:tcPr>
          <w:p>
            <w:pPr>
              <w:spacing w:after="0"/>
              <w:rPr>
                <w:sz w:val="21"/>
                <w:szCs w:val="21"/>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(702)</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(40)</w:t>
            </w:r>
          </w:p>
        </w:tc>
      </w:tr>
      <w:tr>
        <w:trPr>
          <w:trHeight w:val="233"/>
        </w:trPr>
        <w:tc>
          <w:tcPr>
            <w:tcW w:w="8480" w:type="dxa"/>
            <w:vAlign w:val="bottom"/>
            <w:gridSpan w:val="2"/>
          </w:tcPr>
          <w:p>
            <w:pPr>
              <w:ind w:left="20"/>
              <w:spacing w:after="0"/>
              <w:rPr>
                <w:sz w:val="20"/>
                <w:szCs w:val="20"/>
                <w:color w:val="auto"/>
              </w:rPr>
            </w:pPr>
            <w:r>
              <w:rPr>
                <w:rFonts w:ascii="Arial" w:cs="Arial" w:eastAsia="Arial" w:hAnsi="Arial"/>
                <w:sz w:val="16"/>
                <w:szCs w:val="16"/>
                <w:color w:val="131E29"/>
              </w:rPr>
              <w:t>Pricing impacts</w:t>
            </w:r>
          </w:p>
        </w:tc>
        <w:tc>
          <w:tcPr>
            <w:tcW w:w="36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6"/>
                <w:szCs w:val="16"/>
                <w:color w:val="131E29"/>
              </w:rPr>
              <w:t>N/A</w:t>
            </w:r>
          </w:p>
        </w:tc>
        <w:tc>
          <w:tcPr>
            <w:tcW w:w="1320" w:type="dxa"/>
            <w:vAlign w:val="bottom"/>
          </w:tcPr>
          <w:p>
            <w:pPr>
              <w:jc w:val="right"/>
              <w:spacing w:after="0"/>
              <w:rPr>
                <w:sz w:val="20"/>
                <w:szCs w:val="20"/>
                <w:color w:val="auto"/>
              </w:rPr>
            </w:pPr>
            <w:r>
              <w:rPr>
                <w:rFonts w:ascii="Arial" w:cs="Arial" w:eastAsia="Arial" w:hAnsi="Arial"/>
                <w:sz w:val="16"/>
                <w:szCs w:val="16"/>
                <w:color w:val="131E29"/>
              </w:rPr>
              <w:t>(110)</w:t>
            </w:r>
          </w:p>
        </w:tc>
      </w:tr>
      <w:tr>
        <w:trPr>
          <w:trHeight w:val="246"/>
        </w:trPr>
        <w:tc>
          <w:tcPr>
            <w:tcW w:w="8400" w:type="dxa"/>
            <w:vAlign w:val="bottom"/>
            <w:tcBorders>
              <w:bottom w:val="single" w:sz="8" w:color="131E29"/>
            </w:tcBorders>
            <w:shd w:val="clear" w:color="auto" w:fill="D2DCE5"/>
          </w:tcPr>
          <w:p>
            <w:pPr>
              <w:ind w:left="20"/>
              <w:spacing w:after="0"/>
              <w:rPr>
                <w:sz w:val="20"/>
                <w:szCs w:val="20"/>
                <w:color w:val="auto"/>
              </w:rPr>
            </w:pPr>
            <w:r>
              <w:rPr>
                <w:rFonts w:ascii="Arial" w:cs="Arial" w:eastAsia="Arial" w:hAnsi="Arial"/>
                <w:sz w:val="16"/>
                <w:szCs w:val="16"/>
                <w:color w:val="131E29"/>
              </w:rPr>
              <w:t>Other</w:t>
            </w:r>
          </w:p>
        </w:tc>
        <w:tc>
          <w:tcPr>
            <w:tcW w:w="80" w:type="dxa"/>
            <w:vAlign w:val="bottom"/>
            <w:shd w:val="clear" w:color="auto" w:fill="D2DCE5"/>
          </w:tcPr>
          <w:p>
            <w:pPr>
              <w:spacing w:after="0"/>
              <w:rPr>
                <w:sz w:val="21"/>
                <w:szCs w:val="21"/>
                <w:color w:val="auto"/>
              </w:rPr>
            </w:pPr>
          </w:p>
        </w:tc>
        <w:tc>
          <w:tcPr>
            <w:tcW w:w="360" w:type="dxa"/>
            <w:vAlign w:val="bottom"/>
            <w:tcBorders>
              <w:bottom w:val="single" w:sz="8" w:color="131E29"/>
            </w:tcBorders>
            <w:shd w:val="clear" w:color="auto" w:fill="D2DCE5"/>
          </w:tcPr>
          <w:p>
            <w:pPr>
              <w:spacing w:after="0"/>
              <w:rPr>
                <w:sz w:val="21"/>
                <w:szCs w:val="21"/>
                <w:color w:val="auto"/>
              </w:rPr>
            </w:pPr>
          </w:p>
        </w:tc>
        <w:tc>
          <w:tcPr>
            <w:tcW w:w="98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6"/>
                <w:szCs w:val="16"/>
                <w:color w:val="131E29"/>
              </w:rPr>
              <w:t>—</w:t>
            </w:r>
          </w:p>
        </w:tc>
        <w:tc>
          <w:tcPr>
            <w:tcW w:w="100" w:type="dxa"/>
            <w:vAlign w:val="bottom"/>
            <w:shd w:val="clear" w:color="auto" w:fill="D2DCE5"/>
          </w:tcPr>
          <w:p>
            <w:pPr>
              <w:spacing w:after="0"/>
              <w:rPr>
                <w:sz w:val="21"/>
                <w:szCs w:val="21"/>
                <w:color w:val="auto"/>
              </w:rPr>
            </w:pPr>
          </w:p>
        </w:tc>
        <w:tc>
          <w:tcPr>
            <w:tcW w:w="13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6"/>
                <w:szCs w:val="16"/>
                <w:color w:val="131E29"/>
              </w:rPr>
              <w:t>—</w:t>
            </w:r>
          </w:p>
        </w:tc>
      </w:tr>
      <w:tr>
        <w:trPr>
          <w:trHeight w:val="237"/>
        </w:trPr>
        <w:tc>
          <w:tcPr>
            <w:tcW w:w="8400" w:type="dxa"/>
            <w:vAlign w:val="bottom"/>
            <w:tcBorders>
              <w:bottom w:val="single" w:sz="8" w:color="131E29"/>
            </w:tcBorders>
          </w:tcPr>
          <w:p>
            <w:pPr>
              <w:ind w:left="140"/>
              <w:spacing w:after="0"/>
              <w:rPr>
                <w:sz w:val="20"/>
                <w:szCs w:val="20"/>
                <w:color w:val="auto"/>
              </w:rPr>
            </w:pPr>
            <w:r>
              <w:rPr>
                <w:rFonts w:ascii="Arial" w:cs="Arial" w:eastAsia="Arial" w:hAnsi="Arial"/>
                <w:sz w:val="16"/>
                <w:szCs w:val="16"/>
                <w:b w:val="1"/>
                <w:bCs w:val="1"/>
                <w:color w:val="131E29"/>
              </w:rPr>
              <w:t>Total change</w:t>
            </w:r>
          </w:p>
        </w:tc>
        <w:tc>
          <w:tcPr>
            <w:tcW w:w="80" w:type="dxa"/>
            <w:vAlign w:val="bottom"/>
          </w:tcPr>
          <w:p>
            <w:pPr>
              <w:spacing w:after="0"/>
              <w:rPr>
                <w:sz w:val="20"/>
                <w:szCs w:val="20"/>
                <w:color w:val="auto"/>
              </w:rPr>
            </w:pPr>
          </w:p>
        </w:tc>
        <w:tc>
          <w:tcPr>
            <w:tcW w:w="360" w:type="dxa"/>
            <w:vAlign w:val="bottom"/>
            <w:tcBorders>
              <w:bottom w:val="single" w:sz="8" w:color="131E29"/>
            </w:tcBorders>
          </w:tcPr>
          <w:p>
            <w:pPr>
              <w:jc w:val="right"/>
              <w:ind w:right="159"/>
              <w:spacing w:after="0"/>
              <w:rPr>
                <w:sz w:val="20"/>
                <w:szCs w:val="20"/>
                <w:color w:val="auto"/>
              </w:rPr>
            </w:pPr>
            <w:r>
              <w:rPr>
                <w:rFonts w:ascii="Arial" w:cs="Arial" w:eastAsia="Arial" w:hAnsi="Arial"/>
                <w:sz w:val="16"/>
                <w:szCs w:val="16"/>
                <w:b w:val="1"/>
                <w:bCs w:val="1"/>
                <w:color w:val="131E29"/>
              </w:rPr>
              <w:t>$</w:t>
            </w:r>
          </w:p>
        </w:tc>
        <w:tc>
          <w:tcPr>
            <w:tcW w:w="980" w:type="dxa"/>
            <w:vAlign w:val="bottom"/>
            <w:tcBorders>
              <w:bottom w:val="single" w:sz="8" w:color="131E29"/>
            </w:tcBorders>
          </w:tcPr>
          <w:p>
            <w:pPr>
              <w:jc w:val="right"/>
              <w:spacing w:after="0"/>
              <w:rPr>
                <w:sz w:val="20"/>
                <w:szCs w:val="20"/>
                <w:color w:val="auto"/>
              </w:rPr>
            </w:pPr>
            <w:r>
              <w:rPr>
                <w:rFonts w:ascii="Arial" w:cs="Arial" w:eastAsia="Arial" w:hAnsi="Arial"/>
                <w:sz w:val="16"/>
                <w:szCs w:val="16"/>
                <w:b w:val="1"/>
                <w:bCs w:val="1"/>
                <w:color w:val="131E29"/>
              </w:rPr>
              <w:t>11,476</w:t>
            </w:r>
          </w:p>
        </w:tc>
        <w:tc>
          <w:tcPr>
            <w:tcW w:w="100" w:type="dxa"/>
            <w:vAlign w:val="bottom"/>
          </w:tcPr>
          <w:p>
            <w:pPr>
              <w:spacing w:after="0"/>
              <w:rPr>
                <w:sz w:val="20"/>
                <w:szCs w:val="20"/>
                <w:color w:val="auto"/>
              </w:rPr>
            </w:pPr>
          </w:p>
        </w:tc>
        <w:tc>
          <w:tcPr>
            <w:tcW w:w="1320" w:type="dxa"/>
            <w:vAlign w:val="bottom"/>
            <w:tcBorders>
              <w:bottom w:val="single" w:sz="8" w:color="131E29"/>
            </w:tcBorders>
          </w:tcPr>
          <w:p>
            <w:pPr>
              <w:jc w:val="right"/>
              <w:spacing w:after="0"/>
              <w:rPr>
                <w:sz w:val="20"/>
                <w:szCs w:val="20"/>
                <w:color w:val="auto"/>
              </w:rPr>
            </w:pPr>
            <w:r>
              <w:rPr>
                <w:rFonts w:ascii="Arial" w:cs="Arial" w:eastAsia="Arial" w:hAnsi="Arial"/>
                <w:sz w:val="16"/>
                <w:szCs w:val="16"/>
                <w:b w:val="1"/>
                <w:bCs w:val="1"/>
                <w:color w:val="131E29"/>
              </w:rPr>
              <w:t>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Nine Months Ended September 30, 2022 v 2021</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The occupancy and other costs impacts for the year-over-year comparison, presented in dollars and basis points, were driven by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10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380" w:type="dxa"/>
            <w:vAlign w:val="bottom"/>
          </w:tcPr>
          <w:p>
            <w:pPr>
              <w:spacing w:after="0"/>
              <w:rPr>
                <w:sz w:val="20"/>
                <w:szCs w:val="20"/>
                <w:color w:val="auto"/>
              </w:rPr>
            </w:pPr>
          </w:p>
        </w:tc>
        <w:tc>
          <w:tcPr>
            <w:tcW w:w="1060" w:type="dxa"/>
            <w:vAlign w:val="bottom"/>
          </w:tcPr>
          <w:p>
            <w:pPr>
              <w:jc w:val="right"/>
              <w:ind w:right="598"/>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600" w:type="dxa"/>
            <w:vAlign w:val="bottom"/>
          </w:tcPr>
          <w:p>
            <w:pPr>
              <w:jc w:val="right"/>
              <w:ind w:right="538"/>
              <w:spacing w:after="0"/>
              <w:rPr>
                <w:sz w:val="20"/>
                <w:szCs w:val="20"/>
                <w:color w:val="auto"/>
              </w:rPr>
            </w:pPr>
            <w:r>
              <w:rPr>
                <w:rFonts w:ascii="Arial" w:cs="Arial" w:eastAsia="Arial" w:hAnsi="Arial"/>
                <w:sz w:val="18"/>
                <w:szCs w:val="18"/>
                <w:b w:val="1"/>
                <w:bCs w:val="1"/>
                <w:color w:val="131E29"/>
              </w:rPr>
              <w:t>BPS</w:t>
            </w:r>
          </w:p>
        </w:tc>
      </w:tr>
      <w:tr>
        <w:trPr>
          <w:trHeight w:val="26"/>
        </w:trPr>
        <w:tc>
          <w:tcPr>
            <w:tcW w:w="80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80" w:type="dxa"/>
            <w:vAlign w:val="bottom"/>
            <w:tcBorders>
              <w:bottom w:val="single" w:sz="8" w:color="131E29"/>
            </w:tcBorders>
          </w:tcPr>
          <w:p>
            <w:pPr>
              <w:spacing w:after="0"/>
              <w:rPr>
                <w:sz w:val="2"/>
                <w:szCs w:val="2"/>
                <w:color w:val="auto"/>
              </w:rPr>
            </w:pPr>
          </w:p>
        </w:tc>
        <w:tc>
          <w:tcPr>
            <w:tcW w:w="10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0" w:type="dxa"/>
            <w:vAlign w:val="bottom"/>
            <w:tcBorders>
              <w:bottom w:val="single" w:sz="8" w:color="131E29"/>
            </w:tcBorders>
          </w:tcPr>
          <w:p>
            <w:pPr>
              <w:spacing w:after="0"/>
              <w:rPr>
                <w:sz w:val="2"/>
                <w:szCs w:val="2"/>
                <w:color w:val="auto"/>
              </w:rPr>
            </w:pPr>
          </w:p>
        </w:tc>
      </w:tr>
      <w:tr>
        <w:trPr>
          <w:trHeight w:val="237"/>
        </w:trPr>
        <w:tc>
          <w:tcPr>
            <w:tcW w:w="81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Shop weeks</w:t>
            </w:r>
          </w:p>
        </w:tc>
        <w:tc>
          <w:tcPr>
            <w:tcW w:w="380" w:type="dxa"/>
            <w:vAlign w:val="bottom"/>
            <w:shd w:val="clear" w:color="auto" w:fill="D2DCE5"/>
          </w:tcPr>
          <w:p>
            <w:pPr>
              <w:jc w:val="right"/>
              <w:ind w:right="199"/>
              <w:spacing w:after="0"/>
              <w:rPr>
                <w:sz w:val="20"/>
                <w:szCs w:val="20"/>
                <w:color w:val="auto"/>
              </w:rPr>
            </w:pPr>
            <w:r>
              <w:rPr>
                <w:rFonts w:ascii="Arial" w:cs="Arial" w:eastAsia="Arial" w:hAnsi="Arial"/>
                <w:sz w:val="16"/>
                <w:szCs w:val="16"/>
                <w:color w:val="131E29"/>
                <w:w w:val="89"/>
              </w:rPr>
              <w:t>$</w:t>
            </w:r>
          </w:p>
        </w:tc>
        <w:tc>
          <w:tcPr>
            <w:tcW w:w="10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24,499</w:t>
            </w:r>
          </w:p>
        </w:tc>
        <w:tc>
          <w:tcPr>
            <w:tcW w:w="100" w:type="dxa"/>
            <w:vAlign w:val="bottom"/>
            <w:shd w:val="clear" w:color="auto" w:fill="D2DCE5"/>
          </w:tcPr>
          <w:p>
            <w:pPr>
              <w:spacing w:after="0"/>
              <w:rPr>
                <w:sz w:val="20"/>
                <w:szCs w:val="20"/>
                <w:color w:val="auto"/>
              </w:rPr>
            </w:pPr>
          </w:p>
        </w:tc>
        <w:tc>
          <w:tcPr>
            <w:tcW w:w="1600" w:type="dxa"/>
            <w:vAlign w:val="bottom"/>
            <w:shd w:val="clear" w:color="auto" w:fill="D2DCE5"/>
          </w:tcPr>
          <w:p>
            <w:pPr>
              <w:jc w:val="center"/>
              <w:ind w:left="1218"/>
              <w:spacing w:after="0"/>
              <w:rPr>
                <w:sz w:val="20"/>
                <w:szCs w:val="20"/>
                <w:color w:val="auto"/>
              </w:rPr>
            </w:pPr>
            <w:r>
              <w:rPr>
                <w:rFonts w:ascii="Arial" w:cs="Arial" w:eastAsia="Arial" w:hAnsi="Arial"/>
                <w:sz w:val="16"/>
                <w:szCs w:val="16"/>
                <w:color w:val="131E29"/>
                <w:w w:val="97"/>
              </w:rPr>
              <w:t>N/A</w:t>
            </w:r>
          </w:p>
        </w:tc>
      </w:tr>
      <w:tr>
        <w:trPr>
          <w:trHeight w:val="233"/>
        </w:trPr>
        <w:tc>
          <w:tcPr>
            <w:tcW w:w="8100" w:type="dxa"/>
            <w:vAlign w:val="bottom"/>
            <w:gridSpan w:val="2"/>
          </w:tcPr>
          <w:p>
            <w:pPr>
              <w:ind w:left="20"/>
              <w:spacing w:after="0"/>
              <w:rPr>
                <w:sz w:val="20"/>
                <w:szCs w:val="20"/>
                <w:color w:val="auto"/>
              </w:rPr>
            </w:pPr>
            <w:r>
              <w:rPr>
                <w:rFonts w:ascii="Arial" w:cs="Arial" w:eastAsia="Arial" w:hAnsi="Arial"/>
                <w:sz w:val="16"/>
                <w:szCs w:val="16"/>
                <w:color w:val="131E29"/>
              </w:rPr>
              <w:t>Occupancy cost escalation</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131E29"/>
              </w:rPr>
              <w:t>5,849</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131E29"/>
              </w:rPr>
              <w:t>130</w:t>
            </w:r>
          </w:p>
        </w:tc>
      </w:tr>
      <w:tr>
        <w:trPr>
          <w:trHeight w:val="253"/>
        </w:trPr>
        <w:tc>
          <w:tcPr>
            <w:tcW w:w="81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Higher preventative maintenance programs</w:t>
            </w:r>
          </w:p>
        </w:tc>
        <w:tc>
          <w:tcPr>
            <w:tcW w:w="380" w:type="dxa"/>
            <w:vAlign w:val="bottom"/>
            <w:shd w:val="clear" w:color="auto" w:fill="D2DCE5"/>
          </w:tcPr>
          <w:p>
            <w:pPr>
              <w:spacing w:after="0"/>
              <w:rPr>
                <w:sz w:val="21"/>
                <w:szCs w:val="21"/>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3,767</w:t>
            </w:r>
          </w:p>
        </w:tc>
        <w:tc>
          <w:tcPr>
            <w:tcW w:w="100" w:type="dxa"/>
            <w:vAlign w:val="bottom"/>
            <w:shd w:val="clear" w:color="auto" w:fill="D2DCE5"/>
          </w:tcPr>
          <w:p>
            <w:pPr>
              <w:spacing w:after="0"/>
              <w:rPr>
                <w:sz w:val="21"/>
                <w:szCs w:val="21"/>
                <w:color w:val="auto"/>
              </w:rPr>
            </w:pPr>
          </w:p>
        </w:tc>
        <w:tc>
          <w:tcPr>
            <w:tcW w:w="16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80</w:t>
            </w:r>
          </w:p>
        </w:tc>
      </w:tr>
      <w:tr>
        <w:trPr>
          <w:trHeight w:val="233"/>
        </w:trPr>
        <w:tc>
          <w:tcPr>
            <w:tcW w:w="8100" w:type="dxa"/>
            <w:vAlign w:val="bottom"/>
            <w:gridSpan w:val="2"/>
          </w:tcPr>
          <w:p>
            <w:pPr>
              <w:ind w:left="20"/>
              <w:spacing w:after="0"/>
              <w:rPr>
                <w:sz w:val="20"/>
                <w:szCs w:val="20"/>
                <w:color w:val="auto"/>
              </w:rPr>
            </w:pPr>
            <w:r>
              <w:rPr>
                <w:rFonts w:ascii="Arial" w:cs="Arial" w:eastAsia="Arial" w:hAnsi="Arial"/>
                <w:sz w:val="16"/>
                <w:szCs w:val="16"/>
                <w:color w:val="131E29"/>
              </w:rPr>
              <w:t>Rent/CAMS</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131E29"/>
              </w:rPr>
              <w:t>1,398</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131E29"/>
              </w:rPr>
              <w:t>30</w:t>
            </w:r>
          </w:p>
        </w:tc>
      </w:tr>
      <w:tr>
        <w:trPr>
          <w:trHeight w:val="253"/>
        </w:trPr>
        <w:tc>
          <w:tcPr>
            <w:tcW w:w="81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New shop impact</w:t>
            </w:r>
          </w:p>
        </w:tc>
        <w:tc>
          <w:tcPr>
            <w:tcW w:w="380" w:type="dxa"/>
            <w:vAlign w:val="bottom"/>
            <w:shd w:val="clear" w:color="auto" w:fill="D2DCE5"/>
          </w:tcPr>
          <w:p>
            <w:pPr>
              <w:spacing w:after="0"/>
              <w:rPr>
                <w:sz w:val="21"/>
                <w:szCs w:val="21"/>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2,294</w:t>
            </w:r>
          </w:p>
        </w:tc>
        <w:tc>
          <w:tcPr>
            <w:tcW w:w="100" w:type="dxa"/>
            <w:vAlign w:val="bottom"/>
            <w:shd w:val="clear" w:color="auto" w:fill="D2DCE5"/>
          </w:tcPr>
          <w:p>
            <w:pPr>
              <w:spacing w:after="0"/>
              <w:rPr>
                <w:sz w:val="21"/>
                <w:szCs w:val="21"/>
                <w:color w:val="auto"/>
              </w:rPr>
            </w:pPr>
          </w:p>
        </w:tc>
        <w:tc>
          <w:tcPr>
            <w:tcW w:w="16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50</w:t>
            </w:r>
          </w:p>
        </w:tc>
      </w:tr>
      <w:tr>
        <w:trPr>
          <w:trHeight w:val="233"/>
        </w:trPr>
        <w:tc>
          <w:tcPr>
            <w:tcW w:w="8100" w:type="dxa"/>
            <w:vAlign w:val="bottom"/>
            <w:gridSpan w:val="2"/>
          </w:tcPr>
          <w:p>
            <w:pPr>
              <w:ind w:left="20"/>
              <w:spacing w:after="0"/>
              <w:rPr>
                <w:sz w:val="20"/>
                <w:szCs w:val="20"/>
                <w:color w:val="auto"/>
              </w:rPr>
            </w:pPr>
            <w:r>
              <w:rPr>
                <w:rFonts w:ascii="Arial" w:cs="Arial" w:eastAsia="Arial" w:hAnsi="Arial"/>
                <w:sz w:val="16"/>
                <w:szCs w:val="16"/>
                <w:color w:val="131E29"/>
              </w:rPr>
              <w:t>Volume</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131E29"/>
              </w:rPr>
              <w:t>201</w:t>
            </w:r>
          </w:p>
        </w:tc>
        <w:tc>
          <w:tcPr>
            <w:tcW w:w="100" w:type="dxa"/>
            <w:vAlign w:val="bottom"/>
          </w:tcPr>
          <w:p>
            <w:pPr>
              <w:spacing w:after="0"/>
              <w:rPr>
                <w:sz w:val="20"/>
                <w:szCs w:val="20"/>
                <w:color w:val="auto"/>
              </w:rPr>
            </w:pPr>
          </w:p>
        </w:tc>
        <w:tc>
          <w:tcPr>
            <w:tcW w:w="1600" w:type="dxa"/>
            <w:vAlign w:val="bottom"/>
          </w:tcPr>
          <w:p>
            <w:pPr>
              <w:jc w:val="center"/>
              <w:ind w:left="1218"/>
              <w:spacing w:after="0"/>
              <w:rPr>
                <w:sz w:val="20"/>
                <w:szCs w:val="20"/>
                <w:color w:val="auto"/>
              </w:rPr>
            </w:pPr>
            <w:r>
              <w:rPr>
                <w:rFonts w:ascii="Arial" w:cs="Arial" w:eastAsia="Arial" w:hAnsi="Arial"/>
                <w:sz w:val="16"/>
                <w:szCs w:val="16"/>
                <w:color w:val="131E29"/>
                <w:w w:val="97"/>
              </w:rPr>
              <w:t>N/A</w:t>
            </w:r>
          </w:p>
        </w:tc>
      </w:tr>
      <w:tr>
        <w:trPr>
          <w:trHeight w:val="253"/>
        </w:trPr>
        <w:tc>
          <w:tcPr>
            <w:tcW w:w="81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Cash tender reinstitution</w:t>
            </w:r>
          </w:p>
        </w:tc>
        <w:tc>
          <w:tcPr>
            <w:tcW w:w="380" w:type="dxa"/>
            <w:vAlign w:val="bottom"/>
            <w:shd w:val="clear" w:color="auto" w:fill="D2DCE5"/>
          </w:tcPr>
          <w:p>
            <w:pPr>
              <w:spacing w:after="0"/>
              <w:rPr>
                <w:sz w:val="21"/>
                <w:szCs w:val="21"/>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(2,351)</w:t>
            </w:r>
          </w:p>
        </w:tc>
        <w:tc>
          <w:tcPr>
            <w:tcW w:w="100" w:type="dxa"/>
            <w:vAlign w:val="bottom"/>
            <w:shd w:val="clear" w:color="auto" w:fill="D2DCE5"/>
          </w:tcPr>
          <w:p>
            <w:pPr>
              <w:spacing w:after="0"/>
              <w:rPr>
                <w:sz w:val="21"/>
                <w:szCs w:val="21"/>
                <w:color w:val="auto"/>
              </w:rPr>
            </w:pPr>
          </w:p>
        </w:tc>
        <w:tc>
          <w:tcPr>
            <w:tcW w:w="1600" w:type="dxa"/>
            <w:vAlign w:val="bottom"/>
            <w:shd w:val="clear" w:color="auto" w:fill="D2DCE5"/>
          </w:tcPr>
          <w:p>
            <w:pPr>
              <w:jc w:val="center"/>
              <w:ind w:left="1178"/>
              <w:spacing w:after="0"/>
              <w:rPr>
                <w:sz w:val="20"/>
                <w:szCs w:val="20"/>
                <w:color w:val="auto"/>
              </w:rPr>
            </w:pPr>
            <w:r>
              <w:rPr>
                <w:rFonts w:ascii="Arial" w:cs="Arial" w:eastAsia="Arial" w:hAnsi="Arial"/>
                <w:sz w:val="16"/>
                <w:szCs w:val="16"/>
                <w:color w:val="131E29"/>
              </w:rPr>
              <w:t>(50)</w:t>
            </w:r>
          </w:p>
        </w:tc>
      </w:tr>
      <w:tr>
        <w:trPr>
          <w:trHeight w:val="233"/>
        </w:trPr>
        <w:tc>
          <w:tcPr>
            <w:tcW w:w="8100" w:type="dxa"/>
            <w:vAlign w:val="bottom"/>
            <w:gridSpan w:val="2"/>
          </w:tcPr>
          <w:p>
            <w:pPr>
              <w:ind w:left="20"/>
              <w:spacing w:after="0"/>
              <w:rPr>
                <w:sz w:val="20"/>
                <w:szCs w:val="20"/>
                <w:color w:val="auto"/>
              </w:rPr>
            </w:pPr>
            <w:r>
              <w:rPr>
                <w:rFonts w:ascii="Arial" w:cs="Arial" w:eastAsia="Arial" w:hAnsi="Arial"/>
                <w:sz w:val="16"/>
                <w:szCs w:val="16"/>
                <w:color w:val="131E29"/>
              </w:rPr>
              <w:t>Leverage/deleverage</w:t>
            </w:r>
          </w:p>
        </w:tc>
        <w:tc>
          <w:tcPr>
            <w:tcW w:w="3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6"/>
                <w:szCs w:val="16"/>
                <w:color w:val="131E29"/>
              </w:rPr>
              <w:t>N/A</w:t>
            </w:r>
          </w:p>
        </w:tc>
        <w:tc>
          <w:tcPr>
            <w:tcW w:w="1600" w:type="dxa"/>
            <w:vAlign w:val="bottom"/>
          </w:tcPr>
          <w:p>
            <w:pPr>
              <w:jc w:val="right"/>
              <w:spacing w:after="0"/>
              <w:rPr>
                <w:sz w:val="20"/>
                <w:szCs w:val="20"/>
                <w:color w:val="auto"/>
              </w:rPr>
            </w:pPr>
            <w:r>
              <w:rPr>
                <w:rFonts w:ascii="Arial" w:cs="Arial" w:eastAsia="Arial" w:hAnsi="Arial"/>
                <w:sz w:val="16"/>
                <w:szCs w:val="16"/>
                <w:color w:val="131E29"/>
              </w:rPr>
              <w:t>50</w:t>
            </w:r>
          </w:p>
        </w:tc>
      </w:tr>
      <w:tr>
        <w:trPr>
          <w:trHeight w:val="253"/>
        </w:trPr>
        <w:tc>
          <w:tcPr>
            <w:tcW w:w="81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Pricing impacts</w:t>
            </w:r>
          </w:p>
        </w:tc>
        <w:tc>
          <w:tcPr>
            <w:tcW w:w="380" w:type="dxa"/>
            <w:vAlign w:val="bottom"/>
            <w:shd w:val="clear" w:color="auto" w:fill="D2DCE5"/>
          </w:tcPr>
          <w:p>
            <w:pPr>
              <w:spacing w:after="0"/>
              <w:rPr>
                <w:sz w:val="21"/>
                <w:szCs w:val="21"/>
                <w:color w:val="auto"/>
              </w:rPr>
            </w:pPr>
          </w:p>
        </w:tc>
        <w:tc>
          <w:tcPr>
            <w:tcW w:w="1160" w:type="dxa"/>
            <w:vAlign w:val="bottom"/>
            <w:gridSpan w:val="2"/>
            <w:shd w:val="clear" w:color="auto" w:fill="D2DCE5"/>
          </w:tcPr>
          <w:p>
            <w:pPr>
              <w:ind w:left="780"/>
              <w:spacing w:after="0"/>
              <w:rPr>
                <w:sz w:val="20"/>
                <w:szCs w:val="20"/>
                <w:color w:val="auto"/>
              </w:rPr>
            </w:pPr>
            <w:r>
              <w:rPr>
                <w:rFonts w:ascii="Arial" w:cs="Arial" w:eastAsia="Arial" w:hAnsi="Arial"/>
                <w:sz w:val="16"/>
                <w:szCs w:val="16"/>
                <w:color w:val="131E29"/>
              </w:rPr>
              <w:t>N/A</w:t>
            </w:r>
          </w:p>
        </w:tc>
        <w:tc>
          <w:tcPr>
            <w:tcW w:w="1600" w:type="dxa"/>
            <w:vAlign w:val="bottom"/>
            <w:shd w:val="clear" w:color="auto" w:fill="D2DCE5"/>
          </w:tcPr>
          <w:p>
            <w:pPr>
              <w:jc w:val="center"/>
              <w:ind w:left="1178"/>
              <w:spacing w:after="0"/>
              <w:rPr>
                <w:sz w:val="20"/>
                <w:szCs w:val="20"/>
                <w:color w:val="auto"/>
              </w:rPr>
            </w:pPr>
            <w:r>
              <w:rPr>
                <w:rFonts w:ascii="Arial" w:cs="Arial" w:eastAsia="Arial" w:hAnsi="Arial"/>
                <w:sz w:val="16"/>
                <w:szCs w:val="16"/>
                <w:color w:val="131E29"/>
              </w:rPr>
              <w:t>(90)</w:t>
            </w:r>
          </w:p>
        </w:tc>
      </w:tr>
      <w:tr>
        <w:trPr>
          <w:trHeight w:val="237"/>
        </w:trPr>
        <w:tc>
          <w:tcPr>
            <w:tcW w:w="8000" w:type="dxa"/>
            <w:vAlign w:val="bottom"/>
            <w:tcBorders>
              <w:bottom w:val="single" w:sz="8" w:color="131E29"/>
            </w:tcBorders>
          </w:tcPr>
          <w:p>
            <w:pPr>
              <w:ind w:left="20"/>
              <w:spacing w:after="0"/>
              <w:rPr>
                <w:sz w:val="20"/>
                <w:szCs w:val="20"/>
                <w:color w:val="auto"/>
              </w:rPr>
            </w:pPr>
            <w:r>
              <w:rPr>
                <w:rFonts w:ascii="Arial" w:cs="Arial" w:eastAsia="Arial" w:hAnsi="Arial"/>
                <w:sz w:val="16"/>
                <w:szCs w:val="16"/>
                <w:color w:val="131E29"/>
              </w:rPr>
              <w:t>Promotional discounts</w:t>
            </w:r>
          </w:p>
        </w:tc>
        <w:tc>
          <w:tcPr>
            <w:tcW w:w="100" w:type="dxa"/>
            <w:vAlign w:val="bottom"/>
            <w:tcBorders>
              <w:bottom w:val="single" w:sz="8" w:color="D2DCE5"/>
            </w:tcBorders>
          </w:tcPr>
          <w:p>
            <w:pPr>
              <w:spacing w:after="0"/>
              <w:rPr>
                <w:sz w:val="20"/>
                <w:szCs w:val="20"/>
                <w:color w:val="auto"/>
              </w:rPr>
            </w:pPr>
          </w:p>
        </w:tc>
        <w:tc>
          <w:tcPr>
            <w:tcW w:w="380" w:type="dxa"/>
            <w:vAlign w:val="bottom"/>
            <w:tcBorders>
              <w:bottom w:val="single" w:sz="8" w:color="131E29"/>
            </w:tcBorders>
          </w:tcPr>
          <w:p>
            <w:pPr>
              <w:spacing w:after="0"/>
              <w:rPr>
                <w:sz w:val="20"/>
                <w:szCs w:val="20"/>
                <w:color w:val="auto"/>
              </w:rPr>
            </w:pPr>
          </w:p>
        </w:tc>
        <w:tc>
          <w:tcPr>
            <w:tcW w:w="1060" w:type="dxa"/>
            <w:vAlign w:val="bottom"/>
            <w:tcBorders>
              <w:bottom w:val="single" w:sz="8" w:color="131E29"/>
            </w:tcBorders>
          </w:tcPr>
          <w:p>
            <w:pPr>
              <w:ind w:left="780"/>
              <w:spacing w:after="0"/>
              <w:rPr>
                <w:sz w:val="20"/>
                <w:szCs w:val="20"/>
                <w:color w:val="auto"/>
              </w:rPr>
            </w:pPr>
            <w:r>
              <w:rPr>
                <w:rFonts w:ascii="Arial" w:cs="Arial" w:eastAsia="Arial" w:hAnsi="Arial"/>
                <w:sz w:val="16"/>
                <w:szCs w:val="16"/>
                <w:color w:val="131E29"/>
                <w:w w:val="97"/>
              </w:rPr>
              <w:t>N/A</w:t>
            </w:r>
          </w:p>
        </w:tc>
        <w:tc>
          <w:tcPr>
            <w:tcW w:w="100" w:type="dxa"/>
            <w:vAlign w:val="bottom"/>
            <w:tcBorders>
              <w:bottom w:val="single" w:sz="8" w:color="D2DCE5"/>
            </w:tcBorders>
          </w:tcPr>
          <w:p>
            <w:pPr>
              <w:spacing w:after="0"/>
              <w:rPr>
                <w:sz w:val="20"/>
                <w:szCs w:val="20"/>
                <w:color w:val="auto"/>
              </w:rPr>
            </w:pPr>
          </w:p>
        </w:tc>
        <w:tc>
          <w:tcPr>
            <w:tcW w:w="1600" w:type="dxa"/>
            <w:vAlign w:val="bottom"/>
            <w:tcBorders>
              <w:bottom w:val="single" w:sz="8" w:color="131E29"/>
            </w:tcBorders>
          </w:tcPr>
          <w:p>
            <w:pPr>
              <w:jc w:val="right"/>
              <w:spacing w:after="0"/>
              <w:rPr>
                <w:sz w:val="20"/>
                <w:szCs w:val="20"/>
                <w:color w:val="auto"/>
              </w:rPr>
            </w:pPr>
            <w:r>
              <w:rPr>
                <w:rFonts w:ascii="Arial" w:cs="Arial" w:eastAsia="Arial" w:hAnsi="Arial"/>
                <w:sz w:val="16"/>
                <w:szCs w:val="16"/>
                <w:color w:val="131E29"/>
              </w:rPr>
              <w:t>10</w:t>
            </w:r>
          </w:p>
        </w:tc>
      </w:tr>
      <w:tr>
        <w:trPr>
          <w:trHeight w:val="236"/>
        </w:trPr>
        <w:tc>
          <w:tcPr>
            <w:tcW w:w="8000" w:type="dxa"/>
            <w:vAlign w:val="bottom"/>
            <w:tcBorders>
              <w:bottom w:val="single" w:sz="8" w:color="131E29"/>
            </w:tcBorders>
            <w:shd w:val="clear" w:color="auto" w:fill="D2DCE5"/>
          </w:tcPr>
          <w:p>
            <w:pPr>
              <w:ind w:left="140"/>
              <w:spacing w:after="0"/>
              <w:rPr>
                <w:sz w:val="20"/>
                <w:szCs w:val="20"/>
                <w:color w:val="auto"/>
              </w:rPr>
            </w:pPr>
            <w:r>
              <w:rPr>
                <w:rFonts w:ascii="Arial" w:cs="Arial" w:eastAsia="Arial" w:hAnsi="Arial"/>
                <w:sz w:val="16"/>
                <w:szCs w:val="16"/>
                <w:b w:val="1"/>
                <w:bCs w:val="1"/>
                <w:color w:val="131E29"/>
              </w:rPr>
              <w:t>Total change</w:t>
            </w:r>
          </w:p>
        </w:tc>
        <w:tc>
          <w:tcPr>
            <w:tcW w:w="100" w:type="dxa"/>
            <w:vAlign w:val="bottom"/>
            <w:shd w:val="clear" w:color="auto" w:fill="D2DCE5"/>
          </w:tcPr>
          <w:p>
            <w:pPr>
              <w:spacing w:after="0"/>
              <w:rPr>
                <w:sz w:val="20"/>
                <w:szCs w:val="20"/>
                <w:color w:val="auto"/>
              </w:rPr>
            </w:pPr>
          </w:p>
        </w:tc>
        <w:tc>
          <w:tcPr>
            <w:tcW w:w="380" w:type="dxa"/>
            <w:vAlign w:val="bottom"/>
            <w:tcBorders>
              <w:bottom w:val="single" w:sz="8" w:color="131E29"/>
            </w:tcBorders>
            <w:shd w:val="clear" w:color="auto" w:fill="D2DCE5"/>
          </w:tcPr>
          <w:p>
            <w:pPr>
              <w:jc w:val="right"/>
              <w:ind w:right="199"/>
              <w:spacing w:after="0"/>
              <w:rPr>
                <w:sz w:val="20"/>
                <w:szCs w:val="20"/>
                <w:color w:val="auto"/>
              </w:rPr>
            </w:pPr>
            <w:r>
              <w:rPr>
                <w:rFonts w:ascii="Arial" w:cs="Arial" w:eastAsia="Arial" w:hAnsi="Arial"/>
                <w:sz w:val="16"/>
                <w:szCs w:val="16"/>
                <w:b w:val="1"/>
                <w:bCs w:val="1"/>
                <w:color w:val="131E29"/>
                <w:w w:val="89"/>
              </w:rPr>
              <w:t>$</w:t>
            </w:r>
          </w:p>
        </w:tc>
        <w:tc>
          <w:tcPr>
            <w:tcW w:w="106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6"/>
                <w:szCs w:val="16"/>
                <w:b w:val="1"/>
                <w:bCs w:val="1"/>
                <w:color w:val="131E29"/>
              </w:rPr>
              <w:t>35,657</w:t>
            </w:r>
          </w:p>
        </w:tc>
        <w:tc>
          <w:tcPr>
            <w:tcW w:w="100" w:type="dxa"/>
            <w:vAlign w:val="bottom"/>
            <w:shd w:val="clear" w:color="auto" w:fill="D2DCE5"/>
          </w:tcPr>
          <w:p>
            <w:pPr>
              <w:spacing w:after="0"/>
              <w:rPr>
                <w:sz w:val="20"/>
                <w:szCs w:val="20"/>
                <w:color w:val="auto"/>
              </w:rPr>
            </w:pPr>
          </w:p>
        </w:tc>
        <w:tc>
          <w:tcPr>
            <w:tcW w:w="160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6"/>
                <w:szCs w:val="16"/>
                <w:b w:val="1"/>
                <w:bCs w:val="1"/>
                <w:color w:val="131E29"/>
              </w:rPr>
              <w:t>210</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20" w:type="dxa"/>
            <w:vAlign w:val="bottom"/>
            <w:gridSpan w:val="2"/>
          </w:tcPr>
          <w:p>
            <w:pPr>
              <w:spacing w:after="0"/>
              <w:rPr>
                <w:sz w:val="20"/>
                <w:szCs w:val="20"/>
                <w:color w:val="auto"/>
              </w:rPr>
            </w:pPr>
            <w:r>
              <w:rPr>
                <w:rFonts w:ascii="Arial" w:cs="Arial" w:eastAsia="Arial" w:hAnsi="Arial"/>
                <w:sz w:val="18"/>
                <w:szCs w:val="18"/>
                <w:b w:val="1"/>
                <w:bCs w:val="1"/>
                <w:i w:val="1"/>
                <w:iCs w:val="1"/>
                <w:color w:val="006098"/>
              </w:rPr>
              <w:t>Pre-opening Costs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9"/>
          </w:tcPr>
          <w:p>
            <w:pPr>
              <w:ind w:left="700"/>
              <w:spacing w:after="0"/>
              <w:rPr>
                <w:sz w:val="20"/>
                <w:szCs w:val="20"/>
                <w:color w:val="auto"/>
              </w:rPr>
            </w:pPr>
            <w:r>
              <w:rPr>
                <w:rFonts w:ascii="Arial" w:cs="Arial" w:eastAsia="Arial" w:hAnsi="Arial"/>
                <w:sz w:val="18"/>
                <w:szCs w:val="18"/>
                <w:b w:val="1"/>
                <w:bCs w:val="1"/>
                <w:color w:val="131E29"/>
              </w:rPr>
              <w:t>Three Months Ended September 30,</w:t>
            </w:r>
          </w:p>
        </w:tc>
        <w:tc>
          <w:tcPr>
            <w:tcW w:w="4340" w:type="dxa"/>
            <w:vAlign w:val="bottom"/>
            <w:gridSpan w:val="8"/>
          </w:tcPr>
          <w:p>
            <w:pPr>
              <w:jc w:val="center"/>
              <w:spacing w:after="0"/>
              <w:rPr>
                <w:sz w:val="20"/>
                <w:szCs w:val="20"/>
                <w:color w:val="auto"/>
              </w:rPr>
            </w:pPr>
            <w:r>
              <w:rPr>
                <w:rFonts w:ascii="Arial" w:cs="Arial" w:eastAsia="Arial" w:hAnsi="Arial"/>
                <w:sz w:val="18"/>
                <w:szCs w:val="18"/>
                <w:b w:val="1"/>
                <w:bCs w:val="1"/>
                <w:color w:val="131E29"/>
                <w:w w:val="99"/>
              </w:rPr>
              <w:t>Nine Months Ended September 30,</w:t>
            </w:r>
          </w:p>
        </w:tc>
        <w:tc>
          <w:tcPr>
            <w:tcW w:w="0" w:type="dxa"/>
            <w:vAlign w:val="bottom"/>
          </w:tcPr>
          <w:p>
            <w:pPr>
              <w:spacing w:after="0"/>
              <w:rPr>
                <w:sz w:val="1"/>
                <w:szCs w:val="1"/>
                <w:color w:val="auto"/>
              </w:rPr>
            </w:pPr>
          </w:p>
        </w:tc>
      </w:tr>
      <w:tr>
        <w:trPr>
          <w:trHeight w:val="27"/>
        </w:trPr>
        <w:tc>
          <w:tcPr>
            <w:tcW w:w="2320" w:type="dxa"/>
            <w:vAlign w:val="bottom"/>
            <w:gridSpan w:val="2"/>
            <w:vMerge w:val="restart"/>
          </w:tcPr>
          <w:p>
            <w:pPr>
              <w:ind w:left="20"/>
              <w:spacing w:after="0"/>
              <w:rPr>
                <w:sz w:val="20"/>
                <w:szCs w:val="20"/>
                <w:color w:val="auto"/>
              </w:rPr>
            </w:pPr>
            <w:r>
              <w:rPr>
                <w:rFonts w:ascii="Arial" w:cs="Arial" w:eastAsia="Arial" w:hAnsi="Arial"/>
                <w:sz w:val="14"/>
                <w:szCs w:val="14"/>
                <w:color w:val="131E29"/>
              </w:rPr>
              <w:t>(in thousands, except shop data;</w:t>
            </w: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320" w:type="dxa"/>
            <w:vAlign w:val="bottom"/>
            <w:gridSpan w:val="2"/>
            <w:vMerge w:val="continue"/>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131E29"/>
                <w:w w:val="99"/>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131E29"/>
                <w:w w:val="99"/>
              </w:rPr>
              <w:t>2021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20" w:type="dxa"/>
            <w:vAlign w:val="bottom"/>
            <w:gridSpan w:val="3"/>
            <w:vMerge w:val="restart"/>
          </w:tcPr>
          <w:p>
            <w:pPr>
              <w:ind w:left="420"/>
              <w:spacing w:after="0"/>
              <w:rPr>
                <w:sz w:val="20"/>
                <w:szCs w:val="20"/>
                <w:color w:val="auto"/>
              </w:rPr>
            </w:pPr>
            <w:r>
              <w:rPr>
                <w:rFonts w:ascii="Arial" w:cs="Arial" w:eastAsia="Arial" w:hAnsi="Arial"/>
                <w:sz w:val="18"/>
                <w:szCs w:val="18"/>
                <w:b w:val="1"/>
                <w:bCs w:val="1"/>
                <w:color w:val="131E29"/>
              </w:rPr>
              <w:t>2022 v. 2021</w:t>
            </w: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131E29"/>
                <w:w w:val="99"/>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131E29"/>
                <w:w w:val="99"/>
              </w:rPr>
              <w:t>2021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2"/>
            <w:vMerge w:val="restart"/>
          </w:tcPr>
          <w:p>
            <w:pPr>
              <w:jc w:val="right"/>
              <w:ind w:right="510"/>
              <w:spacing w:after="0"/>
              <w:rPr>
                <w:sz w:val="20"/>
                <w:szCs w:val="20"/>
                <w:color w:val="auto"/>
              </w:rPr>
            </w:pPr>
            <w:r>
              <w:rPr>
                <w:rFonts w:ascii="Arial" w:cs="Arial" w:eastAsia="Arial" w:hAnsi="Arial"/>
                <w:sz w:val="18"/>
                <w:szCs w:val="18"/>
                <w:b w:val="1"/>
                <w:bCs w:val="1"/>
                <w:color w:val="131E29"/>
              </w:rPr>
              <w:t>2022 v. 2021</w:t>
            </w:r>
          </w:p>
        </w:tc>
        <w:tc>
          <w:tcPr>
            <w:tcW w:w="0" w:type="dxa"/>
            <w:vAlign w:val="bottom"/>
          </w:tcPr>
          <w:p>
            <w:pPr>
              <w:spacing w:after="0"/>
              <w:rPr>
                <w:sz w:val="1"/>
                <w:szCs w:val="1"/>
                <w:color w:val="auto"/>
              </w:rPr>
            </w:pPr>
          </w:p>
        </w:tc>
      </w:tr>
      <w:tr>
        <w:trPr>
          <w:trHeight w:val="184"/>
        </w:trPr>
        <w:tc>
          <w:tcPr>
            <w:tcW w:w="2320" w:type="dxa"/>
            <w:vAlign w:val="bottom"/>
            <w:gridSpan w:val="2"/>
          </w:tcPr>
          <w:p>
            <w:pPr>
              <w:ind w:left="20"/>
              <w:spacing w:after="0"/>
              <w:rPr>
                <w:sz w:val="20"/>
                <w:szCs w:val="20"/>
                <w:color w:val="auto"/>
              </w:rPr>
            </w:pPr>
            <w:r>
              <w:rPr>
                <w:rFonts w:ascii="Arial" w:cs="Arial" w:eastAsia="Arial" w:hAnsi="Arial"/>
                <w:sz w:val="14"/>
                <w:szCs w:val="14"/>
                <w:color w:val="131E29"/>
              </w:rPr>
              <w:t>unaudited)</w:t>
            </w: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3"/>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00" w:type="dxa"/>
            <w:vAlign w:val="bottom"/>
            <w:tcBorders>
              <w:bottom w:val="single" w:sz="8" w:color="131E29"/>
            </w:tcBorders>
          </w:tcPr>
          <w:p>
            <w:pPr>
              <w:spacing w:after="0"/>
              <w:rPr>
                <w:sz w:val="2"/>
                <w:szCs w:val="2"/>
                <w:color w:val="auto"/>
              </w:rPr>
            </w:pPr>
          </w:p>
        </w:tc>
        <w:tc>
          <w:tcPr>
            <w:tcW w:w="78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940" w:type="dxa"/>
            <w:vAlign w:val="bottom"/>
            <w:tcBorders>
              <w:bottom w:val="single" w:sz="8" w:color="131E29"/>
            </w:tcBorders>
          </w:tcPr>
          <w:p>
            <w:pPr>
              <w:spacing w:after="0"/>
              <w:rPr>
                <w:sz w:val="2"/>
                <w:szCs w:val="2"/>
                <w:color w:val="auto"/>
              </w:rPr>
            </w:pPr>
          </w:p>
        </w:tc>
        <w:tc>
          <w:tcPr>
            <w:tcW w:w="118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80" w:type="dxa"/>
            <w:vAlign w:val="bottom"/>
            <w:tcBorders>
              <w:bottom w:val="single" w:sz="8" w:color="131E29"/>
            </w:tcBorders>
          </w:tcPr>
          <w:p>
            <w:pPr>
              <w:spacing w:after="0"/>
              <w:rPr>
                <w:sz w:val="2"/>
                <w:szCs w:val="2"/>
                <w:color w:val="auto"/>
              </w:rPr>
            </w:pPr>
          </w:p>
        </w:tc>
        <w:tc>
          <w:tcPr>
            <w:tcW w:w="76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800" w:type="dxa"/>
            <w:vAlign w:val="bottom"/>
            <w:tcBorders>
              <w:bottom w:val="single" w:sz="8" w:color="131E29"/>
            </w:tcBorders>
          </w:tcPr>
          <w:p>
            <w:pPr>
              <w:spacing w:after="0"/>
              <w:rPr>
                <w:sz w:val="2"/>
                <w:szCs w:val="2"/>
                <w:color w:val="auto"/>
              </w:rPr>
            </w:pPr>
          </w:p>
        </w:tc>
        <w:tc>
          <w:tcPr>
            <w:tcW w:w="122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32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Pre-opening costs</w:t>
            </w:r>
          </w:p>
        </w:tc>
        <w:tc>
          <w:tcPr>
            <w:tcW w:w="96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131E29"/>
              </w:rPr>
              <w:t>$   4,548</w:t>
            </w:r>
          </w:p>
        </w:tc>
        <w:tc>
          <w:tcPr>
            <w:tcW w:w="100" w:type="dxa"/>
            <w:vAlign w:val="bottom"/>
            <w:shd w:val="clear" w:color="auto" w:fill="D2DCE5"/>
          </w:tcPr>
          <w:p>
            <w:pPr>
              <w:spacing w:after="0"/>
              <w:rPr>
                <w:sz w:val="22"/>
                <w:szCs w:val="22"/>
                <w:color w:val="auto"/>
              </w:rPr>
            </w:pPr>
          </w:p>
        </w:tc>
        <w:tc>
          <w:tcPr>
            <w:tcW w:w="200" w:type="dxa"/>
            <w:vAlign w:val="bottom"/>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7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3,062</w:t>
            </w:r>
          </w:p>
        </w:tc>
        <w:tc>
          <w:tcPr>
            <w:tcW w:w="80" w:type="dxa"/>
            <w:vAlign w:val="bottom"/>
            <w:shd w:val="clear" w:color="auto" w:fill="D2DCE5"/>
          </w:tcPr>
          <w:p>
            <w:pPr>
              <w:spacing w:after="0"/>
              <w:rPr>
                <w:sz w:val="22"/>
                <w:szCs w:val="22"/>
                <w:color w:val="auto"/>
              </w:rPr>
            </w:pPr>
          </w:p>
        </w:tc>
        <w:tc>
          <w:tcPr>
            <w:tcW w:w="24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940" w:type="dxa"/>
            <w:vAlign w:val="bottom"/>
            <w:shd w:val="clear" w:color="auto" w:fill="D2DCE5"/>
          </w:tcPr>
          <w:p>
            <w:pPr>
              <w:jc w:val="right"/>
              <w:ind w:right="190"/>
              <w:spacing w:after="0"/>
              <w:rPr>
                <w:sz w:val="20"/>
                <w:szCs w:val="20"/>
                <w:color w:val="auto"/>
              </w:rPr>
            </w:pPr>
            <w:r>
              <w:rPr>
                <w:rFonts w:ascii="Arial" w:cs="Arial" w:eastAsia="Arial" w:hAnsi="Arial"/>
                <w:sz w:val="18"/>
                <w:szCs w:val="18"/>
                <w:color w:val="131E29"/>
              </w:rPr>
              <w:t>1,486</w:t>
            </w:r>
          </w:p>
        </w:tc>
        <w:tc>
          <w:tcPr>
            <w:tcW w:w="1180" w:type="dxa"/>
            <w:vAlign w:val="bottom"/>
            <w:shd w:val="clear" w:color="auto" w:fill="D2DCE5"/>
          </w:tcPr>
          <w:p>
            <w:pPr>
              <w:jc w:val="right"/>
              <w:ind w:right="290"/>
              <w:spacing w:after="0"/>
              <w:rPr>
                <w:sz w:val="20"/>
                <w:szCs w:val="20"/>
                <w:color w:val="auto"/>
              </w:rPr>
            </w:pPr>
            <w:r>
              <w:rPr>
                <w:rFonts w:ascii="Arial" w:cs="Arial" w:eastAsia="Arial" w:hAnsi="Arial"/>
                <w:sz w:val="18"/>
                <w:szCs w:val="18"/>
                <w:color w:val="131E29"/>
              </w:rPr>
              <w:t>48.5%</w:t>
            </w:r>
          </w:p>
        </w:tc>
        <w:tc>
          <w:tcPr>
            <w:tcW w:w="100" w:type="dxa"/>
            <w:vAlign w:val="bottom"/>
            <w:shd w:val="clear" w:color="auto" w:fill="D2DCE5"/>
          </w:tcPr>
          <w:p>
            <w:pPr>
              <w:spacing w:after="0"/>
              <w:rPr>
                <w:sz w:val="22"/>
                <w:szCs w:val="22"/>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   14,148</w:t>
            </w:r>
          </w:p>
        </w:tc>
        <w:tc>
          <w:tcPr>
            <w:tcW w:w="100" w:type="dxa"/>
            <w:vAlign w:val="bottom"/>
            <w:shd w:val="clear" w:color="auto" w:fill="D2DCE5"/>
          </w:tcPr>
          <w:p>
            <w:pPr>
              <w:spacing w:after="0"/>
              <w:rPr>
                <w:sz w:val="22"/>
                <w:szCs w:val="22"/>
                <w:color w:val="auto"/>
              </w:rPr>
            </w:pPr>
          </w:p>
        </w:tc>
        <w:tc>
          <w:tcPr>
            <w:tcW w:w="180" w:type="dxa"/>
            <w:vAlign w:val="bottom"/>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7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6,626</w:t>
            </w:r>
          </w:p>
        </w:tc>
        <w:tc>
          <w:tcPr>
            <w:tcW w:w="80" w:type="dxa"/>
            <w:vAlign w:val="bottom"/>
            <w:shd w:val="clear" w:color="auto" w:fill="D2DCE5"/>
          </w:tcPr>
          <w:p>
            <w:pPr>
              <w:spacing w:after="0"/>
              <w:rPr>
                <w:sz w:val="22"/>
                <w:szCs w:val="22"/>
                <w:color w:val="auto"/>
              </w:rPr>
            </w:pPr>
          </w:p>
        </w:tc>
        <w:tc>
          <w:tcPr>
            <w:tcW w:w="24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800" w:type="dxa"/>
            <w:vAlign w:val="bottom"/>
            <w:shd w:val="clear" w:color="auto" w:fill="D2DCE5"/>
          </w:tcPr>
          <w:p>
            <w:pPr>
              <w:jc w:val="right"/>
              <w:ind w:right="50"/>
              <w:spacing w:after="0"/>
              <w:rPr>
                <w:sz w:val="20"/>
                <w:szCs w:val="20"/>
                <w:color w:val="auto"/>
              </w:rPr>
            </w:pPr>
            <w:r>
              <w:rPr>
                <w:rFonts w:ascii="Arial" w:cs="Arial" w:eastAsia="Arial" w:hAnsi="Arial"/>
                <w:sz w:val="18"/>
                <w:szCs w:val="18"/>
                <w:color w:val="131E29"/>
              </w:rPr>
              <w:t>7,522</w:t>
            </w:r>
          </w:p>
        </w:tc>
        <w:tc>
          <w:tcPr>
            <w:tcW w:w="1220" w:type="dxa"/>
            <w:vAlign w:val="bottom"/>
            <w:shd w:val="clear" w:color="auto" w:fill="D2DCE5"/>
          </w:tcPr>
          <w:p>
            <w:pPr>
              <w:jc w:val="right"/>
              <w:ind w:right="190"/>
              <w:spacing w:after="0"/>
              <w:rPr>
                <w:sz w:val="20"/>
                <w:szCs w:val="20"/>
                <w:color w:val="auto"/>
              </w:rPr>
            </w:pPr>
            <w:r>
              <w:rPr>
                <w:rFonts w:ascii="Arial" w:cs="Arial" w:eastAsia="Arial" w:hAnsi="Arial"/>
                <w:sz w:val="18"/>
                <w:szCs w:val="18"/>
                <w:color w:val="131E29"/>
              </w:rPr>
              <w:t>113.5%</w:t>
            </w:r>
          </w:p>
        </w:tc>
        <w:tc>
          <w:tcPr>
            <w:tcW w:w="0" w:type="dxa"/>
            <w:vAlign w:val="bottom"/>
          </w:tcPr>
          <w:p>
            <w:pPr>
              <w:spacing w:after="0"/>
              <w:rPr>
                <w:sz w:val="1"/>
                <w:szCs w:val="1"/>
                <w:color w:val="auto"/>
              </w:rPr>
            </w:pPr>
          </w:p>
        </w:tc>
      </w:tr>
      <w:tr>
        <w:trPr>
          <w:trHeight w:val="260"/>
        </w:trPr>
        <w:tc>
          <w:tcPr>
            <w:tcW w:w="232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revenue</w:t>
            </w:r>
          </w:p>
        </w:tc>
        <w:tc>
          <w:tcPr>
            <w:tcW w:w="960" w:type="dxa"/>
            <w:vAlign w:val="bottom"/>
          </w:tcPr>
          <w:p>
            <w:pPr>
              <w:jc w:val="center"/>
              <w:spacing w:after="0"/>
              <w:rPr>
                <w:sz w:val="20"/>
                <w:szCs w:val="20"/>
                <w:color w:val="auto"/>
              </w:rPr>
            </w:pPr>
            <w:r>
              <w:rPr>
                <w:rFonts w:ascii="Arial" w:cs="Arial" w:eastAsia="Arial" w:hAnsi="Arial"/>
                <w:sz w:val="18"/>
                <w:szCs w:val="18"/>
                <w:color w:val="131E29"/>
                <w:w w:val="97"/>
              </w:rPr>
              <w:t>2.6%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center"/>
              <w:ind w:right="110"/>
              <w:spacing w:after="0"/>
              <w:rPr>
                <w:sz w:val="20"/>
                <w:szCs w:val="20"/>
                <w:color w:val="auto"/>
              </w:rPr>
            </w:pPr>
            <w:r>
              <w:rPr>
                <w:rFonts w:ascii="Arial" w:cs="Arial" w:eastAsia="Arial" w:hAnsi="Arial"/>
                <w:sz w:val="18"/>
                <w:szCs w:val="18"/>
                <w:color w:val="131E29"/>
              </w:rPr>
              <w:t>2.8%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color w:val="131E29"/>
              </w:rPr>
              <w:t>N/A</w:t>
            </w:r>
          </w:p>
        </w:tc>
        <w:tc>
          <w:tcPr>
            <w:tcW w:w="1280" w:type="dxa"/>
            <w:vAlign w:val="bottom"/>
            <w:gridSpan w:val="2"/>
          </w:tcPr>
          <w:p>
            <w:pPr>
              <w:ind w:left="540"/>
              <w:spacing w:after="0"/>
              <w:rPr>
                <w:sz w:val="20"/>
                <w:szCs w:val="20"/>
                <w:color w:val="auto"/>
              </w:rPr>
            </w:pPr>
            <w:r>
              <w:rPr>
                <w:rFonts w:ascii="Arial" w:cs="Arial" w:eastAsia="Arial" w:hAnsi="Arial"/>
                <w:sz w:val="18"/>
                <w:szCs w:val="18"/>
                <w:color w:val="131E29"/>
              </w:rPr>
              <w:t>(20)bps</w:t>
            </w:r>
          </w:p>
        </w:tc>
        <w:tc>
          <w:tcPr>
            <w:tcW w:w="960" w:type="dxa"/>
            <w:vAlign w:val="bottom"/>
          </w:tcPr>
          <w:p>
            <w:pPr>
              <w:jc w:val="center"/>
              <w:spacing w:after="0"/>
              <w:rPr>
                <w:sz w:val="20"/>
                <w:szCs w:val="20"/>
                <w:color w:val="auto"/>
              </w:rPr>
            </w:pPr>
            <w:r>
              <w:rPr>
                <w:rFonts w:ascii="Arial" w:cs="Arial" w:eastAsia="Arial" w:hAnsi="Arial"/>
                <w:sz w:val="18"/>
                <w:szCs w:val="18"/>
                <w:color w:val="131E29"/>
                <w:w w:val="97"/>
              </w:rPr>
              <w:t>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131E29"/>
              </w:rPr>
              <w:t>2.3%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131E29"/>
              </w:rPr>
              <w:t>N/A</w:t>
            </w:r>
          </w:p>
        </w:tc>
        <w:tc>
          <w:tcPr>
            <w:tcW w:w="1220" w:type="dxa"/>
            <w:vAlign w:val="bottom"/>
          </w:tcPr>
          <w:p>
            <w:pPr>
              <w:jc w:val="right"/>
              <w:ind w:right="430"/>
              <w:spacing w:after="0"/>
              <w:rPr>
                <w:sz w:val="20"/>
                <w:szCs w:val="20"/>
                <w:color w:val="auto"/>
              </w:rPr>
            </w:pPr>
            <w:r>
              <w:rPr>
                <w:rFonts w:ascii="Arial" w:cs="Arial" w:eastAsia="Arial" w:hAnsi="Arial"/>
                <w:sz w:val="18"/>
                <w:szCs w:val="18"/>
                <w:color w:val="131E29"/>
              </w:rPr>
              <w:t>70 bps</w:t>
            </w:r>
          </w:p>
        </w:tc>
        <w:tc>
          <w:tcPr>
            <w:tcW w:w="0" w:type="dxa"/>
            <w:vAlign w:val="bottom"/>
          </w:tcPr>
          <w:p>
            <w:pPr>
              <w:spacing w:after="0"/>
              <w:rPr>
                <w:sz w:val="1"/>
                <w:szCs w:val="1"/>
                <w:color w:val="auto"/>
              </w:rPr>
            </w:pPr>
          </w:p>
        </w:tc>
      </w:tr>
      <w:tr>
        <w:trPr>
          <w:trHeight w:val="228"/>
        </w:trPr>
        <w:tc>
          <w:tcPr>
            <w:tcW w:w="232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New company-operated</w:t>
            </w:r>
          </w:p>
        </w:tc>
        <w:tc>
          <w:tcPr>
            <w:tcW w:w="960" w:type="dxa"/>
            <w:vAlign w:val="bottom"/>
            <w:vMerge w:val="restart"/>
            <w:shd w:val="clear" w:color="auto" w:fill="D2DCE5"/>
          </w:tcPr>
          <w:p>
            <w:pPr>
              <w:jc w:val="center"/>
              <w:spacing w:after="0"/>
              <w:rPr>
                <w:sz w:val="20"/>
                <w:szCs w:val="20"/>
                <w:color w:val="auto"/>
              </w:rPr>
            </w:pPr>
            <w:r>
              <w:rPr>
                <w:rFonts w:ascii="Arial" w:cs="Arial" w:eastAsia="Arial" w:hAnsi="Arial"/>
                <w:sz w:val="18"/>
                <w:szCs w:val="18"/>
                <w:color w:val="131E29"/>
                <w:w w:val="99"/>
              </w:rPr>
              <w:t>34</w:t>
            </w:r>
          </w:p>
        </w:tc>
        <w:tc>
          <w:tcPr>
            <w:tcW w:w="10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780" w:type="dxa"/>
            <w:vAlign w:val="bottom"/>
            <w:vMerge w:val="restart"/>
            <w:shd w:val="clear" w:color="auto" w:fill="D2DCE5"/>
          </w:tcPr>
          <w:p>
            <w:pPr>
              <w:jc w:val="center"/>
              <w:ind w:right="130"/>
              <w:spacing w:after="0"/>
              <w:rPr>
                <w:sz w:val="20"/>
                <w:szCs w:val="20"/>
                <w:color w:val="auto"/>
              </w:rPr>
            </w:pPr>
            <w:r>
              <w:rPr>
                <w:rFonts w:ascii="Arial" w:cs="Arial" w:eastAsia="Arial" w:hAnsi="Arial"/>
                <w:sz w:val="18"/>
                <w:szCs w:val="18"/>
                <w:color w:val="131E29"/>
                <w:w w:val="99"/>
              </w:rPr>
              <w:t>30</w:t>
            </w:r>
          </w:p>
        </w:tc>
        <w:tc>
          <w:tcPr>
            <w:tcW w:w="8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940" w:type="dxa"/>
            <w:vAlign w:val="bottom"/>
            <w:vMerge w:val="restart"/>
            <w:shd w:val="clear" w:color="auto" w:fill="D2DCE5"/>
          </w:tcPr>
          <w:p>
            <w:pPr>
              <w:jc w:val="right"/>
              <w:ind w:right="550"/>
              <w:spacing w:after="0"/>
              <w:rPr>
                <w:sz w:val="20"/>
                <w:szCs w:val="20"/>
                <w:color w:val="auto"/>
              </w:rPr>
            </w:pPr>
            <w:r>
              <w:rPr>
                <w:rFonts w:ascii="Arial" w:cs="Arial" w:eastAsia="Arial" w:hAnsi="Arial"/>
                <w:sz w:val="18"/>
                <w:szCs w:val="18"/>
                <w:color w:val="131E29"/>
              </w:rPr>
              <w:t>4</w:t>
            </w:r>
          </w:p>
        </w:tc>
        <w:tc>
          <w:tcPr>
            <w:tcW w:w="1180" w:type="dxa"/>
            <w:vAlign w:val="bottom"/>
            <w:vMerge w:val="restart"/>
            <w:shd w:val="clear" w:color="auto" w:fill="D2DCE5"/>
          </w:tcPr>
          <w:p>
            <w:pPr>
              <w:jc w:val="right"/>
              <w:ind w:right="290"/>
              <w:spacing w:after="0"/>
              <w:rPr>
                <w:sz w:val="20"/>
                <w:szCs w:val="20"/>
                <w:color w:val="auto"/>
              </w:rPr>
            </w:pPr>
            <w:r>
              <w:rPr>
                <w:rFonts w:ascii="Arial" w:cs="Arial" w:eastAsia="Arial" w:hAnsi="Arial"/>
                <w:sz w:val="18"/>
                <w:szCs w:val="18"/>
                <w:color w:val="131E29"/>
              </w:rPr>
              <w:t>13.3%</w:t>
            </w:r>
          </w:p>
        </w:tc>
        <w:tc>
          <w:tcPr>
            <w:tcW w:w="100" w:type="dxa"/>
            <w:vAlign w:val="bottom"/>
            <w:shd w:val="clear" w:color="auto" w:fill="D2DCE5"/>
          </w:tcPr>
          <w:p>
            <w:pPr>
              <w:spacing w:after="0"/>
              <w:rPr>
                <w:sz w:val="19"/>
                <w:szCs w:val="19"/>
                <w:color w:val="auto"/>
              </w:rPr>
            </w:pPr>
          </w:p>
        </w:tc>
        <w:tc>
          <w:tcPr>
            <w:tcW w:w="960" w:type="dxa"/>
            <w:vAlign w:val="bottom"/>
            <w:vMerge w:val="restart"/>
            <w:shd w:val="clear" w:color="auto" w:fill="D2DCE5"/>
          </w:tcPr>
          <w:p>
            <w:pPr>
              <w:jc w:val="center"/>
              <w:spacing w:after="0"/>
              <w:rPr>
                <w:sz w:val="20"/>
                <w:szCs w:val="20"/>
                <w:color w:val="auto"/>
              </w:rPr>
            </w:pPr>
            <w:r>
              <w:rPr>
                <w:rFonts w:ascii="Arial" w:cs="Arial" w:eastAsia="Arial" w:hAnsi="Arial"/>
                <w:sz w:val="18"/>
                <w:szCs w:val="18"/>
                <w:color w:val="131E29"/>
                <w:w w:val="99"/>
              </w:rPr>
              <w:t>94</w:t>
            </w:r>
          </w:p>
        </w:tc>
        <w:tc>
          <w:tcPr>
            <w:tcW w:w="10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760" w:type="dxa"/>
            <w:vAlign w:val="bottom"/>
            <w:vMerge w:val="restart"/>
            <w:shd w:val="clear" w:color="auto" w:fill="D2DCE5"/>
          </w:tcPr>
          <w:p>
            <w:pPr>
              <w:jc w:val="center"/>
              <w:ind w:right="110"/>
              <w:spacing w:after="0"/>
              <w:rPr>
                <w:sz w:val="20"/>
                <w:szCs w:val="20"/>
                <w:color w:val="auto"/>
              </w:rPr>
            </w:pPr>
            <w:r>
              <w:rPr>
                <w:rFonts w:ascii="Arial" w:cs="Arial" w:eastAsia="Arial" w:hAnsi="Arial"/>
                <w:sz w:val="18"/>
                <w:szCs w:val="18"/>
                <w:color w:val="131E29"/>
                <w:w w:val="99"/>
              </w:rPr>
              <w:t>52</w:t>
            </w:r>
          </w:p>
        </w:tc>
        <w:tc>
          <w:tcPr>
            <w:tcW w:w="8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800" w:type="dxa"/>
            <w:vAlign w:val="bottom"/>
            <w:vMerge w:val="restart"/>
            <w:shd w:val="clear" w:color="auto" w:fill="D2DCE5"/>
          </w:tcPr>
          <w:p>
            <w:pPr>
              <w:jc w:val="right"/>
              <w:ind w:right="350"/>
              <w:spacing w:after="0"/>
              <w:rPr>
                <w:sz w:val="20"/>
                <w:szCs w:val="20"/>
                <w:color w:val="auto"/>
              </w:rPr>
            </w:pPr>
            <w:r>
              <w:rPr>
                <w:rFonts w:ascii="Arial" w:cs="Arial" w:eastAsia="Arial" w:hAnsi="Arial"/>
                <w:sz w:val="18"/>
                <w:szCs w:val="18"/>
                <w:color w:val="131E29"/>
              </w:rPr>
              <w:t>42</w:t>
            </w:r>
          </w:p>
        </w:tc>
        <w:tc>
          <w:tcPr>
            <w:tcW w:w="12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80.8 %</w:t>
            </w:r>
          </w:p>
        </w:tc>
        <w:tc>
          <w:tcPr>
            <w:tcW w:w="0" w:type="dxa"/>
            <w:vAlign w:val="bottom"/>
          </w:tcPr>
          <w:p>
            <w:pPr>
              <w:spacing w:after="0"/>
              <w:rPr>
                <w:sz w:val="1"/>
                <w:szCs w:val="1"/>
                <w:color w:val="auto"/>
              </w:rPr>
            </w:pPr>
          </w:p>
        </w:tc>
      </w:tr>
      <w:tr>
        <w:trPr>
          <w:trHeight w:val="208"/>
        </w:trPr>
        <w:tc>
          <w:tcPr>
            <w:tcW w:w="23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6"/>
                <w:szCs w:val="16"/>
                <w:color w:val="131E29"/>
              </w:rPr>
              <w:t>shops opened</w:t>
            </w:r>
          </w:p>
        </w:tc>
        <w:tc>
          <w:tcPr>
            <w:tcW w:w="960" w:type="dxa"/>
            <w:vAlign w:val="bottom"/>
            <w:tcBorders>
              <w:bottom w:val="single" w:sz="8" w:color="D2DCE5"/>
            </w:tcBorders>
            <w:vMerge w:val="continue"/>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200" w:type="dxa"/>
            <w:vAlign w:val="bottom"/>
            <w:tcBorders>
              <w:bottom w:val="single" w:sz="8" w:color="D2DCE5"/>
            </w:tcBorders>
            <w:shd w:val="clear" w:color="auto" w:fill="D2DCE5"/>
          </w:tcPr>
          <w:p>
            <w:pPr>
              <w:spacing w:after="0"/>
              <w:rPr>
                <w:sz w:val="18"/>
                <w:szCs w:val="18"/>
                <w:color w:val="auto"/>
              </w:rPr>
            </w:pPr>
          </w:p>
        </w:tc>
        <w:tc>
          <w:tcPr>
            <w:tcW w:w="780" w:type="dxa"/>
            <w:vAlign w:val="bottom"/>
            <w:tcBorders>
              <w:bottom w:val="single" w:sz="8" w:color="D2DCE5"/>
            </w:tcBorders>
            <w:vMerge w:val="continue"/>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240" w:type="dxa"/>
            <w:vAlign w:val="bottom"/>
            <w:tcBorders>
              <w:bottom w:val="single" w:sz="8" w:color="D2DCE5"/>
            </w:tcBorders>
            <w:shd w:val="clear" w:color="auto" w:fill="D2DCE5"/>
          </w:tcPr>
          <w:p>
            <w:pPr>
              <w:spacing w:after="0"/>
              <w:rPr>
                <w:sz w:val="18"/>
                <w:szCs w:val="18"/>
                <w:color w:val="auto"/>
              </w:rPr>
            </w:pPr>
          </w:p>
        </w:tc>
        <w:tc>
          <w:tcPr>
            <w:tcW w:w="940" w:type="dxa"/>
            <w:vAlign w:val="bottom"/>
            <w:tcBorders>
              <w:bottom w:val="single" w:sz="8" w:color="D2DCE5"/>
            </w:tcBorders>
            <w:vMerge w:val="continue"/>
            <w:shd w:val="clear" w:color="auto" w:fill="D2DCE5"/>
          </w:tcPr>
          <w:p>
            <w:pPr>
              <w:spacing w:after="0"/>
              <w:rPr>
                <w:sz w:val="18"/>
                <w:szCs w:val="18"/>
                <w:color w:val="auto"/>
              </w:rPr>
            </w:pPr>
          </w:p>
        </w:tc>
        <w:tc>
          <w:tcPr>
            <w:tcW w:w="1180" w:type="dxa"/>
            <w:vAlign w:val="bottom"/>
            <w:tcBorders>
              <w:bottom w:val="single" w:sz="8" w:color="D2DCE5"/>
            </w:tcBorders>
            <w:vMerge w:val="continue"/>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960" w:type="dxa"/>
            <w:vAlign w:val="bottom"/>
            <w:tcBorders>
              <w:bottom w:val="single" w:sz="8" w:color="D2DCE5"/>
            </w:tcBorders>
            <w:vMerge w:val="continue"/>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180" w:type="dxa"/>
            <w:vAlign w:val="bottom"/>
            <w:tcBorders>
              <w:bottom w:val="single" w:sz="8" w:color="D2DCE5"/>
            </w:tcBorders>
            <w:shd w:val="clear" w:color="auto" w:fill="D2DCE5"/>
          </w:tcPr>
          <w:p>
            <w:pPr>
              <w:spacing w:after="0"/>
              <w:rPr>
                <w:sz w:val="18"/>
                <w:szCs w:val="18"/>
                <w:color w:val="auto"/>
              </w:rPr>
            </w:pPr>
          </w:p>
        </w:tc>
        <w:tc>
          <w:tcPr>
            <w:tcW w:w="760" w:type="dxa"/>
            <w:vAlign w:val="bottom"/>
            <w:tcBorders>
              <w:bottom w:val="single" w:sz="8" w:color="D2DCE5"/>
            </w:tcBorders>
            <w:vMerge w:val="continue"/>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240" w:type="dxa"/>
            <w:vAlign w:val="bottom"/>
            <w:tcBorders>
              <w:bottom w:val="single" w:sz="8" w:color="D2DCE5"/>
            </w:tcBorders>
            <w:shd w:val="clear" w:color="auto" w:fill="D2DCE5"/>
          </w:tcPr>
          <w:p>
            <w:pPr>
              <w:spacing w:after="0"/>
              <w:rPr>
                <w:sz w:val="18"/>
                <w:szCs w:val="18"/>
                <w:color w:val="auto"/>
              </w:rPr>
            </w:pPr>
          </w:p>
        </w:tc>
        <w:tc>
          <w:tcPr>
            <w:tcW w:w="800" w:type="dxa"/>
            <w:vAlign w:val="bottom"/>
            <w:tcBorders>
              <w:bottom w:val="single" w:sz="8" w:color="D2DCE5"/>
            </w:tcBorders>
            <w:vMerge w:val="continue"/>
            <w:shd w:val="clear" w:color="auto" w:fill="D2DCE5"/>
          </w:tcPr>
          <w:p>
            <w:pPr>
              <w:spacing w:after="0"/>
              <w:rPr>
                <w:sz w:val="18"/>
                <w:szCs w:val="18"/>
                <w:color w:val="auto"/>
              </w:rPr>
            </w:pPr>
          </w:p>
        </w:tc>
        <w:tc>
          <w:tcPr>
            <w:tcW w:w="1220" w:type="dxa"/>
            <w:vAlign w:val="bottom"/>
            <w:tcBorders>
              <w:bottom w:val="single" w:sz="8" w:color="D2DCE5"/>
            </w:tcBorders>
            <w:vMerge w:val="continue"/>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320" w:type="dxa"/>
            <w:vAlign w:val="bottom"/>
            <w:gridSpan w:val="2"/>
          </w:tcPr>
          <w:p>
            <w:pPr>
              <w:ind w:left="20"/>
              <w:spacing w:after="0"/>
              <w:rPr>
                <w:sz w:val="20"/>
                <w:szCs w:val="20"/>
                <w:color w:val="auto"/>
              </w:rPr>
            </w:pPr>
            <w:r>
              <w:rPr>
                <w:rFonts w:ascii="Arial" w:cs="Arial" w:eastAsia="Arial" w:hAnsi="Arial"/>
                <w:sz w:val="16"/>
                <w:szCs w:val="16"/>
                <w:color w:val="131E29"/>
              </w:rPr>
              <w:t>Pre-opening costs per new</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131E29"/>
                <w:w w:val="99"/>
              </w:rPr>
              <w:t>$134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restart"/>
          </w:tcPr>
          <w:p>
            <w:pPr>
              <w:jc w:val="center"/>
              <w:ind w:right="130"/>
              <w:spacing w:after="0"/>
              <w:rPr>
                <w:sz w:val="20"/>
                <w:szCs w:val="20"/>
                <w:color w:val="auto"/>
              </w:rPr>
            </w:pPr>
            <w:r>
              <w:rPr>
                <w:rFonts w:ascii="Arial" w:cs="Arial" w:eastAsia="Arial" w:hAnsi="Arial"/>
                <w:sz w:val="18"/>
                <w:szCs w:val="18"/>
                <w:color w:val="131E29"/>
                <w:w w:val="99"/>
              </w:rPr>
              <w:t>$102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restart"/>
          </w:tcPr>
          <w:p>
            <w:pPr>
              <w:jc w:val="right"/>
              <w:ind w:right="450"/>
              <w:spacing w:after="0"/>
              <w:rPr>
                <w:sz w:val="20"/>
                <w:szCs w:val="20"/>
                <w:color w:val="auto"/>
              </w:rPr>
            </w:pPr>
            <w:r>
              <w:rPr>
                <w:rFonts w:ascii="Arial" w:cs="Arial" w:eastAsia="Arial" w:hAnsi="Arial"/>
                <w:sz w:val="18"/>
                <w:szCs w:val="18"/>
                <w:color w:val="131E29"/>
              </w:rPr>
              <w:t>$32</w:t>
            </w:r>
          </w:p>
        </w:tc>
        <w:tc>
          <w:tcPr>
            <w:tcW w:w="1180" w:type="dxa"/>
            <w:vAlign w:val="bottom"/>
            <w:vMerge w:val="restart"/>
          </w:tcPr>
          <w:p>
            <w:pPr>
              <w:jc w:val="right"/>
              <w:ind w:right="290"/>
              <w:spacing w:after="0"/>
              <w:rPr>
                <w:sz w:val="20"/>
                <w:szCs w:val="20"/>
                <w:color w:val="auto"/>
              </w:rPr>
            </w:pPr>
            <w:r>
              <w:rPr>
                <w:rFonts w:ascii="Arial" w:cs="Arial" w:eastAsia="Arial" w:hAnsi="Arial"/>
                <w:sz w:val="18"/>
                <w:szCs w:val="18"/>
                <w:color w:val="131E29"/>
              </w:rPr>
              <w:t>31.4%</w:t>
            </w:r>
          </w:p>
        </w:tc>
        <w:tc>
          <w:tcPr>
            <w:tcW w:w="100" w:type="dxa"/>
            <w:vAlign w:val="bottom"/>
          </w:tcPr>
          <w:p>
            <w:pPr>
              <w:spacing w:after="0"/>
              <w:rPr>
                <w:sz w:val="18"/>
                <w:szCs w:val="18"/>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131E29"/>
                <w:w w:val="99"/>
              </w:rPr>
              <w:t>$151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restart"/>
          </w:tcPr>
          <w:p>
            <w:pPr>
              <w:jc w:val="center"/>
              <w:ind w:right="110"/>
              <w:spacing w:after="0"/>
              <w:rPr>
                <w:sz w:val="20"/>
                <w:szCs w:val="20"/>
                <w:color w:val="auto"/>
              </w:rPr>
            </w:pPr>
            <w:r>
              <w:rPr>
                <w:rFonts w:ascii="Arial" w:cs="Arial" w:eastAsia="Arial" w:hAnsi="Arial"/>
                <w:sz w:val="18"/>
                <w:szCs w:val="18"/>
                <w:color w:val="131E29"/>
                <w:w w:val="99"/>
              </w:rPr>
              <w:t>$127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restart"/>
          </w:tcPr>
          <w:p>
            <w:pPr>
              <w:jc w:val="right"/>
              <w:ind w:right="310"/>
              <w:spacing w:after="0"/>
              <w:rPr>
                <w:sz w:val="20"/>
                <w:szCs w:val="20"/>
                <w:color w:val="auto"/>
              </w:rPr>
            </w:pPr>
            <w:r>
              <w:rPr>
                <w:rFonts w:ascii="Arial" w:cs="Arial" w:eastAsia="Arial" w:hAnsi="Arial"/>
                <w:sz w:val="18"/>
                <w:szCs w:val="18"/>
                <w:color w:val="131E29"/>
              </w:rPr>
              <w:t>$24</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131E29"/>
              </w:rPr>
              <w:t>18.9 %</w:t>
            </w:r>
          </w:p>
        </w:tc>
        <w:tc>
          <w:tcPr>
            <w:tcW w:w="0" w:type="dxa"/>
            <w:vAlign w:val="bottom"/>
          </w:tcPr>
          <w:p>
            <w:pPr>
              <w:spacing w:after="0"/>
              <w:rPr>
                <w:sz w:val="1"/>
                <w:szCs w:val="1"/>
                <w:color w:val="auto"/>
              </w:rPr>
            </w:pPr>
          </w:p>
        </w:tc>
      </w:tr>
      <w:tr>
        <w:trPr>
          <w:trHeight w:val="201"/>
        </w:trPr>
        <w:tc>
          <w:tcPr>
            <w:tcW w:w="2320" w:type="dxa"/>
            <w:vAlign w:val="bottom"/>
            <w:gridSpan w:val="2"/>
          </w:tcPr>
          <w:p>
            <w:pPr>
              <w:ind w:left="20"/>
              <w:spacing w:after="0"/>
              <w:rPr>
                <w:sz w:val="20"/>
                <w:szCs w:val="20"/>
                <w:color w:val="auto"/>
              </w:rPr>
            </w:pPr>
            <w:r>
              <w:rPr>
                <w:rFonts w:ascii="Arial" w:cs="Arial" w:eastAsia="Arial" w:hAnsi="Arial"/>
                <w:sz w:val="16"/>
                <w:szCs w:val="16"/>
                <w:color w:val="131E29"/>
              </w:rPr>
              <w:t>company-operated shop</w:t>
            </w: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September 30, 2022 v 2021</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increase in pre-opening costs was primarily driven by opening 4 more company-operated shops in the three months ended September 30, 2022 as compared to the same period in 2021, while also realizing cost and operational efficiencies.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Nine Months Ended September 30, 2022 v 2021</w:t>
      </w:r>
    </w:p>
    <w:p>
      <w:pPr>
        <w:spacing w:after="0" w:line="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131E29"/>
        </w:rPr>
        <w:t>The increase in pre-opening costs was primarily driven by opening 42 more company-operated shops in the nine months ended September 30, 2022 as compared to the same period in 2021, while also realizing cost and operational efficiencies.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20" w:type="dxa"/>
            <w:vAlign w:val="bottom"/>
            <w:gridSpan w:val="5"/>
          </w:tcPr>
          <w:p>
            <w:pPr>
              <w:spacing w:after="0"/>
              <w:rPr>
                <w:sz w:val="20"/>
                <w:szCs w:val="20"/>
                <w:color w:val="auto"/>
              </w:rPr>
            </w:pPr>
            <w:r>
              <w:rPr>
                <w:rFonts w:ascii="Arial" w:cs="Arial" w:eastAsia="Arial" w:hAnsi="Arial"/>
                <w:sz w:val="18"/>
                <w:szCs w:val="18"/>
                <w:b w:val="1"/>
                <w:bCs w:val="1"/>
                <w:i w:val="1"/>
                <w:iCs w:val="1"/>
                <w:color w:val="006098"/>
              </w:rPr>
              <w:t>Depreciation and Amortization</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0" w:type="dxa"/>
            <w:vAlign w:val="bottom"/>
            <w:gridSpan w:val="9"/>
          </w:tcPr>
          <w:p>
            <w:pPr>
              <w:ind w:left="600"/>
              <w:spacing w:after="0"/>
              <w:rPr>
                <w:sz w:val="20"/>
                <w:szCs w:val="20"/>
                <w:color w:val="auto"/>
              </w:rPr>
            </w:pPr>
            <w:r>
              <w:rPr>
                <w:rFonts w:ascii="Arial" w:cs="Arial" w:eastAsia="Arial" w:hAnsi="Arial"/>
                <w:sz w:val="18"/>
                <w:szCs w:val="18"/>
                <w:b w:val="1"/>
                <w:bCs w:val="1"/>
                <w:color w:val="131E29"/>
              </w:rPr>
              <w:t>Three Months Ended September 30,</w:t>
            </w:r>
          </w:p>
        </w:tc>
        <w:tc>
          <w:tcPr>
            <w:tcW w:w="4340" w:type="dxa"/>
            <w:vAlign w:val="bottom"/>
            <w:gridSpan w:val="8"/>
          </w:tcPr>
          <w:p>
            <w:pPr>
              <w:jc w:val="right"/>
              <w:ind w:right="590"/>
              <w:spacing w:after="0"/>
              <w:rPr>
                <w:sz w:val="20"/>
                <w:szCs w:val="20"/>
                <w:color w:val="auto"/>
              </w:rPr>
            </w:pPr>
            <w:r>
              <w:rPr>
                <w:rFonts w:ascii="Arial" w:cs="Arial" w:eastAsia="Arial" w:hAnsi="Arial"/>
                <w:sz w:val="18"/>
                <w:szCs w:val="18"/>
                <w:b w:val="1"/>
                <w:bCs w:val="1"/>
                <w:color w:val="131E29"/>
              </w:rPr>
              <w:t>Nine Months Ended September 30,</w:t>
            </w:r>
          </w:p>
        </w:tc>
        <w:tc>
          <w:tcPr>
            <w:tcW w:w="0" w:type="dxa"/>
            <w:vAlign w:val="bottom"/>
          </w:tcPr>
          <w:p>
            <w:pPr>
              <w:spacing w:after="0"/>
              <w:rPr>
                <w:sz w:val="1"/>
                <w:szCs w:val="1"/>
                <w:color w:val="auto"/>
              </w:rPr>
            </w:pPr>
          </w:p>
        </w:tc>
      </w:tr>
      <w:tr>
        <w:trPr>
          <w:trHeight w:val="27"/>
        </w:trPr>
        <w:tc>
          <w:tcPr>
            <w:tcW w:w="20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04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26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131E29"/>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3"/>
          </w:tcPr>
          <w:p>
            <w:pPr>
              <w:ind w:left="420"/>
              <w:spacing w:after="0"/>
              <w:rPr>
                <w:sz w:val="20"/>
                <w:szCs w:val="20"/>
                <w:color w:val="auto"/>
              </w:rPr>
            </w:pPr>
            <w:r>
              <w:rPr>
                <w:rFonts w:ascii="Arial" w:cs="Arial" w:eastAsia="Arial" w:hAnsi="Arial"/>
                <w:sz w:val="18"/>
                <w:szCs w:val="18"/>
                <w:b w:val="1"/>
                <w:bCs w:val="1"/>
                <w:color w:val="131E29"/>
              </w:rPr>
              <w:t>2022 v. 2021</w:t>
            </w: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131E29"/>
              </w:rPr>
              <w:t>2021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131E29"/>
              </w:rPr>
              <w:t>2022 v. 2021</w:t>
            </w:r>
          </w:p>
        </w:tc>
        <w:tc>
          <w:tcPr>
            <w:tcW w:w="0" w:type="dxa"/>
            <w:vAlign w:val="bottom"/>
          </w:tcPr>
          <w:p>
            <w:pPr>
              <w:spacing w:after="0"/>
              <w:rPr>
                <w:sz w:val="1"/>
                <w:szCs w:val="1"/>
                <w:color w:val="auto"/>
              </w:rPr>
            </w:pPr>
          </w:p>
        </w:tc>
      </w:tr>
      <w:tr>
        <w:trPr>
          <w:trHeight w:val="26"/>
        </w:trPr>
        <w:tc>
          <w:tcPr>
            <w:tcW w:w="19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82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60" w:type="dxa"/>
            <w:vAlign w:val="bottom"/>
            <w:tcBorders>
              <w:bottom w:val="single" w:sz="8" w:color="131E29"/>
            </w:tcBorders>
          </w:tcPr>
          <w:p>
            <w:pPr>
              <w:spacing w:after="0"/>
              <w:rPr>
                <w:sz w:val="2"/>
                <w:szCs w:val="2"/>
                <w:color w:val="auto"/>
              </w:rPr>
            </w:pPr>
          </w:p>
        </w:tc>
        <w:tc>
          <w:tcPr>
            <w:tcW w:w="940" w:type="dxa"/>
            <w:vAlign w:val="bottom"/>
            <w:tcBorders>
              <w:bottom w:val="single" w:sz="8" w:color="131E29"/>
            </w:tcBorders>
          </w:tcPr>
          <w:p>
            <w:pPr>
              <w:spacing w:after="0"/>
              <w:rPr>
                <w:sz w:val="2"/>
                <w:szCs w:val="2"/>
                <w:color w:val="auto"/>
              </w:rPr>
            </w:pPr>
          </w:p>
        </w:tc>
        <w:tc>
          <w:tcPr>
            <w:tcW w:w="118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04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0" w:type="dxa"/>
            <w:vAlign w:val="bottom"/>
            <w:tcBorders>
              <w:bottom w:val="single" w:sz="8" w:color="131E29"/>
            </w:tcBorders>
          </w:tcPr>
          <w:p>
            <w:pPr>
              <w:spacing w:after="0"/>
              <w:rPr>
                <w:sz w:val="2"/>
                <w:szCs w:val="2"/>
                <w:color w:val="auto"/>
              </w:rPr>
            </w:pPr>
          </w:p>
        </w:tc>
        <w:tc>
          <w:tcPr>
            <w:tcW w:w="76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880" w:type="dxa"/>
            <w:vAlign w:val="bottom"/>
            <w:tcBorders>
              <w:bottom w:val="single" w:sz="8" w:color="131E29"/>
            </w:tcBorders>
          </w:tcPr>
          <w:p>
            <w:pPr>
              <w:spacing w:after="0"/>
              <w:rPr>
                <w:sz w:val="2"/>
                <w:szCs w:val="2"/>
                <w:color w:val="auto"/>
              </w:rPr>
            </w:pPr>
          </w:p>
        </w:tc>
        <w:tc>
          <w:tcPr>
            <w:tcW w:w="106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Depreciation and</w:t>
            </w:r>
          </w:p>
        </w:tc>
        <w:tc>
          <w:tcPr>
            <w:tcW w:w="260" w:type="dxa"/>
            <w:vAlign w:val="bottom"/>
            <w:vMerge w:val="restart"/>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940" w:type="dxa"/>
            <w:vAlign w:val="bottom"/>
            <w:vMerge w:val="restart"/>
            <w:shd w:val="clear" w:color="auto" w:fill="D2DCE5"/>
          </w:tcPr>
          <w:p>
            <w:pPr>
              <w:jc w:val="right"/>
              <w:ind w:right="50"/>
              <w:spacing w:after="0"/>
              <w:rPr>
                <w:sz w:val="20"/>
                <w:szCs w:val="20"/>
                <w:color w:val="auto"/>
              </w:rPr>
            </w:pPr>
            <w:r>
              <w:rPr>
                <w:rFonts w:ascii="Arial" w:cs="Arial" w:eastAsia="Arial" w:hAnsi="Arial"/>
                <w:sz w:val="18"/>
                <w:szCs w:val="18"/>
                <w:color w:val="131E29"/>
              </w:rPr>
              <w:t>9,624</w:t>
            </w:r>
          </w:p>
        </w:tc>
        <w:tc>
          <w:tcPr>
            <w:tcW w:w="80" w:type="dxa"/>
            <w:vAlign w:val="bottom"/>
            <w:shd w:val="clear" w:color="auto" w:fill="D2DCE5"/>
          </w:tcPr>
          <w:p>
            <w:pPr>
              <w:spacing w:after="0"/>
              <w:rPr>
                <w:sz w:val="17"/>
                <w:szCs w:val="17"/>
                <w:color w:val="auto"/>
              </w:rPr>
            </w:pPr>
          </w:p>
        </w:tc>
        <w:tc>
          <w:tcPr>
            <w:tcW w:w="220" w:type="dxa"/>
            <w:vAlign w:val="bottom"/>
            <w:vMerge w:val="restart"/>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8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4,294</w:t>
            </w:r>
          </w:p>
        </w:tc>
        <w:tc>
          <w:tcPr>
            <w:tcW w:w="80" w:type="dxa"/>
            <w:vAlign w:val="bottom"/>
            <w:shd w:val="clear" w:color="auto" w:fill="D2DCE5"/>
          </w:tcPr>
          <w:p>
            <w:pPr>
              <w:spacing w:after="0"/>
              <w:rPr>
                <w:sz w:val="17"/>
                <w:szCs w:val="17"/>
                <w:color w:val="auto"/>
              </w:rPr>
            </w:pPr>
          </w:p>
        </w:tc>
        <w:tc>
          <w:tcPr>
            <w:tcW w:w="260" w:type="dxa"/>
            <w:vAlign w:val="bottom"/>
            <w:vMerge w:val="restart"/>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940" w:type="dxa"/>
            <w:vAlign w:val="bottom"/>
            <w:vMerge w:val="restart"/>
            <w:shd w:val="clear" w:color="auto" w:fill="D2DCE5"/>
          </w:tcPr>
          <w:p>
            <w:pPr>
              <w:jc w:val="right"/>
              <w:ind w:right="150"/>
              <w:spacing w:after="0"/>
              <w:rPr>
                <w:sz w:val="20"/>
                <w:szCs w:val="20"/>
                <w:color w:val="auto"/>
              </w:rPr>
            </w:pPr>
            <w:r>
              <w:rPr>
                <w:rFonts w:ascii="Arial" w:cs="Arial" w:eastAsia="Arial" w:hAnsi="Arial"/>
                <w:sz w:val="18"/>
                <w:szCs w:val="18"/>
                <w:color w:val="131E29"/>
              </w:rPr>
              <w:t>5,330</w:t>
            </w:r>
          </w:p>
        </w:tc>
        <w:tc>
          <w:tcPr>
            <w:tcW w:w="1180" w:type="dxa"/>
            <w:vAlign w:val="bottom"/>
            <w:vMerge w:val="restart"/>
            <w:shd w:val="clear" w:color="auto" w:fill="D2DCE5"/>
          </w:tcPr>
          <w:p>
            <w:pPr>
              <w:jc w:val="right"/>
              <w:ind w:right="230"/>
              <w:spacing w:after="0"/>
              <w:rPr>
                <w:sz w:val="20"/>
                <w:szCs w:val="20"/>
                <w:color w:val="auto"/>
              </w:rPr>
            </w:pPr>
            <w:r>
              <w:rPr>
                <w:rFonts w:ascii="Arial" w:cs="Arial" w:eastAsia="Arial" w:hAnsi="Arial"/>
                <w:sz w:val="18"/>
                <w:szCs w:val="18"/>
                <w:color w:val="131E29"/>
              </w:rPr>
              <w:t>124.1%</w:t>
            </w:r>
          </w:p>
        </w:tc>
        <w:tc>
          <w:tcPr>
            <w:tcW w:w="80" w:type="dxa"/>
            <w:vAlign w:val="bottom"/>
            <w:shd w:val="clear" w:color="auto" w:fill="D2DCE5"/>
          </w:tcPr>
          <w:p>
            <w:pPr>
              <w:spacing w:after="0"/>
              <w:rPr>
                <w:sz w:val="17"/>
                <w:szCs w:val="17"/>
                <w:color w:val="auto"/>
              </w:rPr>
            </w:pP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   25,071</w:t>
            </w:r>
          </w:p>
        </w:tc>
        <w:tc>
          <w:tcPr>
            <w:tcW w:w="80" w:type="dxa"/>
            <w:vAlign w:val="bottom"/>
            <w:shd w:val="clear" w:color="auto" w:fill="D2DCE5"/>
          </w:tcPr>
          <w:p>
            <w:pPr>
              <w:spacing w:after="0"/>
              <w:rPr>
                <w:sz w:val="17"/>
                <w:szCs w:val="17"/>
                <w:color w:val="auto"/>
              </w:rPr>
            </w:pPr>
          </w:p>
        </w:tc>
        <w:tc>
          <w:tcPr>
            <w:tcW w:w="2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7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11,038</w:t>
            </w:r>
          </w:p>
        </w:tc>
        <w:tc>
          <w:tcPr>
            <w:tcW w:w="80" w:type="dxa"/>
            <w:vAlign w:val="bottom"/>
            <w:shd w:val="clear" w:color="auto" w:fill="D2DCE5"/>
          </w:tcPr>
          <w:p>
            <w:pPr>
              <w:spacing w:after="0"/>
              <w:rPr>
                <w:sz w:val="17"/>
                <w:szCs w:val="17"/>
                <w:color w:val="auto"/>
              </w:rPr>
            </w:pPr>
          </w:p>
        </w:tc>
        <w:tc>
          <w:tcPr>
            <w:tcW w:w="24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880" w:type="dxa"/>
            <w:vAlign w:val="bottom"/>
            <w:vMerge w:val="restart"/>
            <w:shd w:val="clear" w:color="auto" w:fill="D2DCE5"/>
          </w:tcPr>
          <w:p>
            <w:pPr>
              <w:ind w:left="120"/>
              <w:spacing w:after="0"/>
              <w:rPr>
                <w:sz w:val="20"/>
                <w:szCs w:val="20"/>
                <w:color w:val="auto"/>
              </w:rPr>
            </w:pPr>
            <w:r>
              <w:rPr>
                <w:rFonts w:ascii="Arial" w:cs="Arial" w:eastAsia="Arial" w:hAnsi="Arial"/>
                <w:sz w:val="18"/>
                <w:szCs w:val="18"/>
                <w:color w:val="131E29"/>
              </w:rPr>
              <w:t>14,033</w:t>
            </w:r>
          </w:p>
        </w:tc>
        <w:tc>
          <w:tcPr>
            <w:tcW w:w="1060" w:type="dxa"/>
            <w:vAlign w:val="bottom"/>
            <w:vMerge w:val="restart"/>
            <w:shd w:val="clear" w:color="auto" w:fill="D2DCE5"/>
          </w:tcPr>
          <w:p>
            <w:pPr>
              <w:jc w:val="right"/>
              <w:ind w:right="150"/>
              <w:spacing w:after="0"/>
              <w:rPr>
                <w:sz w:val="20"/>
                <w:szCs w:val="20"/>
                <w:color w:val="auto"/>
              </w:rPr>
            </w:pPr>
            <w:r>
              <w:rPr>
                <w:rFonts w:ascii="Arial" w:cs="Arial" w:eastAsia="Arial" w:hAnsi="Arial"/>
                <w:sz w:val="18"/>
                <w:szCs w:val="18"/>
                <w:color w:val="131E29"/>
              </w:rPr>
              <w:t>127.1%</w:t>
            </w:r>
          </w:p>
        </w:tc>
        <w:tc>
          <w:tcPr>
            <w:tcW w:w="0" w:type="dxa"/>
            <w:vAlign w:val="bottom"/>
          </w:tcPr>
          <w:p>
            <w:pPr>
              <w:spacing w:after="0"/>
              <w:rPr>
                <w:sz w:val="1"/>
                <w:szCs w:val="1"/>
                <w:color w:val="auto"/>
              </w:rPr>
            </w:pPr>
          </w:p>
        </w:tc>
      </w:tr>
      <w:tr>
        <w:trPr>
          <w:trHeight w:val="181"/>
        </w:trPr>
        <w:tc>
          <w:tcPr>
            <w:tcW w:w="20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amortization</w:t>
            </w:r>
          </w:p>
        </w:tc>
        <w:tc>
          <w:tcPr>
            <w:tcW w:w="260" w:type="dxa"/>
            <w:vAlign w:val="bottom"/>
            <w:tcBorders>
              <w:bottom w:val="single" w:sz="8" w:color="D2DCE5"/>
            </w:tcBorders>
            <w:vMerge w:val="continue"/>
            <w:shd w:val="clear" w:color="auto" w:fill="D2DCE5"/>
          </w:tcPr>
          <w:p>
            <w:pPr>
              <w:spacing w:after="0"/>
              <w:rPr>
                <w:sz w:val="15"/>
                <w:szCs w:val="15"/>
                <w:color w:val="auto"/>
              </w:rPr>
            </w:pPr>
          </w:p>
        </w:tc>
        <w:tc>
          <w:tcPr>
            <w:tcW w:w="940" w:type="dxa"/>
            <w:vAlign w:val="bottom"/>
            <w:tcBorders>
              <w:bottom w:val="single" w:sz="8" w:color="D2DCE5"/>
            </w:tcBorders>
            <w:vMerge w:val="continue"/>
            <w:shd w:val="clear" w:color="auto" w:fill="D2DCE5"/>
          </w:tcPr>
          <w:p>
            <w:pPr>
              <w:spacing w:after="0"/>
              <w:rPr>
                <w:sz w:val="15"/>
                <w:szCs w:val="15"/>
                <w:color w:val="auto"/>
              </w:rPr>
            </w:pPr>
          </w:p>
        </w:tc>
        <w:tc>
          <w:tcPr>
            <w:tcW w:w="80" w:type="dxa"/>
            <w:vAlign w:val="bottom"/>
            <w:tcBorders>
              <w:bottom w:val="single" w:sz="8" w:color="D2DCE5"/>
            </w:tcBorders>
            <w:shd w:val="clear" w:color="auto" w:fill="D2DCE5"/>
          </w:tcPr>
          <w:p>
            <w:pPr>
              <w:spacing w:after="0"/>
              <w:rPr>
                <w:sz w:val="15"/>
                <w:szCs w:val="15"/>
                <w:color w:val="auto"/>
              </w:rPr>
            </w:pPr>
          </w:p>
        </w:tc>
        <w:tc>
          <w:tcPr>
            <w:tcW w:w="220" w:type="dxa"/>
            <w:vAlign w:val="bottom"/>
            <w:tcBorders>
              <w:bottom w:val="single" w:sz="8" w:color="D2DCE5"/>
            </w:tcBorders>
            <w:vMerge w:val="continue"/>
            <w:shd w:val="clear" w:color="auto" w:fill="D2DCE5"/>
          </w:tcPr>
          <w:p>
            <w:pPr>
              <w:spacing w:after="0"/>
              <w:rPr>
                <w:sz w:val="15"/>
                <w:szCs w:val="15"/>
                <w:color w:val="auto"/>
              </w:rPr>
            </w:pPr>
          </w:p>
        </w:tc>
        <w:tc>
          <w:tcPr>
            <w:tcW w:w="820" w:type="dxa"/>
            <w:vAlign w:val="bottom"/>
            <w:tcBorders>
              <w:bottom w:val="single" w:sz="8" w:color="D2DCE5"/>
            </w:tcBorders>
            <w:vMerge w:val="continue"/>
            <w:shd w:val="clear" w:color="auto" w:fill="D2DCE5"/>
          </w:tcPr>
          <w:p>
            <w:pPr>
              <w:spacing w:after="0"/>
              <w:rPr>
                <w:sz w:val="15"/>
                <w:szCs w:val="15"/>
                <w:color w:val="auto"/>
              </w:rPr>
            </w:pPr>
          </w:p>
        </w:tc>
        <w:tc>
          <w:tcPr>
            <w:tcW w:w="80" w:type="dxa"/>
            <w:vAlign w:val="bottom"/>
            <w:tcBorders>
              <w:bottom w:val="single" w:sz="8" w:color="D2DCE5"/>
            </w:tcBorders>
            <w:shd w:val="clear" w:color="auto" w:fill="D2DCE5"/>
          </w:tcPr>
          <w:p>
            <w:pPr>
              <w:spacing w:after="0"/>
              <w:rPr>
                <w:sz w:val="15"/>
                <w:szCs w:val="15"/>
                <w:color w:val="auto"/>
              </w:rPr>
            </w:pPr>
          </w:p>
        </w:tc>
        <w:tc>
          <w:tcPr>
            <w:tcW w:w="260" w:type="dxa"/>
            <w:vAlign w:val="bottom"/>
            <w:tcBorders>
              <w:bottom w:val="single" w:sz="8" w:color="D2DCE5"/>
            </w:tcBorders>
            <w:vMerge w:val="continue"/>
            <w:shd w:val="clear" w:color="auto" w:fill="D2DCE5"/>
          </w:tcPr>
          <w:p>
            <w:pPr>
              <w:spacing w:after="0"/>
              <w:rPr>
                <w:sz w:val="15"/>
                <w:szCs w:val="15"/>
                <w:color w:val="auto"/>
              </w:rPr>
            </w:pPr>
          </w:p>
        </w:tc>
        <w:tc>
          <w:tcPr>
            <w:tcW w:w="940" w:type="dxa"/>
            <w:vAlign w:val="bottom"/>
            <w:tcBorders>
              <w:bottom w:val="single" w:sz="8" w:color="D2DCE5"/>
            </w:tcBorders>
            <w:vMerge w:val="continue"/>
            <w:shd w:val="clear" w:color="auto" w:fill="D2DCE5"/>
          </w:tcPr>
          <w:p>
            <w:pPr>
              <w:spacing w:after="0"/>
              <w:rPr>
                <w:sz w:val="15"/>
                <w:szCs w:val="15"/>
                <w:color w:val="auto"/>
              </w:rPr>
            </w:pPr>
          </w:p>
        </w:tc>
        <w:tc>
          <w:tcPr>
            <w:tcW w:w="1180" w:type="dxa"/>
            <w:vAlign w:val="bottom"/>
            <w:tcBorders>
              <w:bottom w:val="single" w:sz="8" w:color="D2DCE5"/>
            </w:tcBorders>
            <w:vMerge w:val="continue"/>
            <w:shd w:val="clear" w:color="auto" w:fill="D2DCE5"/>
          </w:tcPr>
          <w:p>
            <w:pPr>
              <w:spacing w:after="0"/>
              <w:rPr>
                <w:sz w:val="15"/>
                <w:szCs w:val="15"/>
                <w:color w:val="auto"/>
              </w:rPr>
            </w:pPr>
          </w:p>
        </w:tc>
        <w:tc>
          <w:tcPr>
            <w:tcW w:w="80" w:type="dxa"/>
            <w:vAlign w:val="bottom"/>
            <w:tcBorders>
              <w:bottom w:val="single" w:sz="8" w:color="D2DCE5"/>
            </w:tcBorders>
            <w:shd w:val="clear" w:color="auto" w:fill="D2DCE5"/>
          </w:tcPr>
          <w:p>
            <w:pPr>
              <w:spacing w:after="0"/>
              <w:rPr>
                <w:sz w:val="15"/>
                <w:szCs w:val="15"/>
                <w:color w:val="auto"/>
              </w:rPr>
            </w:pPr>
          </w:p>
        </w:tc>
        <w:tc>
          <w:tcPr>
            <w:tcW w:w="1040" w:type="dxa"/>
            <w:vAlign w:val="bottom"/>
            <w:tcBorders>
              <w:bottom w:val="single" w:sz="8" w:color="D2DCE5"/>
            </w:tcBorders>
            <w:vMerge w:val="continue"/>
            <w:shd w:val="clear" w:color="auto" w:fill="D2DCE5"/>
          </w:tcPr>
          <w:p>
            <w:pPr>
              <w:spacing w:after="0"/>
              <w:rPr>
                <w:sz w:val="15"/>
                <w:szCs w:val="15"/>
                <w:color w:val="auto"/>
              </w:rPr>
            </w:pPr>
          </w:p>
        </w:tc>
        <w:tc>
          <w:tcPr>
            <w:tcW w:w="80" w:type="dxa"/>
            <w:vAlign w:val="bottom"/>
            <w:tcBorders>
              <w:bottom w:val="single" w:sz="8" w:color="D2DCE5"/>
            </w:tcBorders>
            <w:shd w:val="clear" w:color="auto" w:fill="D2DCE5"/>
          </w:tcPr>
          <w:p>
            <w:pPr>
              <w:spacing w:after="0"/>
              <w:rPr>
                <w:sz w:val="15"/>
                <w:szCs w:val="15"/>
                <w:color w:val="auto"/>
              </w:rPr>
            </w:pPr>
          </w:p>
        </w:tc>
        <w:tc>
          <w:tcPr>
            <w:tcW w:w="200" w:type="dxa"/>
            <w:vAlign w:val="bottom"/>
            <w:tcBorders>
              <w:bottom w:val="single" w:sz="8" w:color="D2DCE5"/>
            </w:tcBorders>
            <w:vMerge w:val="continue"/>
            <w:shd w:val="clear" w:color="auto" w:fill="D2DCE5"/>
          </w:tcPr>
          <w:p>
            <w:pPr>
              <w:spacing w:after="0"/>
              <w:rPr>
                <w:sz w:val="15"/>
                <w:szCs w:val="15"/>
                <w:color w:val="auto"/>
              </w:rPr>
            </w:pPr>
          </w:p>
        </w:tc>
        <w:tc>
          <w:tcPr>
            <w:tcW w:w="760" w:type="dxa"/>
            <w:vAlign w:val="bottom"/>
            <w:tcBorders>
              <w:bottom w:val="single" w:sz="8" w:color="D2DCE5"/>
            </w:tcBorders>
            <w:vMerge w:val="continue"/>
            <w:shd w:val="clear" w:color="auto" w:fill="D2DCE5"/>
          </w:tcPr>
          <w:p>
            <w:pPr>
              <w:spacing w:after="0"/>
              <w:rPr>
                <w:sz w:val="15"/>
                <w:szCs w:val="15"/>
                <w:color w:val="auto"/>
              </w:rPr>
            </w:pPr>
          </w:p>
        </w:tc>
        <w:tc>
          <w:tcPr>
            <w:tcW w:w="80" w:type="dxa"/>
            <w:vAlign w:val="bottom"/>
            <w:tcBorders>
              <w:bottom w:val="single" w:sz="8" w:color="D2DCE5"/>
            </w:tcBorders>
            <w:shd w:val="clear" w:color="auto" w:fill="D2DCE5"/>
          </w:tcPr>
          <w:p>
            <w:pPr>
              <w:spacing w:after="0"/>
              <w:rPr>
                <w:sz w:val="15"/>
                <w:szCs w:val="15"/>
                <w:color w:val="auto"/>
              </w:rPr>
            </w:pPr>
          </w:p>
        </w:tc>
        <w:tc>
          <w:tcPr>
            <w:tcW w:w="240" w:type="dxa"/>
            <w:vAlign w:val="bottom"/>
            <w:tcBorders>
              <w:bottom w:val="single" w:sz="8" w:color="D2DCE5"/>
            </w:tcBorders>
            <w:vMerge w:val="continue"/>
            <w:shd w:val="clear" w:color="auto" w:fill="D2DCE5"/>
          </w:tcPr>
          <w:p>
            <w:pPr>
              <w:spacing w:after="0"/>
              <w:rPr>
                <w:sz w:val="15"/>
                <w:szCs w:val="15"/>
                <w:color w:val="auto"/>
              </w:rPr>
            </w:pPr>
          </w:p>
        </w:tc>
        <w:tc>
          <w:tcPr>
            <w:tcW w:w="880" w:type="dxa"/>
            <w:vAlign w:val="bottom"/>
            <w:tcBorders>
              <w:bottom w:val="single" w:sz="8" w:color="D2DCE5"/>
            </w:tcBorders>
            <w:vMerge w:val="continue"/>
            <w:shd w:val="clear" w:color="auto" w:fill="D2DCE5"/>
          </w:tcPr>
          <w:p>
            <w:pPr>
              <w:spacing w:after="0"/>
              <w:rPr>
                <w:sz w:val="15"/>
                <w:szCs w:val="15"/>
                <w:color w:val="auto"/>
              </w:rPr>
            </w:pPr>
          </w:p>
        </w:tc>
        <w:tc>
          <w:tcPr>
            <w:tcW w:w="1060" w:type="dxa"/>
            <w:vAlign w:val="bottom"/>
            <w:tcBorders>
              <w:bottom w:val="single" w:sz="8" w:color="D2DCE5"/>
            </w:tcBorders>
            <w:vMerge w:val="continue"/>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40" w:type="dxa"/>
            <w:vAlign w:val="bottom"/>
            <w:gridSpan w:val="2"/>
          </w:tcPr>
          <w:p>
            <w:pPr>
              <w:ind w:left="20"/>
              <w:spacing w:after="0"/>
              <w:rPr>
                <w:sz w:val="20"/>
                <w:szCs w:val="20"/>
                <w:color w:val="auto"/>
              </w:rPr>
            </w:pPr>
            <w:r>
              <w:rPr>
                <w:rFonts w:ascii="Arial" w:cs="Arial" w:eastAsia="Arial" w:hAnsi="Arial"/>
                <w:sz w:val="14"/>
                <w:szCs w:val="14"/>
                <w:i w:val="1"/>
                <w:iCs w:val="1"/>
                <w:color w:val="131E29"/>
              </w:rPr>
              <w:t>As a percentage of revenue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131E29"/>
              </w:rPr>
              <w:t>5.6 %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131E29"/>
              </w:rPr>
              <w:t>3.9%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430"/>
              <w:spacing w:after="0"/>
              <w:rPr>
                <w:sz w:val="20"/>
                <w:szCs w:val="20"/>
                <w:color w:val="auto"/>
              </w:rPr>
            </w:pPr>
            <w:r>
              <w:rPr>
                <w:rFonts w:ascii="Arial" w:cs="Arial" w:eastAsia="Arial" w:hAnsi="Arial"/>
                <w:sz w:val="18"/>
                <w:szCs w:val="18"/>
                <w:color w:val="131E29"/>
              </w:rPr>
              <w:t>N/A</w:t>
            </w:r>
          </w:p>
        </w:tc>
        <w:tc>
          <w:tcPr>
            <w:tcW w:w="1260" w:type="dxa"/>
            <w:vAlign w:val="bottom"/>
            <w:gridSpan w:val="2"/>
          </w:tcPr>
          <w:p>
            <w:pPr>
              <w:ind w:left="520"/>
              <w:spacing w:after="0"/>
              <w:rPr>
                <w:sz w:val="20"/>
                <w:szCs w:val="20"/>
                <w:color w:val="auto"/>
              </w:rPr>
            </w:pPr>
            <w:r>
              <w:rPr>
                <w:rFonts w:ascii="Arial" w:cs="Arial" w:eastAsia="Arial" w:hAnsi="Arial"/>
                <w:sz w:val="18"/>
                <w:szCs w:val="18"/>
                <w:color w:val="131E29"/>
              </w:rPr>
              <w:t>170 bps</w:t>
            </w:r>
          </w:p>
        </w:tc>
        <w:tc>
          <w:tcPr>
            <w:tcW w:w="1040" w:type="dxa"/>
            <w:vAlign w:val="bottom"/>
          </w:tcPr>
          <w:p>
            <w:pPr>
              <w:jc w:val="right"/>
              <w:ind w:right="230"/>
              <w:spacing w:after="0"/>
              <w:rPr>
                <w:sz w:val="20"/>
                <w:szCs w:val="20"/>
                <w:color w:val="auto"/>
              </w:rPr>
            </w:pPr>
            <w:r>
              <w:rPr>
                <w:rFonts w:ascii="Arial" w:cs="Arial" w:eastAsia="Arial" w:hAnsi="Arial"/>
                <w:sz w:val="18"/>
                <w:szCs w:val="18"/>
                <w:color w:val="131E29"/>
              </w:rPr>
              <w:t>5.4%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131E29"/>
              </w:rPr>
              <w:t>3.8%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131E29"/>
              </w:rPr>
              <w:t>N/A</w:t>
            </w:r>
          </w:p>
        </w:tc>
        <w:tc>
          <w:tcPr>
            <w:tcW w:w="1060" w:type="dxa"/>
            <w:vAlign w:val="bottom"/>
          </w:tcPr>
          <w:p>
            <w:pPr>
              <w:jc w:val="right"/>
              <w:ind w:right="30"/>
              <w:spacing w:after="0"/>
              <w:rPr>
                <w:sz w:val="20"/>
                <w:szCs w:val="20"/>
                <w:color w:val="auto"/>
              </w:rPr>
            </w:pPr>
            <w:r>
              <w:rPr>
                <w:rFonts w:ascii="Arial" w:cs="Arial" w:eastAsia="Arial" w:hAnsi="Arial"/>
                <w:sz w:val="18"/>
                <w:szCs w:val="18"/>
                <w:color w:val="131E29"/>
              </w:rPr>
              <w:t>160 bps</w:t>
            </w: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and Nine Months Ended September 30, 2022 v 2021</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increases in depreciation and amortization were primarily driven by the opening of new company-operated shops during both 2022 and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Company-operated Shop Gross Profit and Contribution</w:t>
      </w:r>
      <w:r>
        <w:rPr>
          <w:rFonts w:ascii="Arial" w:cs="Arial" w:eastAsia="Arial" w:hAnsi="Arial"/>
          <w:sz w:val="23"/>
          <w:szCs w:val="23"/>
          <w:b w:val="1"/>
          <w:bCs w:val="1"/>
          <w:i w:val="1"/>
          <w:iCs w:val="1"/>
          <w:color w:val="006098"/>
          <w:vertAlign w:val="superscript"/>
        </w:rPr>
        <w:t>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20" w:type="dxa"/>
            <w:vAlign w:val="bottom"/>
            <w:gridSpan w:val="9"/>
          </w:tcPr>
          <w:p>
            <w:pPr>
              <w:jc w:val="center"/>
              <w:ind w:right="300"/>
              <w:spacing w:after="0"/>
              <w:rPr>
                <w:sz w:val="20"/>
                <w:szCs w:val="20"/>
                <w:color w:val="auto"/>
              </w:rPr>
            </w:pPr>
            <w:r>
              <w:rPr>
                <w:rFonts w:ascii="Arial" w:cs="Arial" w:eastAsia="Arial" w:hAnsi="Arial"/>
                <w:sz w:val="18"/>
                <w:szCs w:val="18"/>
                <w:b w:val="1"/>
                <w:bCs w:val="1"/>
                <w:color w:val="131E29"/>
                <w:w w:val="99"/>
              </w:rPr>
              <w:t>Three Months Ended September 30,</w:t>
            </w:r>
          </w:p>
        </w:tc>
        <w:tc>
          <w:tcPr>
            <w:tcW w:w="3840" w:type="dxa"/>
            <w:vAlign w:val="bottom"/>
            <w:gridSpan w:val="6"/>
          </w:tcPr>
          <w:p>
            <w:pPr>
              <w:jc w:val="right"/>
              <w:spacing w:after="0"/>
              <w:rPr>
                <w:sz w:val="20"/>
                <w:szCs w:val="20"/>
                <w:color w:val="auto"/>
              </w:rPr>
            </w:pPr>
            <w:r>
              <w:rPr>
                <w:rFonts w:ascii="Arial" w:cs="Arial" w:eastAsia="Arial" w:hAnsi="Arial"/>
                <w:sz w:val="18"/>
                <w:szCs w:val="18"/>
                <w:b w:val="1"/>
                <w:bCs w:val="1"/>
                <w:color w:val="131E29"/>
              </w:rPr>
              <w:t>Nine Months Ended September 30,</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131E29"/>
              </w:rPr>
              <w:t>(in thousands;</w:t>
            </w: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6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center"/>
              <w:ind w:right="96"/>
              <w:spacing w:after="0"/>
              <w:rPr>
                <w:sz w:val="20"/>
                <w:szCs w:val="20"/>
                <w:color w:val="auto"/>
              </w:rPr>
            </w:pPr>
            <w:r>
              <w:rPr>
                <w:rFonts w:ascii="Arial" w:cs="Arial" w:eastAsia="Arial" w:hAnsi="Arial"/>
                <w:sz w:val="18"/>
                <w:szCs w:val="18"/>
                <w:b w:val="1"/>
                <w:bCs w:val="1"/>
                <w:color w:val="131E29"/>
                <w:w w:val="99"/>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center"/>
              <w:ind w:right="97"/>
              <w:spacing w:after="0"/>
              <w:rPr>
                <w:sz w:val="20"/>
                <w:szCs w:val="20"/>
                <w:color w:val="auto"/>
              </w:rPr>
            </w:pPr>
            <w:r>
              <w:rPr>
                <w:rFonts w:ascii="Arial" w:cs="Arial" w:eastAsia="Arial" w:hAnsi="Arial"/>
                <w:sz w:val="18"/>
                <w:szCs w:val="18"/>
                <w:b w:val="1"/>
                <w:bCs w:val="1"/>
                <w:color w:val="131E29"/>
                <w:w w:val="99"/>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131E29"/>
              </w:rPr>
              <w:t>2022 v. 2021</w:t>
            </w:r>
          </w:p>
        </w:tc>
        <w:tc>
          <w:tcPr>
            <w:tcW w:w="1060" w:type="dxa"/>
            <w:vAlign w:val="bottom"/>
            <w:vMerge w:val="restart"/>
          </w:tcPr>
          <w:p>
            <w:pPr>
              <w:jc w:val="center"/>
              <w:spacing w:after="0"/>
              <w:rPr>
                <w:sz w:val="20"/>
                <w:szCs w:val="20"/>
                <w:color w:val="auto"/>
              </w:rPr>
            </w:pPr>
            <w:r>
              <w:rPr>
                <w:rFonts w:ascii="Arial" w:cs="Arial" w:eastAsia="Arial" w:hAnsi="Arial"/>
                <w:sz w:val="18"/>
                <w:szCs w:val="18"/>
                <w:b w:val="1"/>
                <w:bCs w:val="1"/>
                <w:color w:val="131E29"/>
                <w:w w:val="99"/>
              </w:rPr>
              <w:t>2022</w:t>
            </w:r>
          </w:p>
        </w:tc>
        <w:tc>
          <w:tcPr>
            <w:tcW w:w="100" w:type="dxa"/>
            <w:vAlign w:val="bottom"/>
          </w:tcPr>
          <w:p>
            <w:pPr>
              <w:spacing w:after="0"/>
              <w:rPr>
                <w:sz w:val="15"/>
                <w:szCs w:val="15"/>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131E29"/>
                <w:w w:val="99"/>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2"/>
            <w:vMerge w:val="restart"/>
          </w:tcPr>
          <w:p>
            <w:pPr>
              <w:jc w:val="right"/>
              <w:ind w:right="599"/>
              <w:spacing w:after="0"/>
              <w:rPr>
                <w:sz w:val="20"/>
                <w:szCs w:val="20"/>
                <w:color w:val="auto"/>
              </w:rPr>
            </w:pPr>
            <w:r>
              <w:rPr>
                <w:rFonts w:ascii="Arial" w:cs="Arial" w:eastAsia="Arial" w:hAnsi="Arial"/>
                <w:sz w:val="18"/>
                <w:szCs w:val="18"/>
                <w:b w:val="1"/>
                <w:bCs w:val="1"/>
                <w:color w:val="131E29"/>
              </w:rPr>
              <w:t>2022 v. 2021</w:t>
            </w:r>
          </w:p>
        </w:tc>
        <w:tc>
          <w:tcPr>
            <w:tcW w:w="0" w:type="dxa"/>
            <w:vAlign w:val="bottom"/>
          </w:tcPr>
          <w:p>
            <w:pPr>
              <w:spacing w:after="0"/>
              <w:rPr>
                <w:sz w:val="1"/>
                <w:szCs w:val="1"/>
                <w:color w:val="auto"/>
              </w:rPr>
            </w:pPr>
          </w:p>
        </w:tc>
      </w:tr>
      <w:tr>
        <w:trPr>
          <w:trHeight w:val="184"/>
        </w:trPr>
        <w:tc>
          <w:tcPr>
            <w:tcW w:w="1680" w:type="dxa"/>
            <w:vAlign w:val="bottom"/>
            <w:gridSpan w:val="2"/>
          </w:tcPr>
          <w:p>
            <w:pPr>
              <w:ind w:left="20"/>
              <w:spacing w:after="0"/>
              <w:rPr>
                <w:sz w:val="20"/>
                <w:szCs w:val="20"/>
                <w:color w:val="auto"/>
              </w:rPr>
            </w:pPr>
            <w:r>
              <w:rPr>
                <w:rFonts w:ascii="Arial" w:cs="Arial" w:eastAsia="Arial" w:hAnsi="Arial"/>
                <w:sz w:val="14"/>
                <w:szCs w:val="14"/>
                <w:color w:val="131E29"/>
              </w:rPr>
              <w:t>unaudited)</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3"/>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00" w:type="dxa"/>
            <w:vAlign w:val="bottom"/>
            <w:tcBorders>
              <w:bottom w:val="single" w:sz="8" w:color="131E29"/>
            </w:tcBorders>
          </w:tcPr>
          <w:p>
            <w:pPr>
              <w:spacing w:after="0"/>
              <w:rPr>
                <w:sz w:val="2"/>
                <w:szCs w:val="2"/>
                <w:color w:val="auto"/>
              </w:rPr>
            </w:pPr>
          </w:p>
        </w:tc>
        <w:tc>
          <w:tcPr>
            <w:tcW w:w="82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1000" w:type="dxa"/>
            <w:vAlign w:val="bottom"/>
            <w:tcBorders>
              <w:bottom w:val="single" w:sz="8" w:color="131E29"/>
            </w:tcBorders>
          </w:tcPr>
          <w:p>
            <w:pPr>
              <w:spacing w:after="0"/>
              <w:rPr>
                <w:sz w:val="2"/>
                <w:szCs w:val="2"/>
                <w:color w:val="auto"/>
              </w:rPr>
            </w:pPr>
          </w:p>
        </w:tc>
        <w:tc>
          <w:tcPr>
            <w:tcW w:w="11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8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1260" w:type="dxa"/>
            <w:vAlign w:val="bottom"/>
            <w:tcBorders>
              <w:bottom w:val="single" w:sz="8" w:color="131E29"/>
            </w:tcBorders>
          </w:tcPr>
          <w:p>
            <w:pPr>
              <w:spacing w:after="0"/>
              <w:rPr>
                <w:sz w:val="2"/>
                <w:szCs w:val="2"/>
                <w:color w:val="auto"/>
              </w:rPr>
            </w:pPr>
          </w:p>
        </w:tc>
        <w:tc>
          <w:tcPr>
            <w:tcW w:w="88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Company-operated</w:t>
            </w:r>
          </w:p>
        </w:tc>
        <w:tc>
          <w:tcPr>
            <w:tcW w:w="20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w:t>
            </w:r>
          </w:p>
        </w:tc>
        <w:tc>
          <w:tcPr>
            <w:tcW w:w="82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34,720</w:t>
            </w:r>
          </w:p>
        </w:tc>
        <w:tc>
          <w:tcPr>
            <w:tcW w:w="100" w:type="dxa"/>
            <w:vAlign w:val="bottom"/>
            <w:shd w:val="clear" w:color="auto" w:fill="D2DCE5"/>
          </w:tcPr>
          <w:p>
            <w:pPr>
              <w:spacing w:after="0"/>
              <w:rPr>
                <w:sz w:val="16"/>
                <w:szCs w:val="16"/>
                <w:color w:val="auto"/>
              </w:rPr>
            </w:pPr>
          </w:p>
        </w:tc>
        <w:tc>
          <w:tcPr>
            <w:tcW w:w="20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w:t>
            </w:r>
          </w:p>
        </w:tc>
        <w:tc>
          <w:tcPr>
            <w:tcW w:w="82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23,111</w:t>
            </w:r>
          </w:p>
        </w:tc>
        <w:tc>
          <w:tcPr>
            <w:tcW w:w="100" w:type="dxa"/>
            <w:vAlign w:val="bottom"/>
            <w:shd w:val="clear" w:color="auto" w:fill="D2DCE5"/>
          </w:tcPr>
          <w:p>
            <w:pPr>
              <w:spacing w:after="0"/>
              <w:rPr>
                <w:sz w:val="16"/>
                <w:szCs w:val="16"/>
                <w:color w:val="auto"/>
              </w:rPr>
            </w:pPr>
          </w:p>
        </w:tc>
        <w:tc>
          <w:tcPr>
            <w:tcW w:w="240" w:type="dxa"/>
            <w:vAlign w:val="bottom"/>
            <w:vMerge w:val="restart"/>
            <w:shd w:val="clear" w:color="auto" w:fill="D2DCE5"/>
          </w:tcPr>
          <w:p>
            <w:pPr>
              <w:jc w:val="center"/>
              <w:ind w:right="19"/>
              <w:spacing w:after="0"/>
              <w:rPr>
                <w:sz w:val="20"/>
                <w:szCs w:val="20"/>
                <w:color w:val="auto"/>
              </w:rPr>
            </w:pPr>
            <w:r>
              <w:rPr>
                <w:rFonts w:ascii="Arial" w:cs="Arial" w:eastAsia="Arial" w:hAnsi="Arial"/>
                <w:sz w:val="16"/>
                <w:szCs w:val="16"/>
                <w:color w:val="131E29"/>
              </w:rPr>
              <w:t>$</w:t>
            </w:r>
          </w:p>
        </w:tc>
        <w:tc>
          <w:tcPr>
            <w:tcW w:w="1000" w:type="dxa"/>
            <w:vAlign w:val="bottom"/>
            <w:vMerge w:val="restart"/>
            <w:shd w:val="clear" w:color="auto" w:fill="D2DCE5"/>
          </w:tcPr>
          <w:p>
            <w:pPr>
              <w:jc w:val="right"/>
              <w:ind w:right="197"/>
              <w:spacing w:after="0"/>
              <w:rPr>
                <w:sz w:val="20"/>
                <w:szCs w:val="20"/>
                <w:color w:val="auto"/>
              </w:rPr>
            </w:pPr>
            <w:r>
              <w:rPr>
                <w:rFonts w:ascii="Arial" w:cs="Arial" w:eastAsia="Arial" w:hAnsi="Arial"/>
                <w:sz w:val="16"/>
                <w:szCs w:val="16"/>
                <w:color w:val="131E29"/>
              </w:rPr>
              <w:t>11,609</w:t>
            </w:r>
          </w:p>
        </w:tc>
        <w:tc>
          <w:tcPr>
            <w:tcW w:w="1140" w:type="dxa"/>
            <w:vAlign w:val="bottom"/>
            <w:vMerge w:val="restart"/>
            <w:shd w:val="clear" w:color="auto" w:fill="D2DCE5"/>
          </w:tcPr>
          <w:p>
            <w:pPr>
              <w:jc w:val="right"/>
              <w:ind w:right="319"/>
              <w:spacing w:after="0"/>
              <w:rPr>
                <w:sz w:val="20"/>
                <w:szCs w:val="20"/>
                <w:color w:val="auto"/>
              </w:rPr>
            </w:pPr>
            <w:r>
              <w:rPr>
                <w:rFonts w:ascii="Arial" w:cs="Arial" w:eastAsia="Arial" w:hAnsi="Arial"/>
                <w:sz w:val="16"/>
                <w:szCs w:val="16"/>
                <w:color w:val="131E29"/>
              </w:rPr>
              <w:t>50.2%</w:t>
            </w:r>
          </w:p>
        </w:tc>
        <w:tc>
          <w:tcPr>
            <w:tcW w:w="100" w:type="dxa"/>
            <w:vAlign w:val="bottom"/>
            <w:shd w:val="clear" w:color="auto" w:fill="D2DCE5"/>
          </w:tcPr>
          <w:p>
            <w:pPr>
              <w:spacing w:after="0"/>
              <w:rPr>
                <w:sz w:val="16"/>
                <w:szCs w:val="16"/>
                <w:color w:val="auto"/>
              </w:rPr>
            </w:pPr>
          </w:p>
        </w:tc>
        <w:tc>
          <w:tcPr>
            <w:tcW w:w="106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82,577</w:t>
            </w:r>
          </w:p>
        </w:tc>
        <w:tc>
          <w:tcPr>
            <w:tcW w:w="100" w:type="dxa"/>
            <w:vAlign w:val="bottom"/>
            <w:shd w:val="clear" w:color="auto" w:fill="D2DCE5"/>
          </w:tcPr>
          <w:p>
            <w:pPr>
              <w:spacing w:after="0"/>
              <w:rPr>
                <w:sz w:val="16"/>
                <w:szCs w:val="16"/>
                <w:color w:val="auto"/>
              </w:rPr>
            </w:pPr>
          </w:p>
        </w:tc>
        <w:tc>
          <w:tcPr>
            <w:tcW w:w="108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70,141</w:t>
            </w:r>
          </w:p>
        </w:tc>
        <w:tc>
          <w:tcPr>
            <w:tcW w:w="100" w:type="dxa"/>
            <w:vAlign w:val="bottom"/>
            <w:shd w:val="clear" w:color="auto" w:fill="D2DCE5"/>
          </w:tcPr>
          <w:p>
            <w:pPr>
              <w:spacing w:after="0"/>
              <w:rPr>
                <w:sz w:val="16"/>
                <w:szCs w:val="16"/>
                <w:color w:val="auto"/>
              </w:rPr>
            </w:pPr>
          </w:p>
        </w:tc>
        <w:tc>
          <w:tcPr>
            <w:tcW w:w="240" w:type="dxa"/>
            <w:vAlign w:val="bottom"/>
            <w:vMerge w:val="restart"/>
            <w:shd w:val="clear" w:color="auto" w:fill="D2DCE5"/>
          </w:tcPr>
          <w:p>
            <w:pPr>
              <w:jc w:val="right"/>
              <w:ind w:right="39"/>
              <w:spacing w:after="0"/>
              <w:rPr>
                <w:sz w:val="20"/>
                <w:szCs w:val="20"/>
                <w:color w:val="auto"/>
              </w:rPr>
            </w:pPr>
            <w:r>
              <w:rPr>
                <w:rFonts w:ascii="Arial" w:cs="Arial" w:eastAsia="Arial" w:hAnsi="Arial"/>
                <w:sz w:val="16"/>
                <w:szCs w:val="16"/>
                <w:color w:val="131E29"/>
              </w:rPr>
              <w:t>$</w:t>
            </w:r>
          </w:p>
        </w:tc>
        <w:tc>
          <w:tcPr>
            <w:tcW w:w="1260" w:type="dxa"/>
            <w:vAlign w:val="bottom"/>
            <w:vMerge w:val="restart"/>
            <w:shd w:val="clear" w:color="auto" w:fill="D2DCE5"/>
          </w:tcPr>
          <w:p>
            <w:pPr>
              <w:jc w:val="right"/>
              <w:ind w:right="497"/>
              <w:spacing w:after="0"/>
              <w:rPr>
                <w:sz w:val="20"/>
                <w:szCs w:val="20"/>
                <w:color w:val="auto"/>
              </w:rPr>
            </w:pPr>
            <w:r>
              <w:rPr>
                <w:rFonts w:ascii="Arial" w:cs="Arial" w:eastAsia="Arial" w:hAnsi="Arial"/>
                <w:sz w:val="16"/>
                <w:szCs w:val="16"/>
                <w:color w:val="131E29"/>
              </w:rPr>
              <w:t>12,436</w:t>
            </w:r>
          </w:p>
        </w:tc>
        <w:tc>
          <w:tcPr>
            <w:tcW w:w="880" w:type="dxa"/>
            <w:vAlign w:val="bottom"/>
            <w:vMerge w:val="restart"/>
            <w:shd w:val="clear" w:color="auto" w:fill="D2DCE5"/>
          </w:tcPr>
          <w:p>
            <w:pPr>
              <w:jc w:val="right"/>
              <w:ind w:right="339"/>
              <w:spacing w:after="0"/>
              <w:rPr>
                <w:sz w:val="20"/>
                <w:szCs w:val="20"/>
                <w:color w:val="auto"/>
              </w:rPr>
            </w:pPr>
            <w:r>
              <w:rPr>
                <w:rFonts w:ascii="Arial" w:cs="Arial" w:eastAsia="Arial" w:hAnsi="Arial"/>
                <w:sz w:val="16"/>
                <w:szCs w:val="16"/>
                <w:color w:val="131E29"/>
                <w:w w:val="96"/>
              </w:rPr>
              <w:t>17.7%</w:t>
            </w:r>
          </w:p>
        </w:tc>
        <w:tc>
          <w:tcPr>
            <w:tcW w:w="0" w:type="dxa"/>
            <w:vAlign w:val="bottom"/>
          </w:tcPr>
          <w:p>
            <w:pPr>
              <w:spacing w:after="0"/>
              <w:rPr>
                <w:sz w:val="1"/>
                <w:szCs w:val="1"/>
                <w:color w:val="auto"/>
              </w:rPr>
            </w:pPr>
          </w:p>
        </w:tc>
      </w:tr>
      <w:tr>
        <w:trPr>
          <w:trHeight w:val="211"/>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shop gross profit</w:t>
            </w:r>
          </w:p>
        </w:tc>
        <w:tc>
          <w:tcPr>
            <w:tcW w:w="200" w:type="dxa"/>
            <w:vAlign w:val="bottom"/>
            <w:vMerge w:val="continue"/>
            <w:shd w:val="clear" w:color="auto" w:fill="D2DCE5"/>
          </w:tcPr>
          <w:p>
            <w:pPr>
              <w:spacing w:after="0"/>
              <w:rPr>
                <w:sz w:val="18"/>
                <w:szCs w:val="18"/>
                <w:color w:val="auto"/>
              </w:rPr>
            </w:pPr>
          </w:p>
        </w:tc>
        <w:tc>
          <w:tcPr>
            <w:tcW w:w="820" w:type="dxa"/>
            <w:vAlign w:val="bottom"/>
            <w:vMerge w:val="continue"/>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00" w:type="dxa"/>
            <w:vAlign w:val="bottom"/>
            <w:vMerge w:val="continue"/>
            <w:shd w:val="clear" w:color="auto" w:fill="D2DCE5"/>
          </w:tcPr>
          <w:p>
            <w:pPr>
              <w:spacing w:after="0"/>
              <w:rPr>
                <w:sz w:val="18"/>
                <w:szCs w:val="18"/>
                <w:color w:val="auto"/>
              </w:rPr>
            </w:pPr>
          </w:p>
        </w:tc>
        <w:tc>
          <w:tcPr>
            <w:tcW w:w="820" w:type="dxa"/>
            <w:vAlign w:val="bottom"/>
            <w:vMerge w:val="continue"/>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40" w:type="dxa"/>
            <w:vAlign w:val="bottom"/>
            <w:vMerge w:val="continue"/>
            <w:shd w:val="clear" w:color="auto" w:fill="D2DCE5"/>
          </w:tcPr>
          <w:p>
            <w:pPr>
              <w:spacing w:after="0"/>
              <w:rPr>
                <w:sz w:val="18"/>
                <w:szCs w:val="18"/>
                <w:color w:val="auto"/>
              </w:rPr>
            </w:pPr>
          </w:p>
        </w:tc>
        <w:tc>
          <w:tcPr>
            <w:tcW w:w="1000" w:type="dxa"/>
            <w:vAlign w:val="bottom"/>
            <w:vMerge w:val="continue"/>
            <w:shd w:val="clear" w:color="auto" w:fill="D2DCE5"/>
          </w:tcPr>
          <w:p>
            <w:pPr>
              <w:spacing w:after="0"/>
              <w:rPr>
                <w:sz w:val="18"/>
                <w:szCs w:val="18"/>
                <w:color w:val="auto"/>
              </w:rPr>
            </w:pPr>
          </w:p>
        </w:tc>
        <w:tc>
          <w:tcPr>
            <w:tcW w:w="1140" w:type="dxa"/>
            <w:vAlign w:val="bottom"/>
            <w:vMerge w:val="continue"/>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060" w:type="dxa"/>
            <w:vAlign w:val="bottom"/>
            <w:vMerge w:val="continue"/>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080" w:type="dxa"/>
            <w:vAlign w:val="bottom"/>
            <w:vMerge w:val="continue"/>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40" w:type="dxa"/>
            <w:vAlign w:val="bottom"/>
            <w:vMerge w:val="continue"/>
            <w:shd w:val="clear" w:color="auto" w:fill="D2DCE5"/>
          </w:tcPr>
          <w:p>
            <w:pPr>
              <w:spacing w:after="0"/>
              <w:rPr>
                <w:sz w:val="18"/>
                <w:szCs w:val="18"/>
                <w:color w:val="auto"/>
              </w:rPr>
            </w:pPr>
          </w:p>
        </w:tc>
        <w:tc>
          <w:tcPr>
            <w:tcW w:w="1260" w:type="dxa"/>
            <w:vAlign w:val="bottom"/>
            <w:vMerge w:val="continue"/>
            <w:shd w:val="clear" w:color="auto" w:fill="D2DCE5"/>
          </w:tcPr>
          <w:p>
            <w:pPr>
              <w:spacing w:after="0"/>
              <w:rPr>
                <w:sz w:val="18"/>
                <w:szCs w:val="18"/>
                <w:color w:val="auto"/>
              </w:rPr>
            </w:pPr>
          </w:p>
        </w:tc>
        <w:tc>
          <w:tcPr>
            <w:tcW w:w="880" w:type="dxa"/>
            <w:vAlign w:val="bottom"/>
            <w:vMerge w:val="continue"/>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680" w:type="dxa"/>
            <w:vAlign w:val="bottom"/>
            <w:gridSpan w:val="2"/>
          </w:tcPr>
          <w:p>
            <w:pPr>
              <w:ind w:left="20"/>
              <w:spacing w:after="0"/>
              <w:rPr>
                <w:sz w:val="20"/>
                <w:szCs w:val="20"/>
                <w:color w:val="auto"/>
              </w:rPr>
            </w:pPr>
            <w:r>
              <w:rPr>
                <w:rFonts w:ascii="Arial" w:cs="Arial" w:eastAsia="Arial" w:hAnsi="Arial"/>
                <w:sz w:val="14"/>
                <w:szCs w:val="14"/>
                <w:i w:val="1"/>
                <w:iCs w:val="1"/>
                <w:color w:val="131E29"/>
              </w:rPr>
              <w:t>As a percentage of</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680" w:type="dxa"/>
            <w:vAlign w:val="bottom"/>
            <w:gridSpan w:val="2"/>
          </w:tcPr>
          <w:p>
            <w:pPr>
              <w:ind w:left="20"/>
              <w:spacing w:after="0"/>
              <w:rPr>
                <w:sz w:val="20"/>
                <w:szCs w:val="20"/>
                <w:color w:val="auto"/>
              </w:rPr>
            </w:pPr>
            <w:r>
              <w:rPr>
                <w:rFonts w:ascii="Arial" w:cs="Arial" w:eastAsia="Arial" w:hAnsi="Arial"/>
                <w:sz w:val="14"/>
                <w:szCs w:val="14"/>
                <w:i w:val="1"/>
                <w:iCs w:val="1"/>
                <w:color w:val="131E29"/>
              </w:rPr>
              <w:t>revenue</w:t>
            </w:r>
          </w:p>
        </w:tc>
        <w:tc>
          <w:tcPr>
            <w:tcW w:w="200" w:type="dxa"/>
            <w:vAlign w:val="bottom"/>
          </w:tcPr>
          <w:p>
            <w:pPr>
              <w:spacing w:after="0"/>
              <w:rPr>
                <w:sz w:val="18"/>
                <w:szCs w:val="18"/>
                <w:color w:val="auto"/>
              </w:rPr>
            </w:pPr>
          </w:p>
        </w:tc>
        <w:tc>
          <w:tcPr>
            <w:tcW w:w="820" w:type="dxa"/>
            <w:vAlign w:val="bottom"/>
          </w:tcPr>
          <w:p>
            <w:pPr>
              <w:jc w:val="center"/>
              <w:ind w:right="116"/>
              <w:spacing w:after="0"/>
              <w:rPr>
                <w:sz w:val="20"/>
                <w:szCs w:val="20"/>
                <w:color w:val="auto"/>
              </w:rPr>
            </w:pPr>
            <w:r>
              <w:rPr>
                <w:rFonts w:ascii="Arial" w:cs="Arial" w:eastAsia="Arial" w:hAnsi="Arial"/>
                <w:sz w:val="16"/>
                <w:szCs w:val="16"/>
                <w:color w:val="131E29"/>
              </w:rPr>
              <w:t>20.0%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117"/>
              <w:spacing w:after="0"/>
              <w:rPr>
                <w:sz w:val="20"/>
                <w:szCs w:val="20"/>
                <w:color w:val="auto"/>
              </w:rPr>
            </w:pPr>
            <w:r>
              <w:rPr>
                <w:rFonts w:ascii="Arial" w:cs="Arial" w:eastAsia="Arial" w:hAnsi="Arial"/>
                <w:sz w:val="16"/>
                <w:szCs w:val="16"/>
                <w:color w:val="131E29"/>
              </w:rPr>
              <w:t>21.3%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97"/>
              <w:spacing w:after="0"/>
              <w:rPr>
                <w:sz w:val="20"/>
                <w:szCs w:val="20"/>
                <w:color w:val="auto"/>
              </w:rPr>
            </w:pPr>
            <w:r>
              <w:rPr>
                <w:rFonts w:ascii="Arial" w:cs="Arial" w:eastAsia="Arial" w:hAnsi="Arial"/>
                <w:sz w:val="16"/>
                <w:szCs w:val="16"/>
                <w:color w:val="131E29"/>
              </w:rPr>
              <w:t>N/A</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131E29"/>
              </w:rPr>
              <w:t>(130)bps</w:t>
            </w:r>
          </w:p>
        </w:tc>
        <w:tc>
          <w:tcPr>
            <w:tcW w:w="1060" w:type="dxa"/>
            <w:vAlign w:val="bottom"/>
          </w:tcPr>
          <w:p>
            <w:pPr>
              <w:jc w:val="center"/>
              <w:spacing w:after="0"/>
              <w:rPr>
                <w:sz w:val="20"/>
                <w:szCs w:val="20"/>
                <w:color w:val="auto"/>
              </w:rPr>
            </w:pPr>
            <w:r>
              <w:rPr>
                <w:rFonts w:ascii="Arial" w:cs="Arial" w:eastAsia="Arial" w:hAnsi="Arial"/>
                <w:sz w:val="16"/>
                <w:szCs w:val="16"/>
                <w:color w:val="131E29"/>
              </w:rPr>
              <w:t>17.8%</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131E29"/>
              </w:rPr>
              <w:t>24.2%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777"/>
              <w:spacing w:after="0"/>
              <w:rPr>
                <w:sz w:val="20"/>
                <w:szCs w:val="20"/>
                <w:color w:val="auto"/>
              </w:rPr>
            </w:pPr>
            <w:r>
              <w:rPr>
                <w:rFonts w:ascii="Arial" w:cs="Arial" w:eastAsia="Arial" w:hAnsi="Arial"/>
                <w:sz w:val="16"/>
                <w:szCs w:val="16"/>
                <w:color w:val="131E29"/>
              </w:rPr>
              <w:t>N/A</w:t>
            </w:r>
          </w:p>
        </w:tc>
        <w:tc>
          <w:tcPr>
            <w:tcW w:w="880" w:type="dxa"/>
            <w:vAlign w:val="bottom"/>
          </w:tcPr>
          <w:p>
            <w:pPr>
              <w:jc w:val="right"/>
              <w:spacing w:after="0"/>
              <w:rPr>
                <w:sz w:val="20"/>
                <w:szCs w:val="20"/>
                <w:color w:val="auto"/>
              </w:rPr>
            </w:pPr>
            <w:r>
              <w:rPr>
                <w:rFonts w:ascii="Arial" w:cs="Arial" w:eastAsia="Arial" w:hAnsi="Arial"/>
                <w:sz w:val="16"/>
                <w:szCs w:val="16"/>
                <w:color w:val="131E29"/>
              </w:rPr>
              <w:t>(640)bps</w:t>
            </w:r>
          </w:p>
        </w:tc>
        <w:tc>
          <w:tcPr>
            <w:tcW w:w="0" w:type="dxa"/>
            <w:vAlign w:val="bottom"/>
          </w:tcPr>
          <w:p>
            <w:pPr>
              <w:spacing w:after="0"/>
              <w:rPr>
                <w:sz w:val="1"/>
                <w:szCs w:val="1"/>
                <w:color w:val="auto"/>
              </w:rPr>
            </w:pPr>
          </w:p>
        </w:tc>
      </w:tr>
      <w:tr>
        <w:trPr>
          <w:trHeight w:val="204"/>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Company-operated</w:t>
            </w:r>
          </w:p>
        </w:tc>
        <w:tc>
          <w:tcPr>
            <w:tcW w:w="200" w:type="dxa"/>
            <w:vAlign w:val="bottom"/>
            <w:shd w:val="clear" w:color="auto" w:fill="D2DCE5"/>
          </w:tcPr>
          <w:p>
            <w:pPr>
              <w:spacing w:after="0"/>
              <w:rPr>
                <w:sz w:val="17"/>
                <w:szCs w:val="17"/>
                <w:color w:val="auto"/>
              </w:rPr>
            </w:pPr>
          </w:p>
        </w:tc>
        <w:tc>
          <w:tcPr>
            <w:tcW w:w="82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00" w:type="dxa"/>
            <w:vAlign w:val="bottom"/>
            <w:shd w:val="clear" w:color="auto" w:fill="D2DCE5"/>
          </w:tcPr>
          <w:p>
            <w:pPr>
              <w:spacing w:after="0"/>
              <w:rPr>
                <w:sz w:val="17"/>
                <w:szCs w:val="17"/>
                <w:color w:val="auto"/>
              </w:rPr>
            </w:pPr>
          </w:p>
        </w:tc>
        <w:tc>
          <w:tcPr>
            <w:tcW w:w="82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1000" w:type="dxa"/>
            <w:vAlign w:val="bottom"/>
            <w:shd w:val="clear" w:color="auto" w:fill="D2DCE5"/>
          </w:tcPr>
          <w:p>
            <w:pPr>
              <w:spacing w:after="0"/>
              <w:rPr>
                <w:sz w:val="17"/>
                <w:szCs w:val="17"/>
                <w:color w:val="auto"/>
              </w:rPr>
            </w:pPr>
          </w:p>
        </w:tc>
        <w:tc>
          <w:tcPr>
            <w:tcW w:w="114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0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0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1260" w:type="dxa"/>
            <w:vAlign w:val="bottom"/>
            <w:shd w:val="clear" w:color="auto" w:fill="D2DCE5"/>
          </w:tcPr>
          <w:p>
            <w:pPr>
              <w:spacing w:after="0"/>
              <w:rPr>
                <w:sz w:val="17"/>
                <w:szCs w:val="17"/>
                <w:color w:val="auto"/>
              </w:rPr>
            </w:pPr>
          </w:p>
        </w:tc>
        <w:tc>
          <w:tcPr>
            <w:tcW w:w="88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shop contribution </w:t>
            </w:r>
            <w:r>
              <w:rPr>
                <w:rFonts w:ascii="Arial" w:cs="Arial" w:eastAsia="Arial" w:hAnsi="Arial"/>
                <w:sz w:val="9"/>
                <w:szCs w:val="9"/>
                <w:color w:val="131E29"/>
              </w:rPr>
              <w:t>1</w:t>
            </w:r>
          </w:p>
        </w:tc>
        <w:tc>
          <w:tcPr>
            <w:tcW w:w="20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w:t>
            </w:r>
          </w:p>
        </w:tc>
        <w:tc>
          <w:tcPr>
            <w:tcW w:w="82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44,344</w:t>
            </w:r>
          </w:p>
        </w:tc>
        <w:tc>
          <w:tcPr>
            <w:tcW w:w="100" w:type="dxa"/>
            <w:vAlign w:val="bottom"/>
            <w:shd w:val="clear" w:color="auto" w:fill="D2DCE5"/>
          </w:tcPr>
          <w:p>
            <w:pPr>
              <w:spacing w:after="0"/>
              <w:rPr>
                <w:sz w:val="14"/>
                <w:szCs w:val="14"/>
                <w:color w:val="auto"/>
              </w:rPr>
            </w:pPr>
          </w:p>
        </w:tc>
        <w:tc>
          <w:tcPr>
            <w:tcW w:w="20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w:t>
            </w:r>
          </w:p>
        </w:tc>
        <w:tc>
          <w:tcPr>
            <w:tcW w:w="82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27,405</w:t>
            </w:r>
          </w:p>
        </w:tc>
        <w:tc>
          <w:tcPr>
            <w:tcW w:w="100" w:type="dxa"/>
            <w:vAlign w:val="bottom"/>
            <w:shd w:val="clear" w:color="auto" w:fill="D2DCE5"/>
          </w:tcPr>
          <w:p>
            <w:pPr>
              <w:spacing w:after="0"/>
              <w:rPr>
                <w:sz w:val="14"/>
                <w:szCs w:val="14"/>
                <w:color w:val="auto"/>
              </w:rPr>
            </w:pPr>
          </w:p>
        </w:tc>
        <w:tc>
          <w:tcPr>
            <w:tcW w:w="240" w:type="dxa"/>
            <w:vAlign w:val="bottom"/>
            <w:vMerge w:val="restart"/>
            <w:shd w:val="clear" w:color="auto" w:fill="D2DCE5"/>
          </w:tcPr>
          <w:p>
            <w:pPr>
              <w:jc w:val="center"/>
              <w:ind w:right="19"/>
              <w:spacing w:after="0"/>
              <w:rPr>
                <w:sz w:val="20"/>
                <w:szCs w:val="20"/>
                <w:color w:val="auto"/>
              </w:rPr>
            </w:pPr>
            <w:r>
              <w:rPr>
                <w:rFonts w:ascii="Arial" w:cs="Arial" w:eastAsia="Arial" w:hAnsi="Arial"/>
                <w:sz w:val="16"/>
                <w:szCs w:val="16"/>
                <w:color w:val="131E29"/>
              </w:rPr>
              <w:t>$</w:t>
            </w:r>
          </w:p>
        </w:tc>
        <w:tc>
          <w:tcPr>
            <w:tcW w:w="1000" w:type="dxa"/>
            <w:vAlign w:val="bottom"/>
            <w:vMerge w:val="restart"/>
            <w:shd w:val="clear" w:color="auto" w:fill="D2DCE5"/>
          </w:tcPr>
          <w:p>
            <w:pPr>
              <w:jc w:val="right"/>
              <w:ind w:right="197"/>
              <w:spacing w:after="0"/>
              <w:rPr>
                <w:sz w:val="20"/>
                <w:szCs w:val="20"/>
                <w:color w:val="auto"/>
              </w:rPr>
            </w:pPr>
            <w:r>
              <w:rPr>
                <w:rFonts w:ascii="Arial" w:cs="Arial" w:eastAsia="Arial" w:hAnsi="Arial"/>
                <w:sz w:val="16"/>
                <w:szCs w:val="16"/>
                <w:color w:val="131E29"/>
              </w:rPr>
              <w:t>16,939</w:t>
            </w:r>
          </w:p>
        </w:tc>
        <w:tc>
          <w:tcPr>
            <w:tcW w:w="1140" w:type="dxa"/>
            <w:vAlign w:val="bottom"/>
            <w:vMerge w:val="restart"/>
            <w:shd w:val="clear" w:color="auto" w:fill="D2DCE5"/>
          </w:tcPr>
          <w:p>
            <w:pPr>
              <w:jc w:val="right"/>
              <w:ind w:right="319"/>
              <w:spacing w:after="0"/>
              <w:rPr>
                <w:sz w:val="20"/>
                <w:szCs w:val="20"/>
                <w:color w:val="auto"/>
              </w:rPr>
            </w:pPr>
            <w:r>
              <w:rPr>
                <w:rFonts w:ascii="Arial" w:cs="Arial" w:eastAsia="Arial" w:hAnsi="Arial"/>
                <w:sz w:val="16"/>
                <w:szCs w:val="16"/>
                <w:color w:val="131E29"/>
              </w:rPr>
              <w:t>61.8%</w:t>
            </w:r>
          </w:p>
        </w:tc>
        <w:tc>
          <w:tcPr>
            <w:tcW w:w="100" w:type="dxa"/>
            <w:vAlign w:val="bottom"/>
            <w:shd w:val="clear" w:color="auto" w:fill="D2DCE5"/>
          </w:tcPr>
          <w:p>
            <w:pPr>
              <w:spacing w:after="0"/>
              <w:rPr>
                <w:sz w:val="14"/>
                <w:szCs w:val="14"/>
                <w:color w:val="auto"/>
              </w:rPr>
            </w:pPr>
          </w:p>
        </w:tc>
        <w:tc>
          <w:tcPr>
            <w:tcW w:w="106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107,648</w:t>
            </w:r>
          </w:p>
        </w:tc>
        <w:tc>
          <w:tcPr>
            <w:tcW w:w="100" w:type="dxa"/>
            <w:vAlign w:val="bottom"/>
            <w:shd w:val="clear" w:color="auto" w:fill="D2DCE5"/>
          </w:tcPr>
          <w:p>
            <w:pPr>
              <w:spacing w:after="0"/>
              <w:rPr>
                <w:sz w:val="14"/>
                <w:szCs w:val="14"/>
                <w:color w:val="auto"/>
              </w:rPr>
            </w:pPr>
          </w:p>
        </w:tc>
        <w:tc>
          <w:tcPr>
            <w:tcW w:w="108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81,179</w:t>
            </w:r>
          </w:p>
        </w:tc>
        <w:tc>
          <w:tcPr>
            <w:tcW w:w="100" w:type="dxa"/>
            <w:vAlign w:val="bottom"/>
            <w:shd w:val="clear" w:color="auto" w:fill="D2DCE5"/>
          </w:tcPr>
          <w:p>
            <w:pPr>
              <w:spacing w:after="0"/>
              <w:rPr>
                <w:sz w:val="14"/>
                <w:szCs w:val="14"/>
                <w:color w:val="auto"/>
              </w:rPr>
            </w:pPr>
          </w:p>
        </w:tc>
        <w:tc>
          <w:tcPr>
            <w:tcW w:w="240" w:type="dxa"/>
            <w:vAlign w:val="bottom"/>
            <w:vMerge w:val="restart"/>
            <w:shd w:val="clear" w:color="auto" w:fill="D2DCE5"/>
          </w:tcPr>
          <w:p>
            <w:pPr>
              <w:jc w:val="right"/>
              <w:ind w:right="39"/>
              <w:spacing w:after="0"/>
              <w:rPr>
                <w:sz w:val="20"/>
                <w:szCs w:val="20"/>
                <w:color w:val="auto"/>
              </w:rPr>
            </w:pPr>
            <w:r>
              <w:rPr>
                <w:rFonts w:ascii="Arial" w:cs="Arial" w:eastAsia="Arial" w:hAnsi="Arial"/>
                <w:sz w:val="16"/>
                <w:szCs w:val="16"/>
                <w:color w:val="131E29"/>
              </w:rPr>
              <w:t>$</w:t>
            </w:r>
          </w:p>
        </w:tc>
        <w:tc>
          <w:tcPr>
            <w:tcW w:w="1260" w:type="dxa"/>
            <w:vAlign w:val="bottom"/>
            <w:vMerge w:val="restart"/>
            <w:shd w:val="clear" w:color="auto" w:fill="D2DCE5"/>
          </w:tcPr>
          <w:p>
            <w:pPr>
              <w:jc w:val="right"/>
              <w:ind w:right="497"/>
              <w:spacing w:after="0"/>
              <w:rPr>
                <w:sz w:val="20"/>
                <w:szCs w:val="20"/>
                <w:color w:val="auto"/>
              </w:rPr>
            </w:pPr>
            <w:r>
              <w:rPr>
                <w:rFonts w:ascii="Arial" w:cs="Arial" w:eastAsia="Arial" w:hAnsi="Arial"/>
                <w:sz w:val="16"/>
                <w:szCs w:val="16"/>
                <w:color w:val="131E29"/>
              </w:rPr>
              <w:t>26,469</w:t>
            </w:r>
          </w:p>
        </w:tc>
        <w:tc>
          <w:tcPr>
            <w:tcW w:w="880" w:type="dxa"/>
            <w:vAlign w:val="bottom"/>
            <w:vMerge w:val="restart"/>
            <w:shd w:val="clear" w:color="auto" w:fill="D2DCE5"/>
          </w:tcPr>
          <w:p>
            <w:pPr>
              <w:jc w:val="right"/>
              <w:ind w:right="339"/>
              <w:spacing w:after="0"/>
              <w:rPr>
                <w:sz w:val="20"/>
                <w:szCs w:val="20"/>
                <w:color w:val="auto"/>
              </w:rPr>
            </w:pPr>
            <w:r>
              <w:rPr>
                <w:rFonts w:ascii="Arial" w:cs="Arial" w:eastAsia="Arial" w:hAnsi="Arial"/>
                <w:sz w:val="16"/>
                <w:szCs w:val="16"/>
                <w:color w:val="131E29"/>
                <w:w w:val="96"/>
              </w:rPr>
              <w:t>32.6%</w:t>
            </w:r>
          </w:p>
        </w:tc>
        <w:tc>
          <w:tcPr>
            <w:tcW w:w="0" w:type="dxa"/>
            <w:vAlign w:val="bottom"/>
          </w:tcPr>
          <w:p>
            <w:pPr>
              <w:spacing w:after="0"/>
              <w:rPr>
                <w:sz w:val="1"/>
                <w:szCs w:val="1"/>
                <w:color w:val="auto"/>
              </w:rPr>
            </w:pPr>
          </w:p>
        </w:tc>
      </w:tr>
      <w:tr>
        <w:trPr>
          <w:trHeight w:val="201"/>
        </w:trPr>
        <w:tc>
          <w:tcPr>
            <w:tcW w:w="15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00" w:type="dxa"/>
            <w:vAlign w:val="bottom"/>
            <w:vMerge w:val="continue"/>
            <w:shd w:val="clear" w:color="auto" w:fill="D2DCE5"/>
          </w:tcPr>
          <w:p>
            <w:pPr>
              <w:spacing w:after="0"/>
              <w:rPr>
                <w:sz w:val="17"/>
                <w:szCs w:val="17"/>
                <w:color w:val="auto"/>
              </w:rPr>
            </w:pPr>
          </w:p>
        </w:tc>
        <w:tc>
          <w:tcPr>
            <w:tcW w:w="820" w:type="dxa"/>
            <w:vAlign w:val="bottom"/>
            <w:vMerge w:val="continue"/>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00" w:type="dxa"/>
            <w:vAlign w:val="bottom"/>
            <w:vMerge w:val="continue"/>
            <w:shd w:val="clear" w:color="auto" w:fill="D2DCE5"/>
          </w:tcPr>
          <w:p>
            <w:pPr>
              <w:spacing w:after="0"/>
              <w:rPr>
                <w:sz w:val="17"/>
                <w:szCs w:val="17"/>
                <w:color w:val="auto"/>
              </w:rPr>
            </w:pPr>
          </w:p>
        </w:tc>
        <w:tc>
          <w:tcPr>
            <w:tcW w:w="820" w:type="dxa"/>
            <w:vAlign w:val="bottom"/>
            <w:vMerge w:val="continue"/>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40" w:type="dxa"/>
            <w:vAlign w:val="bottom"/>
            <w:vMerge w:val="continue"/>
            <w:shd w:val="clear" w:color="auto" w:fill="D2DCE5"/>
          </w:tcPr>
          <w:p>
            <w:pPr>
              <w:spacing w:after="0"/>
              <w:rPr>
                <w:sz w:val="17"/>
                <w:szCs w:val="17"/>
                <w:color w:val="auto"/>
              </w:rPr>
            </w:pPr>
          </w:p>
        </w:tc>
        <w:tc>
          <w:tcPr>
            <w:tcW w:w="1000" w:type="dxa"/>
            <w:vAlign w:val="bottom"/>
            <w:vMerge w:val="continue"/>
            <w:shd w:val="clear" w:color="auto" w:fill="D2DCE5"/>
          </w:tcPr>
          <w:p>
            <w:pPr>
              <w:spacing w:after="0"/>
              <w:rPr>
                <w:sz w:val="17"/>
                <w:szCs w:val="17"/>
                <w:color w:val="auto"/>
              </w:rPr>
            </w:pPr>
          </w:p>
        </w:tc>
        <w:tc>
          <w:tcPr>
            <w:tcW w:w="1140" w:type="dxa"/>
            <w:vAlign w:val="bottom"/>
            <w:vMerge w:val="continue"/>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060" w:type="dxa"/>
            <w:vAlign w:val="bottom"/>
            <w:vMerge w:val="continue"/>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080" w:type="dxa"/>
            <w:vAlign w:val="bottom"/>
            <w:vMerge w:val="continue"/>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40" w:type="dxa"/>
            <w:vAlign w:val="bottom"/>
            <w:vMerge w:val="continue"/>
            <w:shd w:val="clear" w:color="auto" w:fill="D2DCE5"/>
          </w:tcPr>
          <w:p>
            <w:pPr>
              <w:spacing w:after="0"/>
              <w:rPr>
                <w:sz w:val="17"/>
                <w:szCs w:val="17"/>
                <w:color w:val="auto"/>
              </w:rPr>
            </w:pPr>
          </w:p>
        </w:tc>
        <w:tc>
          <w:tcPr>
            <w:tcW w:w="1260" w:type="dxa"/>
            <w:vAlign w:val="bottom"/>
            <w:vMerge w:val="continue"/>
            <w:shd w:val="clear" w:color="auto" w:fill="D2DCE5"/>
          </w:tcPr>
          <w:p>
            <w:pPr>
              <w:spacing w:after="0"/>
              <w:rPr>
                <w:sz w:val="17"/>
                <w:szCs w:val="17"/>
                <w:color w:val="auto"/>
              </w:rPr>
            </w:pPr>
          </w:p>
        </w:tc>
        <w:tc>
          <w:tcPr>
            <w:tcW w:w="880" w:type="dxa"/>
            <w:vAlign w:val="bottom"/>
            <w:vMerge w:val="continue"/>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680" w:type="dxa"/>
            <w:vAlign w:val="bottom"/>
            <w:gridSpan w:val="2"/>
          </w:tcPr>
          <w:p>
            <w:pPr>
              <w:ind w:left="20"/>
              <w:spacing w:after="0"/>
              <w:rPr>
                <w:sz w:val="20"/>
                <w:szCs w:val="20"/>
                <w:color w:val="auto"/>
              </w:rPr>
            </w:pPr>
            <w:r>
              <w:rPr>
                <w:rFonts w:ascii="Arial" w:cs="Arial" w:eastAsia="Arial" w:hAnsi="Arial"/>
                <w:sz w:val="14"/>
                <w:szCs w:val="14"/>
                <w:i w:val="1"/>
                <w:iCs w:val="1"/>
                <w:color w:val="131E29"/>
              </w:rPr>
              <w:t>As a percentage of</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680" w:type="dxa"/>
            <w:vAlign w:val="bottom"/>
            <w:gridSpan w:val="2"/>
          </w:tcPr>
          <w:p>
            <w:pPr>
              <w:ind w:left="20"/>
              <w:spacing w:after="0"/>
              <w:rPr>
                <w:sz w:val="20"/>
                <w:szCs w:val="20"/>
                <w:color w:val="auto"/>
              </w:rPr>
            </w:pPr>
            <w:r>
              <w:rPr>
                <w:rFonts w:ascii="Arial" w:cs="Arial" w:eastAsia="Arial" w:hAnsi="Arial"/>
                <w:sz w:val="14"/>
                <w:szCs w:val="14"/>
                <w:i w:val="1"/>
                <w:iCs w:val="1"/>
                <w:color w:val="131E29"/>
              </w:rPr>
              <w:t>revenue</w:t>
            </w:r>
          </w:p>
        </w:tc>
        <w:tc>
          <w:tcPr>
            <w:tcW w:w="200" w:type="dxa"/>
            <w:vAlign w:val="bottom"/>
          </w:tcPr>
          <w:p>
            <w:pPr>
              <w:spacing w:after="0"/>
              <w:rPr>
                <w:sz w:val="17"/>
                <w:szCs w:val="17"/>
                <w:color w:val="auto"/>
              </w:rPr>
            </w:pPr>
          </w:p>
        </w:tc>
        <w:tc>
          <w:tcPr>
            <w:tcW w:w="820" w:type="dxa"/>
            <w:vAlign w:val="bottom"/>
          </w:tcPr>
          <w:p>
            <w:pPr>
              <w:jc w:val="center"/>
              <w:ind w:right="116"/>
              <w:spacing w:after="0"/>
              <w:rPr>
                <w:sz w:val="20"/>
                <w:szCs w:val="20"/>
                <w:color w:val="auto"/>
              </w:rPr>
            </w:pPr>
            <w:r>
              <w:rPr>
                <w:rFonts w:ascii="Arial" w:cs="Arial" w:eastAsia="Arial" w:hAnsi="Arial"/>
                <w:sz w:val="16"/>
                <w:szCs w:val="16"/>
                <w:color w:val="131E29"/>
              </w:rPr>
              <w:t>25.6%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ind w:right="117"/>
              <w:spacing w:after="0"/>
              <w:rPr>
                <w:sz w:val="20"/>
                <w:szCs w:val="20"/>
                <w:color w:val="auto"/>
              </w:rPr>
            </w:pPr>
            <w:r>
              <w:rPr>
                <w:rFonts w:ascii="Arial" w:cs="Arial" w:eastAsia="Arial" w:hAnsi="Arial"/>
                <w:sz w:val="16"/>
                <w:szCs w:val="16"/>
                <w:color w:val="131E29"/>
              </w:rPr>
              <w:t>25.2%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97"/>
              <w:spacing w:after="0"/>
              <w:rPr>
                <w:sz w:val="20"/>
                <w:szCs w:val="20"/>
                <w:color w:val="auto"/>
              </w:rPr>
            </w:pPr>
            <w:r>
              <w:rPr>
                <w:rFonts w:ascii="Arial" w:cs="Arial" w:eastAsia="Arial" w:hAnsi="Arial"/>
                <w:sz w:val="16"/>
                <w:szCs w:val="16"/>
                <w:color w:val="131E29"/>
              </w:rPr>
              <w:t>N/A</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131E29"/>
              </w:rPr>
              <w:t>40 bps</w:t>
            </w:r>
          </w:p>
        </w:tc>
        <w:tc>
          <w:tcPr>
            <w:tcW w:w="1060" w:type="dxa"/>
            <w:vAlign w:val="bottom"/>
          </w:tcPr>
          <w:p>
            <w:pPr>
              <w:jc w:val="center"/>
              <w:spacing w:after="0"/>
              <w:rPr>
                <w:sz w:val="20"/>
                <w:szCs w:val="20"/>
                <w:color w:val="auto"/>
              </w:rPr>
            </w:pPr>
            <w:r>
              <w:rPr>
                <w:rFonts w:ascii="Arial" w:cs="Arial" w:eastAsia="Arial" w:hAnsi="Arial"/>
                <w:sz w:val="16"/>
                <w:szCs w:val="16"/>
                <w:color w:val="131E29"/>
              </w:rPr>
              <w:t>23.2%</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131E29"/>
              </w:rPr>
              <w:t>28.0%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777"/>
              <w:spacing w:after="0"/>
              <w:rPr>
                <w:sz w:val="20"/>
                <w:szCs w:val="20"/>
                <w:color w:val="auto"/>
              </w:rPr>
            </w:pPr>
            <w:r>
              <w:rPr>
                <w:rFonts w:ascii="Arial" w:cs="Arial" w:eastAsia="Arial" w:hAnsi="Arial"/>
                <w:sz w:val="16"/>
                <w:szCs w:val="16"/>
                <w:color w:val="131E29"/>
              </w:rPr>
              <w:t>N/A</w:t>
            </w:r>
          </w:p>
        </w:tc>
        <w:tc>
          <w:tcPr>
            <w:tcW w:w="880" w:type="dxa"/>
            <w:vAlign w:val="bottom"/>
          </w:tcPr>
          <w:p>
            <w:pPr>
              <w:jc w:val="right"/>
              <w:spacing w:after="0"/>
              <w:rPr>
                <w:sz w:val="20"/>
                <w:szCs w:val="20"/>
                <w:color w:val="auto"/>
              </w:rPr>
            </w:pPr>
            <w:r>
              <w:rPr>
                <w:rFonts w:ascii="Arial" w:cs="Arial" w:eastAsia="Arial" w:hAnsi="Arial"/>
                <w:sz w:val="16"/>
                <w:szCs w:val="16"/>
                <w:color w:val="131E29"/>
              </w:rPr>
              <w:t>(480)bps</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September 30, 2022 v 2021</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The Company-operated shop gross profit and contribution impacts for the year-over-year comparison, presented in basis points, were driven by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920" w:type="dxa"/>
            <w:vAlign w:val="bottom"/>
            <w:gridSpan w:val="2"/>
          </w:tcPr>
          <w:p>
            <w:pPr>
              <w:ind w:left="20"/>
              <w:spacing w:after="0"/>
              <w:rPr>
                <w:sz w:val="20"/>
                <w:szCs w:val="20"/>
                <w:color w:val="auto"/>
              </w:rPr>
            </w:pPr>
            <w:r>
              <w:rPr>
                <w:rFonts w:ascii="Arial" w:cs="Arial" w:eastAsia="Arial" w:hAnsi="Arial"/>
                <w:sz w:val="14"/>
                <w:szCs w:val="14"/>
                <w:color w:val="131E29"/>
              </w:rPr>
              <w:t>(unaudited)</w:t>
            </w: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131E29"/>
              </w:rPr>
              <w:t>BPS</w:t>
            </w:r>
          </w:p>
        </w:tc>
      </w:tr>
      <w:tr>
        <w:trPr>
          <w:trHeight w:val="25"/>
        </w:trPr>
        <w:tc>
          <w:tcPr>
            <w:tcW w:w="98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131E29"/>
            </w:tcBorders>
          </w:tcPr>
          <w:p>
            <w:pPr>
              <w:spacing w:after="0"/>
              <w:rPr>
                <w:sz w:val="2"/>
                <w:szCs w:val="2"/>
                <w:color w:val="auto"/>
              </w:rPr>
            </w:pPr>
          </w:p>
        </w:tc>
      </w:tr>
      <w:tr>
        <w:trPr>
          <w:trHeight w:val="243"/>
        </w:trPr>
        <w:tc>
          <w:tcPr>
            <w:tcW w:w="99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Higher ingredient costs</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(400)</w:t>
            </w:r>
          </w:p>
        </w:tc>
      </w:tr>
      <w:tr>
        <w:trPr>
          <w:trHeight w:val="243"/>
        </w:trPr>
        <w:tc>
          <w:tcPr>
            <w:tcW w:w="9920" w:type="dxa"/>
            <w:vAlign w:val="bottom"/>
            <w:gridSpan w:val="2"/>
          </w:tcPr>
          <w:p>
            <w:pPr>
              <w:ind w:left="20"/>
              <w:spacing w:after="0"/>
              <w:rPr>
                <w:sz w:val="20"/>
                <w:szCs w:val="20"/>
                <w:color w:val="auto"/>
              </w:rPr>
            </w:pPr>
            <w:r>
              <w:rPr>
                <w:rFonts w:ascii="Arial" w:cs="Arial" w:eastAsia="Arial" w:hAnsi="Arial"/>
                <w:sz w:val="18"/>
                <w:szCs w:val="18"/>
                <w:color w:val="131E29"/>
              </w:rPr>
              <w:t>Higher shop operating expenses</w:t>
            </w:r>
          </w:p>
        </w:tc>
        <w:tc>
          <w:tcPr>
            <w:tcW w:w="1320" w:type="dxa"/>
            <w:vAlign w:val="bottom"/>
          </w:tcPr>
          <w:p>
            <w:pPr>
              <w:jc w:val="right"/>
              <w:spacing w:after="0"/>
              <w:rPr>
                <w:sz w:val="20"/>
                <w:szCs w:val="20"/>
                <w:color w:val="auto"/>
              </w:rPr>
            </w:pPr>
            <w:r>
              <w:rPr>
                <w:rFonts w:ascii="Arial" w:cs="Arial" w:eastAsia="Arial" w:hAnsi="Arial"/>
                <w:sz w:val="18"/>
                <w:szCs w:val="18"/>
                <w:color w:val="131E29"/>
              </w:rPr>
              <w:t>(120)</w:t>
            </w:r>
          </w:p>
        </w:tc>
      </w:tr>
      <w:tr>
        <w:trPr>
          <w:trHeight w:val="27"/>
        </w:trPr>
        <w:tc>
          <w:tcPr>
            <w:tcW w:w="9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9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Legislated minimum wage increases and higher minimum staffing standards</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(70)</w:t>
            </w:r>
          </w:p>
        </w:tc>
      </w:tr>
      <w:tr>
        <w:trPr>
          <w:trHeight w:val="237"/>
        </w:trPr>
        <w:tc>
          <w:tcPr>
            <w:tcW w:w="9920" w:type="dxa"/>
            <w:vAlign w:val="bottom"/>
            <w:gridSpan w:val="2"/>
          </w:tcPr>
          <w:p>
            <w:pPr>
              <w:ind w:left="180"/>
              <w:spacing w:after="0"/>
              <w:rPr>
                <w:sz w:val="20"/>
                <w:szCs w:val="20"/>
                <w:color w:val="auto"/>
              </w:rPr>
            </w:pPr>
            <w:r>
              <w:rPr>
                <w:rFonts w:ascii="Arial" w:cs="Arial" w:eastAsia="Arial" w:hAnsi="Arial"/>
                <w:sz w:val="18"/>
                <w:szCs w:val="18"/>
                <w:color w:val="131E29"/>
              </w:rPr>
              <w:t>Costs increases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(590)</w:t>
            </w:r>
          </w:p>
        </w:tc>
      </w:tr>
      <w:tr>
        <w:trPr>
          <w:trHeight w:val="27"/>
        </w:trPr>
        <w:tc>
          <w:tcPr>
            <w:tcW w:w="98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Menu price increases</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570</w:t>
            </w:r>
          </w:p>
        </w:tc>
      </w:tr>
      <w:tr>
        <w:trPr>
          <w:trHeight w:val="243"/>
        </w:trPr>
        <w:tc>
          <w:tcPr>
            <w:tcW w:w="9920" w:type="dxa"/>
            <w:vAlign w:val="bottom"/>
            <w:gridSpan w:val="2"/>
          </w:tcPr>
          <w:p>
            <w:pPr>
              <w:ind w:left="20"/>
              <w:spacing w:after="0"/>
              <w:rPr>
                <w:sz w:val="20"/>
                <w:szCs w:val="20"/>
                <w:color w:val="auto"/>
              </w:rPr>
            </w:pPr>
            <w:r>
              <w:rPr>
                <w:rFonts w:ascii="Arial" w:cs="Arial" w:eastAsia="Arial" w:hAnsi="Arial"/>
                <w:sz w:val="18"/>
                <w:szCs w:val="18"/>
                <w:color w:val="131E29"/>
              </w:rPr>
              <w:t>Lower promotional discounts</w:t>
            </w:r>
          </w:p>
        </w:tc>
        <w:tc>
          <w:tcPr>
            <w:tcW w:w="1320" w:type="dxa"/>
            <w:vAlign w:val="bottom"/>
          </w:tcPr>
          <w:p>
            <w:pPr>
              <w:jc w:val="right"/>
              <w:spacing w:after="0"/>
              <w:rPr>
                <w:sz w:val="20"/>
                <w:szCs w:val="20"/>
                <w:color w:val="auto"/>
              </w:rPr>
            </w:pPr>
            <w:r>
              <w:rPr>
                <w:rFonts w:ascii="Arial" w:cs="Arial" w:eastAsia="Arial" w:hAnsi="Arial"/>
                <w:sz w:val="18"/>
                <w:szCs w:val="18"/>
                <w:color w:val="131E29"/>
              </w:rPr>
              <w:t>—</w:t>
            </w:r>
          </w:p>
        </w:tc>
      </w:tr>
      <w:tr>
        <w:trPr>
          <w:trHeight w:val="27"/>
        </w:trPr>
        <w:tc>
          <w:tcPr>
            <w:tcW w:w="98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99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Pricing and discounts</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570</w:t>
            </w:r>
          </w:p>
        </w:tc>
      </w:tr>
      <w:tr>
        <w:trPr>
          <w:trHeight w:val="237"/>
        </w:trPr>
        <w:tc>
          <w:tcPr>
            <w:tcW w:w="9920" w:type="dxa"/>
            <w:vAlign w:val="bottom"/>
            <w:gridSpan w:val="2"/>
          </w:tcPr>
          <w:p>
            <w:pPr>
              <w:ind w:left="20"/>
              <w:spacing w:after="0"/>
              <w:rPr>
                <w:sz w:val="20"/>
                <w:szCs w:val="20"/>
                <w:color w:val="auto"/>
              </w:rPr>
            </w:pPr>
            <w:r>
              <w:rPr>
                <w:rFonts w:ascii="Arial" w:cs="Arial" w:eastAsia="Arial" w:hAnsi="Arial"/>
                <w:sz w:val="18"/>
                <w:szCs w:val="18"/>
                <w:color w:val="131E29"/>
              </w:rPr>
              <w:t>Higher pre-opening expenses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20</w:t>
            </w:r>
          </w:p>
        </w:tc>
      </w:tr>
      <w:tr>
        <w:trPr>
          <w:trHeight w:val="27"/>
        </w:trPr>
        <w:tc>
          <w:tcPr>
            <w:tcW w:w="9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9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New shop impact</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37"/>
        </w:trPr>
        <w:tc>
          <w:tcPr>
            <w:tcW w:w="9920" w:type="dxa"/>
            <w:vAlign w:val="bottom"/>
            <w:gridSpan w:val="2"/>
          </w:tcPr>
          <w:p>
            <w:pPr>
              <w:ind w:left="180"/>
              <w:spacing w:after="0"/>
              <w:rPr>
                <w:sz w:val="20"/>
                <w:szCs w:val="20"/>
                <w:color w:val="auto"/>
              </w:rPr>
            </w:pPr>
            <w:r>
              <w:rPr>
                <w:rFonts w:ascii="Arial" w:cs="Arial" w:eastAsia="Arial" w:hAnsi="Arial"/>
                <w:sz w:val="18"/>
                <w:szCs w:val="18"/>
                <w:color w:val="131E29"/>
              </w:rPr>
              <w:t>New shop related items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20</w:t>
            </w:r>
          </w:p>
        </w:tc>
      </w:tr>
      <w:tr>
        <w:trPr>
          <w:trHeight w:val="27"/>
        </w:trPr>
        <w:tc>
          <w:tcPr>
            <w:tcW w:w="98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99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Lower COVID-19 leave expenses</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w:t>
            </w:r>
          </w:p>
        </w:tc>
      </w:tr>
      <w:tr>
        <w:trPr>
          <w:trHeight w:val="243"/>
        </w:trPr>
        <w:tc>
          <w:tcPr>
            <w:tcW w:w="9920" w:type="dxa"/>
            <w:vAlign w:val="bottom"/>
            <w:gridSpan w:val="2"/>
          </w:tcPr>
          <w:p>
            <w:pPr>
              <w:ind w:left="20"/>
              <w:spacing w:after="0"/>
              <w:rPr>
                <w:sz w:val="20"/>
                <w:szCs w:val="20"/>
                <w:color w:val="auto"/>
              </w:rPr>
            </w:pPr>
            <w:r>
              <w:rPr>
                <w:rFonts w:ascii="Arial" w:cs="Arial" w:eastAsia="Arial" w:hAnsi="Arial"/>
                <w:sz w:val="18"/>
                <w:szCs w:val="18"/>
                <w:color w:val="131E29"/>
              </w:rPr>
              <w:t>Leverage (deleverage)</w:t>
            </w:r>
          </w:p>
        </w:tc>
        <w:tc>
          <w:tcPr>
            <w:tcW w:w="1320" w:type="dxa"/>
            <w:vAlign w:val="bottom"/>
          </w:tcPr>
          <w:p>
            <w:pPr>
              <w:jc w:val="right"/>
              <w:spacing w:after="0"/>
              <w:rPr>
                <w:sz w:val="20"/>
                <w:szCs w:val="20"/>
                <w:color w:val="auto"/>
              </w:rPr>
            </w:pPr>
            <w:r>
              <w:rPr>
                <w:rFonts w:ascii="Arial" w:cs="Arial" w:eastAsia="Arial" w:hAnsi="Arial"/>
                <w:sz w:val="18"/>
                <w:szCs w:val="18"/>
                <w:color w:val="131E29"/>
              </w:rPr>
              <w:t>—</w:t>
            </w:r>
          </w:p>
        </w:tc>
      </w:tr>
      <w:tr>
        <w:trPr>
          <w:trHeight w:val="27"/>
        </w:trPr>
        <w:tc>
          <w:tcPr>
            <w:tcW w:w="9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9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Other</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(140)</w:t>
            </w:r>
          </w:p>
        </w:tc>
      </w:tr>
      <w:tr>
        <w:trPr>
          <w:trHeight w:val="236"/>
        </w:trPr>
        <w:tc>
          <w:tcPr>
            <w:tcW w:w="9820" w:type="dxa"/>
            <w:vAlign w:val="bottom"/>
            <w:tcBorders>
              <w:top w:val="single" w:sz="8" w:color="131E29"/>
            </w:tcBorders>
          </w:tcPr>
          <w:p>
            <w:pPr>
              <w:ind w:left="20"/>
              <w:spacing w:after="0"/>
              <w:rPr>
                <w:sz w:val="20"/>
                <w:szCs w:val="20"/>
                <w:color w:val="auto"/>
              </w:rPr>
            </w:pPr>
            <w:r>
              <w:rPr>
                <w:rFonts w:ascii="Arial" w:cs="Arial" w:eastAsia="Arial" w:hAnsi="Arial"/>
                <w:sz w:val="18"/>
                <w:szCs w:val="18"/>
                <w:b w:val="1"/>
                <w:bCs w:val="1"/>
                <w:color w:val="131E29"/>
              </w:rPr>
              <w:t>Total change in Company-operated shop gross profit</w:t>
            </w:r>
          </w:p>
        </w:tc>
        <w:tc>
          <w:tcPr>
            <w:tcW w:w="100" w:type="dxa"/>
            <w:vAlign w:val="bottom"/>
          </w:tcPr>
          <w:p>
            <w:pPr>
              <w:spacing w:after="0"/>
              <w:rPr>
                <w:sz w:val="20"/>
                <w:szCs w:val="20"/>
                <w:color w:val="auto"/>
              </w:rPr>
            </w:pPr>
          </w:p>
        </w:tc>
        <w:tc>
          <w:tcPr>
            <w:tcW w:w="1320" w:type="dxa"/>
            <w:vAlign w:val="bottom"/>
            <w:tcBorders>
              <w:top w:val="single" w:sz="8" w:color="131E29"/>
            </w:tcBorders>
          </w:tcPr>
          <w:p>
            <w:pPr>
              <w:jc w:val="right"/>
              <w:spacing w:after="0"/>
              <w:rPr>
                <w:sz w:val="20"/>
                <w:szCs w:val="20"/>
                <w:color w:val="auto"/>
              </w:rPr>
            </w:pPr>
            <w:r>
              <w:rPr>
                <w:rFonts w:ascii="Arial" w:cs="Arial" w:eastAsia="Arial" w:hAnsi="Arial"/>
                <w:sz w:val="18"/>
                <w:szCs w:val="18"/>
                <w:b w:val="1"/>
                <w:bCs w:val="1"/>
                <w:color w:val="131E29"/>
              </w:rPr>
              <w:t>(130)</w:t>
            </w:r>
          </w:p>
        </w:tc>
      </w:tr>
      <w:tr>
        <w:trPr>
          <w:trHeight w:val="27"/>
        </w:trPr>
        <w:tc>
          <w:tcPr>
            <w:tcW w:w="982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131E29"/>
            </w:tcBorders>
          </w:tcPr>
          <w:p>
            <w:pPr>
              <w:spacing w:after="0"/>
              <w:rPr>
                <w:sz w:val="2"/>
                <w:szCs w:val="2"/>
                <w:color w:val="auto"/>
              </w:rPr>
            </w:pPr>
          </w:p>
        </w:tc>
      </w:tr>
      <w:tr>
        <w:trPr>
          <w:trHeight w:val="264"/>
        </w:trPr>
        <w:tc>
          <w:tcPr>
            <w:tcW w:w="99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Depreciation and amortization</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170</w:t>
            </w:r>
          </w:p>
        </w:tc>
      </w:tr>
      <w:tr>
        <w:trPr>
          <w:trHeight w:val="236"/>
        </w:trPr>
        <w:tc>
          <w:tcPr>
            <w:tcW w:w="9820" w:type="dxa"/>
            <w:vAlign w:val="bottom"/>
            <w:tcBorders>
              <w:top w:val="single" w:sz="8" w:color="131E29"/>
            </w:tcBorders>
          </w:tcPr>
          <w:p>
            <w:pPr>
              <w:ind w:left="20"/>
              <w:spacing w:after="0"/>
              <w:rPr>
                <w:sz w:val="20"/>
                <w:szCs w:val="20"/>
                <w:color w:val="auto"/>
              </w:rPr>
            </w:pPr>
            <w:r>
              <w:rPr>
                <w:rFonts w:ascii="Arial" w:cs="Arial" w:eastAsia="Arial" w:hAnsi="Arial"/>
                <w:sz w:val="18"/>
                <w:szCs w:val="18"/>
                <w:b w:val="1"/>
                <w:bCs w:val="1"/>
                <w:color w:val="131E29"/>
              </w:rPr>
              <w:t>Total change in Company-operated shop contribution</w:t>
            </w:r>
          </w:p>
        </w:tc>
        <w:tc>
          <w:tcPr>
            <w:tcW w:w="100" w:type="dxa"/>
            <w:vAlign w:val="bottom"/>
          </w:tcPr>
          <w:p>
            <w:pPr>
              <w:spacing w:after="0"/>
              <w:rPr>
                <w:sz w:val="20"/>
                <w:szCs w:val="20"/>
                <w:color w:val="auto"/>
              </w:rPr>
            </w:pPr>
          </w:p>
        </w:tc>
        <w:tc>
          <w:tcPr>
            <w:tcW w:w="1320" w:type="dxa"/>
            <w:vAlign w:val="bottom"/>
            <w:tcBorders>
              <w:top w:val="single" w:sz="8" w:color="131E29"/>
            </w:tcBorders>
          </w:tcPr>
          <w:p>
            <w:pPr>
              <w:jc w:val="right"/>
              <w:spacing w:after="0"/>
              <w:rPr>
                <w:sz w:val="20"/>
                <w:szCs w:val="20"/>
                <w:color w:val="auto"/>
              </w:rPr>
            </w:pPr>
            <w:r>
              <w:rPr>
                <w:rFonts w:ascii="Arial" w:cs="Arial" w:eastAsia="Arial" w:hAnsi="Arial"/>
                <w:sz w:val="18"/>
                <w:szCs w:val="18"/>
                <w:b w:val="1"/>
                <w:bCs w:val="1"/>
                <w:color w:val="131E29"/>
              </w:rPr>
              <w:t>40</w:t>
            </w:r>
          </w:p>
        </w:tc>
      </w:tr>
      <w:tr>
        <w:trPr>
          <w:trHeight w:val="27"/>
        </w:trPr>
        <w:tc>
          <w:tcPr>
            <w:tcW w:w="9820" w:type="dxa"/>
            <w:vAlign w:val="bottom"/>
            <w:tcBorders>
              <w:bottom w:val="single" w:sz="8" w:color="131E29"/>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131E29"/>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Nine Months Ended September 30, 2022 v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31E29"/>
        </w:rPr>
        <w:t>The Company-operated gross profit and contribution impacts for the year-over-year comparison, in basis points, were driven by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64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131E29"/>
              </w:rPr>
              <w:t>BPS</w:t>
            </w:r>
          </w:p>
        </w:tc>
      </w:tr>
      <w:tr>
        <w:trPr>
          <w:trHeight w:val="26"/>
        </w:trPr>
        <w:tc>
          <w:tcPr>
            <w:tcW w:w="95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0" w:type="dxa"/>
            <w:vAlign w:val="bottom"/>
            <w:tcBorders>
              <w:bottom w:val="single" w:sz="8" w:color="131E29"/>
            </w:tcBorders>
          </w:tcPr>
          <w:p>
            <w:pPr>
              <w:spacing w:after="0"/>
              <w:rPr>
                <w:sz w:val="2"/>
                <w:szCs w:val="2"/>
                <w:color w:val="auto"/>
              </w:rPr>
            </w:pPr>
          </w:p>
        </w:tc>
      </w:tr>
      <w:tr>
        <w:trPr>
          <w:trHeight w:val="244"/>
        </w:trPr>
        <w:tc>
          <w:tcPr>
            <w:tcW w:w="96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Higher ingredient costs</w:t>
            </w: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(410)</w:t>
            </w:r>
          </w:p>
        </w:tc>
      </w:tr>
      <w:tr>
        <w:trPr>
          <w:trHeight w:val="243"/>
        </w:trPr>
        <w:tc>
          <w:tcPr>
            <w:tcW w:w="9640" w:type="dxa"/>
            <w:vAlign w:val="bottom"/>
            <w:gridSpan w:val="2"/>
          </w:tcPr>
          <w:p>
            <w:pPr>
              <w:ind w:left="20"/>
              <w:spacing w:after="0"/>
              <w:rPr>
                <w:sz w:val="20"/>
                <w:szCs w:val="20"/>
                <w:color w:val="auto"/>
              </w:rPr>
            </w:pPr>
            <w:r>
              <w:rPr>
                <w:rFonts w:ascii="Arial" w:cs="Arial" w:eastAsia="Arial" w:hAnsi="Arial"/>
                <w:sz w:val="18"/>
                <w:szCs w:val="18"/>
                <w:color w:val="131E29"/>
              </w:rPr>
              <w:t>Higher shop operating expenses</w:t>
            </w:r>
          </w:p>
        </w:tc>
        <w:tc>
          <w:tcPr>
            <w:tcW w:w="1600" w:type="dxa"/>
            <w:vAlign w:val="bottom"/>
          </w:tcPr>
          <w:p>
            <w:pPr>
              <w:jc w:val="right"/>
              <w:spacing w:after="0"/>
              <w:rPr>
                <w:sz w:val="20"/>
                <w:szCs w:val="20"/>
                <w:color w:val="auto"/>
              </w:rPr>
            </w:pPr>
            <w:r>
              <w:rPr>
                <w:rFonts w:ascii="Arial" w:cs="Arial" w:eastAsia="Arial" w:hAnsi="Arial"/>
                <w:sz w:val="18"/>
                <w:szCs w:val="18"/>
                <w:color w:val="131E29"/>
              </w:rPr>
              <w:t>(70)</w:t>
            </w:r>
          </w:p>
        </w:tc>
      </w:tr>
      <w:tr>
        <w:trPr>
          <w:trHeight w:val="27"/>
        </w:trPr>
        <w:tc>
          <w:tcPr>
            <w:tcW w:w="95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96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Legislated minimum wage increases and higher minimum staffing standards</w:t>
            </w: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(80)</w:t>
            </w:r>
          </w:p>
        </w:tc>
      </w:tr>
      <w:tr>
        <w:trPr>
          <w:trHeight w:val="237"/>
        </w:trPr>
        <w:tc>
          <w:tcPr>
            <w:tcW w:w="9640" w:type="dxa"/>
            <w:vAlign w:val="bottom"/>
            <w:gridSpan w:val="2"/>
          </w:tcPr>
          <w:p>
            <w:pPr>
              <w:ind w:left="180"/>
              <w:spacing w:after="0"/>
              <w:rPr>
                <w:sz w:val="20"/>
                <w:szCs w:val="20"/>
                <w:color w:val="auto"/>
              </w:rPr>
            </w:pPr>
            <w:r>
              <w:rPr>
                <w:rFonts w:ascii="Arial" w:cs="Arial" w:eastAsia="Arial" w:hAnsi="Arial"/>
                <w:sz w:val="18"/>
                <w:szCs w:val="18"/>
                <w:color w:val="131E29"/>
              </w:rPr>
              <w:t>Costs increases</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(560)</w:t>
            </w:r>
          </w:p>
        </w:tc>
      </w:tr>
      <w:tr>
        <w:trPr>
          <w:trHeight w:val="27"/>
        </w:trPr>
        <w:tc>
          <w:tcPr>
            <w:tcW w:w="9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Menu price increases</w:t>
            </w: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430</w:t>
            </w:r>
          </w:p>
        </w:tc>
      </w:tr>
      <w:tr>
        <w:trPr>
          <w:trHeight w:val="243"/>
        </w:trPr>
        <w:tc>
          <w:tcPr>
            <w:tcW w:w="9640" w:type="dxa"/>
            <w:vAlign w:val="bottom"/>
            <w:gridSpan w:val="2"/>
          </w:tcPr>
          <w:p>
            <w:pPr>
              <w:ind w:left="20"/>
              <w:spacing w:after="0"/>
              <w:rPr>
                <w:sz w:val="20"/>
                <w:szCs w:val="20"/>
                <w:color w:val="auto"/>
              </w:rPr>
            </w:pPr>
            <w:r>
              <w:rPr>
                <w:rFonts w:ascii="Arial" w:cs="Arial" w:eastAsia="Arial" w:hAnsi="Arial"/>
                <w:sz w:val="18"/>
                <w:szCs w:val="18"/>
                <w:color w:val="131E29"/>
              </w:rPr>
              <w:t>Lower promotional discounts</w:t>
            </w:r>
          </w:p>
        </w:tc>
        <w:tc>
          <w:tcPr>
            <w:tcW w:w="1600" w:type="dxa"/>
            <w:vAlign w:val="bottom"/>
          </w:tcPr>
          <w:p>
            <w:pPr>
              <w:jc w:val="right"/>
              <w:spacing w:after="0"/>
              <w:rPr>
                <w:sz w:val="20"/>
                <w:szCs w:val="20"/>
                <w:color w:val="auto"/>
              </w:rPr>
            </w:pPr>
            <w:r>
              <w:rPr>
                <w:rFonts w:ascii="Arial" w:cs="Arial" w:eastAsia="Arial" w:hAnsi="Arial"/>
                <w:sz w:val="18"/>
                <w:szCs w:val="18"/>
                <w:color w:val="131E29"/>
              </w:rPr>
              <w:t>(20)</w:t>
            </w:r>
          </w:p>
        </w:tc>
      </w:tr>
      <w:tr>
        <w:trPr>
          <w:trHeight w:val="27"/>
        </w:trPr>
        <w:tc>
          <w:tcPr>
            <w:tcW w:w="95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3"/>
        </w:trPr>
        <w:tc>
          <w:tcPr>
            <w:tcW w:w="96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Pricing and discounts</w:t>
            </w: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410</w:t>
            </w:r>
          </w:p>
        </w:tc>
      </w:tr>
      <w:tr>
        <w:trPr>
          <w:trHeight w:val="237"/>
        </w:trPr>
        <w:tc>
          <w:tcPr>
            <w:tcW w:w="9640" w:type="dxa"/>
            <w:vAlign w:val="bottom"/>
            <w:gridSpan w:val="2"/>
          </w:tcPr>
          <w:p>
            <w:pPr>
              <w:ind w:left="20"/>
              <w:spacing w:after="0"/>
              <w:rPr>
                <w:sz w:val="20"/>
                <w:szCs w:val="20"/>
                <w:color w:val="auto"/>
              </w:rPr>
            </w:pPr>
            <w:r>
              <w:rPr>
                <w:rFonts w:ascii="Arial" w:cs="Arial" w:eastAsia="Arial" w:hAnsi="Arial"/>
                <w:sz w:val="18"/>
                <w:szCs w:val="18"/>
                <w:color w:val="131E29"/>
              </w:rPr>
              <w:t>Higher preventative maintenance programs</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(80)</w:t>
            </w:r>
          </w:p>
        </w:tc>
      </w:tr>
      <w:tr>
        <w:trPr>
          <w:trHeight w:val="27"/>
        </w:trPr>
        <w:tc>
          <w:tcPr>
            <w:tcW w:w="95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96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Higher pre-opening expenses</w:t>
            </w: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(70)</w:t>
            </w:r>
          </w:p>
        </w:tc>
      </w:tr>
      <w:tr>
        <w:trPr>
          <w:trHeight w:val="243"/>
        </w:trPr>
        <w:tc>
          <w:tcPr>
            <w:tcW w:w="9640" w:type="dxa"/>
            <w:vAlign w:val="bottom"/>
            <w:gridSpan w:val="2"/>
          </w:tcPr>
          <w:p>
            <w:pPr>
              <w:ind w:left="20"/>
              <w:spacing w:after="0"/>
              <w:rPr>
                <w:sz w:val="20"/>
                <w:szCs w:val="20"/>
                <w:color w:val="auto"/>
              </w:rPr>
            </w:pPr>
            <w:r>
              <w:rPr>
                <w:rFonts w:ascii="Arial" w:cs="Arial" w:eastAsia="Arial" w:hAnsi="Arial"/>
                <w:sz w:val="18"/>
                <w:szCs w:val="18"/>
                <w:color w:val="131E29"/>
              </w:rPr>
              <w:t>New shop impact</w:t>
            </w:r>
          </w:p>
        </w:tc>
        <w:tc>
          <w:tcPr>
            <w:tcW w:w="1600" w:type="dxa"/>
            <w:vAlign w:val="bottom"/>
          </w:tcPr>
          <w:p>
            <w:pPr>
              <w:jc w:val="right"/>
              <w:spacing w:after="0"/>
              <w:rPr>
                <w:sz w:val="20"/>
                <w:szCs w:val="20"/>
                <w:color w:val="auto"/>
              </w:rPr>
            </w:pPr>
            <w:r>
              <w:rPr>
                <w:rFonts w:ascii="Arial" w:cs="Arial" w:eastAsia="Arial" w:hAnsi="Arial"/>
                <w:sz w:val="18"/>
                <w:szCs w:val="18"/>
                <w:color w:val="131E29"/>
              </w:rPr>
              <w:t>(80)</w:t>
            </w:r>
          </w:p>
        </w:tc>
      </w:tr>
      <w:tr>
        <w:trPr>
          <w:trHeight w:val="27"/>
        </w:trPr>
        <w:tc>
          <w:tcPr>
            <w:tcW w:w="95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3"/>
        </w:trPr>
        <w:tc>
          <w:tcPr>
            <w:tcW w:w="96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New shop related items</w:t>
            </w: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(150)</w:t>
            </w:r>
          </w:p>
        </w:tc>
      </w:tr>
      <w:tr>
        <w:trPr>
          <w:trHeight w:val="237"/>
        </w:trPr>
        <w:tc>
          <w:tcPr>
            <w:tcW w:w="9640" w:type="dxa"/>
            <w:vAlign w:val="bottom"/>
            <w:gridSpan w:val="2"/>
          </w:tcPr>
          <w:p>
            <w:pPr>
              <w:ind w:left="20"/>
              <w:spacing w:after="0"/>
              <w:rPr>
                <w:sz w:val="20"/>
                <w:szCs w:val="20"/>
                <w:color w:val="auto"/>
              </w:rPr>
            </w:pPr>
            <w:r>
              <w:rPr>
                <w:rFonts w:ascii="Arial" w:cs="Arial" w:eastAsia="Arial" w:hAnsi="Arial"/>
                <w:sz w:val="18"/>
                <w:szCs w:val="18"/>
                <w:color w:val="131E29"/>
              </w:rPr>
              <w:t>Lower COVID-19 leave expenses</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40</w:t>
            </w:r>
          </w:p>
        </w:tc>
      </w:tr>
      <w:tr>
        <w:trPr>
          <w:trHeight w:val="27"/>
        </w:trPr>
        <w:tc>
          <w:tcPr>
            <w:tcW w:w="9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Leverage (deleverage)</w:t>
            </w: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(70)</w:t>
            </w:r>
          </w:p>
        </w:tc>
      </w:tr>
      <w:tr>
        <w:trPr>
          <w:trHeight w:val="243"/>
        </w:trPr>
        <w:tc>
          <w:tcPr>
            <w:tcW w:w="9640" w:type="dxa"/>
            <w:vAlign w:val="bottom"/>
            <w:gridSpan w:val="2"/>
          </w:tcPr>
          <w:p>
            <w:pPr>
              <w:ind w:left="20"/>
              <w:spacing w:after="0"/>
              <w:rPr>
                <w:sz w:val="20"/>
                <w:szCs w:val="20"/>
                <w:color w:val="auto"/>
              </w:rPr>
            </w:pPr>
            <w:r>
              <w:rPr>
                <w:rFonts w:ascii="Arial" w:cs="Arial" w:eastAsia="Arial" w:hAnsi="Arial"/>
                <w:sz w:val="18"/>
                <w:szCs w:val="18"/>
                <w:color w:val="131E29"/>
              </w:rPr>
              <w:t>Other</w:t>
            </w:r>
          </w:p>
        </w:tc>
        <w:tc>
          <w:tcPr>
            <w:tcW w:w="1600" w:type="dxa"/>
            <w:vAlign w:val="bottom"/>
          </w:tcPr>
          <w:p>
            <w:pPr>
              <w:jc w:val="right"/>
              <w:spacing w:after="0"/>
              <w:rPr>
                <w:sz w:val="20"/>
                <w:szCs w:val="20"/>
                <w:color w:val="auto"/>
              </w:rPr>
            </w:pPr>
            <w:r>
              <w:rPr>
                <w:rFonts w:ascii="Arial" w:cs="Arial" w:eastAsia="Arial" w:hAnsi="Arial"/>
                <w:sz w:val="18"/>
                <w:szCs w:val="18"/>
                <w:color w:val="131E29"/>
              </w:rPr>
              <w:t>(230)</w:t>
            </w:r>
          </w:p>
        </w:tc>
      </w:tr>
      <w:tr>
        <w:trPr>
          <w:trHeight w:val="27"/>
        </w:trPr>
        <w:tc>
          <w:tcPr>
            <w:tcW w:w="95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0" w:type="dxa"/>
            <w:vAlign w:val="bottom"/>
            <w:tcBorders>
              <w:bottom w:val="single" w:sz="8" w:color="131E29"/>
            </w:tcBorders>
          </w:tcPr>
          <w:p>
            <w:pPr>
              <w:spacing w:after="0"/>
              <w:rPr>
                <w:sz w:val="2"/>
                <w:szCs w:val="2"/>
                <w:color w:val="auto"/>
              </w:rPr>
            </w:pPr>
          </w:p>
        </w:tc>
      </w:tr>
      <w:tr>
        <w:trPr>
          <w:trHeight w:val="263"/>
        </w:trPr>
        <w:tc>
          <w:tcPr>
            <w:tcW w:w="96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Total change in Company-operated shop gross profit</w:t>
            </w: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(640)</w:t>
            </w:r>
          </w:p>
        </w:tc>
      </w:tr>
      <w:tr>
        <w:trPr>
          <w:trHeight w:val="237"/>
        </w:trPr>
        <w:tc>
          <w:tcPr>
            <w:tcW w:w="9540" w:type="dxa"/>
            <w:vAlign w:val="bottom"/>
            <w:tcBorders>
              <w:top w:val="single" w:sz="8" w:color="131E29"/>
            </w:tcBorders>
          </w:tcPr>
          <w:p>
            <w:pPr>
              <w:ind w:left="20"/>
              <w:spacing w:after="0"/>
              <w:rPr>
                <w:sz w:val="20"/>
                <w:szCs w:val="20"/>
                <w:color w:val="auto"/>
              </w:rPr>
            </w:pPr>
            <w:r>
              <w:rPr>
                <w:rFonts w:ascii="Arial" w:cs="Arial" w:eastAsia="Arial" w:hAnsi="Arial"/>
                <w:sz w:val="18"/>
                <w:szCs w:val="18"/>
                <w:color w:val="131E29"/>
              </w:rPr>
              <w:t>Depreciation and Amortization</w:t>
            </w:r>
          </w:p>
        </w:tc>
        <w:tc>
          <w:tcPr>
            <w:tcW w:w="100" w:type="dxa"/>
            <w:vAlign w:val="bottom"/>
          </w:tcPr>
          <w:p>
            <w:pPr>
              <w:spacing w:after="0"/>
              <w:rPr>
                <w:sz w:val="20"/>
                <w:szCs w:val="20"/>
                <w:color w:val="auto"/>
              </w:rPr>
            </w:pPr>
          </w:p>
        </w:tc>
        <w:tc>
          <w:tcPr>
            <w:tcW w:w="1600" w:type="dxa"/>
            <w:vAlign w:val="bottom"/>
            <w:tcBorders>
              <w:top w:val="single" w:sz="8" w:color="131E29"/>
            </w:tcBorders>
          </w:tcPr>
          <w:p>
            <w:pPr>
              <w:jc w:val="right"/>
              <w:spacing w:after="0"/>
              <w:rPr>
                <w:sz w:val="20"/>
                <w:szCs w:val="20"/>
                <w:color w:val="auto"/>
              </w:rPr>
            </w:pPr>
            <w:r>
              <w:rPr>
                <w:rFonts w:ascii="Arial" w:cs="Arial" w:eastAsia="Arial" w:hAnsi="Arial"/>
                <w:sz w:val="18"/>
                <w:szCs w:val="18"/>
                <w:b w:val="1"/>
                <w:bCs w:val="1"/>
                <w:color w:val="131E29"/>
              </w:rPr>
              <w:t>160</w:t>
            </w:r>
          </w:p>
        </w:tc>
      </w:tr>
      <w:tr>
        <w:trPr>
          <w:trHeight w:val="27"/>
        </w:trPr>
        <w:tc>
          <w:tcPr>
            <w:tcW w:w="95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0" w:type="dxa"/>
            <w:vAlign w:val="bottom"/>
            <w:tcBorders>
              <w:bottom w:val="single" w:sz="8" w:color="131E29"/>
            </w:tcBorders>
          </w:tcPr>
          <w:p>
            <w:pPr>
              <w:spacing w:after="0"/>
              <w:rPr>
                <w:sz w:val="2"/>
                <w:szCs w:val="2"/>
                <w:color w:val="auto"/>
              </w:rPr>
            </w:pPr>
          </w:p>
        </w:tc>
      </w:tr>
      <w:tr>
        <w:trPr>
          <w:trHeight w:val="243"/>
        </w:trPr>
        <w:tc>
          <w:tcPr>
            <w:tcW w:w="96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Total change in Company-operated shop contribution</w:t>
            </w: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(480)</w:t>
            </w:r>
          </w:p>
        </w:tc>
      </w:tr>
      <w:tr>
        <w:trPr>
          <w:trHeight w:val="20"/>
        </w:trPr>
        <w:tc>
          <w:tcPr>
            <w:tcW w:w="9540" w:type="dxa"/>
            <w:vAlign w:val="bottom"/>
            <w:shd w:val="clear" w:color="auto" w:fill="131E2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131E29"/>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77" w:lineRule="exact"/>
        <w:rPr>
          <w:sz w:val="20"/>
          <w:szCs w:val="20"/>
          <w:color w:val="auto"/>
        </w:rPr>
      </w:pPr>
    </w:p>
    <w:p>
      <w:pPr>
        <w:ind w:left="180" w:hanging="172"/>
        <w:spacing w:after="0" w:line="211" w:lineRule="auto"/>
        <w:tabs>
          <w:tab w:leader="none" w:pos="174" w:val="left"/>
        </w:tabs>
        <w:numPr>
          <w:ilvl w:val="0"/>
          <w:numId w:val="36"/>
        </w:numPr>
        <w:rPr>
          <w:rFonts w:ascii="Arial" w:cs="Arial" w:eastAsia="Arial" w:hAnsi="Arial"/>
          <w:sz w:val="19"/>
          <w:szCs w:val="19"/>
          <w:color w:val="131E29"/>
          <w:vertAlign w:val="superscript"/>
        </w:rPr>
      </w:pPr>
      <w:r>
        <w:rPr>
          <w:rFonts w:ascii="Arial" w:cs="Arial" w:eastAsia="Arial" w:hAnsi="Arial"/>
          <w:sz w:val="14"/>
          <w:szCs w:val="14"/>
          <w:color w:val="131E29"/>
        </w:rPr>
        <w:t>Reconciliation of GAAP to non-GAAP results is provided in the section “Non-GAAP Financial Measures” in Part I, Item 2 “Management’s Discussion and Analysis of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Franchising and Other Segment Performance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40" w:type="dxa"/>
            <w:vAlign w:val="bottom"/>
            <w:gridSpan w:val="9"/>
          </w:tcPr>
          <w:p>
            <w:pPr>
              <w:ind w:left="540"/>
              <w:spacing w:after="0"/>
              <w:rPr>
                <w:sz w:val="20"/>
                <w:szCs w:val="20"/>
                <w:color w:val="auto"/>
              </w:rPr>
            </w:pPr>
            <w:r>
              <w:rPr>
                <w:rFonts w:ascii="Arial" w:cs="Arial" w:eastAsia="Arial" w:hAnsi="Arial"/>
                <w:sz w:val="18"/>
                <w:szCs w:val="18"/>
                <w:b w:val="1"/>
                <w:bCs w:val="1"/>
                <w:color w:val="131E29"/>
              </w:rPr>
              <w:t>Three Months Ended September 30,</w:t>
            </w:r>
          </w:p>
        </w:tc>
        <w:tc>
          <w:tcPr>
            <w:tcW w:w="160" w:type="dxa"/>
            <w:vAlign w:val="bottom"/>
          </w:tcPr>
          <w:p>
            <w:pPr>
              <w:spacing w:after="0"/>
              <w:rPr>
                <w:sz w:val="20"/>
                <w:szCs w:val="20"/>
                <w:color w:val="auto"/>
              </w:rPr>
            </w:pPr>
          </w:p>
        </w:tc>
        <w:tc>
          <w:tcPr>
            <w:tcW w:w="4340" w:type="dxa"/>
            <w:vAlign w:val="bottom"/>
            <w:gridSpan w:val="8"/>
          </w:tcPr>
          <w:p>
            <w:pPr>
              <w:ind w:left="600"/>
              <w:spacing w:after="0"/>
              <w:rPr>
                <w:sz w:val="20"/>
                <w:szCs w:val="20"/>
                <w:color w:val="auto"/>
              </w:rPr>
            </w:pPr>
            <w:r>
              <w:rPr>
                <w:rFonts w:ascii="Arial" w:cs="Arial" w:eastAsia="Arial" w:hAnsi="Arial"/>
                <w:sz w:val="18"/>
                <w:szCs w:val="18"/>
                <w:b w:val="1"/>
                <w:bCs w:val="1"/>
                <w:color w:val="131E29"/>
              </w:rPr>
              <w:t>Nine Months Ended September 30,</w:t>
            </w:r>
          </w:p>
        </w:tc>
      </w:tr>
      <w:tr>
        <w:trPr>
          <w:trHeight w:val="27"/>
        </w:trPr>
        <w:tc>
          <w:tcPr>
            <w:tcW w:w="21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r>
      <w:tr>
        <w:trPr>
          <w:trHeight w:val="238"/>
        </w:trPr>
        <w:tc>
          <w:tcPr>
            <w:tcW w:w="212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8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3"/>
          </w:tcPr>
          <w:p>
            <w:pPr>
              <w:ind w:left="440"/>
              <w:spacing w:after="0"/>
              <w:rPr>
                <w:sz w:val="20"/>
                <w:szCs w:val="20"/>
                <w:color w:val="auto"/>
              </w:rPr>
            </w:pPr>
            <w:r>
              <w:rPr>
                <w:rFonts w:ascii="Arial" w:cs="Arial" w:eastAsia="Arial" w:hAnsi="Arial"/>
                <w:sz w:val="18"/>
                <w:szCs w:val="18"/>
                <w:b w:val="1"/>
                <w:bCs w:val="1"/>
                <w:color w:val="131E29"/>
              </w:rPr>
              <w:t>2022 v. 2021</w:t>
            </w:r>
          </w:p>
        </w:tc>
        <w:tc>
          <w:tcPr>
            <w:tcW w:w="16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131E29"/>
              </w:rPr>
              <w:t>2021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2"/>
          </w:tcPr>
          <w:p>
            <w:pPr>
              <w:ind w:left="480"/>
              <w:spacing w:after="0"/>
              <w:rPr>
                <w:sz w:val="20"/>
                <w:szCs w:val="20"/>
                <w:color w:val="auto"/>
              </w:rPr>
            </w:pPr>
            <w:r>
              <w:rPr>
                <w:rFonts w:ascii="Arial" w:cs="Arial" w:eastAsia="Arial" w:hAnsi="Arial"/>
                <w:sz w:val="18"/>
                <w:szCs w:val="18"/>
                <w:b w:val="1"/>
                <w:bCs w:val="1"/>
                <w:color w:val="131E29"/>
              </w:rPr>
              <w:t>2022 v. 2021</w:t>
            </w:r>
          </w:p>
        </w:tc>
      </w:tr>
      <w:tr>
        <w:trPr>
          <w:trHeight w:val="25"/>
        </w:trPr>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131E29"/>
            </w:tcBorders>
          </w:tcPr>
          <w:p>
            <w:pPr>
              <w:spacing w:after="0"/>
              <w:rPr>
                <w:sz w:val="2"/>
                <w:szCs w:val="2"/>
                <w:color w:val="auto"/>
              </w:rPr>
            </w:pPr>
          </w:p>
        </w:tc>
        <w:tc>
          <w:tcPr>
            <w:tcW w:w="80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940" w:type="dxa"/>
            <w:vAlign w:val="bottom"/>
            <w:tcBorders>
              <w:bottom w:val="single" w:sz="8" w:color="131E29"/>
            </w:tcBorders>
          </w:tcPr>
          <w:p>
            <w:pPr>
              <w:spacing w:after="0"/>
              <w:rPr>
                <w:sz w:val="2"/>
                <w:szCs w:val="2"/>
                <w:color w:val="auto"/>
              </w:rPr>
            </w:pPr>
          </w:p>
        </w:tc>
        <w:tc>
          <w:tcPr>
            <w:tcW w:w="122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131E29"/>
            </w:tcBorders>
          </w:tcPr>
          <w:p>
            <w:pPr>
              <w:spacing w:after="0"/>
              <w:rPr>
                <w:sz w:val="2"/>
                <w:szCs w:val="2"/>
                <w:color w:val="auto"/>
              </w:rPr>
            </w:pPr>
          </w:p>
        </w:tc>
        <w:tc>
          <w:tcPr>
            <w:tcW w:w="78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131E29"/>
            </w:tcBorders>
          </w:tcPr>
          <w:p>
            <w:pPr>
              <w:spacing w:after="0"/>
              <w:rPr>
                <w:sz w:val="2"/>
                <w:szCs w:val="2"/>
                <w:color w:val="auto"/>
              </w:rPr>
            </w:pPr>
          </w:p>
        </w:tc>
        <w:tc>
          <w:tcPr>
            <w:tcW w:w="78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940" w:type="dxa"/>
            <w:vAlign w:val="bottom"/>
            <w:tcBorders>
              <w:bottom w:val="single" w:sz="8" w:color="131E29"/>
            </w:tcBorders>
          </w:tcPr>
          <w:p>
            <w:pPr>
              <w:spacing w:after="0"/>
              <w:rPr>
                <w:sz w:val="2"/>
                <w:szCs w:val="2"/>
                <w:color w:val="auto"/>
              </w:rPr>
            </w:pPr>
          </w:p>
        </w:tc>
        <w:tc>
          <w:tcPr>
            <w:tcW w:w="1280" w:type="dxa"/>
            <w:vAlign w:val="bottom"/>
            <w:tcBorders>
              <w:bottom w:val="single" w:sz="8" w:color="131E29"/>
            </w:tcBorders>
          </w:tcPr>
          <w:p>
            <w:pPr>
              <w:spacing w:after="0"/>
              <w:rPr>
                <w:sz w:val="2"/>
                <w:szCs w:val="2"/>
                <w:color w:val="auto"/>
              </w:rPr>
            </w:pPr>
          </w:p>
        </w:tc>
      </w:tr>
      <w:tr>
        <w:trPr>
          <w:trHeight w:val="236"/>
        </w:trPr>
        <w:tc>
          <w:tcPr>
            <w:tcW w:w="21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Franchising and other</w:t>
            </w:r>
          </w:p>
        </w:tc>
        <w:tc>
          <w:tcPr>
            <w:tcW w:w="180" w:type="dxa"/>
            <w:vAlign w:val="bottom"/>
            <w:shd w:val="clear" w:color="auto" w:fill="D2DCE5"/>
          </w:tcPr>
          <w:p>
            <w:pPr>
              <w:spacing w:after="0"/>
              <w:rPr>
                <w:sz w:val="20"/>
                <w:szCs w:val="20"/>
                <w:color w:val="auto"/>
              </w:rPr>
            </w:pPr>
          </w:p>
        </w:tc>
        <w:tc>
          <w:tcPr>
            <w:tcW w:w="80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60" w:type="dxa"/>
            <w:vAlign w:val="bottom"/>
            <w:shd w:val="clear" w:color="auto" w:fill="D2DCE5"/>
          </w:tcPr>
          <w:p>
            <w:pPr>
              <w:spacing w:after="0"/>
              <w:rPr>
                <w:sz w:val="20"/>
                <w:szCs w:val="20"/>
                <w:color w:val="auto"/>
              </w:rPr>
            </w:pPr>
          </w:p>
        </w:tc>
        <w:tc>
          <w:tcPr>
            <w:tcW w:w="80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20" w:type="dxa"/>
            <w:vAlign w:val="bottom"/>
            <w:shd w:val="clear" w:color="auto" w:fill="D2DCE5"/>
          </w:tcPr>
          <w:p>
            <w:pPr>
              <w:spacing w:after="0"/>
              <w:rPr>
                <w:sz w:val="20"/>
                <w:szCs w:val="20"/>
                <w:color w:val="auto"/>
              </w:rPr>
            </w:pPr>
          </w:p>
        </w:tc>
        <w:tc>
          <w:tcPr>
            <w:tcW w:w="940" w:type="dxa"/>
            <w:vAlign w:val="bottom"/>
            <w:shd w:val="clear" w:color="auto" w:fill="D2DCE5"/>
          </w:tcPr>
          <w:p>
            <w:pPr>
              <w:spacing w:after="0"/>
              <w:rPr>
                <w:sz w:val="20"/>
                <w:szCs w:val="20"/>
                <w:color w:val="auto"/>
              </w:rPr>
            </w:pPr>
          </w:p>
        </w:tc>
        <w:tc>
          <w:tcPr>
            <w:tcW w:w="12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60" w:type="dxa"/>
            <w:vAlign w:val="bottom"/>
            <w:shd w:val="clear" w:color="auto" w:fill="D2DCE5"/>
          </w:tcPr>
          <w:p>
            <w:pPr>
              <w:spacing w:after="0"/>
              <w:rPr>
                <w:sz w:val="20"/>
                <w:szCs w:val="20"/>
                <w:color w:val="auto"/>
              </w:rPr>
            </w:pPr>
          </w:p>
        </w:tc>
        <w:tc>
          <w:tcPr>
            <w:tcW w:w="78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60" w:type="dxa"/>
            <w:vAlign w:val="bottom"/>
            <w:shd w:val="clear" w:color="auto" w:fill="D2DCE5"/>
          </w:tcPr>
          <w:p>
            <w:pPr>
              <w:spacing w:after="0"/>
              <w:rPr>
                <w:sz w:val="20"/>
                <w:szCs w:val="20"/>
                <w:color w:val="auto"/>
              </w:rPr>
            </w:pPr>
          </w:p>
        </w:tc>
        <w:tc>
          <w:tcPr>
            <w:tcW w:w="7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220" w:type="dxa"/>
            <w:vAlign w:val="bottom"/>
            <w:shd w:val="clear" w:color="auto" w:fill="D2DCE5"/>
          </w:tcPr>
          <w:p>
            <w:pPr>
              <w:spacing w:after="0"/>
              <w:rPr>
                <w:sz w:val="20"/>
                <w:szCs w:val="20"/>
                <w:color w:val="auto"/>
              </w:rPr>
            </w:pPr>
          </w:p>
        </w:tc>
        <w:tc>
          <w:tcPr>
            <w:tcW w:w="940" w:type="dxa"/>
            <w:vAlign w:val="bottom"/>
            <w:shd w:val="clear" w:color="auto" w:fill="D2DCE5"/>
          </w:tcPr>
          <w:p>
            <w:pPr>
              <w:spacing w:after="0"/>
              <w:rPr>
                <w:sz w:val="20"/>
                <w:szCs w:val="20"/>
                <w:color w:val="auto"/>
              </w:rPr>
            </w:pPr>
          </w:p>
        </w:tc>
        <w:tc>
          <w:tcPr>
            <w:tcW w:w="1280" w:type="dxa"/>
            <w:vAlign w:val="bottom"/>
            <w:shd w:val="clear" w:color="auto" w:fill="D2DCE5"/>
          </w:tcPr>
          <w:p>
            <w:pPr>
              <w:spacing w:after="0"/>
              <w:rPr>
                <w:sz w:val="20"/>
                <w:szCs w:val="20"/>
                <w:color w:val="auto"/>
              </w:rPr>
            </w:pPr>
          </w:p>
        </w:tc>
      </w:tr>
      <w:tr>
        <w:trPr>
          <w:trHeight w:val="224"/>
        </w:trPr>
        <w:tc>
          <w:tcPr>
            <w:tcW w:w="21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revenue</w:t>
            </w:r>
          </w:p>
        </w:tc>
        <w:tc>
          <w:tcPr>
            <w:tcW w:w="1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8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25,147</w:t>
            </w:r>
          </w:p>
        </w:tc>
        <w:tc>
          <w:tcPr>
            <w:tcW w:w="100" w:type="dxa"/>
            <w:vAlign w:val="bottom"/>
            <w:tcBorders>
              <w:bottom w:val="single" w:sz="8" w:color="D2DCE5"/>
            </w:tcBorders>
            <w:shd w:val="clear" w:color="auto" w:fill="D2DCE5"/>
          </w:tcPr>
          <w:p>
            <w:pPr>
              <w:spacing w:after="0"/>
              <w:rPr>
                <w:sz w:val="19"/>
                <w:szCs w:val="19"/>
                <w:color w:val="auto"/>
              </w:rPr>
            </w:pP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8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21,142</w:t>
            </w:r>
          </w:p>
        </w:tc>
        <w:tc>
          <w:tcPr>
            <w:tcW w:w="100" w:type="dxa"/>
            <w:vAlign w:val="bottom"/>
            <w:tcBorders>
              <w:bottom w:val="single" w:sz="8" w:color="D2DCE5"/>
            </w:tcBorders>
            <w:shd w:val="clear" w:color="auto" w:fill="D2DCE5"/>
          </w:tcPr>
          <w:p>
            <w:pPr>
              <w:spacing w:after="0"/>
              <w:rPr>
                <w:sz w:val="19"/>
                <w:szCs w:val="19"/>
                <w:color w:val="auto"/>
              </w:rPr>
            </w:pPr>
          </w:p>
        </w:tc>
        <w:tc>
          <w:tcPr>
            <w:tcW w:w="220" w:type="dxa"/>
            <w:vAlign w:val="bottom"/>
            <w:tcBorders>
              <w:bottom w:val="single" w:sz="8" w:color="D2DCE5"/>
            </w:tcBorders>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940" w:type="dxa"/>
            <w:vAlign w:val="bottom"/>
            <w:tcBorders>
              <w:bottom w:val="single" w:sz="8" w:color="D2DCE5"/>
            </w:tcBorders>
            <w:shd w:val="clear" w:color="auto" w:fill="D2DCE5"/>
          </w:tcPr>
          <w:p>
            <w:pPr>
              <w:jc w:val="right"/>
              <w:ind w:right="250"/>
              <w:spacing w:after="0"/>
              <w:rPr>
                <w:sz w:val="20"/>
                <w:szCs w:val="20"/>
                <w:color w:val="auto"/>
              </w:rPr>
            </w:pPr>
            <w:r>
              <w:rPr>
                <w:rFonts w:ascii="Arial" w:cs="Arial" w:eastAsia="Arial" w:hAnsi="Arial"/>
                <w:sz w:val="18"/>
                <w:szCs w:val="18"/>
                <w:color w:val="131E29"/>
              </w:rPr>
              <w:t>4,005</w:t>
            </w:r>
          </w:p>
        </w:tc>
        <w:tc>
          <w:tcPr>
            <w:tcW w:w="1220" w:type="dxa"/>
            <w:vAlign w:val="bottom"/>
            <w:tcBorders>
              <w:bottom w:val="single" w:sz="8" w:color="D2DCE5"/>
            </w:tcBorders>
            <w:shd w:val="clear" w:color="auto" w:fill="D2DCE5"/>
          </w:tcPr>
          <w:p>
            <w:pPr>
              <w:jc w:val="right"/>
              <w:ind w:right="350"/>
              <w:spacing w:after="0"/>
              <w:rPr>
                <w:sz w:val="20"/>
                <w:szCs w:val="20"/>
                <w:color w:val="auto"/>
              </w:rPr>
            </w:pPr>
            <w:r>
              <w:rPr>
                <w:rFonts w:ascii="Arial" w:cs="Arial" w:eastAsia="Arial" w:hAnsi="Arial"/>
                <w:sz w:val="18"/>
                <w:szCs w:val="18"/>
                <w:color w:val="131E29"/>
              </w:rPr>
              <w:t>18.9%</w:t>
            </w:r>
          </w:p>
        </w:tc>
        <w:tc>
          <w:tcPr>
            <w:tcW w:w="100" w:type="dxa"/>
            <w:vAlign w:val="bottom"/>
            <w:tcBorders>
              <w:bottom w:val="single" w:sz="8" w:color="D2DCE5"/>
            </w:tcBorders>
            <w:shd w:val="clear" w:color="auto" w:fill="D2DCE5"/>
          </w:tcPr>
          <w:p>
            <w:pPr>
              <w:spacing w:after="0"/>
              <w:rPr>
                <w:sz w:val="19"/>
                <w:szCs w:val="19"/>
                <w:color w:val="auto"/>
              </w:rPr>
            </w:pP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79"/>
              </w:rPr>
              <w:t>$</w:t>
            </w:r>
          </w:p>
        </w:tc>
        <w:tc>
          <w:tcPr>
            <w:tcW w:w="7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72,985</w:t>
            </w:r>
          </w:p>
        </w:tc>
        <w:tc>
          <w:tcPr>
            <w:tcW w:w="100" w:type="dxa"/>
            <w:vAlign w:val="bottom"/>
            <w:tcBorders>
              <w:bottom w:val="single" w:sz="8" w:color="D2DCE5"/>
            </w:tcBorders>
            <w:shd w:val="clear" w:color="auto" w:fill="D2DCE5"/>
          </w:tcPr>
          <w:p>
            <w:pPr>
              <w:spacing w:after="0"/>
              <w:rPr>
                <w:sz w:val="19"/>
                <w:szCs w:val="19"/>
                <w:color w:val="auto"/>
              </w:rPr>
            </w:pP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7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68,248</w:t>
            </w:r>
          </w:p>
        </w:tc>
        <w:tc>
          <w:tcPr>
            <w:tcW w:w="80" w:type="dxa"/>
            <w:vAlign w:val="bottom"/>
            <w:tcBorders>
              <w:bottom w:val="single" w:sz="8" w:color="D2DCE5"/>
            </w:tcBorders>
            <w:shd w:val="clear" w:color="auto" w:fill="D2DCE5"/>
          </w:tcPr>
          <w:p>
            <w:pPr>
              <w:spacing w:after="0"/>
              <w:rPr>
                <w:sz w:val="19"/>
                <w:szCs w:val="19"/>
                <w:color w:val="auto"/>
              </w:rPr>
            </w:pPr>
          </w:p>
        </w:tc>
        <w:tc>
          <w:tcPr>
            <w:tcW w:w="220" w:type="dxa"/>
            <w:vAlign w:val="bottom"/>
            <w:tcBorders>
              <w:bottom w:val="single" w:sz="8" w:color="D2DCE5"/>
            </w:tcBorders>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940" w:type="dxa"/>
            <w:vAlign w:val="bottom"/>
            <w:tcBorders>
              <w:bottom w:val="single" w:sz="8" w:color="D2DCE5"/>
            </w:tcBorders>
            <w:shd w:val="clear" w:color="auto" w:fill="D2DCE5"/>
          </w:tcPr>
          <w:p>
            <w:pPr>
              <w:jc w:val="right"/>
              <w:ind w:right="210"/>
              <w:spacing w:after="0"/>
              <w:rPr>
                <w:sz w:val="20"/>
                <w:szCs w:val="20"/>
                <w:color w:val="auto"/>
              </w:rPr>
            </w:pPr>
            <w:r>
              <w:rPr>
                <w:rFonts w:ascii="Arial" w:cs="Arial" w:eastAsia="Arial" w:hAnsi="Arial"/>
                <w:sz w:val="18"/>
                <w:szCs w:val="18"/>
                <w:color w:val="131E29"/>
              </w:rPr>
              <w:t>4,737</w:t>
            </w:r>
          </w:p>
        </w:tc>
        <w:tc>
          <w:tcPr>
            <w:tcW w:w="1280" w:type="dxa"/>
            <w:vAlign w:val="bottom"/>
            <w:tcBorders>
              <w:bottom w:val="single" w:sz="8" w:color="D2DCE5"/>
            </w:tcBorders>
            <w:shd w:val="clear" w:color="auto" w:fill="D2DCE5"/>
          </w:tcPr>
          <w:p>
            <w:pPr>
              <w:jc w:val="right"/>
              <w:ind w:right="410"/>
              <w:spacing w:after="0"/>
              <w:rPr>
                <w:sz w:val="20"/>
                <w:szCs w:val="20"/>
                <w:color w:val="auto"/>
              </w:rPr>
            </w:pPr>
            <w:r>
              <w:rPr>
                <w:rFonts w:ascii="Arial" w:cs="Arial" w:eastAsia="Arial" w:hAnsi="Arial"/>
                <w:sz w:val="18"/>
                <w:szCs w:val="18"/>
                <w:color w:val="131E29"/>
              </w:rPr>
              <w:t>6.9%</w:t>
            </w:r>
          </w:p>
        </w:tc>
      </w:tr>
      <w:tr>
        <w:trPr>
          <w:trHeight w:val="242"/>
        </w:trPr>
        <w:tc>
          <w:tcPr>
            <w:tcW w:w="2120" w:type="dxa"/>
            <w:vAlign w:val="bottom"/>
            <w:gridSpan w:val="2"/>
          </w:tcPr>
          <w:p>
            <w:pPr>
              <w:ind w:left="20"/>
              <w:spacing w:after="0"/>
              <w:rPr>
                <w:sz w:val="20"/>
                <w:szCs w:val="20"/>
                <w:color w:val="auto"/>
              </w:rPr>
            </w:pPr>
            <w:r>
              <w:rPr>
                <w:rFonts w:ascii="Arial" w:cs="Arial" w:eastAsia="Arial" w:hAnsi="Arial"/>
                <w:sz w:val="18"/>
                <w:szCs w:val="18"/>
                <w:color w:val="131E29"/>
              </w:rPr>
              <w:t>Franchising and other</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17"/>
        </w:trPr>
        <w:tc>
          <w:tcPr>
            <w:tcW w:w="2120" w:type="dxa"/>
            <w:vAlign w:val="bottom"/>
            <w:gridSpan w:val="2"/>
          </w:tcPr>
          <w:p>
            <w:pPr>
              <w:ind w:left="20"/>
              <w:spacing w:after="0"/>
              <w:rPr>
                <w:sz w:val="20"/>
                <w:szCs w:val="20"/>
                <w:color w:val="auto"/>
              </w:rPr>
            </w:pPr>
            <w:r>
              <w:rPr>
                <w:rFonts w:ascii="Arial" w:cs="Arial" w:eastAsia="Arial" w:hAnsi="Arial"/>
                <w:sz w:val="18"/>
                <w:szCs w:val="18"/>
                <w:color w:val="131E29"/>
              </w:rPr>
              <w:t>gross profit</w:t>
            </w:r>
          </w:p>
        </w:tc>
        <w:tc>
          <w:tcPr>
            <w:tcW w:w="18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800" w:type="dxa"/>
            <w:vAlign w:val="bottom"/>
          </w:tcPr>
          <w:p>
            <w:pPr>
              <w:jc w:val="right"/>
              <w:spacing w:after="0"/>
              <w:rPr>
                <w:sz w:val="20"/>
                <w:szCs w:val="20"/>
                <w:color w:val="auto"/>
              </w:rPr>
            </w:pPr>
            <w:r>
              <w:rPr>
                <w:rFonts w:ascii="Arial" w:cs="Arial" w:eastAsia="Arial" w:hAnsi="Arial"/>
                <w:sz w:val="18"/>
                <w:szCs w:val="18"/>
                <w:color w:val="131E29"/>
              </w:rPr>
              <w:t>15,836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800" w:type="dxa"/>
            <w:vAlign w:val="bottom"/>
          </w:tcPr>
          <w:p>
            <w:pPr>
              <w:jc w:val="right"/>
              <w:spacing w:after="0"/>
              <w:rPr>
                <w:sz w:val="20"/>
                <w:szCs w:val="20"/>
                <w:color w:val="auto"/>
              </w:rPr>
            </w:pPr>
            <w:r>
              <w:rPr>
                <w:rFonts w:ascii="Arial" w:cs="Arial" w:eastAsia="Arial" w:hAnsi="Arial"/>
                <w:sz w:val="18"/>
                <w:szCs w:val="18"/>
                <w:color w:val="131E29"/>
              </w:rPr>
              <w:t>15,913</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131E29"/>
                <w:w w:val="99"/>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131E29"/>
              </w:rPr>
              <w:t>(77)</w:t>
            </w:r>
          </w:p>
        </w:tc>
        <w:tc>
          <w:tcPr>
            <w:tcW w:w="1220" w:type="dxa"/>
            <w:vAlign w:val="bottom"/>
          </w:tcPr>
          <w:p>
            <w:pPr>
              <w:jc w:val="right"/>
              <w:ind w:right="330"/>
              <w:spacing w:after="0"/>
              <w:rPr>
                <w:sz w:val="20"/>
                <w:szCs w:val="20"/>
                <w:color w:val="auto"/>
              </w:rPr>
            </w:pPr>
            <w:r>
              <w:rPr>
                <w:rFonts w:ascii="Arial" w:cs="Arial" w:eastAsia="Arial" w:hAnsi="Arial"/>
                <w:sz w:val="18"/>
                <w:szCs w:val="18"/>
                <w:color w:val="131E29"/>
              </w:rPr>
              <w:t>(0.5)%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131E29"/>
                <w:w w:val="79"/>
              </w:rPr>
              <w:t>$</w:t>
            </w:r>
          </w:p>
        </w:tc>
        <w:tc>
          <w:tcPr>
            <w:tcW w:w="780" w:type="dxa"/>
            <w:vAlign w:val="bottom"/>
          </w:tcPr>
          <w:p>
            <w:pPr>
              <w:jc w:val="right"/>
              <w:spacing w:after="0"/>
              <w:rPr>
                <w:sz w:val="20"/>
                <w:szCs w:val="20"/>
                <w:color w:val="auto"/>
              </w:rPr>
            </w:pPr>
            <w:r>
              <w:rPr>
                <w:rFonts w:ascii="Arial" w:cs="Arial" w:eastAsia="Arial" w:hAnsi="Arial"/>
                <w:sz w:val="18"/>
                <w:szCs w:val="18"/>
                <w:color w:val="131E29"/>
              </w:rPr>
              <w:t>43,979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780" w:type="dxa"/>
            <w:vAlign w:val="bottom"/>
          </w:tcPr>
          <w:p>
            <w:pPr>
              <w:jc w:val="right"/>
              <w:spacing w:after="0"/>
              <w:rPr>
                <w:sz w:val="20"/>
                <w:szCs w:val="20"/>
                <w:color w:val="auto"/>
              </w:rPr>
            </w:pPr>
            <w:r>
              <w:rPr>
                <w:rFonts w:ascii="Arial" w:cs="Arial" w:eastAsia="Arial" w:hAnsi="Arial"/>
                <w:sz w:val="18"/>
                <w:szCs w:val="18"/>
                <w:color w:val="131E29"/>
              </w:rPr>
              <w:t>48,901</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131E29"/>
                <w:w w:val="99"/>
              </w:rPr>
              <w:t>$</w:t>
            </w:r>
          </w:p>
        </w:tc>
        <w:tc>
          <w:tcPr>
            <w:tcW w:w="940" w:type="dxa"/>
            <w:vAlign w:val="bottom"/>
          </w:tcPr>
          <w:p>
            <w:pPr>
              <w:ind w:left="120"/>
              <w:spacing w:after="0"/>
              <w:rPr>
                <w:sz w:val="20"/>
                <w:szCs w:val="20"/>
                <w:color w:val="auto"/>
              </w:rPr>
            </w:pPr>
            <w:r>
              <w:rPr>
                <w:rFonts w:ascii="Arial" w:cs="Arial" w:eastAsia="Arial" w:hAnsi="Arial"/>
                <w:sz w:val="18"/>
                <w:szCs w:val="18"/>
                <w:color w:val="131E29"/>
              </w:rPr>
              <w:t>(4,922)</w:t>
            </w:r>
          </w:p>
        </w:tc>
        <w:tc>
          <w:tcPr>
            <w:tcW w:w="1280" w:type="dxa"/>
            <w:vAlign w:val="bottom"/>
          </w:tcPr>
          <w:p>
            <w:pPr>
              <w:jc w:val="right"/>
              <w:ind w:right="290"/>
              <w:spacing w:after="0"/>
              <w:rPr>
                <w:sz w:val="20"/>
                <w:szCs w:val="20"/>
                <w:color w:val="auto"/>
              </w:rPr>
            </w:pPr>
            <w:r>
              <w:rPr>
                <w:rFonts w:ascii="Arial" w:cs="Arial" w:eastAsia="Arial" w:hAnsi="Arial"/>
                <w:sz w:val="18"/>
                <w:szCs w:val="18"/>
                <w:color w:val="131E29"/>
              </w:rPr>
              <w:t>(10.1)%</w:t>
            </w:r>
          </w:p>
        </w:tc>
      </w:tr>
      <w:tr>
        <w:trPr>
          <w:trHeight w:val="27"/>
        </w:trPr>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2120" w:type="dxa"/>
            <w:vAlign w:val="bottom"/>
            <w:gridSpan w:val="2"/>
            <w:shd w:val="clear" w:color="auto" w:fill="D2DCE5"/>
          </w:tcPr>
          <w:p>
            <w:pPr>
              <w:ind w:left="20"/>
              <w:spacing w:after="0"/>
              <w:rPr>
                <w:sz w:val="20"/>
                <w:szCs w:val="20"/>
                <w:color w:val="auto"/>
              </w:rPr>
            </w:pPr>
            <w:r>
              <w:rPr>
                <w:rFonts w:ascii="Arial" w:cs="Arial" w:eastAsia="Arial" w:hAnsi="Arial"/>
                <w:sz w:val="18"/>
                <w:szCs w:val="18"/>
                <w:i w:val="1"/>
                <w:iCs w:val="1"/>
                <w:color w:val="131E29"/>
              </w:rPr>
              <w:t>As a percentage of</w:t>
            </w:r>
          </w:p>
        </w:tc>
        <w:tc>
          <w:tcPr>
            <w:tcW w:w="180" w:type="dxa"/>
            <w:vAlign w:val="bottom"/>
            <w:shd w:val="clear" w:color="auto" w:fill="D2DCE5"/>
          </w:tcPr>
          <w:p>
            <w:pPr>
              <w:spacing w:after="0"/>
              <w:rPr>
                <w:sz w:val="19"/>
                <w:szCs w:val="19"/>
                <w:color w:val="auto"/>
              </w:rPr>
            </w:pPr>
          </w:p>
        </w:tc>
        <w:tc>
          <w:tcPr>
            <w:tcW w:w="8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8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940" w:type="dxa"/>
            <w:vAlign w:val="bottom"/>
            <w:shd w:val="clear" w:color="auto" w:fill="D2DCE5"/>
          </w:tcPr>
          <w:p>
            <w:pPr>
              <w:spacing w:after="0"/>
              <w:rPr>
                <w:sz w:val="19"/>
                <w:szCs w:val="19"/>
                <w:color w:val="auto"/>
              </w:rPr>
            </w:pPr>
          </w:p>
        </w:tc>
        <w:tc>
          <w:tcPr>
            <w:tcW w:w="12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7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7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940" w:type="dxa"/>
            <w:vAlign w:val="bottom"/>
            <w:shd w:val="clear" w:color="auto" w:fill="D2DCE5"/>
          </w:tcPr>
          <w:p>
            <w:pPr>
              <w:spacing w:after="0"/>
              <w:rPr>
                <w:sz w:val="19"/>
                <w:szCs w:val="19"/>
                <w:color w:val="auto"/>
              </w:rPr>
            </w:pPr>
          </w:p>
        </w:tc>
        <w:tc>
          <w:tcPr>
            <w:tcW w:w="1280" w:type="dxa"/>
            <w:vAlign w:val="bottom"/>
            <w:shd w:val="clear" w:color="auto" w:fill="D2DCE5"/>
          </w:tcPr>
          <w:p>
            <w:pPr>
              <w:spacing w:after="0"/>
              <w:rPr>
                <w:sz w:val="19"/>
                <w:szCs w:val="19"/>
                <w:color w:val="auto"/>
              </w:rPr>
            </w:pPr>
          </w:p>
        </w:tc>
      </w:tr>
      <w:tr>
        <w:trPr>
          <w:trHeight w:val="235"/>
        </w:trPr>
        <w:tc>
          <w:tcPr>
            <w:tcW w:w="2120" w:type="dxa"/>
            <w:vAlign w:val="bottom"/>
            <w:gridSpan w:val="2"/>
            <w:shd w:val="clear" w:color="auto" w:fill="D2DCE5"/>
          </w:tcPr>
          <w:p>
            <w:pPr>
              <w:ind w:left="20"/>
              <w:spacing w:after="0"/>
              <w:rPr>
                <w:sz w:val="20"/>
                <w:szCs w:val="20"/>
                <w:color w:val="auto"/>
              </w:rPr>
            </w:pPr>
            <w:r>
              <w:rPr>
                <w:rFonts w:ascii="Arial" w:cs="Arial" w:eastAsia="Arial" w:hAnsi="Arial"/>
                <w:sz w:val="18"/>
                <w:szCs w:val="18"/>
                <w:i w:val="1"/>
                <w:iCs w:val="1"/>
                <w:color w:val="131E29"/>
              </w:rPr>
              <w:t>revenue</w:t>
            </w:r>
          </w:p>
        </w:tc>
        <w:tc>
          <w:tcPr>
            <w:tcW w:w="180" w:type="dxa"/>
            <w:vAlign w:val="bottom"/>
            <w:shd w:val="clear" w:color="auto" w:fill="D2DCE5"/>
          </w:tcPr>
          <w:p>
            <w:pPr>
              <w:spacing w:after="0"/>
              <w:rPr>
                <w:sz w:val="20"/>
                <w:szCs w:val="20"/>
                <w:color w:val="auto"/>
              </w:rPr>
            </w:pPr>
          </w:p>
        </w:tc>
        <w:tc>
          <w:tcPr>
            <w:tcW w:w="80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rPr>
              <w:t>63.0%</w:t>
            </w:r>
          </w:p>
        </w:tc>
        <w:tc>
          <w:tcPr>
            <w:tcW w:w="100" w:type="dxa"/>
            <w:vAlign w:val="bottom"/>
            <w:shd w:val="clear" w:color="auto" w:fill="D2DCE5"/>
          </w:tcPr>
          <w:p>
            <w:pPr>
              <w:spacing w:after="0"/>
              <w:rPr>
                <w:sz w:val="20"/>
                <w:szCs w:val="20"/>
                <w:color w:val="auto"/>
              </w:rPr>
            </w:pPr>
          </w:p>
        </w:tc>
        <w:tc>
          <w:tcPr>
            <w:tcW w:w="160" w:type="dxa"/>
            <w:vAlign w:val="bottom"/>
            <w:shd w:val="clear" w:color="auto" w:fill="D2DCE5"/>
          </w:tcPr>
          <w:p>
            <w:pPr>
              <w:spacing w:after="0"/>
              <w:rPr>
                <w:sz w:val="20"/>
                <w:szCs w:val="20"/>
                <w:color w:val="auto"/>
              </w:rPr>
            </w:pPr>
          </w:p>
        </w:tc>
        <w:tc>
          <w:tcPr>
            <w:tcW w:w="800" w:type="dxa"/>
            <w:vAlign w:val="bottom"/>
            <w:shd w:val="clear" w:color="auto" w:fill="D2DCE5"/>
          </w:tcPr>
          <w:p>
            <w:pPr>
              <w:jc w:val="right"/>
              <w:ind w:right="130"/>
              <w:spacing w:after="0"/>
              <w:rPr>
                <w:sz w:val="20"/>
                <w:szCs w:val="20"/>
                <w:color w:val="auto"/>
              </w:rPr>
            </w:pPr>
            <w:r>
              <w:rPr>
                <w:rFonts w:ascii="Arial" w:cs="Arial" w:eastAsia="Arial" w:hAnsi="Arial"/>
                <w:sz w:val="18"/>
                <w:szCs w:val="18"/>
                <w:color w:val="131E29"/>
              </w:rPr>
              <w:t>75.3%</w:t>
            </w:r>
          </w:p>
        </w:tc>
        <w:tc>
          <w:tcPr>
            <w:tcW w:w="100" w:type="dxa"/>
            <w:vAlign w:val="bottom"/>
            <w:shd w:val="clear" w:color="auto" w:fill="D2DCE5"/>
          </w:tcPr>
          <w:p>
            <w:pPr>
              <w:spacing w:after="0"/>
              <w:rPr>
                <w:sz w:val="20"/>
                <w:szCs w:val="20"/>
                <w:color w:val="auto"/>
              </w:rPr>
            </w:pPr>
          </w:p>
        </w:tc>
        <w:tc>
          <w:tcPr>
            <w:tcW w:w="220" w:type="dxa"/>
            <w:vAlign w:val="bottom"/>
            <w:shd w:val="clear" w:color="auto" w:fill="D2DCE5"/>
          </w:tcPr>
          <w:p>
            <w:pPr>
              <w:spacing w:after="0"/>
              <w:rPr>
                <w:sz w:val="20"/>
                <w:szCs w:val="20"/>
                <w:color w:val="auto"/>
              </w:rPr>
            </w:pPr>
          </w:p>
        </w:tc>
        <w:tc>
          <w:tcPr>
            <w:tcW w:w="940" w:type="dxa"/>
            <w:vAlign w:val="bottom"/>
            <w:shd w:val="clear" w:color="auto" w:fill="D2DCE5"/>
          </w:tcPr>
          <w:p>
            <w:pPr>
              <w:jc w:val="right"/>
              <w:ind w:right="470"/>
              <w:spacing w:after="0"/>
              <w:rPr>
                <w:sz w:val="20"/>
                <w:szCs w:val="20"/>
                <w:color w:val="auto"/>
              </w:rPr>
            </w:pPr>
            <w:r>
              <w:rPr>
                <w:rFonts w:ascii="Arial" w:cs="Arial" w:eastAsia="Arial" w:hAnsi="Arial"/>
                <w:sz w:val="18"/>
                <w:szCs w:val="18"/>
                <w:color w:val="131E29"/>
              </w:rPr>
              <w:t>N/A</w:t>
            </w:r>
          </w:p>
        </w:tc>
        <w:tc>
          <w:tcPr>
            <w:tcW w:w="1320" w:type="dxa"/>
            <w:vAlign w:val="bottom"/>
            <w:gridSpan w:val="2"/>
            <w:shd w:val="clear" w:color="auto" w:fill="D2DCE5"/>
          </w:tcPr>
          <w:p>
            <w:pPr>
              <w:ind w:left="340"/>
              <w:spacing w:after="0"/>
              <w:rPr>
                <w:sz w:val="20"/>
                <w:szCs w:val="20"/>
                <w:color w:val="auto"/>
              </w:rPr>
            </w:pPr>
            <w:r>
              <w:rPr>
                <w:rFonts w:ascii="Arial" w:cs="Arial" w:eastAsia="Arial" w:hAnsi="Arial"/>
                <w:sz w:val="18"/>
                <w:szCs w:val="18"/>
                <w:color w:val="131E29"/>
              </w:rPr>
              <w:t>(1,230)bps</w:t>
            </w:r>
          </w:p>
        </w:tc>
        <w:tc>
          <w:tcPr>
            <w:tcW w:w="160" w:type="dxa"/>
            <w:vAlign w:val="bottom"/>
            <w:shd w:val="clear" w:color="auto" w:fill="D2DCE5"/>
          </w:tcPr>
          <w:p>
            <w:pPr>
              <w:spacing w:after="0"/>
              <w:rPr>
                <w:sz w:val="20"/>
                <w:szCs w:val="20"/>
                <w:color w:val="auto"/>
              </w:rPr>
            </w:pPr>
          </w:p>
        </w:tc>
        <w:tc>
          <w:tcPr>
            <w:tcW w:w="780" w:type="dxa"/>
            <w:vAlign w:val="bottom"/>
            <w:shd w:val="clear" w:color="auto" w:fill="D2DCE5"/>
          </w:tcPr>
          <w:p>
            <w:pPr>
              <w:jc w:val="right"/>
              <w:ind w:right="130"/>
              <w:spacing w:after="0"/>
              <w:rPr>
                <w:sz w:val="20"/>
                <w:szCs w:val="20"/>
                <w:color w:val="auto"/>
              </w:rPr>
            </w:pPr>
            <w:r>
              <w:rPr>
                <w:rFonts w:ascii="Arial" w:cs="Arial" w:eastAsia="Arial" w:hAnsi="Arial"/>
                <w:sz w:val="18"/>
                <w:szCs w:val="18"/>
                <w:color w:val="131E29"/>
              </w:rPr>
              <w:t>60.3%</w:t>
            </w:r>
          </w:p>
        </w:tc>
        <w:tc>
          <w:tcPr>
            <w:tcW w:w="100" w:type="dxa"/>
            <w:vAlign w:val="bottom"/>
            <w:shd w:val="clear" w:color="auto" w:fill="D2DCE5"/>
          </w:tcPr>
          <w:p>
            <w:pPr>
              <w:spacing w:after="0"/>
              <w:rPr>
                <w:sz w:val="20"/>
                <w:szCs w:val="20"/>
                <w:color w:val="auto"/>
              </w:rPr>
            </w:pPr>
          </w:p>
        </w:tc>
        <w:tc>
          <w:tcPr>
            <w:tcW w:w="160" w:type="dxa"/>
            <w:vAlign w:val="bottom"/>
            <w:shd w:val="clear" w:color="auto" w:fill="D2DCE5"/>
          </w:tcPr>
          <w:p>
            <w:pPr>
              <w:spacing w:after="0"/>
              <w:rPr>
                <w:sz w:val="20"/>
                <w:szCs w:val="20"/>
                <w:color w:val="auto"/>
              </w:rPr>
            </w:pPr>
          </w:p>
        </w:tc>
        <w:tc>
          <w:tcPr>
            <w:tcW w:w="780" w:type="dxa"/>
            <w:vAlign w:val="bottom"/>
            <w:shd w:val="clear" w:color="auto" w:fill="D2DCE5"/>
          </w:tcPr>
          <w:p>
            <w:pPr>
              <w:jc w:val="right"/>
              <w:ind w:right="130"/>
              <w:spacing w:after="0"/>
              <w:rPr>
                <w:sz w:val="20"/>
                <w:szCs w:val="20"/>
                <w:color w:val="auto"/>
              </w:rPr>
            </w:pPr>
            <w:r>
              <w:rPr>
                <w:rFonts w:ascii="Arial" w:cs="Arial" w:eastAsia="Arial" w:hAnsi="Arial"/>
                <w:sz w:val="18"/>
                <w:szCs w:val="18"/>
                <w:color w:val="131E29"/>
              </w:rPr>
              <w:t>71.7%</w:t>
            </w:r>
          </w:p>
        </w:tc>
        <w:tc>
          <w:tcPr>
            <w:tcW w:w="80" w:type="dxa"/>
            <w:vAlign w:val="bottom"/>
            <w:shd w:val="clear" w:color="auto" w:fill="D2DCE5"/>
          </w:tcPr>
          <w:p>
            <w:pPr>
              <w:spacing w:after="0"/>
              <w:rPr>
                <w:sz w:val="20"/>
                <w:szCs w:val="20"/>
                <w:color w:val="auto"/>
              </w:rPr>
            </w:pPr>
          </w:p>
        </w:tc>
        <w:tc>
          <w:tcPr>
            <w:tcW w:w="220" w:type="dxa"/>
            <w:vAlign w:val="bottom"/>
            <w:shd w:val="clear" w:color="auto" w:fill="D2DCE5"/>
          </w:tcPr>
          <w:p>
            <w:pPr>
              <w:spacing w:after="0"/>
              <w:rPr>
                <w:sz w:val="20"/>
                <w:szCs w:val="20"/>
                <w:color w:val="auto"/>
              </w:rPr>
            </w:pPr>
          </w:p>
        </w:tc>
        <w:tc>
          <w:tcPr>
            <w:tcW w:w="940" w:type="dxa"/>
            <w:vAlign w:val="bottom"/>
            <w:shd w:val="clear" w:color="auto" w:fill="D2DCE5"/>
          </w:tcPr>
          <w:p>
            <w:pPr>
              <w:ind w:left="100"/>
              <w:spacing w:after="0"/>
              <w:rPr>
                <w:sz w:val="20"/>
                <w:szCs w:val="20"/>
                <w:color w:val="auto"/>
              </w:rPr>
            </w:pPr>
            <w:r>
              <w:rPr>
                <w:rFonts w:ascii="Arial" w:cs="Arial" w:eastAsia="Arial" w:hAnsi="Arial"/>
                <w:sz w:val="18"/>
                <w:szCs w:val="18"/>
                <w:color w:val="131E29"/>
              </w:rPr>
              <w:t>N/A</w:t>
            </w:r>
          </w:p>
        </w:tc>
        <w:tc>
          <w:tcPr>
            <w:tcW w:w="1280" w:type="dxa"/>
            <w:vAlign w:val="bottom"/>
            <w:shd w:val="clear" w:color="auto" w:fill="D2DCE5"/>
          </w:tcPr>
          <w:p>
            <w:pPr>
              <w:ind w:left="400"/>
              <w:spacing w:after="0"/>
              <w:rPr>
                <w:sz w:val="20"/>
                <w:szCs w:val="20"/>
                <w:color w:val="auto"/>
              </w:rPr>
            </w:pPr>
            <w:r>
              <w:rPr>
                <w:rFonts w:ascii="Arial" w:cs="Arial" w:eastAsia="Arial" w:hAnsi="Arial"/>
                <w:sz w:val="18"/>
                <w:szCs w:val="18"/>
                <w:color w:val="131E29"/>
                <w:w w:val="99"/>
              </w:rPr>
              <w:t>(1,139)bps</w:t>
            </w:r>
          </w:p>
        </w:tc>
      </w:tr>
      <w:tr>
        <w:trPr>
          <w:trHeight w:val="27"/>
        </w:trPr>
        <w:tc>
          <w:tcPr>
            <w:tcW w:w="202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80" w:type="dxa"/>
            <w:vAlign w:val="bottom"/>
            <w:shd w:val="clear" w:color="auto" w:fill="D2DCE5"/>
          </w:tcPr>
          <w:p>
            <w:pPr>
              <w:spacing w:after="0"/>
              <w:rPr>
                <w:sz w:val="2"/>
                <w:szCs w:val="2"/>
                <w:color w:val="auto"/>
              </w:rPr>
            </w:pPr>
          </w:p>
        </w:tc>
        <w:tc>
          <w:tcPr>
            <w:tcW w:w="80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60" w:type="dxa"/>
            <w:vAlign w:val="bottom"/>
            <w:shd w:val="clear" w:color="auto" w:fill="D2DCE5"/>
          </w:tcPr>
          <w:p>
            <w:pPr>
              <w:spacing w:after="0"/>
              <w:rPr>
                <w:sz w:val="2"/>
                <w:szCs w:val="2"/>
                <w:color w:val="auto"/>
              </w:rPr>
            </w:pPr>
          </w:p>
        </w:tc>
        <w:tc>
          <w:tcPr>
            <w:tcW w:w="80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220" w:type="dxa"/>
            <w:vAlign w:val="bottom"/>
            <w:shd w:val="clear" w:color="auto" w:fill="D2DCE5"/>
          </w:tcPr>
          <w:p>
            <w:pPr>
              <w:spacing w:after="0"/>
              <w:rPr>
                <w:sz w:val="2"/>
                <w:szCs w:val="2"/>
                <w:color w:val="auto"/>
              </w:rPr>
            </w:pPr>
          </w:p>
        </w:tc>
        <w:tc>
          <w:tcPr>
            <w:tcW w:w="940" w:type="dxa"/>
            <w:vAlign w:val="bottom"/>
            <w:shd w:val="clear" w:color="auto" w:fill="D2DCE5"/>
          </w:tcPr>
          <w:p>
            <w:pPr>
              <w:spacing w:after="0"/>
              <w:rPr>
                <w:sz w:val="2"/>
                <w:szCs w:val="2"/>
                <w:color w:val="auto"/>
              </w:rPr>
            </w:pPr>
          </w:p>
        </w:tc>
        <w:tc>
          <w:tcPr>
            <w:tcW w:w="122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60" w:type="dxa"/>
            <w:vAlign w:val="bottom"/>
            <w:shd w:val="clear" w:color="auto" w:fill="D2DCE5"/>
          </w:tcPr>
          <w:p>
            <w:pPr>
              <w:spacing w:after="0"/>
              <w:rPr>
                <w:sz w:val="2"/>
                <w:szCs w:val="2"/>
                <w:color w:val="auto"/>
              </w:rPr>
            </w:pPr>
          </w:p>
        </w:tc>
        <w:tc>
          <w:tcPr>
            <w:tcW w:w="78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60" w:type="dxa"/>
            <w:vAlign w:val="bottom"/>
            <w:shd w:val="clear" w:color="auto" w:fill="D2DCE5"/>
          </w:tcPr>
          <w:p>
            <w:pPr>
              <w:spacing w:after="0"/>
              <w:rPr>
                <w:sz w:val="2"/>
                <w:szCs w:val="2"/>
                <w:color w:val="auto"/>
              </w:rPr>
            </w:pPr>
          </w:p>
        </w:tc>
        <w:tc>
          <w:tcPr>
            <w:tcW w:w="780" w:type="dxa"/>
            <w:vAlign w:val="bottom"/>
            <w:shd w:val="clear" w:color="auto" w:fill="D2DCE5"/>
          </w:tcPr>
          <w:p>
            <w:pPr>
              <w:spacing w:after="0"/>
              <w:rPr>
                <w:sz w:val="2"/>
                <w:szCs w:val="2"/>
                <w:color w:val="auto"/>
              </w:rPr>
            </w:pPr>
          </w:p>
        </w:tc>
        <w:tc>
          <w:tcPr>
            <w:tcW w:w="80" w:type="dxa"/>
            <w:vAlign w:val="bottom"/>
            <w:shd w:val="clear" w:color="auto" w:fill="D2DCE5"/>
          </w:tcPr>
          <w:p>
            <w:pPr>
              <w:spacing w:after="0"/>
              <w:rPr>
                <w:sz w:val="2"/>
                <w:szCs w:val="2"/>
                <w:color w:val="auto"/>
              </w:rPr>
            </w:pPr>
          </w:p>
        </w:tc>
        <w:tc>
          <w:tcPr>
            <w:tcW w:w="220" w:type="dxa"/>
            <w:vAlign w:val="bottom"/>
            <w:shd w:val="clear" w:color="auto" w:fill="D2DCE5"/>
          </w:tcPr>
          <w:p>
            <w:pPr>
              <w:spacing w:after="0"/>
              <w:rPr>
                <w:sz w:val="2"/>
                <w:szCs w:val="2"/>
                <w:color w:val="auto"/>
              </w:rPr>
            </w:pPr>
          </w:p>
        </w:tc>
        <w:tc>
          <w:tcPr>
            <w:tcW w:w="940" w:type="dxa"/>
            <w:vAlign w:val="bottom"/>
            <w:shd w:val="clear" w:color="auto" w:fill="D2DCE5"/>
          </w:tcPr>
          <w:p>
            <w:pPr>
              <w:spacing w:after="0"/>
              <w:rPr>
                <w:sz w:val="2"/>
                <w:szCs w:val="2"/>
                <w:color w:val="auto"/>
              </w:rPr>
            </w:pPr>
          </w:p>
        </w:tc>
        <w:tc>
          <w:tcPr>
            <w:tcW w:w="1280" w:type="dxa"/>
            <w:vAlign w:val="bottom"/>
            <w:shd w:val="clear" w:color="auto" w:fill="D2DCE5"/>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September 30, 2022 v 2021</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Franchising and other gross profit impacts for the year-over-year comparison, presented in dollars and basis points, were driven by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48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380" w:type="dxa"/>
            <w:vAlign w:val="bottom"/>
          </w:tcPr>
          <w:p>
            <w:pPr>
              <w:spacing w:after="0"/>
              <w:rPr>
                <w:sz w:val="20"/>
                <w:szCs w:val="20"/>
                <w:color w:val="auto"/>
              </w:rPr>
            </w:pPr>
          </w:p>
        </w:tc>
        <w:tc>
          <w:tcPr>
            <w:tcW w:w="960" w:type="dxa"/>
            <w:vAlign w:val="bottom"/>
          </w:tcPr>
          <w:p>
            <w:pPr>
              <w:jc w:val="right"/>
              <w:ind w:right="53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320" w:type="dxa"/>
            <w:vAlign w:val="bottom"/>
          </w:tcPr>
          <w:p>
            <w:pPr>
              <w:ind w:left="480"/>
              <w:spacing w:after="0"/>
              <w:rPr>
                <w:sz w:val="20"/>
                <w:szCs w:val="20"/>
                <w:color w:val="auto"/>
              </w:rPr>
            </w:pPr>
            <w:r>
              <w:rPr>
                <w:rFonts w:ascii="Arial" w:cs="Arial" w:eastAsia="Arial" w:hAnsi="Arial"/>
                <w:sz w:val="18"/>
                <w:szCs w:val="18"/>
                <w:b w:val="1"/>
                <w:bCs w:val="1"/>
                <w:color w:val="131E29"/>
              </w:rPr>
              <w:t>BPS</w:t>
            </w:r>
          </w:p>
        </w:tc>
      </w:tr>
      <w:tr>
        <w:trPr>
          <w:trHeight w:val="25"/>
        </w:trPr>
        <w:tc>
          <w:tcPr>
            <w:tcW w:w="840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80" w:type="dxa"/>
            <w:vAlign w:val="bottom"/>
            <w:tcBorders>
              <w:bottom w:val="single" w:sz="8" w:color="131E29"/>
            </w:tcBorders>
          </w:tcPr>
          <w:p>
            <w:pPr>
              <w:spacing w:after="0"/>
              <w:rPr>
                <w:sz w:val="2"/>
                <w:szCs w:val="2"/>
                <w:color w:val="auto"/>
              </w:rPr>
            </w:pPr>
          </w:p>
        </w:tc>
        <w:tc>
          <w:tcPr>
            <w:tcW w:w="9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131E29"/>
            </w:tcBorders>
          </w:tcPr>
          <w:p>
            <w:pPr>
              <w:spacing w:after="0"/>
              <w:rPr>
                <w:sz w:val="2"/>
                <w:szCs w:val="2"/>
                <w:color w:val="auto"/>
              </w:rPr>
            </w:pPr>
          </w:p>
        </w:tc>
      </w:tr>
      <w:tr>
        <w:trPr>
          <w:trHeight w:val="243"/>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Higher net costs of products sold to franchisees</w:t>
            </w:r>
          </w:p>
        </w:tc>
        <w:tc>
          <w:tcPr>
            <w:tcW w:w="38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color w:val="131E29"/>
                <w:w w:val="9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(3,094)</w:t>
            </w:r>
          </w:p>
        </w:tc>
        <w:tc>
          <w:tcPr>
            <w:tcW w:w="100" w:type="dxa"/>
            <w:vAlign w:val="bottom"/>
            <w:tcBorders>
              <w:bottom w:val="single" w:sz="8" w:color="D2DCE5"/>
            </w:tcBorders>
            <w:shd w:val="clear" w:color="auto" w:fill="D2DCE5"/>
          </w:tcPr>
          <w:p>
            <w:pPr>
              <w:spacing w:after="0"/>
              <w:rPr>
                <w:sz w:val="21"/>
                <w:szCs w:val="21"/>
                <w:color w:val="auto"/>
              </w:rPr>
            </w:pP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(1,230)</w:t>
            </w: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131E29"/>
              </w:rPr>
              <w:t>Shop weeks</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430</w:t>
            </w:r>
          </w:p>
        </w:tc>
        <w:tc>
          <w:tcPr>
            <w:tcW w:w="100" w:type="dxa"/>
            <w:vAlign w:val="bottom"/>
          </w:tcPr>
          <w:p>
            <w:pPr>
              <w:spacing w:after="0"/>
              <w:rPr>
                <w:sz w:val="21"/>
                <w:szCs w:val="21"/>
                <w:color w:val="auto"/>
              </w:rPr>
            </w:pPr>
          </w:p>
        </w:tc>
        <w:tc>
          <w:tcPr>
            <w:tcW w:w="1320" w:type="dxa"/>
            <w:vAlign w:val="bottom"/>
          </w:tcPr>
          <w:p>
            <w:pPr>
              <w:ind w:left="1000"/>
              <w:spacing w:after="0"/>
              <w:rPr>
                <w:sz w:val="20"/>
                <w:szCs w:val="20"/>
                <w:color w:val="auto"/>
              </w:rPr>
            </w:pPr>
            <w:r>
              <w:rPr>
                <w:rFonts w:ascii="Arial" w:cs="Arial" w:eastAsia="Arial" w:hAnsi="Arial"/>
                <w:sz w:val="18"/>
                <w:szCs w:val="18"/>
                <w:color w:val="131E29"/>
                <w:w w:val="99"/>
              </w:rPr>
              <w:t>N/A</w:t>
            </w:r>
          </w:p>
        </w:tc>
      </w:tr>
      <w:tr>
        <w:trPr>
          <w:trHeight w:val="27"/>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Same shop sales</w:t>
            </w:r>
          </w:p>
        </w:tc>
        <w:tc>
          <w:tcPr>
            <w:tcW w:w="380" w:type="dxa"/>
            <w:vAlign w:val="bottom"/>
            <w:tcBorders>
              <w:bottom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477</w:t>
            </w:r>
          </w:p>
        </w:tc>
        <w:tc>
          <w:tcPr>
            <w:tcW w:w="100" w:type="dxa"/>
            <w:vAlign w:val="bottom"/>
            <w:tcBorders>
              <w:bottom w:val="single" w:sz="8" w:color="D2DCE5"/>
            </w:tcBorders>
            <w:shd w:val="clear" w:color="auto" w:fill="D2DCE5"/>
          </w:tcPr>
          <w:p>
            <w:pPr>
              <w:spacing w:after="0"/>
              <w:rPr>
                <w:sz w:val="21"/>
                <w:szCs w:val="21"/>
                <w:color w:val="auto"/>
              </w:rPr>
            </w:pPr>
          </w:p>
        </w:tc>
        <w:tc>
          <w:tcPr>
            <w:tcW w:w="1320" w:type="dxa"/>
            <w:vAlign w:val="bottom"/>
            <w:tcBorders>
              <w:bottom w:val="single" w:sz="8" w:color="D2DCE5"/>
            </w:tcBorders>
            <w:shd w:val="clear" w:color="auto" w:fill="D2DCE5"/>
          </w:tcPr>
          <w:p>
            <w:pPr>
              <w:ind w:left="1000"/>
              <w:spacing w:after="0"/>
              <w:rPr>
                <w:sz w:val="20"/>
                <w:szCs w:val="20"/>
                <w:color w:val="auto"/>
              </w:rPr>
            </w:pPr>
            <w:r>
              <w:rPr>
                <w:rFonts w:ascii="Arial" w:cs="Arial" w:eastAsia="Arial" w:hAnsi="Arial"/>
                <w:sz w:val="18"/>
                <w:szCs w:val="18"/>
                <w:color w:val="131E29"/>
                <w:w w:val="99"/>
              </w:rPr>
              <w:t>N/A</w:t>
            </w: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131E29"/>
              </w:rPr>
              <w:t>Other</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2,110</w:t>
            </w:r>
          </w:p>
        </w:tc>
        <w:tc>
          <w:tcPr>
            <w:tcW w:w="100" w:type="dxa"/>
            <w:vAlign w:val="bottom"/>
          </w:tcPr>
          <w:p>
            <w:pPr>
              <w:spacing w:after="0"/>
              <w:rPr>
                <w:sz w:val="21"/>
                <w:szCs w:val="21"/>
                <w:color w:val="auto"/>
              </w:rPr>
            </w:pPr>
          </w:p>
        </w:tc>
        <w:tc>
          <w:tcPr>
            <w:tcW w:w="1320" w:type="dxa"/>
            <w:vAlign w:val="bottom"/>
          </w:tcPr>
          <w:p>
            <w:pPr>
              <w:ind w:left="1000"/>
              <w:spacing w:after="0"/>
              <w:rPr>
                <w:sz w:val="20"/>
                <w:szCs w:val="20"/>
                <w:color w:val="auto"/>
              </w:rPr>
            </w:pPr>
            <w:r>
              <w:rPr>
                <w:rFonts w:ascii="Arial" w:cs="Arial" w:eastAsia="Arial" w:hAnsi="Arial"/>
                <w:sz w:val="18"/>
                <w:szCs w:val="18"/>
                <w:color w:val="131E29"/>
                <w:w w:val="99"/>
              </w:rPr>
              <w:t>N/A</w:t>
            </w:r>
          </w:p>
        </w:tc>
      </w:tr>
      <w:tr>
        <w:trPr>
          <w:trHeight w:val="27"/>
        </w:trPr>
        <w:tc>
          <w:tcPr>
            <w:tcW w:w="840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80" w:type="dxa"/>
            <w:vAlign w:val="bottom"/>
            <w:tcBorders>
              <w:bottom w:val="single" w:sz="8" w:color="131E29"/>
            </w:tcBorders>
          </w:tcPr>
          <w:p>
            <w:pPr>
              <w:spacing w:after="0"/>
              <w:rPr>
                <w:sz w:val="2"/>
                <w:szCs w:val="2"/>
                <w:color w:val="auto"/>
              </w:rPr>
            </w:pPr>
          </w:p>
        </w:tc>
        <w:tc>
          <w:tcPr>
            <w:tcW w:w="9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131E29"/>
            </w:tcBorders>
          </w:tcPr>
          <w:p>
            <w:pPr>
              <w:spacing w:after="0"/>
              <w:rPr>
                <w:sz w:val="2"/>
                <w:szCs w:val="2"/>
                <w:color w:val="auto"/>
              </w:rPr>
            </w:pPr>
          </w:p>
        </w:tc>
      </w:tr>
      <w:tr>
        <w:trPr>
          <w:trHeight w:val="244"/>
        </w:trPr>
        <w:tc>
          <w:tcPr>
            <w:tcW w:w="848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Total change</w:t>
            </w:r>
          </w:p>
        </w:tc>
        <w:tc>
          <w:tcPr>
            <w:tcW w:w="38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b w:val="1"/>
                <w:bCs w:val="1"/>
                <w:color w:val="131E29"/>
                <w:w w:val="9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(77)</w:t>
            </w:r>
          </w:p>
        </w:tc>
        <w:tc>
          <w:tcPr>
            <w:tcW w:w="100" w:type="dxa"/>
            <w:vAlign w:val="bottom"/>
            <w:tcBorders>
              <w:bottom w:val="single" w:sz="8" w:color="D2DCE5"/>
            </w:tcBorders>
            <w:shd w:val="clear" w:color="auto" w:fill="D2DCE5"/>
          </w:tcPr>
          <w:p>
            <w:pPr>
              <w:spacing w:after="0"/>
              <w:rPr>
                <w:sz w:val="21"/>
                <w:szCs w:val="21"/>
                <w:color w:val="auto"/>
              </w:rPr>
            </w:pP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(1,230)</w:t>
            </w:r>
          </w:p>
        </w:tc>
      </w:tr>
      <w:tr>
        <w:trPr>
          <w:trHeight w:val="20"/>
        </w:trPr>
        <w:tc>
          <w:tcPr>
            <w:tcW w:w="8400" w:type="dxa"/>
            <w:vAlign w:val="bottom"/>
            <w:shd w:val="clear" w:color="auto" w:fill="131E2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131E29"/>
          </w:tcPr>
          <w:p>
            <w:pPr>
              <w:spacing w:after="0" w:line="20" w:lineRule="exact"/>
              <w:rPr>
                <w:sz w:val="1"/>
                <w:szCs w:val="1"/>
                <w:color w:val="auto"/>
              </w:rPr>
            </w:pPr>
          </w:p>
        </w:tc>
        <w:tc>
          <w:tcPr>
            <w:tcW w:w="960" w:type="dxa"/>
            <w:vAlign w:val="bottom"/>
            <w:shd w:val="clear" w:color="auto" w:fill="131E2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131E29"/>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Nine Months Ended September 30, 2022 v 2021</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The Franchising and other gross profit impacts for the year-over-year comparison, presented in dollars and basis points, were driven by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10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440" w:type="dxa"/>
            <w:vAlign w:val="bottom"/>
          </w:tcPr>
          <w:p>
            <w:pPr>
              <w:jc w:val="right"/>
              <w:ind w:right="57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600" w:type="dxa"/>
            <w:vAlign w:val="bottom"/>
          </w:tcPr>
          <w:p>
            <w:pPr>
              <w:ind w:left="620"/>
              <w:spacing w:after="0"/>
              <w:rPr>
                <w:sz w:val="20"/>
                <w:szCs w:val="20"/>
                <w:color w:val="auto"/>
              </w:rPr>
            </w:pPr>
            <w:r>
              <w:rPr>
                <w:rFonts w:ascii="Arial" w:cs="Arial" w:eastAsia="Arial" w:hAnsi="Arial"/>
                <w:sz w:val="18"/>
                <w:szCs w:val="18"/>
                <w:b w:val="1"/>
                <w:bCs w:val="1"/>
                <w:color w:val="131E29"/>
              </w:rPr>
              <w:t>BPS</w:t>
            </w:r>
          </w:p>
        </w:tc>
      </w:tr>
      <w:tr>
        <w:trPr>
          <w:trHeight w:val="26"/>
        </w:trPr>
        <w:tc>
          <w:tcPr>
            <w:tcW w:w="80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4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0" w:type="dxa"/>
            <w:vAlign w:val="bottom"/>
            <w:tcBorders>
              <w:bottom w:val="single" w:sz="8" w:color="131E29"/>
            </w:tcBorders>
          </w:tcPr>
          <w:p>
            <w:pPr>
              <w:spacing w:after="0"/>
              <w:rPr>
                <w:sz w:val="2"/>
                <w:szCs w:val="2"/>
                <w:color w:val="auto"/>
              </w:rPr>
            </w:pPr>
          </w:p>
        </w:tc>
      </w:tr>
      <w:tr>
        <w:trPr>
          <w:trHeight w:val="243"/>
        </w:trPr>
        <w:tc>
          <w:tcPr>
            <w:tcW w:w="81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Higher net costs of products sold to franchisees</w:t>
            </w:r>
          </w:p>
        </w:tc>
        <w:tc>
          <w:tcPr>
            <w:tcW w:w="1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(8,317)</w:t>
            </w:r>
          </w:p>
        </w:tc>
        <w:tc>
          <w:tcPr>
            <w:tcW w:w="10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(1,139)</w:t>
            </w:r>
          </w:p>
        </w:tc>
      </w:tr>
      <w:tr>
        <w:trPr>
          <w:trHeight w:val="243"/>
        </w:trPr>
        <w:tc>
          <w:tcPr>
            <w:tcW w:w="8100" w:type="dxa"/>
            <w:vAlign w:val="bottom"/>
            <w:gridSpan w:val="2"/>
          </w:tcPr>
          <w:p>
            <w:pPr>
              <w:ind w:left="20"/>
              <w:spacing w:after="0"/>
              <w:rPr>
                <w:sz w:val="20"/>
                <w:szCs w:val="20"/>
                <w:color w:val="auto"/>
              </w:rPr>
            </w:pPr>
            <w:r>
              <w:rPr>
                <w:rFonts w:ascii="Arial" w:cs="Arial" w:eastAsia="Arial" w:hAnsi="Arial"/>
                <w:sz w:val="18"/>
                <w:szCs w:val="18"/>
                <w:color w:val="131E29"/>
              </w:rPr>
              <w:t>Shop weeks</w:t>
            </w:r>
          </w:p>
        </w:tc>
        <w:tc>
          <w:tcPr>
            <w:tcW w:w="1440" w:type="dxa"/>
            <w:vAlign w:val="bottom"/>
          </w:tcPr>
          <w:p>
            <w:pPr>
              <w:jc w:val="right"/>
              <w:spacing w:after="0"/>
              <w:rPr>
                <w:sz w:val="20"/>
                <w:szCs w:val="20"/>
                <w:color w:val="auto"/>
              </w:rPr>
            </w:pPr>
            <w:r>
              <w:rPr>
                <w:rFonts w:ascii="Arial" w:cs="Arial" w:eastAsia="Arial" w:hAnsi="Arial"/>
                <w:sz w:val="18"/>
                <w:szCs w:val="18"/>
                <w:color w:val="131E29"/>
              </w:rPr>
              <w:t>1,078</w:t>
            </w:r>
          </w:p>
        </w:tc>
        <w:tc>
          <w:tcPr>
            <w:tcW w:w="100" w:type="dxa"/>
            <w:vAlign w:val="bottom"/>
          </w:tcPr>
          <w:p>
            <w:pPr>
              <w:spacing w:after="0"/>
              <w:rPr>
                <w:sz w:val="21"/>
                <w:szCs w:val="21"/>
                <w:color w:val="auto"/>
              </w:rPr>
            </w:pPr>
          </w:p>
        </w:tc>
        <w:tc>
          <w:tcPr>
            <w:tcW w:w="1600" w:type="dxa"/>
            <w:vAlign w:val="bottom"/>
          </w:tcPr>
          <w:p>
            <w:pPr>
              <w:ind w:left="1280"/>
              <w:spacing w:after="0"/>
              <w:rPr>
                <w:sz w:val="20"/>
                <w:szCs w:val="20"/>
                <w:color w:val="auto"/>
              </w:rPr>
            </w:pPr>
            <w:r>
              <w:rPr>
                <w:rFonts w:ascii="Arial" w:cs="Arial" w:eastAsia="Arial" w:hAnsi="Arial"/>
                <w:sz w:val="18"/>
                <w:szCs w:val="18"/>
                <w:color w:val="131E29"/>
                <w:w w:val="99"/>
              </w:rPr>
              <w:t>N/A</w:t>
            </w:r>
          </w:p>
        </w:tc>
      </w:tr>
      <w:tr>
        <w:trPr>
          <w:trHeight w:val="27"/>
        </w:trPr>
        <w:tc>
          <w:tcPr>
            <w:tcW w:w="8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1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Same shop sales</w:t>
            </w:r>
          </w:p>
        </w:tc>
        <w:tc>
          <w:tcPr>
            <w:tcW w:w="1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831</w:t>
            </w:r>
          </w:p>
        </w:tc>
        <w:tc>
          <w:tcPr>
            <w:tcW w:w="10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ind w:left="1280"/>
              <w:spacing w:after="0"/>
              <w:rPr>
                <w:sz w:val="20"/>
                <w:szCs w:val="20"/>
                <w:color w:val="auto"/>
              </w:rPr>
            </w:pPr>
            <w:r>
              <w:rPr>
                <w:rFonts w:ascii="Arial" w:cs="Arial" w:eastAsia="Arial" w:hAnsi="Arial"/>
                <w:sz w:val="18"/>
                <w:szCs w:val="18"/>
                <w:color w:val="131E29"/>
                <w:w w:val="99"/>
              </w:rPr>
              <w:t>N/A</w:t>
            </w:r>
          </w:p>
        </w:tc>
      </w:tr>
      <w:tr>
        <w:trPr>
          <w:trHeight w:val="243"/>
        </w:trPr>
        <w:tc>
          <w:tcPr>
            <w:tcW w:w="8100" w:type="dxa"/>
            <w:vAlign w:val="bottom"/>
            <w:gridSpan w:val="2"/>
          </w:tcPr>
          <w:p>
            <w:pPr>
              <w:ind w:left="20"/>
              <w:spacing w:after="0"/>
              <w:rPr>
                <w:sz w:val="20"/>
                <w:szCs w:val="20"/>
                <w:color w:val="auto"/>
              </w:rPr>
            </w:pPr>
            <w:r>
              <w:rPr>
                <w:rFonts w:ascii="Arial" w:cs="Arial" w:eastAsia="Arial" w:hAnsi="Arial"/>
                <w:sz w:val="18"/>
                <w:szCs w:val="18"/>
                <w:color w:val="131E29"/>
              </w:rPr>
              <w:t>Other</w:t>
            </w:r>
          </w:p>
        </w:tc>
        <w:tc>
          <w:tcPr>
            <w:tcW w:w="1440" w:type="dxa"/>
            <w:vAlign w:val="bottom"/>
          </w:tcPr>
          <w:p>
            <w:pPr>
              <w:jc w:val="right"/>
              <w:spacing w:after="0"/>
              <w:rPr>
                <w:sz w:val="20"/>
                <w:szCs w:val="20"/>
                <w:color w:val="auto"/>
              </w:rPr>
            </w:pPr>
            <w:r>
              <w:rPr>
                <w:rFonts w:ascii="Arial" w:cs="Arial" w:eastAsia="Arial" w:hAnsi="Arial"/>
                <w:sz w:val="18"/>
                <w:szCs w:val="18"/>
                <w:color w:val="131E29"/>
              </w:rPr>
              <w:t>1,486</w:t>
            </w:r>
          </w:p>
        </w:tc>
        <w:tc>
          <w:tcPr>
            <w:tcW w:w="100" w:type="dxa"/>
            <w:vAlign w:val="bottom"/>
          </w:tcPr>
          <w:p>
            <w:pPr>
              <w:spacing w:after="0"/>
              <w:rPr>
                <w:sz w:val="21"/>
                <w:szCs w:val="21"/>
                <w:color w:val="auto"/>
              </w:rPr>
            </w:pPr>
          </w:p>
        </w:tc>
        <w:tc>
          <w:tcPr>
            <w:tcW w:w="1600" w:type="dxa"/>
            <w:vAlign w:val="bottom"/>
          </w:tcPr>
          <w:p>
            <w:pPr>
              <w:ind w:left="1280"/>
              <w:spacing w:after="0"/>
              <w:rPr>
                <w:sz w:val="20"/>
                <w:szCs w:val="20"/>
                <w:color w:val="auto"/>
              </w:rPr>
            </w:pPr>
            <w:r>
              <w:rPr>
                <w:rFonts w:ascii="Arial" w:cs="Arial" w:eastAsia="Arial" w:hAnsi="Arial"/>
                <w:sz w:val="18"/>
                <w:szCs w:val="18"/>
                <w:color w:val="131E29"/>
                <w:w w:val="99"/>
              </w:rPr>
              <w:t>N/A</w:t>
            </w:r>
          </w:p>
        </w:tc>
      </w:tr>
      <w:tr>
        <w:trPr>
          <w:trHeight w:val="27"/>
        </w:trPr>
        <w:tc>
          <w:tcPr>
            <w:tcW w:w="802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4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0" w:type="dxa"/>
            <w:vAlign w:val="bottom"/>
            <w:tcBorders>
              <w:bottom w:val="single" w:sz="8" w:color="131E29"/>
            </w:tcBorders>
          </w:tcPr>
          <w:p>
            <w:pPr>
              <w:spacing w:after="0"/>
              <w:rPr>
                <w:sz w:val="2"/>
                <w:szCs w:val="2"/>
                <w:color w:val="auto"/>
              </w:rPr>
            </w:pPr>
          </w:p>
        </w:tc>
      </w:tr>
      <w:tr>
        <w:trPr>
          <w:trHeight w:val="243"/>
        </w:trPr>
        <w:tc>
          <w:tcPr>
            <w:tcW w:w="810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Total change</w:t>
            </w:r>
          </w:p>
        </w:tc>
        <w:tc>
          <w:tcPr>
            <w:tcW w:w="1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(4,922)</w:t>
            </w:r>
          </w:p>
        </w:tc>
        <w:tc>
          <w:tcPr>
            <w:tcW w:w="10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(1,139)</w:t>
            </w:r>
          </w:p>
        </w:tc>
      </w:tr>
      <w:tr>
        <w:trPr>
          <w:trHeight w:val="20"/>
        </w:trPr>
        <w:tc>
          <w:tcPr>
            <w:tcW w:w="8020" w:type="dxa"/>
            <w:vAlign w:val="bottom"/>
            <w:shd w:val="clear" w:color="auto" w:fill="131E2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shd w:val="clear" w:color="auto" w:fill="131E2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131E29"/>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Selling, General, and Administrative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60" w:type="dxa"/>
            <w:vAlign w:val="bottom"/>
            <w:gridSpan w:val="9"/>
          </w:tcPr>
          <w:p>
            <w:pPr>
              <w:ind w:left="560"/>
              <w:spacing w:after="0"/>
              <w:rPr>
                <w:sz w:val="20"/>
                <w:szCs w:val="20"/>
                <w:color w:val="auto"/>
              </w:rPr>
            </w:pPr>
            <w:r>
              <w:rPr>
                <w:rFonts w:ascii="Arial" w:cs="Arial" w:eastAsia="Arial" w:hAnsi="Arial"/>
                <w:sz w:val="18"/>
                <w:szCs w:val="18"/>
                <w:b w:val="1"/>
                <w:bCs w:val="1"/>
                <w:color w:val="131E29"/>
              </w:rPr>
              <w:t>Three Months Ended September 30,</w:t>
            </w:r>
          </w:p>
        </w:tc>
        <w:tc>
          <w:tcPr>
            <w:tcW w:w="4480" w:type="dxa"/>
            <w:vAlign w:val="bottom"/>
            <w:gridSpan w:val="7"/>
          </w:tcPr>
          <w:p>
            <w:pPr>
              <w:ind w:left="760"/>
              <w:spacing w:after="0"/>
              <w:rPr>
                <w:sz w:val="20"/>
                <w:szCs w:val="20"/>
                <w:color w:val="auto"/>
              </w:rPr>
            </w:pPr>
            <w:r>
              <w:rPr>
                <w:rFonts w:ascii="Arial" w:cs="Arial" w:eastAsia="Arial" w:hAnsi="Arial"/>
                <w:sz w:val="18"/>
                <w:szCs w:val="18"/>
                <w:b w:val="1"/>
                <w:bCs w:val="1"/>
                <w:color w:val="131E29"/>
              </w:rPr>
              <w:t>Nine Months Ended September 30,</w:t>
            </w:r>
          </w:p>
        </w:tc>
      </w:tr>
      <w:tr>
        <w:trPr>
          <w:trHeight w:val="27"/>
        </w:trPr>
        <w:tc>
          <w:tcPr>
            <w:tcW w:w="2080" w:type="dxa"/>
            <w:vAlign w:val="bottom"/>
            <w:gridSpan w:val="2"/>
          </w:tcPr>
          <w:p>
            <w:pPr>
              <w:spacing w:after="0"/>
              <w:rPr>
                <w:sz w:val="2"/>
                <w:szCs w:val="2"/>
                <w:color w:val="auto"/>
              </w:rPr>
            </w:pPr>
          </w:p>
        </w:tc>
        <w:tc>
          <w:tcPr>
            <w:tcW w:w="200" w:type="dxa"/>
            <w:vAlign w:val="bottom"/>
            <w:tcBorders>
              <w:bottom w:val="single" w:sz="8" w:color="131E29"/>
            </w:tcBorders>
          </w:tcPr>
          <w:p>
            <w:pPr>
              <w:spacing w:after="0"/>
              <w:rPr>
                <w:sz w:val="2"/>
                <w:szCs w:val="2"/>
                <w:color w:val="auto"/>
              </w:rPr>
            </w:pPr>
          </w:p>
        </w:tc>
        <w:tc>
          <w:tcPr>
            <w:tcW w:w="84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180" w:type="dxa"/>
            <w:vAlign w:val="bottom"/>
            <w:tcBorders>
              <w:bottom w:val="single" w:sz="8" w:color="131E29"/>
            </w:tcBorders>
          </w:tcPr>
          <w:p>
            <w:pPr>
              <w:spacing w:after="0"/>
              <w:rPr>
                <w:sz w:val="2"/>
                <w:szCs w:val="2"/>
                <w:color w:val="auto"/>
              </w:rPr>
            </w:pPr>
          </w:p>
        </w:tc>
        <w:tc>
          <w:tcPr>
            <w:tcW w:w="840" w:type="dxa"/>
            <w:vAlign w:val="bottom"/>
            <w:tcBorders>
              <w:bottom w:val="single" w:sz="8" w:color="131E29"/>
            </w:tcBorders>
          </w:tcPr>
          <w:p>
            <w:pPr>
              <w:spacing w:after="0"/>
              <w:rPr>
                <w:sz w:val="2"/>
                <w:szCs w:val="2"/>
                <w:color w:val="auto"/>
              </w:rPr>
            </w:pPr>
          </w:p>
        </w:tc>
        <w:tc>
          <w:tcPr>
            <w:tcW w:w="80" w:type="dxa"/>
            <w:vAlign w:val="bottom"/>
            <w:tcBorders>
              <w:bottom w:val="single" w:sz="8" w:color="131E29"/>
            </w:tcBorders>
          </w:tcPr>
          <w:p>
            <w:pPr>
              <w:spacing w:after="0"/>
              <w:rPr>
                <w:sz w:val="2"/>
                <w:szCs w:val="2"/>
                <w:color w:val="auto"/>
              </w:rPr>
            </w:pPr>
          </w:p>
        </w:tc>
        <w:tc>
          <w:tcPr>
            <w:tcW w:w="260" w:type="dxa"/>
            <w:vAlign w:val="bottom"/>
            <w:tcBorders>
              <w:bottom w:val="single" w:sz="8" w:color="131E29"/>
            </w:tcBorders>
          </w:tcPr>
          <w:p>
            <w:pPr>
              <w:spacing w:after="0"/>
              <w:rPr>
                <w:sz w:val="2"/>
                <w:szCs w:val="2"/>
                <w:color w:val="auto"/>
              </w:rPr>
            </w:pPr>
          </w:p>
        </w:tc>
        <w:tc>
          <w:tcPr>
            <w:tcW w:w="2060" w:type="dxa"/>
            <w:vAlign w:val="bottom"/>
            <w:tcBorders>
              <w:bottom w:val="single" w:sz="8" w:color="131E29"/>
            </w:tcBorders>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r>
      <w:tr>
        <w:trPr>
          <w:trHeight w:val="238"/>
        </w:trPr>
        <w:tc>
          <w:tcPr>
            <w:tcW w:w="208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200" w:type="dxa"/>
            <w:vAlign w:val="bottom"/>
          </w:tcPr>
          <w:p>
            <w:pPr>
              <w:spacing w:after="0"/>
              <w:rPr>
                <w:sz w:val="20"/>
                <w:szCs w:val="20"/>
                <w:color w:val="auto"/>
              </w:rPr>
            </w:pPr>
          </w:p>
        </w:tc>
        <w:tc>
          <w:tcPr>
            <w:tcW w:w="840" w:type="dxa"/>
            <w:vAlign w:val="bottom"/>
          </w:tcPr>
          <w:p>
            <w:pPr>
              <w:jc w:val="right"/>
              <w:ind w:right="235"/>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36"/>
              <w:spacing w:after="0"/>
              <w:rPr>
                <w:sz w:val="20"/>
                <w:szCs w:val="20"/>
                <w:color w:val="auto"/>
              </w:rPr>
            </w:pPr>
            <w:r>
              <w:rPr>
                <w:rFonts w:ascii="Arial" w:cs="Arial" w:eastAsia="Arial" w:hAnsi="Arial"/>
                <w:sz w:val="18"/>
                <w:szCs w:val="18"/>
                <w:b w:val="1"/>
                <w:bCs w:val="1"/>
                <w:color w:val="131E29"/>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3"/>
          </w:tcPr>
          <w:p>
            <w:pPr>
              <w:ind w:left="400"/>
              <w:spacing w:after="0"/>
              <w:rPr>
                <w:sz w:val="20"/>
                <w:szCs w:val="20"/>
                <w:color w:val="auto"/>
              </w:rPr>
            </w:pPr>
            <w:r>
              <w:rPr>
                <w:rFonts w:ascii="Arial" w:cs="Arial" w:eastAsia="Arial" w:hAnsi="Arial"/>
                <w:sz w:val="18"/>
                <w:szCs w:val="18"/>
                <w:b w:val="1"/>
                <w:bCs w:val="1"/>
                <w:color w:val="131E29"/>
              </w:rPr>
              <w:t>2022 v. 2021</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131E29"/>
                <w:w w:val="99"/>
              </w:rPr>
              <w:t>2022</w:t>
            </w:r>
          </w:p>
        </w:tc>
        <w:tc>
          <w:tcPr>
            <w:tcW w:w="100" w:type="dxa"/>
            <w:vAlign w:val="bottom"/>
          </w:tcPr>
          <w:p>
            <w:pPr>
              <w:spacing w:after="0"/>
              <w:rPr>
                <w:sz w:val="20"/>
                <w:szCs w:val="20"/>
                <w:color w:val="auto"/>
              </w:rPr>
            </w:pPr>
          </w:p>
        </w:tc>
        <w:tc>
          <w:tcPr>
            <w:tcW w:w="1000" w:type="dxa"/>
            <w:vAlign w:val="bottom"/>
          </w:tcPr>
          <w:p>
            <w:pPr>
              <w:jc w:val="right"/>
              <w:ind w:right="216"/>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2"/>
          </w:tcPr>
          <w:p>
            <w:pPr>
              <w:ind w:left="340"/>
              <w:spacing w:after="0"/>
              <w:rPr>
                <w:sz w:val="20"/>
                <w:szCs w:val="20"/>
                <w:color w:val="auto"/>
              </w:rPr>
            </w:pPr>
            <w:r>
              <w:rPr>
                <w:rFonts w:ascii="Arial" w:cs="Arial" w:eastAsia="Arial" w:hAnsi="Arial"/>
                <w:sz w:val="18"/>
                <w:szCs w:val="18"/>
                <w:b w:val="1"/>
                <w:bCs w:val="1"/>
                <w:color w:val="131E29"/>
              </w:rPr>
              <w:t>2022 v. 2021</w:t>
            </w:r>
          </w:p>
        </w:tc>
      </w:tr>
      <w:tr>
        <w:trPr>
          <w:trHeight w:val="25"/>
        </w:trPr>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80" w:type="dxa"/>
            <w:vAlign w:val="bottom"/>
            <w:tcBorders>
              <w:bottom w:val="single" w:sz="8" w:color="131E29"/>
            </w:tcBorders>
          </w:tcPr>
          <w:p>
            <w:pPr>
              <w:spacing w:after="0"/>
              <w:rPr>
                <w:sz w:val="2"/>
                <w:szCs w:val="2"/>
                <w:color w:val="auto"/>
              </w:rPr>
            </w:pPr>
          </w:p>
        </w:tc>
        <w:tc>
          <w:tcPr>
            <w:tcW w:w="84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60" w:type="dxa"/>
            <w:vAlign w:val="bottom"/>
            <w:tcBorders>
              <w:bottom w:val="single" w:sz="8" w:color="131E29"/>
            </w:tcBorders>
          </w:tcPr>
          <w:p>
            <w:pPr>
              <w:spacing w:after="0"/>
              <w:rPr>
                <w:sz w:val="2"/>
                <w:szCs w:val="2"/>
                <w:color w:val="auto"/>
              </w:rPr>
            </w:pPr>
          </w:p>
        </w:tc>
        <w:tc>
          <w:tcPr>
            <w:tcW w:w="1020" w:type="dxa"/>
            <w:vAlign w:val="bottom"/>
            <w:tcBorders>
              <w:bottom w:val="single" w:sz="8" w:color="131E29"/>
            </w:tcBorders>
          </w:tcPr>
          <w:p>
            <w:pPr>
              <w:spacing w:after="0"/>
              <w:rPr>
                <w:sz w:val="2"/>
                <w:szCs w:val="2"/>
                <w:color w:val="auto"/>
              </w:rPr>
            </w:pPr>
          </w:p>
        </w:tc>
        <w:tc>
          <w:tcPr>
            <w:tcW w:w="10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0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940" w:type="dxa"/>
            <w:vAlign w:val="bottom"/>
            <w:tcBorders>
              <w:bottom w:val="single" w:sz="8" w:color="131E29"/>
            </w:tcBorders>
          </w:tcPr>
          <w:p>
            <w:pPr>
              <w:spacing w:after="0"/>
              <w:rPr>
                <w:sz w:val="2"/>
                <w:szCs w:val="2"/>
                <w:color w:val="auto"/>
              </w:rPr>
            </w:pPr>
          </w:p>
        </w:tc>
        <w:tc>
          <w:tcPr>
            <w:tcW w:w="1040" w:type="dxa"/>
            <w:vAlign w:val="bottom"/>
            <w:tcBorders>
              <w:bottom w:val="single" w:sz="8" w:color="131E29"/>
            </w:tcBorders>
          </w:tcPr>
          <w:p>
            <w:pPr>
              <w:spacing w:after="0"/>
              <w:rPr>
                <w:sz w:val="2"/>
                <w:szCs w:val="2"/>
                <w:color w:val="auto"/>
              </w:rPr>
            </w:pPr>
          </w:p>
        </w:tc>
      </w:tr>
      <w:tr>
        <w:trPr>
          <w:trHeight w:val="211"/>
        </w:trPr>
        <w:tc>
          <w:tcPr>
            <w:tcW w:w="20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Selling, General and</w:t>
            </w:r>
          </w:p>
        </w:tc>
        <w:tc>
          <w:tcPr>
            <w:tcW w:w="200" w:type="dxa"/>
            <w:vAlign w:val="bottom"/>
            <w:shd w:val="clear" w:color="auto" w:fill="D2DCE5"/>
          </w:tcPr>
          <w:p>
            <w:pPr>
              <w:spacing w:after="0"/>
              <w:rPr>
                <w:sz w:val="18"/>
                <w:szCs w:val="18"/>
                <w:color w:val="auto"/>
              </w:rPr>
            </w:pPr>
          </w:p>
        </w:tc>
        <w:tc>
          <w:tcPr>
            <w:tcW w:w="8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80" w:type="dxa"/>
            <w:vAlign w:val="bottom"/>
            <w:shd w:val="clear" w:color="auto" w:fill="D2DCE5"/>
          </w:tcPr>
          <w:p>
            <w:pPr>
              <w:spacing w:after="0"/>
              <w:rPr>
                <w:sz w:val="18"/>
                <w:szCs w:val="18"/>
                <w:color w:val="auto"/>
              </w:rPr>
            </w:pPr>
          </w:p>
        </w:tc>
        <w:tc>
          <w:tcPr>
            <w:tcW w:w="8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10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0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0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1040" w:type="dxa"/>
            <w:vAlign w:val="bottom"/>
            <w:shd w:val="clear" w:color="auto" w:fill="D2DCE5"/>
          </w:tcPr>
          <w:p>
            <w:pPr>
              <w:spacing w:after="0"/>
              <w:rPr>
                <w:sz w:val="18"/>
                <w:szCs w:val="18"/>
                <w:color w:val="auto"/>
              </w:rPr>
            </w:pPr>
          </w:p>
        </w:tc>
      </w:tr>
      <w:tr>
        <w:trPr>
          <w:trHeight w:val="228"/>
        </w:trPr>
        <w:tc>
          <w:tcPr>
            <w:tcW w:w="20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Administrative</w:t>
            </w:r>
          </w:p>
        </w:tc>
        <w:tc>
          <w:tcPr>
            <w:tcW w:w="200" w:type="dxa"/>
            <w:vAlign w:val="bottom"/>
            <w:shd w:val="clear" w:color="auto" w:fill="D2DCE5"/>
          </w:tcPr>
          <w:p>
            <w:pPr>
              <w:jc w:val="right"/>
              <w:ind w:right="19"/>
              <w:spacing w:after="0"/>
              <w:rPr>
                <w:sz w:val="20"/>
                <w:szCs w:val="20"/>
                <w:color w:val="auto"/>
              </w:rPr>
            </w:pPr>
            <w:r>
              <w:rPr>
                <w:rFonts w:ascii="Arial" w:cs="Arial" w:eastAsia="Arial" w:hAnsi="Arial"/>
                <w:sz w:val="16"/>
                <w:szCs w:val="16"/>
                <w:color w:val="131E29"/>
                <w:w w:val="89"/>
              </w:rPr>
              <w:t>$</w:t>
            </w:r>
          </w:p>
        </w:tc>
        <w:tc>
          <w:tcPr>
            <w:tcW w:w="8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45,378</w:t>
            </w:r>
          </w:p>
        </w:tc>
        <w:tc>
          <w:tcPr>
            <w:tcW w:w="100" w:type="dxa"/>
            <w:vAlign w:val="bottom"/>
            <w:shd w:val="clear" w:color="auto" w:fill="D2DCE5"/>
          </w:tcPr>
          <w:p>
            <w:pPr>
              <w:spacing w:after="0"/>
              <w:rPr>
                <w:sz w:val="19"/>
                <w:szCs w:val="19"/>
                <w:color w:val="auto"/>
              </w:rPr>
            </w:pPr>
          </w:p>
        </w:tc>
        <w:tc>
          <w:tcPr>
            <w:tcW w:w="180" w:type="dxa"/>
            <w:vAlign w:val="bottom"/>
            <w:shd w:val="clear" w:color="auto" w:fill="D2DCE5"/>
          </w:tcPr>
          <w:p>
            <w:pPr>
              <w:jc w:val="right"/>
              <w:spacing w:after="0"/>
              <w:rPr>
                <w:sz w:val="20"/>
                <w:szCs w:val="20"/>
                <w:color w:val="auto"/>
              </w:rPr>
            </w:pPr>
            <w:r>
              <w:rPr>
                <w:rFonts w:ascii="Arial" w:cs="Arial" w:eastAsia="Arial" w:hAnsi="Arial"/>
                <w:sz w:val="16"/>
                <w:szCs w:val="16"/>
                <w:color w:val="131E29"/>
                <w:w w:val="89"/>
              </w:rPr>
              <w:t>$</w:t>
            </w:r>
          </w:p>
        </w:tc>
        <w:tc>
          <w:tcPr>
            <w:tcW w:w="8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153,700</w:t>
            </w:r>
          </w:p>
        </w:tc>
        <w:tc>
          <w:tcPr>
            <w:tcW w:w="80" w:type="dxa"/>
            <w:vAlign w:val="bottom"/>
            <w:shd w:val="clear" w:color="auto" w:fill="D2DCE5"/>
          </w:tcPr>
          <w:p>
            <w:pPr>
              <w:spacing w:after="0"/>
              <w:rPr>
                <w:sz w:val="19"/>
                <w:szCs w:val="19"/>
                <w:color w:val="auto"/>
              </w:rPr>
            </w:pPr>
          </w:p>
        </w:tc>
        <w:tc>
          <w:tcPr>
            <w:tcW w:w="260" w:type="dxa"/>
            <w:vAlign w:val="bottom"/>
            <w:shd w:val="clear" w:color="auto" w:fill="D2DCE5"/>
          </w:tcPr>
          <w:p>
            <w:pPr>
              <w:jc w:val="right"/>
              <w:ind w:right="59"/>
              <w:spacing w:after="0"/>
              <w:rPr>
                <w:sz w:val="20"/>
                <w:szCs w:val="20"/>
                <w:color w:val="auto"/>
              </w:rPr>
            </w:pPr>
            <w:r>
              <w:rPr>
                <w:rFonts w:ascii="Arial" w:cs="Arial" w:eastAsia="Arial" w:hAnsi="Arial"/>
                <w:sz w:val="16"/>
                <w:szCs w:val="16"/>
                <w:color w:val="131E29"/>
              </w:rPr>
              <w:t>$</w:t>
            </w:r>
          </w:p>
        </w:tc>
        <w:tc>
          <w:tcPr>
            <w:tcW w:w="1020" w:type="dxa"/>
            <w:vAlign w:val="bottom"/>
            <w:shd w:val="clear" w:color="auto" w:fill="D2DCE5"/>
          </w:tcPr>
          <w:p>
            <w:pPr>
              <w:jc w:val="right"/>
              <w:ind w:right="116"/>
              <w:spacing w:after="0"/>
              <w:rPr>
                <w:sz w:val="20"/>
                <w:szCs w:val="20"/>
                <w:color w:val="auto"/>
              </w:rPr>
            </w:pPr>
            <w:r>
              <w:rPr>
                <w:rFonts w:ascii="Arial" w:cs="Arial" w:eastAsia="Arial" w:hAnsi="Arial"/>
                <w:sz w:val="16"/>
                <w:szCs w:val="16"/>
                <w:color w:val="131E29"/>
              </w:rPr>
              <w:t>(108,322)</w:t>
            </w:r>
          </w:p>
        </w:tc>
        <w:tc>
          <w:tcPr>
            <w:tcW w:w="1040" w:type="dxa"/>
            <w:vAlign w:val="bottom"/>
            <w:shd w:val="clear" w:color="auto" w:fill="D2DCE5"/>
          </w:tcPr>
          <w:p>
            <w:pPr>
              <w:jc w:val="right"/>
              <w:ind w:right="179"/>
              <w:spacing w:after="0"/>
              <w:rPr>
                <w:sz w:val="20"/>
                <w:szCs w:val="20"/>
                <w:color w:val="auto"/>
              </w:rPr>
            </w:pPr>
            <w:r>
              <w:rPr>
                <w:rFonts w:ascii="Arial" w:cs="Arial" w:eastAsia="Arial" w:hAnsi="Arial"/>
                <w:sz w:val="16"/>
                <w:szCs w:val="16"/>
                <w:color w:val="131E29"/>
              </w:rPr>
              <w:t>(70.5)%</w:t>
            </w:r>
          </w:p>
        </w:tc>
        <w:tc>
          <w:tcPr>
            <w:tcW w:w="100" w:type="dxa"/>
            <w:vAlign w:val="bottom"/>
            <w:shd w:val="clear" w:color="auto" w:fill="D2DCE5"/>
          </w:tcPr>
          <w:p>
            <w:pPr>
              <w:spacing w:after="0"/>
              <w:rPr>
                <w:sz w:val="19"/>
                <w:szCs w:val="19"/>
                <w:color w:val="auto"/>
              </w:rPr>
            </w:pPr>
          </w:p>
        </w:tc>
        <w:tc>
          <w:tcPr>
            <w:tcW w:w="1060" w:type="dxa"/>
            <w:vAlign w:val="bottom"/>
            <w:shd w:val="clear" w:color="auto" w:fill="D2DCE5"/>
          </w:tcPr>
          <w:p>
            <w:pPr>
              <w:jc w:val="center"/>
              <w:spacing w:after="0"/>
              <w:rPr>
                <w:sz w:val="20"/>
                <w:szCs w:val="20"/>
                <w:color w:val="auto"/>
              </w:rPr>
            </w:pPr>
            <w:r>
              <w:rPr>
                <w:rFonts w:ascii="Arial" w:cs="Arial" w:eastAsia="Arial" w:hAnsi="Arial"/>
                <w:sz w:val="16"/>
                <w:szCs w:val="16"/>
                <w:color w:val="131E29"/>
                <w:w w:val="98"/>
              </w:rPr>
              <w:t>$132,934</w:t>
            </w:r>
          </w:p>
        </w:tc>
        <w:tc>
          <w:tcPr>
            <w:tcW w:w="100" w:type="dxa"/>
            <w:vAlign w:val="bottom"/>
            <w:shd w:val="clear" w:color="auto" w:fill="D2DCE5"/>
          </w:tcPr>
          <w:p>
            <w:pPr>
              <w:spacing w:after="0"/>
              <w:rPr>
                <w:sz w:val="19"/>
                <w:szCs w:val="19"/>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   223,174</w:t>
            </w:r>
          </w:p>
        </w:tc>
        <w:tc>
          <w:tcPr>
            <w:tcW w:w="100" w:type="dxa"/>
            <w:vAlign w:val="bottom"/>
            <w:shd w:val="clear" w:color="auto" w:fill="D2DCE5"/>
          </w:tcPr>
          <w:p>
            <w:pPr>
              <w:spacing w:after="0"/>
              <w:rPr>
                <w:sz w:val="19"/>
                <w:szCs w:val="19"/>
                <w:color w:val="auto"/>
              </w:rPr>
            </w:pPr>
          </w:p>
        </w:tc>
        <w:tc>
          <w:tcPr>
            <w:tcW w:w="240" w:type="dxa"/>
            <w:vAlign w:val="bottom"/>
            <w:shd w:val="clear" w:color="auto" w:fill="D2DCE5"/>
          </w:tcPr>
          <w:p>
            <w:pPr>
              <w:jc w:val="right"/>
              <w:ind w:right="59"/>
              <w:spacing w:after="0"/>
              <w:rPr>
                <w:sz w:val="20"/>
                <w:szCs w:val="20"/>
                <w:color w:val="auto"/>
              </w:rPr>
            </w:pPr>
            <w:r>
              <w:rPr>
                <w:rFonts w:ascii="Arial" w:cs="Arial" w:eastAsia="Arial" w:hAnsi="Arial"/>
                <w:sz w:val="16"/>
                <w:szCs w:val="16"/>
                <w:color w:val="131E29"/>
                <w:w w:val="89"/>
              </w:rPr>
              <w:t>$</w:t>
            </w:r>
          </w:p>
        </w:tc>
        <w:tc>
          <w:tcPr>
            <w:tcW w:w="940" w:type="dxa"/>
            <w:vAlign w:val="bottom"/>
            <w:shd w:val="clear" w:color="auto" w:fill="D2DCE5"/>
          </w:tcPr>
          <w:p>
            <w:pPr>
              <w:ind w:left="140"/>
              <w:spacing w:after="0"/>
              <w:rPr>
                <w:sz w:val="20"/>
                <w:szCs w:val="20"/>
                <w:color w:val="auto"/>
              </w:rPr>
            </w:pPr>
            <w:r>
              <w:rPr>
                <w:rFonts w:ascii="Arial" w:cs="Arial" w:eastAsia="Arial" w:hAnsi="Arial"/>
                <w:sz w:val="16"/>
                <w:szCs w:val="16"/>
                <w:color w:val="131E29"/>
              </w:rPr>
              <w:t>(90,240)</w:t>
            </w:r>
          </w:p>
        </w:tc>
        <w:tc>
          <w:tcPr>
            <w:tcW w:w="1040" w:type="dxa"/>
            <w:vAlign w:val="bottom"/>
            <w:shd w:val="clear" w:color="auto" w:fill="D2DCE5"/>
          </w:tcPr>
          <w:p>
            <w:pPr>
              <w:jc w:val="right"/>
              <w:ind w:right="199"/>
              <w:spacing w:after="0"/>
              <w:rPr>
                <w:sz w:val="20"/>
                <w:szCs w:val="20"/>
                <w:color w:val="auto"/>
              </w:rPr>
            </w:pPr>
            <w:r>
              <w:rPr>
                <w:rFonts w:ascii="Arial" w:cs="Arial" w:eastAsia="Arial" w:hAnsi="Arial"/>
                <w:sz w:val="16"/>
                <w:szCs w:val="16"/>
                <w:color w:val="131E29"/>
              </w:rPr>
              <w:t>(40.4)%</w:t>
            </w:r>
          </w:p>
        </w:tc>
      </w:tr>
      <w:tr>
        <w:trPr>
          <w:trHeight w:val="202"/>
        </w:trPr>
        <w:tc>
          <w:tcPr>
            <w:tcW w:w="208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4"/>
        </w:trPr>
        <w:tc>
          <w:tcPr>
            <w:tcW w:w="2080" w:type="dxa"/>
            <w:vAlign w:val="bottom"/>
            <w:gridSpan w:val="2"/>
          </w:tcPr>
          <w:p>
            <w:pPr>
              <w:ind w:left="20"/>
              <w:spacing w:after="0"/>
              <w:rPr>
                <w:sz w:val="20"/>
                <w:szCs w:val="20"/>
                <w:color w:val="auto"/>
              </w:rPr>
            </w:pPr>
            <w:r>
              <w:rPr>
                <w:rFonts w:ascii="Arial" w:cs="Arial" w:eastAsia="Arial" w:hAnsi="Arial"/>
                <w:sz w:val="16"/>
                <w:szCs w:val="16"/>
                <w:i w:val="1"/>
                <w:iCs w:val="1"/>
                <w:color w:val="131E29"/>
              </w:rPr>
              <w:t>revenue</w:t>
            </w:r>
          </w:p>
        </w:tc>
        <w:tc>
          <w:tcPr>
            <w:tcW w:w="200" w:type="dxa"/>
            <w:vAlign w:val="bottom"/>
          </w:tcPr>
          <w:p>
            <w:pPr>
              <w:spacing w:after="0"/>
              <w:rPr>
                <w:sz w:val="19"/>
                <w:szCs w:val="19"/>
                <w:color w:val="auto"/>
              </w:rPr>
            </w:pPr>
          </w:p>
        </w:tc>
        <w:tc>
          <w:tcPr>
            <w:tcW w:w="840" w:type="dxa"/>
            <w:vAlign w:val="bottom"/>
          </w:tcPr>
          <w:p>
            <w:pPr>
              <w:jc w:val="right"/>
              <w:ind w:right="215"/>
              <w:spacing w:after="0"/>
              <w:rPr>
                <w:sz w:val="20"/>
                <w:szCs w:val="20"/>
                <w:color w:val="auto"/>
              </w:rPr>
            </w:pPr>
            <w:r>
              <w:rPr>
                <w:rFonts w:ascii="Arial" w:cs="Arial" w:eastAsia="Arial" w:hAnsi="Arial"/>
                <w:sz w:val="16"/>
                <w:szCs w:val="16"/>
                <w:color w:val="131E29"/>
              </w:rPr>
              <w:t>22.8%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56"/>
              <w:spacing w:after="0"/>
              <w:rPr>
                <w:sz w:val="20"/>
                <w:szCs w:val="20"/>
                <w:color w:val="auto"/>
              </w:rPr>
            </w:pPr>
            <w:r>
              <w:rPr>
                <w:rFonts w:ascii="Arial" w:cs="Arial" w:eastAsia="Arial" w:hAnsi="Arial"/>
                <w:sz w:val="16"/>
                <w:szCs w:val="16"/>
                <w:color w:val="131E29"/>
              </w:rPr>
              <w:t>118.4%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496"/>
              <w:spacing w:after="0"/>
              <w:rPr>
                <w:sz w:val="20"/>
                <w:szCs w:val="20"/>
                <w:color w:val="auto"/>
              </w:rPr>
            </w:pPr>
            <w:r>
              <w:rPr>
                <w:rFonts w:ascii="Arial" w:cs="Arial" w:eastAsia="Arial" w:hAnsi="Arial"/>
                <w:sz w:val="16"/>
                <w:szCs w:val="16"/>
                <w:color w:val="131E29"/>
              </w:rPr>
              <w:t>N/A</w:t>
            </w:r>
          </w:p>
        </w:tc>
        <w:tc>
          <w:tcPr>
            <w:tcW w:w="1140" w:type="dxa"/>
            <w:vAlign w:val="bottom"/>
            <w:gridSpan w:val="2"/>
          </w:tcPr>
          <w:p>
            <w:pPr>
              <w:ind w:left="740"/>
              <w:spacing w:after="0"/>
              <w:rPr>
                <w:sz w:val="20"/>
                <w:szCs w:val="20"/>
                <w:color w:val="auto"/>
              </w:rPr>
            </w:pPr>
            <w:r>
              <w:rPr>
                <w:rFonts w:ascii="Arial" w:cs="Arial" w:eastAsia="Arial" w:hAnsi="Arial"/>
                <w:sz w:val="16"/>
                <w:szCs w:val="16"/>
                <w:color w:val="131E29"/>
              </w:rPr>
              <w:t>N/M</w:t>
            </w:r>
          </w:p>
        </w:tc>
        <w:tc>
          <w:tcPr>
            <w:tcW w:w="1060" w:type="dxa"/>
            <w:vAlign w:val="bottom"/>
          </w:tcPr>
          <w:p>
            <w:pPr>
              <w:jc w:val="center"/>
              <w:spacing w:after="0"/>
              <w:rPr>
                <w:sz w:val="20"/>
                <w:szCs w:val="20"/>
                <w:color w:val="auto"/>
              </w:rPr>
            </w:pPr>
            <w:r>
              <w:rPr>
                <w:rFonts w:ascii="Arial" w:cs="Arial" w:eastAsia="Arial" w:hAnsi="Arial"/>
                <w:sz w:val="16"/>
                <w:szCs w:val="16"/>
                <w:color w:val="131E29"/>
              </w:rPr>
              <w:t>24.7%</w:t>
            </w:r>
          </w:p>
        </w:tc>
        <w:tc>
          <w:tcPr>
            <w:tcW w:w="100" w:type="dxa"/>
            <w:vAlign w:val="bottom"/>
          </w:tcPr>
          <w:p>
            <w:pPr>
              <w:spacing w:after="0"/>
              <w:rPr>
                <w:sz w:val="19"/>
                <w:szCs w:val="19"/>
                <w:color w:val="auto"/>
              </w:rPr>
            </w:pPr>
          </w:p>
        </w:tc>
        <w:tc>
          <w:tcPr>
            <w:tcW w:w="1000" w:type="dxa"/>
            <w:vAlign w:val="bottom"/>
          </w:tcPr>
          <w:p>
            <w:pPr>
              <w:jc w:val="right"/>
              <w:ind w:right="196"/>
              <w:spacing w:after="0"/>
              <w:rPr>
                <w:sz w:val="20"/>
                <w:szCs w:val="20"/>
                <w:color w:val="auto"/>
              </w:rPr>
            </w:pPr>
            <w:r>
              <w:rPr>
                <w:rFonts w:ascii="Arial" w:cs="Arial" w:eastAsia="Arial" w:hAnsi="Arial"/>
                <w:sz w:val="16"/>
                <w:szCs w:val="16"/>
                <w:color w:val="131E29"/>
              </w:rPr>
              <w:t>62.4%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140"/>
              <w:spacing w:after="0"/>
              <w:rPr>
                <w:sz w:val="20"/>
                <w:szCs w:val="20"/>
                <w:color w:val="auto"/>
              </w:rPr>
            </w:pPr>
            <w:r>
              <w:rPr>
                <w:rFonts w:ascii="Arial" w:cs="Arial" w:eastAsia="Arial" w:hAnsi="Arial"/>
                <w:sz w:val="16"/>
                <w:szCs w:val="16"/>
                <w:color w:val="131E29"/>
              </w:rPr>
              <w:t>N/A</w:t>
            </w:r>
          </w:p>
        </w:tc>
        <w:tc>
          <w:tcPr>
            <w:tcW w:w="1040" w:type="dxa"/>
            <w:vAlign w:val="bottom"/>
          </w:tcPr>
          <w:p>
            <w:pPr>
              <w:jc w:val="center"/>
              <w:spacing w:after="0"/>
              <w:rPr>
                <w:sz w:val="20"/>
                <w:szCs w:val="20"/>
                <w:color w:val="auto"/>
              </w:rPr>
            </w:pPr>
            <w:r>
              <w:rPr>
                <w:rFonts w:ascii="Arial" w:cs="Arial" w:eastAsia="Arial" w:hAnsi="Arial"/>
                <w:sz w:val="16"/>
                <w:szCs w:val="16"/>
                <w:color w:val="131E29"/>
                <w:w w:val="95"/>
              </w:rPr>
              <w:t>N/M</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September 30, 2022 v 2021</w:t>
      </w:r>
    </w:p>
    <w:p>
      <w:pPr>
        <w:spacing w:after="0" w:line="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131E29"/>
        </w:rPr>
        <w:t>The selling, general, and administrative impacts for the year-over-year comparison, presented in dollars and basis points, were driven by the following:</w:t>
      </w:r>
    </w:p>
    <w:p>
      <w:pPr>
        <w:spacing w:after="0" w:line="148"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22"/>
          <w:szCs w:val="22"/>
          <w:b w:val="1"/>
          <w:bCs w:val="1"/>
          <w:color w:val="D7282F"/>
        </w:rPr>
      </w:pPr>
      <w:r>
        <w:rPr>
          <w:rFonts w:ascii="Arial" w:cs="Arial" w:eastAsia="Arial" w:hAnsi="Arial"/>
          <w:sz w:val="18"/>
          <w:szCs w:val="18"/>
          <w:color w:val="131E29"/>
        </w:rPr>
        <w:t>$114.1 million or 5,750 bps from lower equity-based compensation charges related to one-time awards vested as of the IPO.</w:t>
      </w:r>
    </w:p>
    <w:p>
      <w:pPr>
        <w:spacing w:after="0" w:line="111" w:lineRule="exact"/>
        <w:rPr>
          <w:rFonts w:ascii="Arial" w:cs="Arial" w:eastAsia="Arial" w:hAnsi="Arial"/>
          <w:sz w:val="22"/>
          <w:szCs w:val="22"/>
          <w:b w:val="1"/>
          <w:bCs w:val="1"/>
          <w:color w:val="D7282F"/>
        </w:rPr>
      </w:pPr>
    </w:p>
    <w:p>
      <w:pPr>
        <w:ind w:left="320" w:hanging="312"/>
        <w:spacing w:after="0"/>
        <w:tabs>
          <w:tab w:leader="none" w:pos="320" w:val="left"/>
        </w:tabs>
        <w:numPr>
          <w:ilvl w:val="0"/>
          <w:numId w:val="37"/>
        </w:numPr>
        <w:rPr>
          <w:rFonts w:ascii="Arial" w:cs="Arial" w:eastAsia="Arial" w:hAnsi="Arial"/>
          <w:sz w:val="22"/>
          <w:szCs w:val="22"/>
          <w:b w:val="1"/>
          <w:bCs w:val="1"/>
          <w:color w:val="D7282F"/>
        </w:rPr>
      </w:pPr>
      <w:r>
        <w:rPr>
          <w:rFonts w:ascii="Arial" w:cs="Arial" w:eastAsia="Arial" w:hAnsi="Arial"/>
          <w:sz w:val="18"/>
          <w:szCs w:val="18"/>
          <w:color w:val="131E29"/>
        </w:rPr>
        <w:t xml:space="preserve">$4.7 million </w:t>
      </w:r>
      <w:r>
        <w:rPr>
          <w:rFonts w:ascii="Arial" w:cs="Arial" w:eastAsia="Arial" w:hAnsi="Arial"/>
          <w:sz w:val="18"/>
          <w:szCs w:val="18"/>
          <w:color w:val="000000"/>
        </w:rPr>
        <w:t>or 240 bps from non-recurring costs and donations associated with our IPO in the prior year.</w:t>
      </w:r>
    </w:p>
    <w:p>
      <w:pPr>
        <w:spacing w:after="0" w:line="166"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22"/>
          <w:szCs w:val="22"/>
          <w:b w:val="1"/>
          <w:bCs w:val="1"/>
          <w:color w:val="006098"/>
        </w:rPr>
      </w:pPr>
      <w:r>
        <w:rPr>
          <w:rFonts w:ascii="Arial" w:cs="Arial" w:eastAsia="Arial" w:hAnsi="Arial"/>
          <w:sz w:val="18"/>
          <w:szCs w:val="18"/>
          <w:color w:val="131E29"/>
        </w:rPr>
        <w:t>$7.9 million from investments in human capital, processes, and systems to support our revenue growth.</w:t>
      </w:r>
    </w:p>
    <w:p>
      <w:pPr>
        <w:spacing w:after="0" w:line="165" w:lineRule="exact"/>
        <w:rPr>
          <w:rFonts w:ascii="Arial" w:cs="Arial" w:eastAsia="Arial" w:hAnsi="Arial"/>
          <w:sz w:val="22"/>
          <w:szCs w:val="22"/>
          <w:b w:val="1"/>
          <w:bCs w:val="1"/>
          <w:color w:val="006098"/>
        </w:rPr>
      </w:pPr>
    </w:p>
    <w:p>
      <w:pPr>
        <w:ind w:left="380" w:hanging="372"/>
        <w:spacing w:after="0"/>
        <w:tabs>
          <w:tab w:leader="none" w:pos="380" w:val="left"/>
        </w:tabs>
        <w:numPr>
          <w:ilvl w:val="0"/>
          <w:numId w:val="38"/>
        </w:numPr>
        <w:rPr>
          <w:rFonts w:ascii="Arial" w:cs="Arial" w:eastAsia="Arial" w:hAnsi="Arial"/>
          <w:sz w:val="22"/>
          <w:szCs w:val="22"/>
          <w:b w:val="1"/>
          <w:bCs w:val="1"/>
          <w:color w:val="006098"/>
        </w:rPr>
      </w:pPr>
      <w:r>
        <w:rPr>
          <w:rFonts w:ascii="Arial" w:cs="Arial" w:eastAsia="Arial" w:hAnsi="Arial"/>
          <w:sz w:val="18"/>
          <w:szCs w:val="18"/>
          <w:color w:val="131E29"/>
        </w:rPr>
        <w:t>$2.7 million or 130 bps from higher costs incurred as a result of being a public company.</w:t>
      </w:r>
    </w:p>
    <w:p>
      <w:pPr>
        <w:spacing w:after="0" w:line="161"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The summation of the impact of the specific items above would have decreased selling, general and administrative expenses by 5,860 bps to be 59.8% of revenue. However, leverage from revenue growth reduces that percentage by 3,700 bps to be 22.8% of revenue.</w:t>
      </w:r>
    </w:p>
    <w:p>
      <w:pPr>
        <w:spacing w:after="0" w:line="36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131E29"/>
        </w:rPr>
        <w:t>The selling, general, and administrative impacts for the year-over-year comparison, presented in dollars and basis points, were driven by the following:</w:t>
      </w:r>
    </w:p>
    <w:p>
      <w:pPr>
        <w:spacing w:after="0" w:line="148"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22"/>
          <w:szCs w:val="22"/>
          <w:b w:val="1"/>
          <w:bCs w:val="1"/>
          <w:color w:val="D7282F"/>
        </w:rPr>
      </w:pPr>
      <w:r>
        <w:rPr>
          <w:rFonts w:ascii="Arial" w:cs="Arial" w:eastAsia="Arial" w:hAnsi="Arial"/>
          <w:sz w:val="18"/>
          <w:szCs w:val="18"/>
          <w:color w:val="131E29"/>
        </w:rPr>
        <w:t>$116.8 million or 2,170 bps from lower equity-based compensation charges related to one-time awards vested as of the IPO.</w:t>
      </w:r>
    </w:p>
    <w:p>
      <w:pPr>
        <w:spacing w:after="0" w:line="111" w:lineRule="exact"/>
        <w:rPr>
          <w:rFonts w:ascii="Arial" w:cs="Arial" w:eastAsia="Arial" w:hAnsi="Arial"/>
          <w:sz w:val="22"/>
          <w:szCs w:val="22"/>
          <w:b w:val="1"/>
          <w:bCs w:val="1"/>
          <w:color w:val="D7282F"/>
        </w:rPr>
      </w:pPr>
    </w:p>
    <w:p>
      <w:pPr>
        <w:ind w:left="320" w:hanging="312"/>
        <w:spacing w:after="0"/>
        <w:tabs>
          <w:tab w:leader="none" w:pos="320" w:val="left"/>
        </w:tabs>
        <w:numPr>
          <w:ilvl w:val="0"/>
          <w:numId w:val="39"/>
        </w:numPr>
        <w:rPr>
          <w:rFonts w:ascii="Arial" w:cs="Arial" w:eastAsia="Arial" w:hAnsi="Arial"/>
          <w:sz w:val="22"/>
          <w:szCs w:val="22"/>
          <w:b w:val="1"/>
          <w:bCs w:val="1"/>
          <w:color w:val="D7282F"/>
        </w:rPr>
      </w:pPr>
      <w:r>
        <w:rPr>
          <w:rFonts w:ascii="Arial" w:cs="Arial" w:eastAsia="Arial" w:hAnsi="Arial"/>
          <w:sz w:val="18"/>
          <w:szCs w:val="18"/>
          <w:color w:val="131E29"/>
        </w:rPr>
        <w:t xml:space="preserve">$7.1 million or 130 bps from </w:t>
      </w:r>
      <w:r>
        <w:rPr>
          <w:rFonts w:ascii="Arial" w:cs="Arial" w:eastAsia="Arial" w:hAnsi="Arial"/>
          <w:sz w:val="18"/>
          <w:szCs w:val="18"/>
          <w:color w:val="000000"/>
        </w:rPr>
        <w:t>non-recurring costs and donations associated with our IPO in the prior year.</w:t>
      </w:r>
    </w:p>
    <w:p>
      <w:pPr>
        <w:spacing w:after="0" w:line="179"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22"/>
          <w:szCs w:val="22"/>
          <w:b w:val="1"/>
          <w:bCs w:val="1"/>
          <w:color w:val="006098"/>
        </w:rPr>
      </w:pPr>
      <w:r>
        <w:rPr>
          <w:rFonts w:ascii="Arial" w:cs="Arial" w:eastAsia="Arial" w:hAnsi="Arial"/>
          <w:sz w:val="18"/>
          <w:szCs w:val="18"/>
          <w:color w:val="131E29"/>
        </w:rPr>
        <w:t>$22.6 million from investments in human capital, processes, and systems to support our revenue growth.</w:t>
      </w:r>
    </w:p>
    <w:p>
      <w:pPr>
        <w:spacing w:after="0" w:line="165" w:lineRule="exact"/>
        <w:rPr>
          <w:rFonts w:ascii="Arial" w:cs="Arial" w:eastAsia="Arial" w:hAnsi="Arial"/>
          <w:sz w:val="22"/>
          <w:szCs w:val="22"/>
          <w:b w:val="1"/>
          <w:bCs w:val="1"/>
          <w:color w:val="006098"/>
        </w:rPr>
      </w:pPr>
    </w:p>
    <w:p>
      <w:pPr>
        <w:ind w:left="380" w:hanging="372"/>
        <w:spacing w:after="0"/>
        <w:tabs>
          <w:tab w:leader="none" w:pos="380" w:val="left"/>
        </w:tabs>
        <w:numPr>
          <w:ilvl w:val="0"/>
          <w:numId w:val="40"/>
        </w:numPr>
        <w:rPr>
          <w:rFonts w:ascii="Arial" w:cs="Arial" w:eastAsia="Arial" w:hAnsi="Arial"/>
          <w:sz w:val="22"/>
          <w:szCs w:val="22"/>
          <w:b w:val="1"/>
          <w:bCs w:val="1"/>
          <w:color w:val="006098"/>
        </w:rPr>
      </w:pPr>
      <w:r>
        <w:rPr>
          <w:rFonts w:ascii="Arial" w:cs="Arial" w:eastAsia="Arial" w:hAnsi="Arial"/>
          <w:sz w:val="18"/>
          <w:szCs w:val="18"/>
          <w:color w:val="131E29"/>
        </w:rPr>
        <w:t>$7.3 million or 140 bps from higher costs incurred as a result of being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hanging="332"/>
        <w:spacing w:after="0" w:line="225" w:lineRule="auto"/>
        <w:tabs>
          <w:tab w:leader="none" w:pos="517" w:val="left"/>
        </w:tabs>
        <w:numPr>
          <w:ilvl w:val="0"/>
          <w:numId w:val="41"/>
        </w:numPr>
        <w:rPr>
          <w:rFonts w:ascii="Arial" w:cs="Arial" w:eastAsia="Arial" w:hAnsi="Arial"/>
          <w:sz w:val="22"/>
          <w:szCs w:val="22"/>
          <w:b w:val="1"/>
          <w:bCs w:val="1"/>
          <w:color w:val="006098"/>
        </w:rPr>
      </w:pPr>
      <w:r>
        <w:rPr>
          <w:rFonts w:ascii="Arial" w:cs="Arial" w:eastAsia="Arial" w:hAnsi="Arial"/>
          <w:sz w:val="18"/>
          <w:szCs w:val="18"/>
          <w:color w:val="131E29"/>
        </w:rPr>
        <w:t>$2.4 million or 50 bps from company-wide event costs celebrating 30 years serving high QUALITY, hand-crafted beverages with unparalleled SPEED and superior SERVICE to our customers.</w:t>
      </w:r>
    </w:p>
    <w:p>
      <w:pPr>
        <w:spacing w:after="0" w:line="203" w:lineRule="exact"/>
        <w:rPr>
          <w:rFonts w:ascii="Arial" w:cs="Arial" w:eastAsia="Arial" w:hAnsi="Arial"/>
          <w:sz w:val="22"/>
          <w:szCs w:val="22"/>
          <w:b w:val="1"/>
          <w:bCs w:val="1"/>
          <w:color w:val="006098"/>
        </w:rPr>
      </w:pPr>
    </w:p>
    <w:p>
      <w:pPr>
        <w:jc w:val="both"/>
        <w:ind w:left="340" w:hanging="332"/>
        <w:spacing w:after="0" w:line="233" w:lineRule="auto"/>
        <w:tabs>
          <w:tab w:leader="none" w:pos="346" w:val="left"/>
        </w:tabs>
        <w:numPr>
          <w:ilvl w:val="0"/>
          <w:numId w:val="41"/>
        </w:numPr>
        <w:rPr>
          <w:rFonts w:ascii="Arial" w:cs="Arial" w:eastAsia="Arial" w:hAnsi="Arial"/>
          <w:sz w:val="22"/>
          <w:szCs w:val="22"/>
          <w:b w:val="1"/>
          <w:bCs w:val="1"/>
          <w:color w:val="006098"/>
        </w:rPr>
      </w:pPr>
      <w:r>
        <w:rPr>
          <w:rFonts w:ascii="Arial" w:cs="Arial" w:eastAsia="Arial" w:hAnsi="Arial"/>
          <w:sz w:val="18"/>
          <w:szCs w:val="18"/>
          <w:color w:val="131E29"/>
        </w:rPr>
        <w:t>$1.2 million or 20 bps from write-off of prepaid expense for our virtual corporate engagement platform built in response to COVID-19 as a substitute for in-person engagement practices pre-pandemic. The platform was determined ineffective, as we have shifted back to in-person engagements with the easing of COVID-19 restrictions.</w:t>
      </w:r>
    </w:p>
    <w:p>
      <w:pPr>
        <w:spacing w:after="0" w:line="163"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The summation of the impact of the specific items above would have decreased selling, general and administrative expenses by 2,090 bps to be 41.5% of revenue. However, leverage from revenue growth reduces that percentage by 1,680 bps to be 24.7% of revenue.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Other Expense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10"/>
          </w:tcPr>
          <w:p>
            <w:pPr>
              <w:ind w:left="420"/>
              <w:spacing w:after="0"/>
              <w:rPr>
                <w:sz w:val="20"/>
                <w:szCs w:val="20"/>
                <w:color w:val="auto"/>
              </w:rPr>
            </w:pPr>
            <w:r>
              <w:rPr>
                <w:rFonts w:ascii="Arial" w:cs="Arial" w:eastAsia="Arial" w:hAnsi="Arial"/>
                <w:sz w:val="18"/>
                <w:szCs w:val="18"/>
                <w:b w:val="1"/>
                <w:bCs w:val="1"/>
                <w:color w:val="131E29"/>
              </w:rPr>
              <w:t>Three Months Ended September 30,</w:t>
            </w:r>
          </w:p>
        </w:tc>
        <w:tc>
          <w:tcPr>
            <w:tcW w:w="240" w:type="dxa"/>
            <w:vAlign w:val="bottom"/>
          </w:tcPr>
          <w:p>
            <w:pPr>
              <w:spacing w:after="0"/>
              <w:rPr>
                <w:sz w:val="20"/>
                <w:szCs w:val="20"/>
                <w:color w:val="auto"/>
              </w:rPr>
            </w:pPr>
          </w:p>
        </w:tc>
        <w:tc>
          <w:tcPr>
            <w:tcW w:w="4060" w:type="dxa"/>
            <w:vAlign w:val="bottom"/>
            <w:gridSpan w:val="9"/>
          </w:tcPr>
          <w:p>
            <w:pPr>
              <w:ind w:left="420"/>
              <w:spacing w:after="0"/>
              <w:rPr>
                <w:sz w:val="20"/>
                <w:szCs w:val="20"/>
                <w:color w:val="auto"/>
              </w:rPr>
            </w:pPr>
            <w:r>
              <w:rPr>
                <w:rFonts w:ascii="Arial" w:cs="Arial" w:eastAsia="Arial" w:hAnsi="Arial"/>
                <w:sz w:val="18"/>
                <w:szCs w:val="18"/>
                <w:b w:val="1"/>
                <w:bCs w:val="1"/>
                <w:color w:val="131E29"/>
              </w:rPr>
              <w:t>Nine Months Ended September 30,</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84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84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260" w:type="dxa"/>
            <w:vAlign w:val="bottom"/>
            <w:tcBorders>
              <w:bottom w:val="single" w:sz="8" w:color="131E29"/>
            </w:tcBorders>
          </w:tcPr>
          <w:p>
            <w:pPr>
              <w:spacing w:after="0"/>
              <w:rPr>
                <w:sz w:val="2"/>
                <w:szCs w:val="2"/>
                <w:color w:val="auto"/>
              </w:rPr>
            </w:pPr>
          </w:p>
        </w:tc>
        <w:tc>
          <w:tcPr>
            <w:tcW w:w="1780" w:type="dxa"/>
            <w:vAlign w:val="bottom"/>
            <w:tcBorders>
              <w:bottom w:val="single" w:sz="8" w:color="131E29"/>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240" w:type="dxa"/>
            <w:vAlign w:val="bottom"/>
          </w:tcPr>
          <w:p>
            <w:pPr>
              <w:ind w:left="20"/>
              <w:spacing w:after="0"/>
              <w:rPr>
                <w:sz w:val="20"/>
                <w:szCs w:val="20"/>
                <w:color w:val="auto"/>
              </w:rPr>
            </w:pPr>
            <w:r>
              <w:rPr>
                <w:rFonts w:ascii="Arial" w:cs="Arial" w:eastAsia="Arial" w:hAnsi="Arial"/>
                <w:sz w:val="14"/>
                <w:szCs w:val="14"/>
                <w:color w:val="131E29"/>
              </w:rPr>
              <w:t>(in thousands; unaudited)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gridSpan w:val="4"/>
          </w:tcPr>
          <w:p>
            <w:pPr>
              <w:ind w:left="240"/>
              <w:spacing w:after="0"/>
              <w:rPr>
                <w:sz w:val="20"/>
                <w:szCs w:val="20"/>
                <w:color w:val="auto"/>
              </w:rPr>
            </w:pPr>
            <w:r>
              <w:rPr>
                <w:rFonts w:ascii="Arial" w:cs="Arial" w:eastAsia="Arial" w:hAnsi="Arial"/>
                <w:sz w:val="18"/>
                <w:szCs w:val="18"/>
                <w:b w:val="1"/>
                <w:bCs w:val="1"/>
                <w:color w:val="131E29"/>
              </w:rPr>
              <w:t>2022 v. 2021</w:t>
            </w: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3"/>
          </w:tcPr>
          <w:p>
            <w:pPr>
              <w:ind w:left="240"/>
              <w:spacing w:after="0"/>
              <w:rPr>
                <w:sz w:val="20"/>
                <w:szCs w:val="20"/>
                <w:color w:val="auto"/>
              </w:rPr>
            </w:pPr>
            <w:r>
              <w:rPr>
                <w:rFonts w:ascii="Arial" w:cs="Arial" w:eastAsia="Arial" w:hAnsi="Arial"/>
                <w:sz w:val="18"/>
                <w:szCs w:val="18"/>
                <w:b w:val="1"/>
                <w:bCs w:val="1"/>
                <w:color w:val="131E29"/>
              </w:rPr>
              <w:t>2022 v. 2021</w:t>
            </w:r>
          </w:p>
        </w:tc>
        <w:tc>
          <w:tcPr>
            <w:tcW w:w="0" w:type="dxa"/>
            <w:vAlign w:val="bottom"/>
          </w:tcPr>
          <w:p>
            <w:pPr>
              <w:spacing w:after="0"/>
              <w:rPr>
                <w:sz w:val="1"/>
                <w:szCs w:val="1"/>
                <w:color w:val="auto"/>
              </w:rPr>
            </w:pPr>
          </w:p>
        </w:tc>
      </w:tr>
      <w:tr>
        <w:trPr>
          <w:trHeight w:val="26"/>
        </w:trPr>
        <w:tc>
          <w:tcPr>
            <w:tcW w:w="2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8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131E29"/>
            </w:tcBorders>
          </w:tcPr>
          <w:p>
            <w:pPr>
              <w:spacing w:after="0"/>
              <w:rPr>
                <w:sz w:val="2"/>
                <w:szCs w:val="2"/>
                <w:color w:val="auto"/>
              </w:rPr>
            </w:pPr>
          </w:p>
        </w:tc>
        <w:tc>
          <w:tcPr>
            <w:tcW w:w="760" w:type="dxa"/>
            <w:vAlign w:val="bottom"/>
            <w:tcBorders>
              <w:bottom w:val="single" w:sz="8" w:color="131E29"/>
            </w:tcBorders>
          </w:tcPr>
          <w:p>
            <w:pPr>
              <w:spacing w:after="0"/>
              <w:rPr>
                <w:sz w:val="2"/>
                <w:szCs w:val="2"/>
                <w:color w:val="auto"/>
              </w:rPr>
            </w:pPr>
          </w:p>
        </w:tc>
        <w:tc>
          <w:tcPr>
            <w:tcW w:w="80" w:type="dxa"/>
            <w:vAlign w:val="bottom"/>
            <w:tcBorders>
              <w:bottom w:val="single" w:sz="8" w:color="131E29"/>
            </w:tcBorders>
          </w:tcPr>
          <w:p>
            <w:pPr>
              <w:spacing w:after="0"/>
              <w:rPr>
                <w:sz w:val="2"/>
                <w:szCs w:val="2"/>
                <w:color w:val="auto"/>
              </w:rPr>
            </w:pPr>
          </w:p>
        </w:tc>
        <w:tc>
          <w:tcPr>
            <w:tcW w:w="9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88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0" w:type="dxa"/>
            <w:vAlign w:val="bottom"/>
            <w:tcBorders>
              <w:bottom w:val="single" w:sz="8" w:color="131E29"/>
            </w:tcBorders>
          </w:tcPr>
          <w:p>
            <w:pPr>
              <w:spacing w:after="0"/>
              <w:rPr>
                <w:sz w:val="2"/>
                <w:szCs w:val="2"/>
                <w:color w:val="auto"/>
              </w:rPr>
            </w:pPr>
          </w:p>
        </w:tc>
        <w:tc>
          <w:tcPr>
            <w:tcW w:w="7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131E29"/>
            </w:tcBorders>
          </w:tcPr>
          <w:p>
            <w:pPr>
              <w:spacing w:after="0"/>
              <w:rPr>
                <w:sz w:val="2"/>
                <w:szCs w:val="2"/>
                <w:color w:val="auto"/>
              </w:rPr>
            </w:pPr>
          </w:p>
        </w:tc>
        <w:tc>
          <w:tcPr>
            <w:tcW w:w="760" w:type="dxa"/>
            <w:vAlign w:val="bottom"/>
            <w:tcBorders>
              <w:bottom w:val="single" w:sz="8" w:color="131E29"/>
            </w:tcBorders>
          </w:tcPr>
          <w:p>
            <w:pPr>
              <w:spacing w:after="0"/>
              <w:rPr>
                <w:sz w:val="2"/>
                <w:szCs w:val="2"/>
                <w:color w:val="auto"/>
              </w:rPr>
            </w:pPr>
          </w:p>
        </w:tc>
        <w:tc>
          <w:tcPr>
            <w:tcW w:w="80" w:type="dxa"/>
            <w:vAlign w:val="bottom"/>
            <w:tcBorders>
              <w:bottom w:val="single" w:sz="8" w:color="131E29"/>
            </w:tcBorders>
          </w:tcPr>
          <w:p>
            <w:pPr>
              <w:spacing w:after="0"/>
              <w:rPr>
                <w:sz w:val="2"/>
                <w:szCs w:val="2"/>
                <w:color w:val="auto"/>
              </w:rPr>
            </w:pPr>
          </w:p>
        </w:tc>
        <w:tc>
          <w:tcPr>
            <w:tcW w:w="94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240" w:type="dxa"/>
            <w:vAlign w:val="bottom"/>
            <w:shd w:val="clear" w:color="auto" w:fill="D2DCE5"/>
          </w:tcPr>
          <w:p>
            <w:pPr>
              <w:ind w:left="20"/>
              <w:spacing w:after="0"/>
              <w:rPr>
                <w:sz w:val="20"/>
                <w:szCs w:val="20"/>
                <w:color w:val="auto"/>
              </w:rPr>
            </w:pPr>
            <w:r>
              <w:rPr>
                <w:rFonts w:ascii="Arial" w:cs="Arial" w:eastAsia="Arial" w:hAnsi="Arial"/>
                <w:sz w:val="18"/>
                <w:szCs w:val="18"/>
                <w:color w:val="131E29"/>
                <w:w w:val="99"/>
              </w:rPr>
              <w:t>Interest expense on finance</w:t>
            </w:r>
          </w:p>
        </w:tc>
        <w:tc>
          <w:tcPr>
            <w:tcW w:w="1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20" w:type="dxa"/>
            <w:vAlign w:val="bottom"/>
            <w:shd w:val="clear" w:color="auto" w:fill="D2DCE5"/>
          </w:tcPr>
          <w:p>
            <w:pPr>
              <w:spacing w:after="0"/>
              <w:rPr>
                <w:sz w:val="20"/>
                <w:szCs w:val="20"/>
                <w:color w:val="auto"/>
              </w:rPr>
            </w:pPr>
          </w:p>
        </w:tc>
        <w:tc>
          <w:tcPr>
            <w:tcW w:w="8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20" w:type="dxa"/>
            <w:vAlign w:val="bottom"/>
            <w:shd w:val="clear" w:color="auto" w:fill="D2DCE5"/>
          </w:tcPr>
          <w:p>
            <w:pPr>
              <w:spacing w:after="0"/>
              <w:rPr>
                <w:sz w:val="20"/>
                <w:szCs w:val="20"/>
                <w:color w:val="auto"/>
              </w:rPr>
            </w:pPr>
          </w:p>
        </w:tc>
        <w:tc>
          <w:tcPr>
            <w:tcW w:w="8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p>
        </w:tc>
        <w:tc>
          <w:tcPr>
            <w:tcW w:w="76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9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40" w:type="dxa"/>
            <w:vAlign w:val="bottom"/>
            <w:shd w:val="clear" w:color="auto" w:fill="D2DCE5"/>
          </w:tcPr>
          <w:p>
            <w:pPr>
              <w:spacing w:after="0"/>
              <w:rPr>
                <w:sz w:val="20"/>
                <w:szCs w:val="20"/>
                <w:color w:val="auto"/>
              </w:rPr>
            </w:pPr>
          </w:p>
        </w:tc>
        <w:tc>
          <w:tcPr>
            <w:tcW w:w="8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200" w:type="dxa"/>
            <w:vAlign w:val="bottom"/>
            <w:shd w:val="clear" w:color="auto" w:fill="D2DCE5"/>
          </w:tcPr>
          <w:p>
            <w:pPr>
              <w:spacing w:after="0"/>
              <w:rPr>
                <w:sz w:val="20"/>
                <w:szCs w:val="20"/>
                <w:color w:val="auto"/>
              </w:rPr>
            </w:pPr>
          </w:p>
        </w:tc>
        <w:tc>
          <w:tcPr>
            <w:tcW w:w="7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p>
        </w:tc>
        <w:tc>
          <w:tcPr>
            <w:tcW w:w="76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940" w:type="dxa"/>
            <w:vAlign w:val="bottom"/>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2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leases</w:t>
            </w:r>
          </w:p>
        </w:tc>
        <w:tc>
          <w:tcPr>
            <w:tcW w:w="460" w:type="dxa"/>
            <w:vAlign w:val="bottom"/>
            <w:tcBorders>
              <w:bottom w:val="single" w:sz="8" w:color="D2DCE5"/>
            </w:tcBorders>
            <w:gridSpan w:val="3"/>
            <w:shd w:val="clear" w:color="auto" w:fill="D2DCE5"/>
          </w:tcPr>
          <w:p>
            <w:pPr>
              <w:jc w:val="right"/>
              <w:ind w:right="100"/>
              <w:spacing w:after="0"/>
              <w:rPr>
                <w:sz w:val="20"/>
                <w:szCs w:val="20"/>
                <w:color w:val="auto"/>
              </w:rPr>
            </w:pPr>
            <w:r>
              <w:rPr>
                <w:rFonts w:ascii="Arial" w:cs="Arial" w:eastAsia="Arial" w:hAnsi="Arial"/>
                <w:sz w:val="18"/>
                <w:szCs w:val="18"/>
                <w:color w:val="131E29"/>
              </w:rPr>
              <w:t>$</w:t>
            </w:r>
          </w:p>
        </w:tc>
        <w:tc>
          <w:tcPr>
            <w:tcW w:w="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(2,498)</w:t>
            </w:r>
          </w:p>
        </w:tc>
        <w:tc>
          <w:tcPr>
            <w:tcW w:w="100" w:type="dxa"/>
            <w:vAlign w:val="bottom"/>
            <w:tcBorders>
              <w:bottom w:val="single" w:sz="8" w:color="D2DCE5"/>
            </w:tcBorders>
            <w:shd w:val="clear" w:color="auto" w:fill="D2DCE5"/>
          </w:tcPr>
          <w:p>
            <w:pPr>
              <w:spacing w:after="0"/>
              <w:rPr>
                <w:sz w:val="19"/>
                <w:szCs w:val="19"/>
                <w:color w:val="auto"/>
              </w:rPr>
            </w:pPr>
          </w:p>
        </w:tc>
        <w:tc>
          <w:tcPr>
            <w:tcW w:w="220" w:type="dxa"/>
            <w:vAlign w:val="bottom"/>
            <w:tcBorders>
              <w:bottom w:val="single" w:sz="8" w:color="D2DCE5"/>
            </w:tcBorders>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(1,109)</w:t>
            </w:r>
          </w:p>
        </w:tc>
        <w:tc>
          <w:tcPr>
            <w:tcW w:w="100" w:type="dxa"/>
            <w:vAlign w:val="bottom"/>
            <w:tcBorders>
              <w:bottom w:val="single" w:sz="8" w:color="D2DCE5"/>
            </w:tcBorders>
            <w:shd w:val="clear" w:color="auto" w:fill="D2DCE5"/>
          </w:tcPr>
          <w:p>
            <w:pPr>
              <w:spacing w:after="0"/>
              <w:rPr>
                <w:sz w:val="19"/>
                <w:szCs w:val="19"/>
                <w:color w:val="auto"/>
              </w:rPr>
            </w:pP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7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(1,389)</w:t>
            </w:r>
          </w:p>
        </w:tc>
        <w:tc>
          <w:tcPr>
            <w:tcW w:w="80" w:type="dxa"/>
            <w:vAlign w:val="bottom"/>
            <w:tcBorders>
              <w:bottom w:val="single" w:sz="8" w:color="D2DCE5"/>
            </w:tcBorders>
            <w:shd w:val="clear" w:color="auto" w:fill="D2DCE5"/>
          </w:tcPr>
          <w:p>
            <w:pPr>
              <w:spacing w:after="0"/>
              <w:rPr>
                <w:sz w:val="19"/>
                <w:szCs w:val="19"/>
                <w:color w:val="auto"/>
              </w:rPr>
            </w:pPr>
          </w:p>
        </w:tc>
        <w:tc>
          <w:tcPr>
            <w:tcW w:w="94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rPr>
              <w:t>125.2%</w:t>
            </w:r>
          </w:p>
        </w:tc>
        <w:tc>
          <w:tcPr>
            <w:tcW w:w="100" w:type="dxa"/>
            <w:vAlign w:val="bottom"/>
            <w:tcBorders>
              <w:bottom w:val="single" w:sz="8" w:color="D2DCE5"/>
            </w:tcBorders>
            <w:shd w:val="clear" w:color="auto" w:fill="D2DCE5"/>
          </w:tcPr>
          <w:p>
            <w:pPr>
              <w:spacing w:after="0"/>
              <w:rPr>
                <w:sz w:val="19"/>
                <w:szCs w:val="19"/>
                <w:color w:val="auto"/>
              </w:rPr>
            </w:pPr>
          </w:p>
        </w:tc>
        <w:tc>
          <w:tcPr>
            <w:tcW w:w="24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8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(6,277)</w:t>
            </w:r>
          </w:p>
        </w:tc>
        <w:tc>
          <w:tcPr>
            <w:tcW w:w="80" w:type="dxa"/>
            <w:vAlign w:val="bottom"/>
            <w:tcBorders>
              <w:bottom w:val="single" w:sz="8" w:color="D2DCE5"/>
            </w:tcBorders>
            <w:shd w:val="clear" w:color="auto" w:fill="D2DCE5"/>
          </w:tcPr>
          <w:p>
            <w:pPr>
              <w:spacing w:after="0"/>
              <w:rPr>
                <w:sz w:val="19"/>
                <w:szCs w:val="19"/>
                <w:color w:val="auto"/>
              </w:rPr>
            </w:pPr>
          </w:p>
        </w:tc>
        <w:tc>
          <w:tcPr>
            <w:tcW w:w="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7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(2,851)</w:t>
            </w:r>
          </w:p>
        </w:tc>
        <w:tc>
          <w:tcPr>
            <w:tcW w:w="100" w:type="dxa"/>
            <w:vAlign w:val="bottom"/>
            <w:tcBorders>
              <w:bottom w:val="single" w:sz="8" w:color="D2DCE5"/>
            </w:tcBorders>
            <w:shd w:val="clear" w:color="auto" w:fill="D2DCE5"/>
          </w:tcPr>
          <w:p>
            <w:pPr>
              <w:spacing w:after="0"/>
              <w:rPr>
                <w:sz w:val="19"/>
                <w:szCs w:val="19"/>
                <w:color w:val="auto"/>
              </w:rPr>
            </w:pP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7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(3,426)</w:t>
            </w:r>
          </w:p>
        </w:tc>
        <w:tc>
          <w:tcPr>
            <w:tcW w:w="80" w:type="dxa"/>
            <w:vAlign w:val="bottom"/>
            <w:tcBorders>
              <w:bottom w:val="single" w:sz="8" w:color="D2DCE5"/>
            </w:tcBorders>
            <w:shd w:val="clear" w:color="auto" w:fill="D2DCE5"/>
          </w:tcPr>
          <w:p>
            <w:pPr>
              <w:spacing w:after="0"/>
              <w:rPr>
                <w:sz w:val="19"/>
                <w:szCs w:val="19"/>
                <w:color w:val="auto"/>
              </w:rPr>
            </w:pPr>
          </w:p>
        </w:tc>
        <w:tc>
          <w:tcPr>
            <w:tcW w:w="94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rPr>
              <w:t>120.2%</w:t>
            </w:r>
          </w:p>
        </w:tc>
        <w:tc>
          <w:tcPr>
            <w:tcW w:w="0" w:type="dxa"/>
            <w:vAlign w:val="bottom"/>
          </w:tcPr>
          <w:p>
            <w:pPr>
              <w:spacing w:after="0"/>
              <w:rPr>
                <w:sz w:val="1"/>
                <w:szCs w:val="1"/>
                <w:color w:val="auto"/>
              </w:rPr>
            </w:pPr>
          </w:p>
        </w:tc>
      </w:tr>
      <w:tr>
        <w:trPr>
          <w:trHeight w:val="243"/>
        </w:trPr>
        <w:tc>
          <w:tcPr>
            <w:tcW w:w="2240" w:type="dxa"/>
            <w:vAlign w:val="bottom"/>
          </w:tcPr>
          <w:p>
            <w:pPr>
              <w:ind w:left="20"/>
              <w:spacing w:after="0"/>
              <w:rPr>
                <w:sz w:val="20"/>
                <w:szCs w:val="20"/>
                <w:color w:val="auto"/>
              </w:rPr>
            </w:pPr>
            <w:r>
              <w:rPr>
                <w:rFonts w:ascii="Arial" w:cs="Arial" w:eastAsia="Arial" w:hAnsi="Arial"/>
                <w:sz w:val="18"/>
                <w:szCs w:val="18"/>
                <w:color w:val="131E29"/>
              </w:rPr>
              <w:t>Other interest expense, net</w:t>
            </w:r>
          </w:p>
        </w:tc>
        <w:tc>
          <w:tcPr>
            <w:tcW w:w="140" w:type="dxa"/>
            <w:vAlign w:val="bottom"/>
          </w:tcPr>
          <w:p>
            <w:pPr>
              <w:jc w:val="right"/>
              <w:spacing w:after="0"/>
              <w:rPr>
                <w:sz w:val="20"/>
                <w:szCs w:val="20"/>
                <w:color w:val="auto"/>
              </w:rPr>
            </w:pPr>
            <w:r>
              <w:rPr>
                <w:rFonts w:ascii="Arial" w:cs="Arial" w:eastAsia="Arial" w:hAnsi="Arial"/>
                <w:sz w:val="12"/>
                <w:szCs w:val="12"/>
                <w:color w:val="131E29"/>
                <w:w w:val="89"/>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131E29"/>
              </w:rPr>
              <w:t>(2,513)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131E29"/>
              </w:rPr>
              <w:t>(1,284)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131E29"/>
              </w:rPr>
              <w:t>(1,229)</w:t>
            </w:r>
          </w:p>
        </w:tc>
        <w:tc>
          <w:tcPr>
            <w:tcW w:w="80" w:type="dxa"/>
            <w:vAlign w:val="bottom"/>
          </w:tcPr>
          <w:p>
            <w:pPr>
              <w:spacing w:after="0"/>
              <w:rPr>
                <w:sz w:val="21"/>
                <w:szCs w:val="21"/>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131E29"/>
                <w:w w:val="97"/>
              </w:rPr>
              <w:t>95.7%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131E29"/>
              </w:rPr>
              <w:t>(4,819)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131E29"/>
              </w:rPr>
              <w:t>(2,397)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131E29"/>
              </w:rPr>
              <w:t>(2,422)</w:t>
            </w:r>
          </w:p>
        </w:tc>
        <w:tc>
          <w:tcPr>
            <w:tcW w:w="80" w:type="dxa"/>
            <w:vAlign w:val="bottom"/>
          </w:tcPr>
          <w:p>
            <w:pPr>
              <w:spacing w:after="0"/>
              <w:rPr>
                <w:sz w:val="21"/>
                <w:szCs w:val="21"/>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131E29"/>
              </w:rPr>
              <w:t>101.0%</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D2DCE5"/>
            </w:tcBorders>
          </w:tcPr>
          <w:p>
            <w:pPr>
              <w:spacing w:after="0"/>
              <w:rPr>
                <w:sz w:val="2"/>
                <w:szCs w:val="2"/>
                <w:color w:val="auto"/>
              </w:rPr>
            </w:pPr>
          </w:p>
        </w:tc>
        <w:tc>
          <w:tcPr>
            <w:tcW w:w="1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2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 xml:space="preserve">Interest expense, net </w:t>
            </w:r>
            <w:r>
              <w:rPr>
                <w:rFonts w:ascii="Arial" w:cs="Arial" w:eastAsia="Arial" w:hAnsi="Arial"/>
                <w:sz w:val="23"/>
                <w:szCs w:val="23"/>
                <w:color w:val="131E29"/>
                <w:vertAlign w:val="superscript"/>
              </w:rPr>
              <w:t>1</w:t>
            </w:r>
          </w:p>
        </w:tc>
        <w:tc>
          <w:tcPr>
            <w:tcW w:w="460" w:type="dxa"/>
            <w:vAlign w:val="bottom"/>
            <w:gridSpan w:val="3"/>
            <w:vMerge w:val="restart"/>
            <w:shd w:val="clear" w:color="auto" w:fill="D2DCE5"/>
          </w:tcPr>
          <w:p>
            <w:pPr>
              <w:jc w:val="right"/>
              <w:ind w:right="100"/>
              <w:spacing w:after="0"/>
              <w:rPr>
                <w:sz w:val="20"/>
                <w:szCs w:val="20"/>
                <w:color w:val="auto"/>
              </w:rPr>
            </w:pPr>
            <w:r>
              <w:rPr>
                <w:rFonts w:ascii="Arial" w:cs="Arial" w:eastAsia="Arial" w:hAnsi="Arial"/>
                <w:sz w:val="18"/>
                <w:szCs w:val="18"/>
                <w:color w:val="131E29"/>
              </w:rPr>
              <w:t>$</w:t>
            </w:r>
          </w:p>
        </w:tc>
        <w:tc>
          <w:tcPr>
            <w:tcW w:w="8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(5,011)</w:t>
            </w:r>
          </w:p>
        </w:tc>
        <w:tc>
          <w:tcPr>
            <w:tcW w:w="100" w:type="dxa"/>
            <w:vAlign w:val="bottom"/>
            <w:shd w:val="clear" w:color="auto" w:fill="D2DCE5"/>
          </w:tcPr>
          <w:p>
            <w:pPr>
              <w:spacing w:after="0"/>
              <w:rPr>
                <w:sz w:val="24"/>
                <w:szCs w:val="24"/>
                <w:color w:val="auto"/>
              </w:rPr>
            </w:pPr>
          </w:p>
        </w:tc>
        <w:tc>
          <w:tcPr>
            <w:tcW w:w="220" w:type="dxa"/>
            <w:vAlign w:val="bottom"/>
            <w:vMerge w:val="restart"/>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8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(2,393)</w:t>
            </w:r>
          </w:p>
        </w:tc>
        <w:tc>
          <w:tcPr>
            <w:tcW w:w="100" w:type="dxa"/>
            <w:vAlign w:val="bottom"/>
            <w:shd w:val="clear" w:color="auto" w:fill="D2DCE5"/>
          </w:tcPr>
          <w:p>
            <w:pPr>
              <w:spacing w:after="0"/>
              <w:rPr>
                <w:sz w:val="24"/>
                <w:szCs w:val="24"/>
                <w:color w:val="auto"/>
              </w:rPr>
            </w:pPr>
          </w:p>
        </w:tc>
        <w:tc>
          <w:tcPr>
            <w:tcW w:w="260" w:type="dxa"/>
            <w:vAlign w:val="bottom"/>
            <w:vMerge w:val="restart"/>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7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(2,618)</w:t>
            </w:r>
          </w:p>
        </w:tc>
        <w:tc>
          <w:tcPr>
            <w:tcW w:w="80" w:type="dxa"/>
            <w:vAlign w:val="bottom"/>
            <w:shd w:val="clear" w:color="auto" w:fill="D2DCE5"/>
          </w:tcPr>
          <w:p>
            <w:pPr>
              <w:spacing w:after="0"/>
              <w:rPr>
                <w:sz w:val="24"/>
                <w:szCs w:val="24"/>
                <w:color w:val="auto"/>
              </w:rPr>
            </w:pPr>
          </w:p>
        </w:tc>
        <w:tc>
          <w:tcPr>
            <w:tcW w:w="940" w:type="dxa"/>
            <w:vAlign w:val="bottom"/>
            <w:vMerge w:val="restart"/>
            <w:shd w:val="clear" w:color="auto" w:fill="D2DCE5"/>
          </w:tcPr>
          <w:p>
            <w:pPr>
              <w:jc w:val="center"/>
              <w:spacing w:after="0"/>
              <w:rPr>
                <w:sz w:val="20"/>
                <w:szCs w:val="20"/>
                <w:color w:val="auto"/>
              </w:rPr>
            </w:pPr>
            <w:r>
              <w:rPr>
                <w:rFonts w:ascii="Arial" w:cs="Arial" w:eastAsia="Arial" w:hAnsi="Arial"/>
                <w:sz w:val="18"/>
                <w:szCs w:val="18"/>
                <w:color w:val="131E29"/>
              </w:rPr>
              <w:t>109.4%</w:t>
            </w:r>
          </w:p>
        </w:tc>
        <w:tc>
          <w:tcPr>
            <w:tcW w:w="100" w:type="dxa"/>
            <w:vAlign w:val="bottom"/>
            <w:shd w:val="clear" w:color="auto" w:fill="D2DCE5"/>
          </w:tcPr>
          <w:p>
            <w:pPr>
              <w:spacing w:after="0"/>
              <w:rPr>
                <w:sz w:val="24"/>
                <w:szCs w:val="24"/>
                <w:color w:val="auto"/>
              </w:rPr>
            </w:pPr>
          </w:p>
        </w:tc>
        <w:tc>
          <w:tcPr>
            <w:tcW w:w="24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88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(11,096)</w:t>
            </w:r>
          </w:p>
        </w:tc>
        <w:tc>
          <w:tcPr>
            <w:tcW w:w="80" w:type="dxa"/>
            <w:vAlign w:val="bottom"/>
            <w:shd w:val="clear" w:color="auto" w:fill="D2DCE5"/>
          </w:tcPr>
          <w:p>
            <w:pPr>
              <w:spacing w:after="0"/>
              <w:rPr>
                <w:sz w:val="24"/>
                <w:szCs w:val="24"/>
                <w:color w:val="auto"/>
              </w:rPr>
            </w:pPr>
          </w:p>
        </w:tc>
        <w:tc>
          <w:tcPr>
            <w:tcW w:w="2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7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(5,248)</w:t>
            </w:r>
          </w:p>
        </w:tc>
        <w:tc>
          <w:tcPr>
            <w:tcW w:w="100" w:type="dxa"/>
            <w:vAlign w:val="bottom"/>
            <w:shd w:val="clear" w:color="auto" w:fill="D2DCE5"/>
          </w:tcPr>
          <w:p>
            <w:pPr>
              <w:spacing w:after="0"/>
              <w:rPr>
                <w:sz w:val="24"/>
                <w:szCs w:val="24"/>
                <w:color w:val="auto"/>
              </w:rPr>
            </w:pPr>
          </w:p>
        </w:tc>
        <w:tc>
          <w:tcPr>
            <w:tcW w:w="260" w:type="dxa"/>
            <w:vAlign w:val="bottom"/>
            <w:vMerge w:val="restart"/>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7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(5,848)</w:t>
            </w:r>
          </w:p>
        </w:tc>
        <w:tc>
          <w:tcPr>
            <w:tcW w:w="80" w:type="dxa"/>
            <w:vAlign w:val="bottom"/>
            <w:shd w:val="clear" w:color="auto" w:fill="D2DCE5"/>
          </w:tcPr>
          <w:p>
            <w:pPr>
              <w:spacing w:after="0"/>
              <w:rPr>
                <w:sz w:val="24"/>
                <w:szCs w:val="24"/>
                <w:color w:val="auto"/>
              </w:rPr>
            </w:pPr>
          </w:p>
        </w:tc>
        <w:tc>
          <w:tcPr>
            <w:tcW w:w="940" w:type="dxa"/>
            <w:vAlign w:val="bottom"/>
            <w:vMerge w:val="restart"/>
            <w:shd w:val="clear" w:color="auto" w:fill="D2DCE5"/>
          </w:tcPr>
          <w:p>
            <w:pPr>
              <w:jc w:val="center"/>
              <w:spacing w:after="0"/>
              <w:rPr>
                <w:sz w:val="20"/>
                <w:szCs w:val="20"/>
                <w:color w:val="auto"/>
              </w:rPr>
            </w:pPr>
            <w:r>
              <w:rPr>
                <w:rFonts w:ascii="Arial" w:cs="Arial" w:eastAsia="Arial" w:hAnsi="Arial"/>
                <w:sz w:val="18"/>
                <w:szCs w:val="18"/>
                <w:color w:val="131E29"/>
              </w:rPr>
              <w:t>111.4%</w:t>
            </w:r>
          </w:p>
        </w:tc>
        <w:tc>
          <w:tcPr>
            <w:tcW w:w="0" w:type="dxa"/>
            <w:vAlign w:val="bottom"/>
          </w:tcPr>
          <w:p>
            <w:pPr>
              <w:spacing w:after="0"/>
              <w:rPr>
                <w:sz w:val="1"/>
                <w:szCs w:val="1"/>
                <w:color w:val="auto"/>
              </w:rPr>
            </w:pPr>
          </w:p>
        </w:tc>
      </w:tr>
      <w:tr>
        <w:trPr>
          <w:trHeight w:val="118"/>
        </w:trPr>
        <w:tc>
          <w:tcPr>
            <w:tcW w:w="2240" w:type="dxa"/>
            <w:vAlign w:val="bottom"/>
            <w:tcBorders>
              <w:bottom w:val="single" w:sz="8" w:color="D2DCE5"/>
            </w:tcBorders>
            <w:shd w:val="clear" w:color="auto" w:fill="D2DCE5"/>
          </w:tcPr>
          <w:p>
            <w:pPr>
              <w:spacing w:after="0"/>
              <w:rPr>
                <w:sz w:val="10"/>
                <w:szCs w:val="10"/>
                <w:color w:val="auto"/>
              </w:rPr>
            </w:pPr>
          </w:p>
        </w:tc>
        <w:tc>
          <w:tcPr>
            <w:tcW w:w="460" w:type="dxa"/>
            <w:vAlign w:val="bottom"/>
            <w:tcBorders>
              <w:bottom w:val="single" w:sz="8" w:color="D2DCE5"/>
            </w:tcBorders>
            <w:gridSpan w:val="3"/>
            <w:vMerge w:val="continue"/>
            <w:shd w:val="clear" w:color="auto" w:fill="D2DCE5"/>
          </w:tcPr>
          <w:p>
            <w:pPr>
              <w:spacing w:after="0"/>
              <w:rPr>
                <w:sz w:val="10"/>
                <w:szCs w:val="10"/>
                <w:color w:val="auto"/>
              </w:rPr>
            </w:pPr>
          </w:p>
        </w:tc>
        <w:tc>
          <w:tcPr>
            <w:tcW w:w="840" w:type="dxa"/>
            <w:vAlign w:val="bottom"/>
            <w:tcBorders>
              <w:bottom w:val="single" w:sz="8" w:color="D2DCE5"/>
            </w:tcBorders>
            <w:vMerge w:val="continue"/>
            <w:shd w:val="clear" w:color="auto" w:fill="D2DCE5"/>
          </w:tcPr>
          <w:p>
            <w:pPr>
              <w:spacing w:after="0"/>
              <w:rPr>
                <w:sz w:val="10"/>
                <w:szCs w:val="10"/>
                <w:color w:val="auto"/>
              </w:rPr>
            </w:pPr>
          </w:p>
        </w:tc>
        <w:tc>
          <w:tcPr>
            <w:tcW w:w="100" w:type="dxa"/>
            <w:vAlign w:val="bottom"/>
            <w:tcBorders>
              <w:bottom w:val="single" w:sz="8" w:color="D2DCE5"/>
            </w:tcBorders>
            <w:shd w:val="clear" w:color="auto" w:fill="D2DCE5"/>
          </w:tcPr>
          <w:p>
            <w:pPr>
              <w:spacing w:after="0"/>
              <w:rPr>
                <w:sz w:val="10"/>
                <w:szCs w:val="10"/>
                <w:color w:val="auto"/>
              </w:rPr>
            </w:pPr>
          </w:p>
        </w:tc>
        <w:tc>
          <w:tcPr>
            <w:tcW w:w="220" w:type="dxa"/>
            <w:vAlign w:val="bottom"/>
            <w:tcBorders>
              <w:bottom w:val="single" w:sz="8" w:color="D2DCE5"/>
            </w:tcBorders>
            <w:vMerge w:val="continue"/>
            <w:shd w:val="clear" w:color="auto" w:fill="D2DCE5"/>
          </w:tcPr>
          <w:p>
            <w:pPr>
              <w:spacing w:after="0"/>
              <w:rPr>
                <w:sz w:val="10"/>
                <w:szCs w:val="10"/>
                <w:color w:val="auto"/>
              </w:rPr>
            </w:pPr>
          </w:p>
        </w:tc>
        <w:tc>
          <w:tcPr>
            <w:tcW w:w="840" w:type="dxa"/>
            <w:vAlign w:val="bottom"/>
            <w:tcBorders>
              <w:bottom w:val="single" w:sz="8" w:color="D2DCE5"/>
            </w:tcBorders>
            <w:vMerge w:val="continue"/>
            <w:shd w:val="clear" w:color="auto" w:fill="D2DCE5"/>
          </w:tcPr>
          <w:p>
            <w:pPr>
              <w:spacing w:after="0"/>
              <w:rPr>
                <w:sz w:val="10"/>
                <w:szCs w:val="10"/>
                <w:color w:val="auto"/>
              </w:rPr>
            </w:pPr>
          </w:p>
        </w:tc>
        <w:tc>
          <w:tcPr>
            <w:tcW w:w="100" w:type="dxa"/>
            <w:vAlign w:val="bottom"/>
            <w:tcBorders>
              <w:bottom w:val="single" w:sz="8" w:color="D2DCE5"/>
            </w:tcBorders>
            <w:shd w:val="clear" w:color="auto" w:fill="D2DCE5"/>
          </w:tcPr>
          <w:p>
            <w:pPr>
              <w:spacing w:after="0"/>
              <w:rPr>
                <w:sz w:val="10"/>
                <w:szCs w:val="10"/>
                <w:color w:val="auto"/>
              </w:rPr>
            </w:pPr>
          </w:p>
        </w:tc>
        <w:tc>
          <w:tcPr>
            <w:tcW w:w="260" w:type="dxa"/>
            <w:vAlign w:val="bottom"/>
            <w:tcBorders>
              <w:bottom w:val="single" w:sz="8" w:color="D2DCE5"/>
            </w:tcBorders>
            <w:vMerge w:val="continue"/>
            <w:shd w:val="clear" w:color="auto" w:fill="D2DCE5"/>
          </w:tcPr>
          <w:p>
            <w:pPr>
              <w:spacing w:after="0"/>
              <w:rPr>
                <w:sz w:val="10"/>
                <w:szCs w:val="10"/>
                <w:color w:val="auto"/>
              </w:rPr>
            </w:pPr>
          </w:p>
        </w:tc>
        <w:tc>
          <w:tcPr>
            <w:tcW w:w="760" w:type="dxa"/>
            <w:vAlign w:val="bottom"/>
            <w:tcBorders>
              <w:bottom w:val="single" w:sz="8" w:color="D2DCE5"/>
            </w:tcBorders>
            <w:vMerge w:val="continue"/>
            <w:shd w:val="clear" w:color="auto" w:fill="D2DCE5"/>
          </w:tcPr>
          <w:p>
            <w:pPr>
              <w:spacing w:after="0"/>
              <w:rPr>
                <w:sz w:val="10"/>
                <w:szCs w:val="10"/>
                <w:color w:val="auto"/>
              </w:rPr>
            </w:pPr>
          </w:p>
        </w:tc>
        <w:tc>
          <w:tcPr>
            <w:tcW w:w="80" w:type="dxa"/>
            <w:vAlign w:val="bottom"/>
            <w:tcBorders>
              <w:bottom w:val="single" w:sz="8" w:color="D2DCE5"/>
            </w:tcBorders>
            <w:shd w:val="clear" w:color="auto" w:fill="D2DCE5"/>
          </w:tcPr>
          <w:p>
            <w:pPr>
              <w:spacing w:after="0"/>
              <w:rPr>
                <w:sz w:val="10"/>
                <w:szCs w:val="10"/>
                <w:color w:val="auto"/>
              </w:rPr>
            </w:pPr>
          </w:p>
        </w:tc>
        <w:tc>
          <w:tcPr>
            <w:tcW w:w="940" w:type="dxa"/>
            <w:vAlign w:val="bottom"/>
            <w:tcBorders>
              <w:bottom w:val="single" w:sz="8" w:color="D2DCE5"/>
            </w:tcBorders>
            <w:vMerge w:val="continue"/>
            <w:shd w:val="clear" w:color="auto" w:fill="D2DCE5"/>
          </w:tcPr>
          <w:p>
            <w:pPr>
              <w:spacing w:after="0"/>
              <w:rPr>
                <w:sz w:val="10"/>
                <w:szCs w:val="10"/>
                <w:color w:val="auto"/>
              </w:rPr>
            </w:pPr>
          </w:p>
        </w:tc>
        <w:tc>
          <w:tcPr>
            <w:tcW w:w="100" w:type="dxa"/>
            <w:vAlign w:val="bottom"/>
            <w:tcBorders>
              <w:bottom w:val="single" w:sz="8" w:color="D2DCE5"/>
            </w:tcBorders>
            <w:shd w:val="clear" w:color="auto" w:fill="D2DCE5"/>
          </w:tcPr>
          <w:p>
            <w:pPr>
              <w:spacing w:after="0"/>
              <w:rPr>
                <w:sz w:val="10"/>
                <w:szCs w:val="10"/>
                <w:color w:val="auto"/>
              </w:rPr>
            </w:pPr>
          </w:p>
        </w:tc>
        <w:tc>
          <w:tcPr>
            <w:tcW w:w="240" w:type="dxa"/>
            <w:vAlign w:val="bottom"/>
            <w:tcBorders>
              <w:bottom w:val="single" w:sz="8" w:color="D2DCE5"/>
            </w:tcBorders>
            <w:vMerge w:val="continue"/>
            <w:shd w:val="clear" w:color="auto" w:fill="D2DCE5"/>
          </w:tcPr>
          <w:p>
            <w:pPr>
              <w:spacing w:after="0"/>
              <w:rPr>
                <w:sz w:val="10"/>
                <w:szCs w:val="10"/>
                <w:color w:val="auto"/>
              </w:rPr>
            </w:pPr>
          </w:p>
        </w:tc>
        <w:tc>
          <w:tcPr>
            <w:tcW w:w="880" w:type="dxa"/>
            <w:vAlign w:val="bottom"/>
            <w:tcBorders>
              <w:bottom w:val="single" w:sz="8" w:color="D2DCE5"/>
            </w:tcBorders>
            <w:vMerge w:val="continue"/>
            <w:shd w:val="clear" w:color="auto" w:fill="D2DCE5"/>
          </w:tcPr>
          <w:p>
            <w:pPr>
              <w:spacing w:after="0"/>
              <w:rPr>
                <w:sz w:val="10"/>
                <w:szCs w:val="10"/>
                <w:color w:val="auto"/>
              </w:rPr>
            </w:pPr>
          </w:p>
        </w:tc>
        <w:tc>
          <w:tcPr>
            <w:tcW w:w="80" w:type="dxa"/>
            <w:vAlign w:val="bottom"/>
            <w:tcBorders>
              <w:bottom w:val="single" w:sz="8" w:color="D2DCE5"/>
            </w:tcBorders>
            <w:shd w:val="clear" w:color="auto" w:fill="D2DCE5"/>
          </w:tcPr>
          <w:p>
            <w:pPr>
              <w:spacing w:after="0"/>
              <w:rPr>
                <w:sz w:val="10"/>
                <w:szCs w:val="10"/>
                <w:color w:val="auto"/>
              </w:rPr>
            </w:pPr>
          </w:p>
        </w:tc>
        <w:tc>
          <w:tcPr>
            <w:tcW w:w="200" w:type="dxa"/>
            <w:vAlign w:val="bottom"/>
            <w:tcBorders>
              <w:bottom w:val="single" w:sz="8" w:color="D2DCE5"/>
            </w:tcBorders>
            <w:vMerge w:val="continue"/>
            <w:shd w:val="clear" w:color="auto" w:fill="D2DCE5"/>
          </w:tcPr>
          <w:p>
            <w:pPr>
              <w:spacing w:after="0"/>
              <w:rPr>
                <w:sz w:val="10"/>
                <w:szCs w:val="10"/>
                <w:color w:val="auto"/>
              </w:rPr>
            </w:pPr>
          </w:p>
        </w:tc>
        <w:tc>
          <w:tcPr>
            <w:tcW w:w="760" w:type="dxa"/>
            <w:vAlign w:val="bottom"/>
            <w:tcBorders>
              <w:bottom w:val="single" w:sz="8" w:color="D2DCE5"/>
            </w:tcBorders>
            <w:vMerge w:val="continue"/>
            <w:shd w:val="clear" w:color="auto" w:fill="D2DCE5"/>
          </w:tcPr>
          <w:p>
            <w:pPr>
              <w:spacing w:after="0"/>
              <w:rPr>
                <w:sz w:val="10"/>
                <w:szCs w:val="10"/>
                <w:color w:val="auto"/>
              </w:rPr>
            </w:pPr>
          </w:p>
        </w:tc>
        <w:tc>
          <w:tcPr>
            <w:tcW w:w="100" w:type="dxa"/>
            <w:vAlign w:val="bottom"/>
            <w:tcBorders>
              <w:bottom w:val="single" w:sz="8" w:color="D2DCE5"/>
            </w:tcBorders>
            <w:shd w:val="clear" w:color="auto" w:fill="D2DCE5"/>
          </w:tcPr>
          <w:p>
            <w:pPr>
              <w:spacing w:after="0"/>
              <w:rPr>
                <w:sz w:val="10"/>
                <w:szCs w:val="10"/>
                <w:color w:val="auto"/>
              </w:rPr>
            </w:pPr>
          </w:p>
        </w:tc>
        <w:tc>
          <w:tcPr>
            <w:tcW w:w="260" w:type="dxa"/>
            <w:vAlign w:val="bottom"/>
            <w:tcBorders>
              <w:bottom w:val="single" w:sz="8" w:color="D2DCE5"/>
            </w:tcBorders>
            <w:vMerge w:val="continue"/>
            <w:shd w:val="clear" w:color="auto" w:fill="D2DCE5"/>
          </w:tcPr>
          <w:p>
            <w:pPr>
              <w:spacing w:after="0"/>
              <w:rPr>
                <w:sz w:val="10"/>
                <w:szCs w:val="10"/>
                <w:color w:val="auto"/>
              </w:rPr>
            </w:pPr>
          </w:p>
        </w:tc>
        <w:tc>
          <w:tcPr>
            <w:tcW w:w="760" w:type="dxa"/>
            <w:vAlign w:val="bottom"/>
            <w:tcBorders>
              <w:bottom w:val="single" w:sz="8" w:color="D2DCE5"/>
            </w:tcBorders>
            <w:vMerge w:val="continue"/>
            <w:shd w:val="clear" w:color="auto" w:fill="D2DCE5"/>
          </w:tcPr>
          <w:p>
            <w:pPr>
              <w:spacing w:after="0"/>
              <w:rPr>
                <w:sz w:val="10"/>
                <w:szCs w:val="10"/>
                <w:color w:val="auto"/>
              </w:rPr>
            </w:pPr>
          </w:p>
        </w:tc>
        <w:tc>
          <w:tcPr>
            <w:tcW w:w="80" w:type="dxa"/>
            <w:vAlign w:val="bottom"/>
            <w:tcBorders>
              <w:bottom w:val="single" w:sz="8" w:color="D2DCE5"/>
            </w:tcBorders>
            <w:shd w:val="clear" w:color="auto" w:fill="D2DCE5"/>
          </w:tcPr>
          <w:p>
            <w:pPr>
              <w:spacing w:after="0"/>
              <w:rPr>
                <w:sz w:val="10"/>
                <w:szCs w:val="10"/>
                <w:color w:val="auto"/>
              </w:rPr>
            </w:pPr>
          </w:p>
        </w:tc>
        <w:tc>
          <w:tcPr>
            <w:tcW w:w="940" w:type="dxa"/>
            <w:vAlign w:val="bottom"/>
            <w:tcBorders>
              <w:bottom w:val="single" w:sz="8" w:color="D2DCE5"/>
            </w:tcBorders>
            <w:vMerge w:val="continue"/>
            <w:shd w:val="clear" w:color="auto" w:fill="D2DCE5"/>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240" w:type="dxa"/>
            <w:vAlign w:val="bottom"/>
          </w:tcPr>
          <w:p>
            <w:pPr>
              <w:ind w:left="20"/>
              <w:spacing w:after="0"/>
              <w:rPr>
                <w:sz w:val="20"/>
                <w:szCs w:val="20"/>
                <w:color w:val="auto"/>
              </w:rPr>
            </w:pPr>
            <w:r>
              <w:rPr>
                <w:rFonts w:ascii="Arial" w:cs="Arial" w:eastAsia="Arial" w:hAnsi="Arial"/>
                <w:sz w:val="18"/>
                <w:szCs w:val="18"/>
                <w:color w:val="131E29"/>
              </w:rPr>
              <w:t>Other expense, net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(1,944)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(1,041)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(903)</w:t>
            </w:r>
          </w:p>
        </w:tc>
        <w:tc>
          <w:tcPr>
            <w:tcW w:w="80" w:type="dxa"/>
            <w:vAlign w:val="bottom"/>
          </w:tcPr>
          <w:p>
            <w:pPr>
              <w:spacing w:after="0"/>
              <w:rPr>
                <w:sz w:val="20"/>
                <w:szCs w:val="20"/>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131E29"/>
                <w:w w:val="97"/>
              </w:rPr>
              <w:t>86.7%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(1,662)</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(1,099)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(563)</w:t>
            </w:r>
          </w:p>
        </w:tc>
        <w:tc>
          <w:tcPr>
            <w:tcW w:w="80" w:type="dxa"/>
            <w:vAlign w:val="bottom"/>
          </w:tcPr>
          <w:p>
            <w:pPr>
              <w:spacing w:after="0"/>
              <w:rPr>
                <w:sz w:val="20"/>
                <w:szCs w:val="20"/>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131E29"/>
                <w:w w:val="97"/>
              </w:rPr>
              <w:t>51.2%</w:t>
            </w:r>
          </w:p>
        </w:tc>
        <w:tc>
          <w:tcPr>
            <w:tcW w:w="0" w:type="dxa"/>
            <w:vAlign w:val="bottom"/>
          </w:tcPr>
          <w:p>
            <w:pPr>
              <w:spacing w:after="0"/>
              <w:rPr>
                <w:sz w:val="1"/>
                <w:szCs w:val="1"/>
                <w:color w:val="auto"/>
              </w:rPr>
            </w:pPr>
          </w:p>
        </w:tc>
      </w:tr>
      <w:tr>
        <w:trPr>
          <w:trHeight w:val="27"/>
        </w:trPr>
        <w:tc>
          <w:tcPr>
            <w:tcW w:w="2240" w:type="dxa"/>
            <w:vAlign w:val="bottom"/>
            <w:tcBorders>
              <w:bottom w:val="single" w:sz="8" w:color="D2DCE5"/>
            </w:tcBorders>
          </w:tcPr>
          <w:p>
            <w:pPr>
              <w:spacing w:after="0"/>
              <w:rPr>
                <w:sz w:val="2"/>
                <w:szCs w:val="2"/>
                <w:color w:val="auto"/>
              </w:rPr>
            </w:pPr>
          </w:p>
        </w:tc>
        <w:tc>
          <w:tcPr>
            <w:tcW w:w="1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240" w:type="dxa"/>
            <w:vAlign w:val="bottom"/>
            <w:shd w:val="clear" w:color="auto" w:fill="D2DCE5"/>
          </w:tcPr>
          <w:p>
            <w:pPr>
              <w:ind w:left="240"/>
              <w:spacing w:after="0"/>
              <w:rPr>
                <w:sz w:val="20"/>
                <w:szCs w:val="20"/>
                <w:color w:val="auto"/>
              </w:rPr>
            </w:pPr>
            <w:r>
              <w:rPr>
                <w:rFonts w:ascii="Arial" w:cs="Arial" w:eastAsia="Arial" w:hAnsi="Arial"/>
                <w:sz w:val="18"/>
                <w:szCs w:val="18"/>
                <w:color w:val="131E29"/>
              </w:rPr>
              <w:t>Total other expense</w:t>
            </w:r>
          </w:p>
        </w:tc>
        <w:tc>
          <w:tcPr>
            <w:tcW w:w="460" w:type="dxa"/>
            <w:vAlign w:val="bottom"/>
            <w:gridSpan w:val="3"/>
            <w:shd w:val="clear" w:color="auto" w:fill="D2DCE5"/>
          </w:tcPr>
          <w:p>
            <w:pPr>
              <w:jc w:val="right"/>
              <w:ind w:right="100"/>
              <w:spacing w:after="0"/>
              <w:rPr>
                <w:sz w:val="20"/>
                <w:szCs w:val="20"/>
                <w:color w:val="auto"/>
              </w:rPr>
            </w:pPr>
            <w:r>
              <w:rPr>
                <w:rFonts w:ascii="Arial" w:cs="Arial" w:eastAsia="Arial" w:hAnsi="Arial"/>
                <w:sz w:val="18"/>
                <w:szCs w:val="18"/>
                <w:color w:val="131E29"/>
              </w:rPr>
              <w:t>$</w:t>
            </w:r>
          </w:p>
        </w:tc>
        <w:tc>
          <w:tcPr>
            <w:tcW w:w="8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(6,955)</w:t>
            </w:r>
          </w:p>
        </w:tc>
        <w:tc>
          <w:tcPr>
            <w:tcW w:w="100" w:type="dxa"/>
            <w:vAlign w:val="bottom"/>
            <w:shd w:val="clear" w:color="auto" w:fill="D2DCE5"/>
          </w:tcPr>
          <w:p>
            <w:pPr>
              <w:spacing w:after="0"/>
              <w:rPr>
                <w:sz w:val="24"/>
                <w:szCs w:val="24"/>
                <w:color w:val="auto"/>
              </w:rPr>
            </w:pPr>
          </w:p>
        </w:tc>
        <w:tc>
          <w:tcPr>
            <w:tcW w:w="220" w:type="dxa"/>
            <w:vAlign w:val="bottom"/>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8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(3,434)</w:t>
            </w:r>
          </w:p>
        </w:tc>
        <w:tc>
          <w:tcPr>
            <w:tcW w:w="100" w:type="dxa"/>
            <w:vAlign w:val="bottom"/>
            <w:shd w:val="clear" w:color="auto" w:fill="D2DCE5"/>
          </w:tcPr>
          <w:p>
            <w:pPr>
              <w:spacing w:after="0"/>
              <w:rPr>
                <w:sz w:val="24"/>
                <w:szCs w:val="24"/>
                <w:color w:val="auto"/>
              </w:rPr>
            </w:pPr>
          </w:p>
        </w:tc>
        <w:tc>
          <w:tcPr>
            <w:tcW w:w="260" w:type="dxa"/>
            <w:vAlign w:val="bottom"/>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7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(3,521)</w:t>
            </w:r>
          </w:p>
        </w:tc>
        <w:tc>
          <w:tcPr>
            <w:tcW w:w="80" w:type="dxa"/>
            <w:vAlign w:val="bottom"/>
            <w:shd w:val="clear" w:color="auto" w:fill="D2DCE5"/>
          </w:tcPr>
          <w:p>
            <w:pPr>
              <w:spacing w:after="0"/>
              <w:rPr>
                <w:sz w:val="24"/>
                <w:szCs w:val="24"/>
                <w:color w:val="auto"/>
              </w:rPr>
            </w:pPr>
          </w:p>
        </w:tc>
        <w:tc>
          <w:tcPr>
            <w:tcW w:w="940" w:type="dxa"/>
            <w:vAlign w:val="bottom"/>
            <w:shd w:val="clear" w:color="auto" w:fill="D2DCE5"/>
          </w:tcPr>
          <w:p>
            <w:pPr>
              <w:jc w:val="center"/>
              <w:spacing w:after="0"/>
              <w:rPr>
                <w:sz w:val="20"/>
                <w:szCs w:val="20"/>
                <w:color w:val="auto"/>
              </w:rPr>
            </w:pPr>
            <w:r>
              <w:rPr>
                <w:rFonts w:ascii="Arial" w:cs="Arial" w:eastAsia="Arial" w:hAnsi="Arial"/>
                <w:sz w:val="18"/>
                <w:szCs w:val="18"/>
                <w:color w:val="131E29"/>
              </w:rPr>
              <w:t>102.5%</w:t>
            </w:r>
          </w:p>
        </w:tc>
        <w:tc>
          <w:tcPr>
            <w:tcW w:w="100" w:type="dxa"/>
            <w:vAlign w:val="bottom"/>
            <w:shd w:val="clear" w:color="auto" w:fill="D2DCE5"/>
          </w:tcPr>
          <w:p>
            <w:pPr>
              <w:spacing w:after="0"/>
              <w:rPr>
                <w:sz w:val="24"/>
                <w:szCs w:val="24"/>
                <w:color w:val="auto"/>
              </w:rPr>
            </w:pPr>
          </w:p>
        </w:tc>
        <w:tc>
          <w:tcPr>
            <w:tcW w:w="24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8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(12,758)</w:t>
            </w:r>
          </w:p>
        </w:tc>
        <w:tc>
          <w:tcPr>
            <w:tcW w:w="80" w:type="dxa"/>
            <w:vAlign w:val="bottom"/>
            <w:shd w:val="clear" w:color="auto" w:fill="D2DCE5"/>
          </w:tcPr>
          <w:p>
            <w:pPr>
              <w:spacing w:after="0"/>
              <w:rPr>
                <w:sz w:val="24"/>
                <w:szCs w:val="24"/>
                <w:color w:val="auto"/>
              </w:rPr>
            </w:pPr>
          </w:p>
        </w:tc>
        <w:tc>
          <w:tcPr>
            <w:tcW w:w="200" w:type="dxa"/>
            <w:vAlign w:val="bottom"/>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7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(6,347)</w:t>
            </w:r>
          </w:p>
        </w:tc>
        <w:tc>
          <w:tcPr>
            <w:tcW w:w="100" w:type="dxa"/>
            <w:vAlign w:val="bottom"/>
            <w:shd w:val="clear" w:color="auto" w:fill="D2DCE5"/>
          </w:tcPr>
          <w:p>
            <w:pPr>
              <w:spacing w:after="0"/>
              <w:rPr>
                <w:sz w:val="24"/>
                <w:szCs w:val="24"/>
                <w:color w:val="auto"/>
              </w:rPr>
            </w:pPr>
          </w:p>
        </w:tc>
        <w:tc>
          <w:tcPr>
            <w:tcW w:w="260" w:type="dxa"/>
            <w:vAlign w:val="bottom"/>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7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(6,411)</w:t>
            </w:r>
          </w:p>
        </w:tc>
        <w:tc>
          <w:tcPr>
            <w:tcW w:w="80" w:type="dxa"/>
            <w:vAlign w:val="bottom"/>
            <w:shd w:val="clear" w:color="auto" w:fill="D2DCE5"/>
          </w:tcPr>
          <w:p>
            <w:pPr>
              <w:spacing w:after="0"/>
              <w:rPr>
                <w:sz w:val="24"/>
                <w:szCs w:val="24"/>
                <w:color w:val="auto"/>
              </w:rPr>
            </w:pPr>
          </w:p>
        </w:tc>
        <w:tc>
          <w:tcPr>
            <w:tcW w:w="940" w:type="dxa"/>
            <w:vAlign w:val="bottom"/>
            <w:shd w:val="clear" w:color="auto" w:fill="D2DCE5"/>
          </w:tcPr>
          <w:p>
            <w:pPr>
              <w:jc w:val="center"/>
              <w:spacing w:after="0"/>
              <w:rPr>
                <w:sz w:val="20"/>
                <w:szCs w:val="20"/>
                <w:color w:val="auto"/>
              </w:rPr>
            </w:pPr>
            <w:r>
              <w:rPr>
                <w:rFonts w:ascii="Arial" w:cs="Arial" w:eastAsia="Arial" w:hAnsi="Arial"/>
                <w:sz w:val="18"/>
                <w:szCs w:val="18"/>
                <w:color w:val="131E29"/>
              </w:rPr>
              <w:t>101.0%</w:t>
            </w:r>
          </w:p>
        </w:tc>
        <w:tc>
          <w:tcPr>
            <w:tcW w:w="0" w:type="dxa"/>
            <w:vAlign w:val="bottom"/>
          </w:tcPr>
          <w:p>
            <w:pPr>
              <w:spacing w:after="0"/>
              <w:rPr>
                <w:sz w:val="1"/>
                <w:szCs w:val="1"/>
                <w:color w:val="auto"/>
              </w:rPr>
            </w:pPr>
          </w:p>
        </w:tc>
      </w:tr>
      <w:tr>
        <w:trPr>
          <w:trHeight w:val="20"/>
        </w:trPr>
        <w:tc>
          <w:tcPr>
            <w:tcW w:w="2240" w:type="dxa"/>
            <w:vAlign w:val="bottom"/>
            <w:tcBorders>
              <w:top w:val="single" w:sz="8" w:color="D2DCE5"/>
              <w:bottom w:val="single" w:sz="8" w:color="D2DCE5"/>
            </w:tcBorders>
            <w:vMerge w:val="restart"/>
          </w:tcPr>
          <w:p>
            <w:pPr>
              <w:spacing w:after="0"/>
              <w:rPr>
                <w:sz w:val="20"/>
                <w:szCs w:val="20"/>
                <w:color w:val="auto"/>
              </w:rPr>
            </w:pPr>
            <w:r>
              <w:rPr>
                <w:rFonts w:ascii="Arial" w:cs="Arial" w:eastAsia="Arial" w:hAnsi="Arial"/>
                <w:sz w:val="18"/>
                <w:szCs w:val="18"/>
                <w:color w:val="131E29"/>
              </w:rPr>
              <w:t>_________________</w:t>
            </w:r>
          </w:p>
        </w:tc>
        <w:tc>
          <w:tcPr>
            <w:tcW w:w="1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80" w:hanging="172"/>
        <w:spacing w:after="0" w:line="203" w:lineRule="auto"/>
        <w:tabs>
          <w:tab w:leader="none" w:pos="283" w:val="left"/>
        </w:tabs>
        <w:numPr>
          <w:ilvl w:val="0"/>
          <w:numId w:val="42"/>
        </w:numPr>
        <w:rPr>
          <w:rFonts w:ascii="Arial" w:cs="Arial" w:eastAsia="Arial" w:hAnsi="Arial"/>
          <w:sz w:val="23"/>
          <w:szCs w:val="23"/>
          <w:color w:val="131E29"/>
          <w:vertAlign w:val="superscript"/>
        </w:rPr>
      </w:pPr>
      <w:r>
        <w:rPr>
          <w:rFonts w:ascii="Arial" w:cs="Arial" w:eastAsia="Arial" w:hAnsi="Arial"/>
          <w:sz w:val="14"/>
          <w:szCs w:val="14"/>
          <w:color w:val="auto"/>
        </w:rPr>
        <w:t>Effective for the three months ended September 30, 2022 and on a prospective basis, we recorded commitment fees for the unused portion of the revolving credit facility as interest expense. These amounts were previously recorded as selling, general, and administrative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September 30, 2022 v 2021</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The interest expense, net increase was primarily driven by additional finance leases for new shop builds, increased borrowings associated on our credit facility, and activity related to our interest rate swap.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131E29"/>
        </w:rPr>
        <w:t>The other expense increase was primarily driven by the recognition of a remeasurement loss related to the TRAs liability.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Nine Months Ended September 30, 2022 v 2021</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The interest expense, net increase was primarily driven by additional finance leases for new shop builds, increased borrowings associated with our credit facility, and activity related to our interest rate swap.</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The other expense increase was primarily driven by the recognition of a remeasurement loss related to the TRAs liability, partially offset by sales of previously written off Dutchwear inventory.</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Income Tax Benefit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gridSpan w:val="8"/>
          </w:tcPr>
          <w:p>
            <w:pPr>
              <w:ind w:left="720"/>
              <w:spacing w:after="0"/>
              <w:rPr>
                <w:sz w:val="20"/>
                <w:szCs w:val="20"/>
                <w:color w:val="auto"/>
              </w:rPr>
            </w:pPr>
            <w:r>
              <w:rPr>
                <w:rFonts w:ascii="Arial" w:cs="Arial" w:eastAsia="Arial" w:hAnsi="Arial"/>
                <w:sz w:val="18"/>
                <w:szCs w:val="18"/>
                <w:b w:val="1"/>
                <w:bCs w:val="1"/>
                <w:color w:val="131E29"/>
              </w:rPr>
              <w:t>Three Months Ended September 30,</w:t>
            </w:r>
          </w:p>
        </w:tc>
        <w:tc>
          <w:tcPr>
            <w:tcW w:w="4560" w:type="dxa"/>
            <w:vAlign w:val="bottom"/>
            <w:gridSpan w:val="7"/>
          </w:tcPr>
          <w:p>
            <w:pPr>
              <w:ind w:left="800"/>
              <w:spacing w:after="0"/>
              <w:rPr>
                <w:sz w:val="20"/>
                <w:szCs w:val="20"/>
                <w:color w:val="auto"/>
              </w:rPr>
            </w:pPr>
            <w:r>
              <w:rPr>
                <w:rFonts w:ascii="Arial" w:cs="Arial" w:eastAsia="Arial" w:hAnsi="Arial"/>
                <w:sz w:val="18"/>
                <w:szCs w:val="18"/>
                <w:b w:val="1"/>
                <w:bCs w:val="1"/>
                <w:color w:val="131E29"/>
              </w:rPr>
              <w:t>Nine Months Ended September 30,</w:t>
            </w:r>
          </w:p>
        </w:tc>
      </w:tr>
      <w:tr>
        <w:trPr>
          <w:trHeight w:val="27"/>
        </w:trPr>
        <w:tc>
          <w:tcPr>
            <w:tcW w:w="2100" w:type="dxa"/>
            <w:vAlign w:val="bottom"/>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r>
      <w:tr>
        <w:trPr>
          <w:trHeight w:val="238"/>
        </w:trPr>
        <w:tc>
          <w:tcPr>
            <w:tcW w:w="210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180" w:type="dxa"/>
            <w:vAlign w:val="bottom"/>
            <w:gridSpan w:val="3"/>
          </w:tcPr>
          <w:p>
            <w:pPr>
              <w:ind w:left="520"/>
              <w:spacing w:after="0"/>
              <w:rPr>
                <w:sz w:val="20"/>
                <w:szCs w:val="20"/>
                <w:color w:val="auto"/>
              </w:rPr>
            </w:pPr>
            <w:r>
              <w:rPr>
                <w:rFonts w:ascii="Arial" w:cs="Arial" w:eastAsia="Arial" w:hAnsi="Arial"/>
                <w:sz w:val="18"/>
                <w:szCs w:val="18"/>
                <w:b w:val="1"/>
                <w:bCs w:val="1"/>
                <w:color w:val="131E29"/>
              </w:rPr>
              <w:t>2022 v. 2021</w:t>
            </w: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120" w:type="dxa"/>
            <w:vAlign w:val="bottom"/>
            <w:gridSpan w:val="2"/>
          </w:tcPr>
          <w:p>
            <w:pPr>
              <w:ind w:left="540"/>
              <w:spacing w:after="0"/>
              <w:rPr>
                <w:sz w:val="20"/>
                <w:szCs w:val="20"/>
                <w:color w:val="auto"/>
              </w:rPr>
            </w:pPr>
            <w:r>
              <w:rPr>
                <w:rFonts w:ascii="Arial" w:cs="Arial" w:eastAsia="Arial" w:hAnsi="Arial"/>
                <w:sz w:val="18"/>
                <w:szCs w:val="18"/>
                <w:b w:val="1"/>
                <w:bCs w:val="1"/>
                <w:color w:val="131E29"/>
              </w:rPr>
              <w:t>2022 v. 2021</w:t>
            </w:r>
          </w:p>
        </w:tc>
      </w:tr>
      <w:tr>
        <w:trPr>
          <w:trHeight w:val="25"/>
        </w:trPr>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131E29"/>
            </w:tcBorders>
          </w:tcPr>
          <w:p>
            <w:pPr>
              <w:spacing w:after="0"/>
              <w:rPr>
                <w:sz w:val="2"/>
                <w:szCs w:val="2"/>
                <w:color w:val="auto"/>
              </w:rPr>
            </w:pPr>
          </w:p>
        </w:tc>
        <w:tc>
          <w:tcPr>
            <w:tcW w:w="92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120" w:type="dxa"/>
            <w:vAlign w:val="bottom"/>
            <w:tcBorders>
              <w:bottom w:val="single" w:sz="8" w:color="131E29"/>
            </w:tcBorders>
          </w:tcPr>
          <w:p>
            <w:pPr>
              <w:spacing w:after="0"/>
              <w:rPr>
                <w:sz w:val="2"/>
                <w:szCs w:val="2"/>
                <w:color w:val="auto"/>
              </w:rPr>
            </w:pPr>
          </w:p>
        </w:tc>
        <w:tc>
          <w:tcPr>
            <w:tcW w:w="9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18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8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140" w:type="dxa"/>
            <w:vAlign w:val="bottom"/>
            <w:tcBorders>
              <w:bottom w:val="single" w:sz="8" w:color="131E29"/>
            </w:tcBorders>
          </w:tcPr>
          <w:p>
            <w:pPr>
              <w:spacing w:after="0"/>
              <w:rPr>
                <w:sz w:val="2"/>
                <w:szCs w:val="2"/>
                <w:color w:val="auto"/>
              </w:rPr>
            </w:pPr>
          </w:p>
        </w:tc>
        <w:tc>
          <w:tcPr>
            <w:tcW w:w="980" w:type="dxa"/>
            <w:vAlign w:val="bottom"/>
            <w:tcBorders>
              <w:bottom w:val="single" w:sz="8" w:color="131E29"/>
            </w:tcBorders>
          </w:tcPr>
          <w:p>
            <w:pPr>
              <w:spacing w:after="0"/>
              <w:rPr>
                <w:sz w:val="2"/>
                <w:szCs w:val="2"/>
                <w:color w:val="auto"/>
              </w:rPr>
            </w:pPr>
          </w:p>
        </w:tc>
      </w:tr>
      <w:tr>
        <w:trPr>
          <w:trHeight w:val="243"/>
        </w:trPr>
        <w:tc>
          <w:tcPr>
            <w:tcW w:w="21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tax benefit</w:t>
            </w: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   (3,371)</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92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rPr>
              <w:t>(1,280)</w:t>
            </w:r>
          </w:p>
        </w:tc>
        <w:tc>
          <w:tcPr>
            <w:tcW w:w="10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rPr>
              <w:t>$   (2,091)</w:t>
            </w:r>
          </w:p>
        </w:tc>
        <w:tc>
          <w:tcPr>
            <w:tcW w:w="960" w:type="dxa"/>
            <w:vAlign w:val="bottom"/>
            <w:tcBorders>
              <w:bottom w:val="single" w:sz="8" w:color="D2DCE5"/>
            </w:tcBorders>
            <w:shd w:val="clear" w:color="auto" w:fill="D2DCE5"/>
          </w:tcPr>
          <w:p>
            <w:pPr>
              <w:jc w:val="right"/>
              <w:ind w:right="110"/>
              <w:spacing w:after="0"/>
              <w:rPr>
                <w:sz w:val="20"/>
                <w:szCs w:val="20"/>
                <w:color w:val="auto"/>
              </w:rPr>
            </w:pPr>
            <w:r>
              <w:rPr>
                <w:rFonts w:ascii="Arial" w:cs="Arial" w:eastAsia="Arial" w:hAnsi="Arial"/>
                <w:sz w:val="18"/>
                <w:szCs w:val="18"/>
                <w:color w:val="131E29"/>
              </w:rPr>
              <w:t>163.4%</w:t>
            </w:r>
          </w:p>
        </w:tc>
        <w:tc>
          <w:tcPr>
            <w:tcW w:w="100" w:type="dxa"/>
            <w:vAlign w:val="bottom"/>
            <w:tcBorders>
              <w:bottom w:val="single" w:sz="8" w:color="D2DCE5"/>
            </w:tcBorders>
            <w:shd w:val="clear" w:color="auto" w:fill="D2DCE5"/>
          </w:tcPr>
          <w:p>
            <w:pPr>
              <w:spacing w:after="0"/>
              <w:rPr>
                <w:sz w:val="21"/>
                <w:szCs w:val="21"/>
                <w:color w:val="auto"/>
              </w:rPr>
            </w:pPr>
          </w:p>
        </w:tc>
        <w:tc>
          <w:tcPr>
            <w:tcW w:w="118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rPr>
              <w:t>$   (2,700)</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84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rPr>
              <w:t>(716)</w:t>
            </w:r>
          </w:p>
        </w:tc>
        <w:tc>
          <w:tcPr>
            <w:tcW w:w="100" w:type="dxa"/>
            <w:vAlign w:val="bottom"/>
            <w:tcBorders>
              <w:bottom w:val="single" w:sz="8" w:color="D2DCE5"/>
            </w:tcBorders>
            <w:shd w:val="clear" w:color="auto" w:fill="D2DCE5"/>
          </w:tcPr>
          <w:p>
            <w:pPr>
              <w:spacing w:after="0"/>
              <w:rPr>
                <w:sz w:val="21"/>
                <w:szCs w:val="21"/>
                <w:color w:val="auto"/>
              </w:rPr>
            </w:pPr>
          </w:p>
        </w:tc>
        <w:tc>
          <w:tcPr>
            <w:tcW w:w="114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rPr>
              <w:t>$   (1,984)</w:t>
            </w:r>
          </w:p>
        </w:tc>
        <w:tc>
          <w:tcPr>
            <w:tcW w:w="980" w:type="dxa"/>
            <w:vAlign w:val="bottom"/>
            <w:tcBorders>
              <w:bottom w:val="single" w:sz="8" w:color="D2DCE5"/>
            </w:tcBorders>
            <w:shd w:val="clear" w:color="auto" w:fill="D2DCE5"/>
          </w:tcPr>
          <w:p>
            <w:pPr>
              <w:jc w:val="right"/>
              <w:ind w:right="110"/>
              <w:spacing w:after="0"/>
              <w:rPr>
                <w:sz w:val="20"/>
                <w:szCs w:val="20"/>
                <w:color w:val="auto"/>
              </w:rPr>
            </w:pPr>
            <w:r>
              <w:rPr>
                <w:rFonts w:ascii="Arial" w:cs="Arial" w:eastAsia="Arial" w:hAnsi="Arial"/>
                <w:sz w:val="18"/>
                <w:szCs w:val="18"/>
                <w:color w:val="131E29"/>
              </w:rPr>
              <w:t>277.1%</w:t>
            </w:r>
          </w:p>
        </w:tc>
      </w:tr>
      <w:tr>
        <w:trPr>
          <w:trHeight w:val="243"/>
        </w:trPr>
        <w:tc>
          <w:tcPr>
            <w:tcW w:w="2100" w:type="dxa"/>
            <w:vAlign w:val="bottom"/>
            <w:gridSpan w:val="2"/>
          </w:tcPr>
          <w:p>
            <w:pPr>
              <w:ind w:left="20"/>
              <w:spacing w:after="0"/>
              <w:rPr>
                <w:sz w:val="20"/>
                <w:szCs w:val="20"/>
                <w:color w:val="auto"/>
              </w:rPr>
            </w:pPr>
            <w:r>
              <w:rPr>
                <w:rFonts w:ascii="Arial" w:cs="Arial" w:eastAsia="Arial" w:hAnsi="Arial"/>
                <w:sz w:val="18"/>
                <w:szCs w:val="18"/>
                <w:color w:val="131E29"/>
              </w:rPr>
              <w:t>Effective tax rate</w:t>
            </w:r>
          </w:p>
        </w:tc>
        <w:tc>
          <w:tcPr>
            <w:tcW w:w="1120" w:type="dxa"/>
            <w:vAlign w:val="bottom"/>
            <w:gridSpan w:val="2"/>
          </w:tcPr>
          <w:p>
            <w:pPr>
              <w:ind w:left="680"/>
              <w:spacing w:after="0"/>
              <w:rPr>
                <w:sz w:val="20"/>
                <w:szCs w:val="20"/>
                <w:color w:val="auto"/>
              </w:rPr>
            </w:pPr>
            <w:r>
              <w:rPr>
                <w:rFonts w:ascii="Arial" w:cs="Arial" w:eastAsia="Arial" w:hAnsi="Arial"/>
                <w:sz w:val="18"/>
                <w:szCs w:val="18"/>
                <w:color w:val="131E29"/>
              </w:rPr>
              <w:t>N/M</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131E29"/>
              </w:rPr>
              <w:t>1.1 %</w:t>
            </w:r>
          </w:p>
        </w:tc>
        <w:tc>
          <w:tcPr>
            <w:tcW w:w="1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131E29"/>
              </w:rPr>
              <w:t>N/A</w:t>
            </w: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color w:val="131E29"/>
                <w:w w:val="96"/>
              </w:rPr>
              <w:t>N/M</w:t>
            </w:r>
          </w:p>
        </w:tc>
        <w:tc>
          <w:tcPr>
            <w:tcW w:w="1180" w:type="dxa"/>
            <w:vAlign w:val="bottom"/>
          </w:tcPr>
          <w:p>
            <w:pPr>
              <w:jc w:val="right"/>
              <w:spacing w:after="0"/>
              <w:rPr>
                <w:sz w:val="20"/>
                <w:szCs w:val="20"/>
                <w:color w:val="auto"/>
              </w:rPr>
            </w:pPr>
            <w:r>
              <w:rPr>
                <w:rFonts w:ascii="Arial" w:cs="Arial" w:eastAsia="Arial" w:hAnsi="Arial"/>
                <w:sz w:val="18"/>
                <w:szCs w:val="18"/>
                <w:color w:val="131E29"/>
              </w:rPr>
              <w:t>14.1 %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131E29"/>
              </w:rPr>
              <w:t>0.6 %</w:t>
            </w:r>
          </w:p>
        </w:tc>
        <w:tc>
          <w:tcPr>
            <w:tcW w:w="1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131E29"/>
              </w:rPr>
              <w:t>N/A</w:t>
            </w:r>
          </w:p>
        </w:tc>
        <w:tc>
          <w:tcPr>
            <w:tcW w:w="980" w:type="dxa"/>
            <w:vAlign w:val="bottom"/>
          </w:tcPr>
          <w:p>
            <w:pPr>
              <w:jc w:val="center"/>
              <w:spacing w:after="0"/>
              <w:rPr>
                <w:sz w:val="20"/>
                <w:szCs w:val="20"/>
                <w:color w:val="auto"/>
              </w:rPr>
            </w:pPr>
            <w:r>
              <w:rPr>
                <w:rFonts w:ascii="Arial" w:cs="Arial" w:eastAsia="Arial" w:hAnsi="Arial"/>
                <w:sz w:val="18"/>
                <w:szCs w:val="18"/>
                <w:color w:val="131E29"/>
              </w:rPr>
              <w:t>N/M</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and Nine Months Ended September 30, 2022 v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31E29"/>
        </w:rPr>
        <w:t>The increase in tax benefit was primarily driven by adjustments to the outside basis differences as a result of the 2021 tax filings.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Cash Overview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131E29"/>
        </w:rPr>
        <w:t>We had cash and cash equivalents of $34.6 million and $18.5 million as of September 30, 2022 and December 31, 2021, respectively.</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For the nine months ended September 30, 2022, our principal sources of liquidity were cash flows from our term loan, revolving credit facilities, and operations. Our principal uses of liquidity for the nine months ended September 30, 2022 were to pay off our prior revolving credit facility and fund our new shop builds and working capital needs.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summarizes our cash flows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60" w:type="dxa"/>
            <w:vAlign w:val="bottom"/>
            <w:gridSpan w:val="9"/>
          </w:tcPr>
          <w:p>
            <w:pPr>
              <w:ind w:left="20"/>
              <w:spacing w:after="0"/>
              <w:rPr>
                <w:sz w:val="20"/>
                <w:szCs w:val="20"/>
                <w:color w:val="auto"/>
              </w:rPr>
            </w:pPr>
            <w:r>
              <w:rPr>
                <w:rFonts w:ascii="Arial" w:cs="Arial" w:eastAsia="Arial" w:hAnsi="Arial"/>
                <w:sz w:val="18"/>
                <w:szCs w:val="18"/>
                <w:b w:val="1"/>
                <w:bCs w:val="1"/>
                <w:color w:val="131E29"/>
              </w:rPr>
              <w:t>Nine Months Ended September 30,</w:t>
            </w:r>
          </w:p>
        </w:tc>
        <w:tc>
          <w:tcPr>
            <w:tcW w:w="780" w:type="dxa"/>
            <w:vAlign w:val="bottom"/>
          </w:tcPr>
          <w:p>
            <w:pPr>
              <w:spacing w:after="0"/>
              <w:rPr>
                <w:sz w:val="20"/>
                <w:szCs w:val="20"/>
                <w:color w:val="auto"/>
              </w:rPr>
            </w:pPr>
          </w:p>
        </w:tc>
      </w:tr>
      <w:tr>
        <w:trPr>
          <w:trHeight w:val="27"/>
        </w:trPr>
        <w:tc>
          <w:tcPr>
            <w:tcW w:w="59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8"/>
        </w:trPr>
        <w:tc>
          <w:tcPr>
            <w:tcW w:w="594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28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131E29"/>
              </w:rPr>
              <w:t>2022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131E29"/>
              </w:rPr>
              <w:t>2021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3"/>
          </w:tcPr>
          <w:p>
            <w:pPr>
              <w:ind w:left="520"/>
              <w:spacing w:after="0"/>
              <w:rPr>
                <w:sz w:val="20"/>
                <w:szCs w:val="20"/>
                <w:color w:val="auto"/>
              </w:rPr>
            </w:pPr>
            <w:r>
              <w:rPr>
                <w:rFonts w:ascii="Arial" w:cs="Arial" w:eastAsia="Arial" w:hAnsi="Arial"/>
                <w:sz w:val="18"/>
                <w:szCs w:val="18"/>
                <w:b w:val="1"/>
                <w:bCs w:val="1"/>
                <w:color w:val="131E29"/>
              </w:rPr>
              <w:t>2022 v. 2021</w:t>
            </w:r>
          </w:p>
        </w:tc>
        <w:tc>
          <w:tcPr>
            <w:tcW w:w="780" w:type="dxa"/>
            <w:vAlign w:val="bottom"/>
          </w:tcPr>
          <w:p>
            <w:pPr>
              <w:spacing w:after="0"/>
              <w:rPr>
                <w:sz w:val="20"/>
                <w:szCs w:val="20"/>
                <w:color w:val="auto"/>
              </w:rPr>
            </w:pPr>
          </w:p>
        </w:tc>
      </w:tr>
      <w:tr>
        <w:trPr>
          <w:trHeight w:val="26"/>
        </w:trPr>
        <w:tc>
          <w:tcPr>
            <w:tcW w:w="58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131E29"/>
            </w:tcBorders>
          </w:tcPr>
          <w:p>
            <w:pPr>
              <w:spacing w:after="0"/>
              <w:rPr>
                <w:sz w:val="2"/>
                <w:szCs w:val="2"/>
                <w:color w:val="auto"/>
              </w:rPr>
            </w:pPr>
          </w:p>
        </w:tc>
        <w:tc>
          <w:tcPr>
            <w:tcW w:w="92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580" w:type="dxa"/>
            <w:vAlign w:val="bottom"/>
            <w:tcBorders>
              <w:bottom w:val="single" w:sz="8" w:color="131E29"/>
            </w:tcBorders>
          </w:tcPr>
          <w:p>
            <w:pPr>
              <w:spacing w:after="0"/>
              <w:rPr>
                <w:sz w:val="2"/>
                <w:szCs w:val="2"/>
                <w:color w:val="auto"/>
              </w:rPr>
            </w:pPr>
          </w:p>
        </w:tc>
        <w:tc>
          <w:tcPr>
            <w:tcW w:w="780" w:type="dxa"/>
            <w:vAlign w:val="bottom"/>
            <w:tcBorders>
              <w:bottom w:val="single" w:sz="8" w:color="131E29"/>
            </w:tcBorders>
          </w:tcPr>
          <w:p>
            <w:pPr>
              <w:spacing w:after="0"/>
              <w:rPr>
                <w:sz w:val="2"/>
                <w:szCs w:val="2"/>
                <w:color w:val="auto"/>
              </w:rPr>
            </w:pPr>
          </w:p>
        </w:tc>
      </w:tr>
      <w:tr>
        <w:trPr>
          <w:trHeight w:val="243"/>
        </w:trPr>
        <w:tc>
          <w:tcPr>
            <w:tcW w:w="59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cash flows provided by operating activities</w:t>
            </w:r>
          </w:p>
        </w:tc>
        <w:tc>
          <w:tcPr>
            <w:tcW w:w="28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8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42,768</w:t>
            </w:r>
          </w:p>
        </w:tc>
        <w:tc>
          <w:tcPr>
            <w:tcW w:w="420" w:type="dxa"/>
            <w:vAlign w:val="bottom"/>
            <w:tcBorders>
              <w:bottom w:val="single" w:sz="8" w:color="D2DCE5"/>
            </w:tcBorders>
            <w:gridSpan w:val="3"/>
            <w:shd w:val="clear" w:color="auto" w:fill="D2DCE5"/>
          </w:tcPr>
          <w:p>
            <w:pPr>
              <w:jc w:val="right"/>
              <w:ind w:right="50"/>
              <w:spacing w:after="0"/>
              <w:rPr>
                <w:sz w:val="20"/>
                <w:szCs w:val="20"/>
                <w:color w:val="auto"/>
              </w:rPr>
            </w:pPr>
            <w:r>
              <w:rPr>
                <w:rFonts w:ascii="Arial" w:cs="Arial" w:eastAsia="Arial" w:hAnsi="Arial"/>
                <w:sz w:val="18"/>
                <w:szCs w:val="18"/>
                <w:color w:val="131E2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72,304</w:t>
            </w: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(29,536)</w:t>
            </w:r>
          </w:p>
        </w:tc>
        <w:tc>
          <w:tcPr>
            <w:tcW w:w="100" w:type="dxa"/>
            <w:vAlign w:val="bottom"/>
            <w:tcBorders>
              <w:bottom w:val="single" w:sz="8" w:color="D2DCE5"/>
            </w:tcBorders>
            <w:shd w:val="clear" w:color="auto" w:fill="D2DCE5"/>
          </w:tcPr>
          <w:p>
            <w:pPr>
              <w:spacing w:after="0"/>
              <w:rPr>
                <w:sz w:val="21"/>
                <w:szCs w:val="21"/>
                <w:color w:val="auto"/>
              </w:rPr>
            </w:pPr>
          </w:p>
        </w:tc>
        <w:tc>
          <w:tcPr>
            <w:tcW w:w="580" w:type="dxa"/>
            <w:vAlign w:val="bottom"/>
            <w:tcBorders>
              <w:bottom w:val="single" w:sz="8" w:color="D2DCE5"/>
            </w:tcBorders>
            <w:shd w:val="clear" w:color="auto" w:fill="D2DCE5"/>
          </w:tcPr>
          <w:p>
            <w:pPr>
              <w:spacing w:after="0"/>
              <w:rPr>
                <w:sz w:val="21"/>
                <w:szCs w:val="21"/>
                <w:color w:val="auto"/>
              </w:rPr>
            </w:pPr>
          </w:p>
        </w:tc>
        <w:tc>
          <w:tcPr>
            <w:tcW w:w="7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(40.8)%</w:t>
            </w:r>
          </w:p>
        </w:tc>
      </w:tr>
      <w:tr>
        <w:trPr>
          <w:trHeight w:val="243"/>
        </w:trPr>
        <w:tc>
          <w:tcPr>
            <w:tcW w:w="5940" w:type="dxa"/>
            <w:vAlign w:val="bottom"/>
            <w:gridSpan w:val="2"/>
          </w:tcPr>
          <w:p>
            <w:pPr>
              <w:ind w:left="20"/>
              <w:spacing w:after="0"/>
              <w:rPr>
                <w:sz w:val="20"/>
                <w:szCs w:val="20"/>
                <w:color w:val="auto"/>
              </w:rPr>
            </w:pPr>
            <w:r>
              <w:rPr>
                <w:rFonts w:ascii="Arial" w:cs="Arial" w:eastAsia="Arial" w:hAnsi="Arial"/>
                <w:sz w:val="18"/>
                <w:szCs w:val="18"/>
                <w:color w:val="131E29"/>
              </w:rPr>
              <w:t>Net cash flows used in investing activities</w:t>
            </w:r>
          </w:p>
        </w:tc>
        <w:tc>
          <w:tcPr>
            <w:tcW w:w="280" w:type="dxa"/>
            <w:vAlign w:val="bottom"/>
          </w:tcPr>
          <w:p>
            <w:pPr>
              <w:spacing w:after="0"/>
              <w:rPr>
                <w:sz w:val="21"/>
                <w:szCs w:val="21"/>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color w:val="131E29"/>
              </w:rPr>
              <w:t>(139,411)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(76,781)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131E29"/>
              </w:rPr>
              <w:t>(62,630)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131E29"/>
              </w:rPr>
              <w:t>81.6 %</w:t>
            </w:r>
          </w:p>
        </w:tc>
      </w:tr>
      <w:tr>
        <w:trPr>
          <w:trHeight w:val="27"/>
        </w:trPr>
        <w:tc>
          <w:tcPr>
            <w:tcW w:w="5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9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cash provided by (used in) financing activities</w:t>
            </w:r>
          </w:p>
        </w:tc>
        <w:tc>
          <w:tcPr>
            <w:tcW w:w="280" w:type="dxa"/>
            <w:vAlign w:val="bottom"/>
            <w:tcBorders>
              <w:bottom w:val="single" w:sz="8" w:color="D2DCE5"/>
            </w:tcBorders>
            <w:shd w:val="clear" w:color="auto" w:fill="D2DCE5"/>
          </w:tcPr>
          <w:p>
            <w:pPr>
              <w:spacing w:after="0"/>
              <w:rPr>
                <w:sz w:val="23"/>
                <w:szCs w:val="23"/>
                <w:color w:val="auto"/>
              </w:rPr>
            </w:pPr>
          </w:p>
        </w:tc>
        <w:tc>
          <w:tcPr>
            <w:tcW w:w="8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112,704</w:t>
            </w:r>
          </w:p>
        </w:tc>
        <w:tc>
          <w:tcPr>
            <w:tcW w:w="60" w:type="dxa"/>
            <w:vAlign w:val="bottom"/>
            <w:tcBorders>
              <w:bottom w:val="single" w:sz="8" w:color="D2DCE5"/>
            </w:tcBorders>
            <w:shd w:val="clear" w:color="auto" w:fill="D2DCE5"/>
          </w:tcPr>
          <w:p>
            <w:pPr>
              <w:spacing w:after="0"/>
              <w:rPr>
                <w:sz w:val="23"/>
                <w:szCs w:val="23"/>
                <w:color w:val="auto"/>
              </w:rPr>
            </w:pPr>
          </w:p>
        </w:tc>
        <w:tc>
          <w:tcPr>
            <w:tcW w:w="100" w:type="dxa"/>
            <w:vAlign w:val="bottom"/>
            <w:tcBorders>
              <w:bottom w:val="single" w:sz="8" w:color="D2DCE5"/>
            </w:tcBorders>
            <w:shd w:val="clear" w:color="auto" w:fill="D2DCE5"/>
          </w:tcPr>
          <w:p>
            <w:pPr>
              <w:spacing w:after="0"/>
              <w:rPr>
                <w:sz w:val="23"/>
                <w:szCs w:val="23"/>
                <w:color w:val="auto"/>
              </w:rPr>
            </w:pPr>
          </w:p>
        </w:tc>
        <w:tc>
          <w:tcPr>
            <w:tcW w:w="260" w:type="dxa"/>
            <w:vAlign w:val="bottom"/>
            <w:tcBorders>
              <w:bottom w:val="single" w:sz="8" w:color="D2DCE5"/>
            </w:tcBorders>
            <w:shd w:val="clear" w:color="auto" w:fill="D2DCE5"/>
          </w:tcPr>
          <w:p>
            <w:pPr>
              <w:spacing w:after="0"/>
              <w:rPr>
                <w:sz w:val="23"/>
                <w:szCs w:val="23"/>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(1,300)</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114,004</w:t>
            </w:r>
          </w:p>
        </w:tc>
        <w:tc>
          <w:tcPr>
            <w:tcW w:w="100" w:type="dxa"/>
            <w:vAlign w:val="bottom"/>
            <w:tcBorders>
              <w:bottom w:val="single" w:sz="8" w:color="D2DCE5"/>
            </w:tcBorders>
            <w:shd w:val="clear" w:color="auto" w:fill="D2DCE5"/>
          </w:tcPr>
          <w:p>
            <w:pPr>
              <w:spacing w:after="0"/>
              <w:rPr>
                <w:sz w:val="23"/>
                <w:szCs w:val="23"/>
                <w:color w:val="auto"/>
              </w:rPr>
            </w:pPr>
          </w:p>
        </w:tc>
        <w:tc>
          <w:tcPr>
            <w:tcW w:w="580" w:type="dxa"/>
            <w:vAlign w:val="bottom"/>
            <w:tcBorders>
              <w:bottom w:val="single" w:sz="8" w:color="D2DCE5"/>
            </w:tcBorders>
            <w:shd w:val="clear" w:color="auto" w:fill="D2DCE5"/>
          </w:tcPr>
          <w:p>
            <w:pPr>
              <w:spacing w:after="0"/>
              <w:rPr>
                <w:sz w:val="23"/>
                <w:szCs w:val="23"/>
                <w:color w:val="auto"/>
              </w:rPr>
            </w:pPr>
          </w:p>
        </w:tc>
        <w:tc>
          <w:tcPr>
            <w:tcW w:w="7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N/M</w:t>
            </w:r>
          </w:p>
        </w:tc>
      </w:tr>
      <w:tr>
        <w:trPr>
          <w:trHeight w:val="237"/>
        </w:trPr>
        <w:tc>
          <w:tcPr>
            <w:tcW w:w="5940" w:type="dxa"/>
            <w:vAlign w:val="bottom"/>
            <w:gridSpan w:val="2"/>
          </w:tcPr>
          <w:p>
            <w:pPr>
              <w:ind w:left="20"/>
              <w:spacing w:after="0"/>
              <w:rPr>
                <w:sz w:val="20"/>
                <w:szCs w:val="20"/>
                <w:color w:val="auto"/>
              </w:rPr>
            </w:pPr>
            <w:r>
              <w:rPr>
                <w:rFonts w:ascii="Arial" w:cs="Arial" w:eastAsia="Arial" w:hAnsi="Arial"/>
                <w:sz w:val="18"/>
                <w:szCs w:val="18"/>
                <w:color w:val="131E29"/>
              </w:rPr>
              <w:t>Net increase (decrease) in cash</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16,061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131E29"/>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(5,777)</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21,838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(378.0)%</w:t>
            </w:r>
          </w:p>
        </w:tc>
      </w:tr>
      <w:tr>
        <w:trPr>
          <w:trHeight w:val="27"/>
        </w:trPr>
        <w:tc>
          <w:tcPr>
            <w:tcW w:w="5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9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Cash and cash equivalents at beginning of period</w:t>
            </w:r>
          </w:p>
        </w:tc>
        <w:tc>
          <w:tcPr>
            <w:tcW w:w="280" w:type="dxa"/>
            <w:vAlign w:val="bottom"/>
            <w:tcBorders>
              <w:bottom w:val="single" w:sz="8" w:color="D2DCE5"/>
            </w:tcBorders>
            <w:shd w:val="clear" w:color="auto" w:fill="D2DCE5"/>
          </w:tcPr>
          <w:p>
            <w:pPr>
              <w:spacing w:after="0"/>
              <w:rPr>
                <w:sz w:val="23"/>
                <w:szCs w:val="23"/>
                <w:color w:val="auto"/>
              </w:rPr>
            </w:pPr>
          </w:p>
        </w:tc>
        <w:tc>
          <w:tcPr>
            <w:tcW w:w="8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18,506</w:t>
            </w:r>
          </w:p>
        </w:tc>
        <w:tc>
          <w:tcPr>
            <w:tcW w:w="60" w:type="dxa"/>
            <w:vAlign w:val="bottom"/>
            <w:tcBorders>
              <w:bottom w:val="single" w:sz="8" w:color="D2DCE5"/>
            </w:tcBorders>
            <w:shd w:val="clear" w:color="auto" w:fill="D2DCE5"/>
          </w:tcPr>
          <w:p>
            <w:pPr>
              <w:spacing w:after="0"/>
              <w:rPr>
                <w:sz w:val="23"/>
                <w:szCs w:val="23"/>
                <w:color w:val="auto"/>
              </w:rPr>
            </w:pPr>
          </w:p>
        </w:tc>
        <w:tc>
          <w:tcPr>
            <w:tcW w:w="100" w:type="dxa"/>
            <w:vAlign w:val="bottom"/>
            <w:tcBorders>
              <w:bottom w:val="single" w:sz="8" w:color="D2DCE5"/>
            </w:tcBorders>
            <w:shd w:val="clear" w:color="auto" w:fill="D2DCE5"/>
          </w:tcPr>
          <w:p>
            <w:pPr>
              <w:spacing w:after="0"/>
              <w:rPr>
                <w:sz w:val="23"/>
                <w:szCs w:val="23"/>
                <w:color w:val="auto"/>
              </w:rPr>
            </w:pPr>
          </w:p>
        </w:tc>
        <w:tc>
          <w:tcPr>
            <w:tcW w:w="260" w:type="dxa"/>
            <w:vAlign w:val="bottom"/>
            <w:tcBorders>
              <w:bottom w:val="single" w:sz="8" w:color="D2DCE5"/>
            </w:tcBorders>
            <w:shd w:val="clear" w:color="auto" w:fill="D2DCE5"/>
          </w:tcPr>
          <w:p>
            <w:pPr>
              <w:spacing w:after="0"/>
              <w:rPr>
                <w:sz w:val="23"/>
                <w:szCs w:val="23"/>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31,640</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(13,134)</w:t>
            </w:r>
          </w:p>
        </w:tc>
        <w:tc>
          <w:tcPr>
            <w:tcW w:w="100" w:type="dxa"/>
            <w:vAlign w:val="bottom"/>
            <w:tcBorders>
              <w:bottom w:val="single" w:sz="8" w:color="D2DCE5"/>
            </w:tcBorders>
            <w:shd w:val="clear" w:color="auto" w:fill="D2DCE5"/>
          </w:tcPr>
          <w:p>
            <w:pPr>
              <w:spacing w:after="0"/>
              <w:rPr>
                <w:sz w:val="23"/>
                <w:szCs w:val="23"/>
                <w:color w:val="auto"/>
              </w:rPr>
            </w:pPr>
          </w:p>
        </w:tc>
        <w:tc>
          <w:tcPr>
            <w:tcW w:w="580" w:type="dxa"/>
            <w:vAlign w:val="bottom"/>
            <w:tcBorders>
              <w:bottom w:val="single" w:sz="8" w:color="D2DCE5"/>
            </w:tcBorders>
            <w:shd w:val="clear" w:color="auto" w:fill="D2DCE5"/>
          </w:tcPr>
          <w:p>
            <w:pPr>
              <w:spacing w:after="0"/>
              <w:rPr>
                <w:sz w:val="23"/>
                <w:szCs w:val="23"/>
                <w:color w:val="auto"/>
              </w:rPr>
            </w:pPr>
          </w:p>
        </w:tc>
        <w:tc>
          <w:tcPr>
            <w:tcW w:w="7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(41.5)%</w:t>
            </w:r>
          </w:p>
        </w:tc>
      </w:tr>
      <w:tr>
        <w:trPr>
          <w:trHeight w:val="264"/>
        </w:trPr>
        <w:tc>
          <w:tcPr>
            <w:tcW w:w="5940" w:type="dxa"/>
            <w:vAlign w:val="bottom"/>
            <w:gridSpan w:val="2"/>
          </w:tcPr>
          <w:p>
            <w:pPr>
              <w:ind w:left="20"/>
              <w:spacing w:after="0"/>
              <w:rPr>
                <w:sz w:val="20"/>
                <w:szCs w:val="20"/>
                <w:color w:val="auto"/>
              </w:rPr>
            </w:pPr>
            <w:r>
              <w:rPr>
                <w:rFonts w:ascii="Arial" w:cs="Arial" w:eastAsia="Arial" w:hAnsi="Arial"/>
                <w:sz w:val="18"/>
                <w:szCs w:val="18"/>
                <w:color w:val="131E29"/>
              </w:rPr>
              <w:t>Cash and cash equivalents at 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34,567</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131E29"/>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25,863</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8,704</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33.7 %</w:t>
            </w:r>
          </w:p>
        </w:tc>
      </w:tr>
      <w:tr>
        <w:trPr>
          <w:trHeight w:val="20"/>
        </w:trPr>
        <w:tc>
          <w:tcPr>
            <w:tcW w:w="5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Operating Activities</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decrease in operating activities cash flows was primarily driven by higher cost of sales and inventory due to increases in the number of shops and raw material costs.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Investing Activities</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increase in investing activities cash outflows was primarily driven by investment in capital expenditures as a result of new company-operated shop openings.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Financing Activities</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increase in financing activities cash flows was primarily driven by higher net proceeds from our credit facilities, partially offset by non-recurring net IPO related activities in the prior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Cash Requirements</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131E29"/>
        </w:rPr>
        <w:t>We believe that cash provided by operating activities, cash and cash equivalents, and proceeds from our 2022 Credit Facility are adequate to fund our debt service requirements, operating lease obligations, and working capital obligations for at least the next 12 months.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Our future capital requirements may vary materially from period to period and will depend on many factors, primarily our expansion and growth by opening additional company-operated shops and/or reacquiring existing franchised shops. We currently expect to fund our material capital requirements in the long term with additional proceeds from our 2022 Credit Facility, but we may also seek additional debt or equity financing.</w:t>
      </w:r>
    </w:p>
    <w:p>
      <w:pPr>
        <w:spacing w:after="0" w:line="15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131E29"/>
        </w:rPr>
        <w:t>As of September 30, 2022, cash requirements for the following items have materially changed from our Annual Report on Form 10-K for the year ended December 31, 2021:</w:t>
      </w:r>
    </w:p>
    <w:p>
      <w:pPr>
        <w:spacing w:after="0" w:line="126" w:lineRule="exact"/>
        <w:rPr>
          <w:sz w:val="20"/>
          <w:szCs w:val="20"/>
          <w:color w:val="auto"/>
        </w:rPr>
      </w:pPr>
    </w:p>
    <w:p>
      <w:pPr>
        <w:ind w:left="340" w:right="20" w:hanging="332"/>
        <w:spacing w:after="0" w:line="282" w:lineRule="auto"/>
        <w:tabs>
          <w:tab w:leader="none" w:pos="335" w:val="left"/>
        </w:tabs>
        <w:numPr>
          <w:ilvl w:val="0"/>
          <w:numId w:val="43"/>
        </w:numPr>
        <w:rPr>
          <w:rFonts w:ascii="Arial" w:cs="Arial" w:eastAsia="Arial" w:hAnsi="Arial"/>
          <w:sz w:val="18"/>
          <w:szCs w:val="18"/>
          <w:color w:val="131E29"/>
        </w:rPr>
      </w:pPr>
      <w:r>
        <w:rPr>
          <w:rFonts w:ascii="Arial" w:cs="Arial" w:eastAsia="Arial" w:hAnsi="Arial"/>
          <w:sz w:val="18"/>
          <w:szCs w:val="18"/>
          <w:color w:val="006098"/>
        </w:rPr>
        <w:t xml:space="preserve">Operating lease obligations </w:t>
      </w:r>
      <w:r>
        <w:rPr>
          <w:rFonts w:ascii="Arial" w:cs="Arial" w:eastAsia="Arial" w:hAnsi="Arial"/>
          <w:sz w:val="18"/>
          <w:szCs w:val="18"/>
          <w:color w:val="131E29"/>
        </w:rPr>
        <w:t>— increased approximately $42 million from the adoption of ASC 842,</w:t>
      </w:r>
      <w:r>
        <w:rPr>
          <w:rFonts w:ascii="Arial" w:cs="Arial" w:eastAsia="Arial" w:hAnsi="Arial"/>
          <w:sz w:val="18"/>
          <w:szCs w:val="18"/>
          <w:color w:val="006098"/>
        </w:rPr>
        <w:t xml:space="preserve"> </w:t>
      </w:r>
      <w:r>
        <w:rPr>
          <w:rFonts w:ascii="Arial" w:cs="Arial" w:eastAsia="Arial" w:hAnsi="Arial"/>
          <w:sz w:val="18"/>
          <w:szCs w:val="18"/>
          <w:i w:val="1"/>
          <w:iCs w:val="1"/>
          <w:color w:val="131E29"/>
        </w:rPr>
        <w:t>Leases,</w:t>
      </w:r>
      <w:r>
        <w:rPr>
          <w:rFonts w:ascii="Arial" w:cs="Arial" w:eastAsia="Arial" w:hAnsi="Arial"/>
          <w:sz w:val="18"/>
          <w:szCs w:val="18"/>
          <w:color w:val="006098"/>
        </w:rPr>
        <w:t xml:space="preserve"> </w:t>
      </w:r>
      <w:r>
        <w:rPr>
          <w:rFonts w:ascii="Arial" w:cs="Arial" w:eastAsia="Arial" w:hAnsi="Arial"/>
          <w:sz w:val="18"/>
          <w:szCs w:val="18"/>
          <w:color w:val="131E29"/>
        </w:rPr>
        <w:t>and newly commenced</w:t>
      </w:r>
      <w:r>
        <w:rPr>
          <w:rFonts w:ascii="Arial" w:cs="Arial" w:eastAsia="Arial" w:hAnsi="Arial"/>
          <w:sz w:val="18"/>
          <w:szCs w:val="18"/>
          <w:color w:val="006098"/>
        </w:rPr>
        <w:t xml:space="preserve"> </w:t>
      </w:r>
      <w:r>
        <w:rPr>
          <w:rFonts w:ascii="Arial" w:cs="Arial" w:eastAsia="Arial" w:hAnsi="Arial"/>
          <w:sz w:val="18"/>
          <w:szCs w:val="18"/>
          <w:color w:val="131E29"/>
        </w:rPr>
        <w:t>leases.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hanging="332"/>
        <w:spacing w:after="0" w:line="282" w:lineRule="auto"/>
        <w:tabs>
          <w:tab w:leader="none" w:pos="335" w:val="left"/>
        </w:tabs>
        <w:numPr>
          <w:ilvl w:val="0"/>
          <w:numId w:val="44"/>
        </w:numPr>
        <w:rPr>
          <w:rFonts w:ascii="Arial" w:cs="Arial" w:eastAsia="Arial" w:hAnsi="Arial"/>
          <w:sz w:val="18"/>
          <w:szCs w:val="18"/>
          <w:color w:val="131E29"/>
        </w:rPr>
      </w:pPr>
      <w:r>
        <w:rPr>
          <w:rFonts w:ascii="Arial" w:cs="Arial" w:eastAsia="Arial" w:hAnsi="Arial"/>
          <w:sz w:val="18"/>
          <w:szCs w:val="18"/>
          <w:color w:val="006098"/>
        </w:rPr>
        <w:t xml:space="preserve">Finance lease obligations </w:t>
      </w:r>
      <w:r>
        <w:rPr>
          <w:rFonts w:ascii="Arial" w:cs="Arial" w:eastAsia="Arial" w:hAnsi="Arial"/>
          <w:sz w:val="18"/>
          <w:szCs w:val="18"/>
          <w:color w:val="131E29"/>
        </w:rPr>
        <w:t>— increased approximately $193 million from the adoption of ASC 842,</w:t>
      </w:r>
      <w:r>
        <w:rPr>
          <w:rFonts w:ascii="Arial" w:cs="Arial" w:eastAsia="Arial" w:hAnsi="Arial"/>
          <w:sz w:val="18"/>
          <w:szCs w:val="18"/>
          <w:color w:val="006098"/>
        </w:rPr>
        <w:t xml:space="preserve"> </w:t>
      </w:r>
      <w:r>
        <w:rPr>
          <w:rFonts w:ascii="Arial" w:cs="Arial" w:eastAsia="Arial" w:hAnsi="Arial"/>
          <w:sz w:val="18"/>
          <w:szCs w:val="18"/>
          <w:i w:val="1"/>
          <w:iCs w:val="1"/>
          <w:color w:val="131E29"/>
        </w:rPr>
        <w:t>Leases,</w:t>
      </w:r>
      <w:r>
        <w:rPr>
          <w:rFonts w:ascii="Arial" w:cs="Arial" w:eastAsia="Arial" w:hAnsi="Arial"/>
          <w:sz w:val="18"/>
          <w:szCs w:val="18"/>
          <w:color w:val="006098"/>
        </w:rPr>
        <w:t xml:space="preserve"> </w:t>
      </w:r>
      <w:r>
        <w:rPr>
          <w:rFonts w:ascii="Arial" w:cs="Arial" w:eastAsia="Arial" w:hAnsi="Arial"/>
          <w:sz w:val="18"/>
          <w:szCs w:val="18"/>
          <w:color w:val="131E29"/>
        </w:rPr>
        <w:t>and newly commenced</w:t>
      </w:r>
      <w:r>
        <w:rPr>
          <w:rFonts w:ascii="Arial" w:cs="Arial" w:eastAsia="Arial" w:hAnsi="Arial"/>
          <w:sz w:val="18"/>
          <w:szCs w:val="18"/>
          <w:color w:val="006098"/>
        </w:rPr>
        <w:t xml:space="preserve"> </w:t>
      </w:r>
      <w:r>
        <w:rPr>
          <w:rFonts w:ascii="Arial" w:cs="Arial" w:eastAsia="Arial" w:hAnsi="Arial"/>
          <w:sz w:val="18"/>
          <w:szCs w:val="18"/>
          <w:color w:val="131E29"/>
        </w:rPr>
        <w:t>leases.</w:t>
      </w:r>
    </w:p>
    <w:p>
      <w:pPr>
        <w:spacing w:after="0" w:line="125" w:lineRule="exact"/>
        <w:rPr>
          <w:rFonts w:ascii="Arial" w:cs="Arial" w:eastAsia="Arial" w:hAnsi="Arial"/>
          <w:sz w:val="18"/>
          <w:szCs w:val="18"/>
          <w:color w:val="131E29"/>
        </w:rPr>
      </w:pPr>
    </w:p>
    <w:p>
      <w:pPr>
        <w:ind w:left="320" w:hanging="312"/>
        <w:spacing w:after="0"/>
        <w:tabs>
          <w:tab w:leader="none" w:pos="320" w:val="left"/>
        </w:tabs>
        <w:numPr>
          <w:ilvl w:val="0"/>
          <w:numId w:val="44"/>
        </w:numPr>
        <w:rPr>
          <w:rFonts w:ascii="Arial" w:cs="Arial" w:eastAsia="Arial" w:hAnsi="Arial"/>
          <w:sz w:val="18"/>
          <w:szCs w:val="18"/>
          <w:color w:val="131E29"/>
        </w:rPr>
      </w:pPr>
      <w:r>
        <w:rPr>
          <w:rFonts w:ascii="Arial" w:cs="Arial" w:eastAsia="Arial" w:hAnsi="Arial"/>
          <w:sz w:val="18"/>
          <w:szCs w:val="18"/>
          <w:color w:val="006098"/>
        </w:rPr>
        <w:t xml:space="preserve">Debt obligations </w:t>
      </w:r>
      <w:r>
        <w:rPr>
          <w:rFonts w:ascii="Arial" w:cs="Arial" w:eastAsia="Arial" w:hAnsi="Arial"/>
          <w:sz w:val="18"/>
          <w:szCs w:val="18"/>
          <w:color w:val="131E29"/>
        </w:rPr>
        <w:t>— increased approximately $123 million on a net basis primarily due to borrowings on our 2022 Credit Facility.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JP Morgan Credit Facility</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On February 28, 2022 (the Effective Date) we amended our Senior Secured Credit Facility with JPMorgan Chase, N.A. The 2022 Credit Facility has a total capacity of $500 million, consisting of a $250 million revolving credit facility, a term loan facility of up to $100 million, and a delayed draw term loan facility of up to $150 million. The revolving credit facility includes sub-limits for issuance of letters of credit and swing line loans of up to $ 50 million and $15 million, respectively. It also contains an option allowing Dutch Bros PubCo to increase the size of the 2022 Credit Facility by up to an additional $150 million, with the agreement of the committing lenders. The 2022 Credit Facility expires five years after the Effective Date.</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Upon entering into the 2022 Credit Facility, we drew a $100 million term loan and approximately $28 million in revolving loans, and the existing credit facility was repaid and terminated.</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Interest on borrowings under the 2022 Credit Facility is based on (a) the Alternate Base Rate plus an applicable margin, or (b) the Adjusted Term SOFR Rate plus an applicable margin, and is payable in accordance with the selected interest rate period (at least quarterly) and upon maturity. Principal payments for the term loans are required on a quarterly basis in accordance with an amortization schedule and upon certain disposition of assets.</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Obligations under the 2022 Credit Facility are guaranteed by Dutch Bros OpCo and its subsidiaries, and secured by a first priority perfected security interest in substantially all of the assets of the guarantors.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Interest Rate Swap Contract</w:t>
      </w:r>
    </w:p>
    <w:p>
      <w:pPr>
        <w:spacing w:after="0" w:line="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On April 1, 2022, Dutch Bros PubCo entered into an interest rate swap transaction with JPMorgan Chase Bank, N.A. with respect to $70 million of the term loan under the 2022 Credit Facility. The purpose of the floating-to-fixed interest rate swap was to fix the interest base rate charged on the term loan at 2.67%. The interest rate swap matures on February 28, 2027.</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Seasonality</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Our business is subject to seasonal fluctuations in that our system sales are typically nominally higher during the summer months affecting the second and third quarters.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Critical Accounting Estimates</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methods, assumptions, and estimates that we use in applying our accounting policies may require us to apply judgments regarding matters that are inherently uncertain. We consider an accounting policy to be a critical estimate if: (1) we must make assumptions that were uncertain when the judgment was made, and (2) changes in the estimate assumptions, or selection of a different estimate methodology, could have a significant impact on our financial position and the results that we report in our consolidated financial statements. While we believe that our estimates, assumptions, and judgments are reasonable, they are based on information available when the estimate was made.</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Material changes to our critical accounting estimates from those disclosed in Part II, Item 7 of our Annual Report on Form 10-K for the year ended December 31, 2021 are listed below. Refer also to NOTE 2 — Basis of Presentation and Summary of Significant Accounting Policies, NOTE 3 — Revenue Recognition, and NOTE 8 — Leases within the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Dutch Rewards Loyalty Program</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Eligible customers who register for the Dutch Rewards loyalty program earn points for every dollar spent. After accumulating a certain number of points, the customer earns a reward that can be redeemed for a free drink. Earned rewards expire six months after they are issued, and points collected but not redeemed expire after six months.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estimation of the standalone selling price of points and other rewards issued to customers involves several assumptions, primarily the estimated value of product for which the reward is expected to be redeemed and the probability that the points or reward will expire. Our estimate of points and other rewards we expect to be redeemed is based on historical company-specific data. These inputs are subject to change over time due to factors such as menu price increases, changes in points redemption options, and changes in customer behavior.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Leases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At the commencement of each lease, we evaluate the lease agreement to determine whether it is an operating or finance lease. The evaluation requires significant judgments in determining the fair value of the lease right-of-use asset and the lease liability and appropriate lease terms.</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131E29"/>
        </w:rPr>
        <w:t>Our lease agreements generally do not provide an implicit interest rate; as such, the discount rate used to measure the initial lease liability is equal to the rate the Company would pay on a collateralized basis to borrow an amount equal to the lease payments under similar terms. The discount rate is subject to fluctuation based on market interest rates and our credit risk profile.</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We also estimate the lease term at commencement. The lease term commences on the date when we take possession of the leased property, irrespective of the contractual lease payments schedule. To determine the length of the lease term at inception, we consider both termination and renewal option periods available. Reasonably certain renewal periods are included in the lease term at commencement, and are generally based on historical leasing activity.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131E29"/>
        </w:rPr>
        <w:t>Variations in judgment applied to these estimates could result in material differences such as the following:</w:t>
      </w:r>
    </w:p>
    <w:p>
      <w:pPr>
        <w:spacing w:after="0" w:line="171" w:lineRule="exact"/>
        <w:rPr>
          <w:sz w:val="20"/>
          <w:szCs w:val="20"/>
          <w:color w:val="auto"/>
        </w:rPr>
      </w:pPr>
    </w:p>
    <w:p>
      <w:pPr>
        <w:ind w:left="280" w:hanging="272"/>
        <w:spacing w:after="0"/>
        <w:tabs>
          <w:tab w:leader="none" w:pos="280" w:val="left"/>
        </w:tabs>
        <w:numPr>
          <w:ilvl w:val="0"/>
          <w:numId w:val="45"/>
        </w:numPr>
        <w:rPr>
          <w:rFonts w:ascii="Arial" w:cs="Arial" w:eastAsia="Arial" w:hAnsi="Arial"/>
          <w:sz w:val="18"/>
          <w:szCs w:val="18"/>
          <w:color w:val="131E29"/>
        </w:rPr>
      </w:pPr>
      <w:r>
        <w:rPr>
          <w:rFonts w:ascii="Arial" w:cs="Arial" w:eastAsia="Arial" w:hAnsi="Arial"/>
          <w:sz w:val="18"/>
          <w:szCs w:val="18"/>
          <w:color w:val="131E29"/>
        </w:rPr>
        <w:t>Lease expenses, including rent, depreciation and amortization</w:t>
      </w:r>
    </w:p>
    <w:p>
      <w:pPr>
        <w:spacing w:after="0" w:line="171" w:lineRule="exact"/>
        <w:rPr>
          <w:rFonts w:ascii="Arial" w:cs="Arial" w:eastAsia="Arial" w:hAnsi="Arial"/>
          <w:sz w:val="18"/>
          <w:szCs w:val="18"/>
          <w:color w:val="131E29"/>
        </w:rPr>
      </w:pPr>
    </w:p>
    <w:p>
      <w:pPr>
        <w:ind w:left="280" w:hanging="272"/>
        <w:spacing w:after="0"/>
        <w:tabs>
          <w:tab w:leader="none" w:pos="280" w:val="left"/>
        </w:tabs>
        <w:numPr>
          <w:ilvl w:val="0"/>
          <w:numId w:val="45"/>
        </w:numPr>
        <w:rPr>
          <w:rFonts w:ascii="Arial" w:cs="Arial" w:eastAsia="Arial" w:hAnsi="Arial"/>
          <w:sz w:val="18"/>
          <w:szCs w:val="18"/>
          <w:color w:val="131E29"/>
        </w:rPr>
      </w:pPr>
      <w:r>
        <w:rPr>
          <w:rFonts w:ascii="Arial" w:cs="Arial" w:eastAsia="Arial" w:hAnsi="Arial"/>
          <w:sz w:val="18"/>
          <w:szCs w:val="18"/>
          <w:color w:val="131E29"/>
        </w:rPr>
        <w:t>Fair value of lease right-of-use asset and lease liability</w:t>
      </w:r>
    </w:p>
    <w:p>
      <w:pPr>
        <w:spacing w:after="0" w:line="171" w:lineRule="exact"/>
        <w:rPr>
          <w:rFonts w:ascii="Arial" w:cs="Arial" w:eastAsia="Arial" w:hAnsi="Arial"/>
          <w:sz w:val="18"/>
          <w:szCs w:val="18"/>
          <w:color w:val="131E29"/>
        </w:rPr>
      </w:pPr>
    </w:p>
    <w:p>
      <w:pPr>
        <w:ind w:left="280" w:hanging="272"/>
        <w:spacing w:after="0"/>
        <w:tabs>
          <w:tab w:leader="none" w:pos="280" w:val="left"/>
        </w:tabs>
        <w:numPr>
          <w:ilvl w:val="0"/>
          <w:numId w:val="45"/>
        </w:numPr>
        <w:rPr>
          <w:rFonts w:ascii="Arial" w:cs="Arial" w:eastAsia="Arial" w:hAnsi="Arial"/>
          <w:sz w:val="18"/>
          <w:szCs w:val="18"/>
          <w:color w:val="131E29"/>
        </w:rPr>
      </w:pPr>
      <w:r>
        <w:rPr>
          <w:rFonts w:ascii="Arial" w:cs="Arial" w:eastAsia="Arial" w:hAnsi="Arial"/>
          <w:sz w:val="18"/>
          <w:szCs w:val="18"/>
          <w:color w:val="131E29"/>
        </w:rPr>
        <w:t>Reasonably certain lease term</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Non-GAAP Financial Measures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In addition to disclosing financial results in accordance with GAAP, this document contains references to the non-GAAP financial measures below. We believe these non-GAAP financial measures provide investors with useful supplemental information about our operating performance, enable comparison of financial trends and results between periods where certain items may vary independent of business performance, and allow for greater transparency with respect to key metrics used by management in operating our business and measuring our performance.</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Our non-GAAP financial measures reflect adjustments based on one or more of the following items. These non-GAAP financial measures should not be considered a substitute for, or superior to, financial measures calculated in accordance with GAAP, and the financial results calculated in accordance with U.S. GAAP and reconciliations from these results should be carefully evaluated.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Company-operated shop contribution (in dollars and as a percentage of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Definition and/or calculation</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Company-operated segment gross profit, before company-operated shop depreciation and amortization. Company-operated shop contribution in dollars (as defined), taken as a percentage of company-operated shop revenue.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This non-GAAP measure is used by our management in making performance decisions without the impact of non-cash depreciation and amortization charges. This is a standard metric used across our industry by investors.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EBITDA, Adjusted EBITDA (in dollars and as a percentage of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EBITDA — definition and/or calculation</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Net income (loss) before interest expense (net of interest income), income taxes expense (benefit), and depreciation and amortization expense.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Adjusted EBITDA — definition and/or calculation</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Defined as EBITDA (as defined above), excluding equity-based compensation, expenses and donations associated with equity offerings, COVID-19: “Thank You” pay and catastrophic leave expenses, COVID-19: prepaid costs not utilized, costs incurred for company-wide milestone events, and gain (loss) on the remeasurement of the liability related to the TRAs. Adjusted EBITDA in dollars (as defined), taken as a percentage of total revenue.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These non-GAAP measures are supplemental operating performance measures we believe facilitate comparisons to historical performance and competitors’ operating results. We believe the non-GAAP measures presented provide investors with a supplemental view of our operating performance that facilitates analysis and comparisons of our ongoing business operations because they exclude items that may not be indicative of our ongoing operating performance.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Non-GAAP adjustments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131E29"/>
        </w:rPr>
        <w:t>Below are the definitions of the non-GAAP adjustments that are used in the calculation of our non-GAAP measures, as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Equity-based compensation</w:t>
      </w:r>
    </w:p>
    <w:p>
      <w:pPr>
        <w:spacing w:after="0" w:line="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Non-cash expenses related to the grant and vesting of stock awards, restricted stock awards and restricted stock units in Dutch Bros PubCo and/or Profit Interest Units in Dutch Bros OpCo to certain eligible employees. These awards are accounted for in accordance with guidance prescribed for in accounting for share-based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Expenses associated with equity offerings</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Costs incurred as a result of our equity offerings. These costs include legal fees, consulting fees, tax and accounting fees, and payroll taxes related to the grant and vesting of equity awards for certain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Donations associated with equity offerings</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In connection with our IPO, we made a donation to the Dutch Bros Foundation. This donation is separate from other donations to the Dutch Bros Foundation that we may periodically make.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COVID-19: “Thank You” pay and catastrophic leave</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Costs related to two separate programs established to support employees during the COVID-19 pandemic. We implemented an hourly wage supplement program for shop employees who continued to work while their state or county was under a stay at home order or similar lockdown requirement. This program lasted in various markets until April 2021. We also established a catastrophic leave policy that provided paid leave to employees who were required to quarantine due to in-shop exposures and could not work their regular hours. All COVID-19-related protocols, including catastrophic leave, will remain in effect until the end of the COVID-19 pandemic as determined by the appropriate government agency.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COVID-19: Prepaid costs not utilized</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Costs related to the write-off of previously prepaid expenses for the development of a virtual corporate engagement platform built in response to the health restrictions of the COVID-19 pandemic. The platform was developed as a substitute for in person engagement practices used pre-pandemic. The platform has been determined ineffective, particularly as we shift back to in-person events with the easing of restrictions related to the COVID-19 pandemic.</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Milestone events</w:t>
      </w:r>
    </w:p>
    <w:p>
      <w:pPr>
        <w:spacing w:after="0" w:line="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131E29"/>
        </w:rPr>
        <w:t>Costs incurred for company-wide events to celebrate 30 years of serving high QUALITY, hand-crafted beverages with unparalleled SPEED and superior SERVICE to our customers.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TRAs remeasurement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31E29"/>
        </w:rPr>
        <w:t>Loss impact on condensed consolidated statements of operations of adjustments to liabilities under our TRAs.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Following are the reconciliations of the most comparable GAAP metric to non-GAAP metrics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gridSpan w:val="10"/>
          </w:tcPr>
          <w:p>
            <w:pPr>
              <w:ind w:left="340"/>
              <w:spacing w:after="0"/>
              <w:rPr>
                <w:sz w:val="20"/>
                <w:szCs w:val="20"/>
                <w:color w:val="auto"/>
              </w:rPr>
            </w:pPr>
            <w:r>
              <w:rPr>
                <w:rFonts w:ascii="Arial" w:cs="Arial" w:eastAsia="Arial" w:hAnsi="Arial"/>
                <w:sz w:val="18"/>
                <w:szCs w:val="18"/>
                <w:b w:val="1"/>
                <w:bCs w:val="1"/>
                <w:color w:val="131E29"/>
              </w:rPr>
              <w:t>Three Months Ended September 30,</w:t>
            </w:r>
          </w:p>
        </w:tc>
        <w:tc>
          <w:tcPr>
            <w:tcW w:w="3720" w:type="dxa"/>
            <w:vAlign w:val="bottom"/>
            <w:gridSpan w:val="8"/>
          </w:tcPr>
          <w:p>
            <w:pPr>
              <w:jc w:val="right"/>
              <w:ind w:right="290"/>
              <w:spacing w:after="0"/>
              <w:rPr>
                <w:sz w:val="20"/>
                <w:szCs w:val="20"/>
                <w:color w:val="auto"/>
              </w:rPr>
            </w:pPr>
            <w:r>
              <w:rPr>
                <w:rFonts w:ascii="Arial" w:cs="Arial" w:eastAsia="Arial" w:hAnsi="Arial"/>
                <w:sz w:val="18"/>
                <w:szCs w:val="18"/>
                <w:b w:val="1"/>
                <w:bCs w:val="1"/>
                <w:color w:val="131E29"/>
              </w:rPr>
              <w:t>Nine Months Ended September 30,</w:t>
            </w:r>
          </w:p>
        </w:tc>
      </w:tr>
      <w:tr>
        <w:trPr>
          <w:trHeight w:val="27"/>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131E29"/>
              </w:rPr>
              <w:t>2022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131E29"/>
              </w:rPr>
              <w:t>2021 ¹</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131E29"/>
              </w:rPr>
              <w:t>2022</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131E29"/>
              </w:rPr>
              <w:t>2021 ¹</w:t>
            </w:r>
          </w:p>
        </w:tc>
        <w:tc>
          <w:tcPr>
            <w:tcW w:w="560" w:type="dxa"/>
            <w:vAlign w:val="bottom"/>
          </w:tcPr>
          <w:p>
            <w:pPr>
              <w:spacing w:after="0"/>
              <w:rPr>
                <w:sz w:val="20"/>
                <w:szCs w:val="20"/>
                <w:color w:val="auto"/>
              </w:rPr>
            </w:pPr>
          </w:p>
        </w:tc>
      </w:tr>
      <w:tr>
        <w:trPr>
          <w:trHeight w:val="27"/>
        </w:trPr>
        <w:tc>
          <w:tcPr>
            <w:tcW w:w="3660" w:type="dxa"/>
            <w:vAlign w:val="bottom"/>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8"/>
        </w:trPr>
        <w:tc>
          <w:tcPr>
            <w:tcW w:w="366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ind w:right="190"/>
              <w:spacing w:after="0"/>
              <w:rPr>
                <w:sz w:val="20"/>
                <w:szCs w:val="20"/>
                <w:color w:val="auto"/>
              </w:rPr>
            </w:pPr>
            <w:r>
              <w:rPr>
                <w:rFonts w:ascii="Arial" w:cs="Arial" w:eastAsia="Arial" w:hAnsi="Arial"/>
                <w:sz w:val="18"/>
                <w:szCs w:val="18"/>
                <w:b w:val="1"/>
                <w:bCs w:val="1"/>
                <w:color w:val="131E29"/>
              </w:rPr>
              <w:t>%</w:t>
            </w:r>
          </w:p>
        </w:tc>
      </w:tr>
      <w:tr>
        <w:trPr>
          <w:trHeight w:val="25"/>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3"/>
        </w:trPr>
        <w:tc>
          <w:tcPr>
            <w:tcW w:w="3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Company-operated shop gross profit</w:t>
            </w: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34,720</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20.0</w:t>
            </w:r>
          </w:p>
        </w:tc>
        <w:tc>
          <w:tcPr>
            <w:tcW w:w="10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23,111</w:t>
            </w: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21.3</w:t>
            </w:r>
          </w:p>
        </w:tc>
        <w:tc>
          <w:tcPr>
            <w:tcW w:w="1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82,577</w:t>
            </w:r>
          </w:p>
        </w:tc>
        <w:tc>
          <w:tcPr>
            <w:tcW w:w="100" w:type="dxa"/>
            <w:vAlign w:val="bottom"/>
            <w:tcBorders>
              <w:bottom w:val="single" w:sz="8" w:color="D2DCE5"/>
            </w:tcBorders>
            <w:shd w:val="clear" w:color="auto" w:fill="D2DCE5"/>
          </w:tcPr>
          <w:p>
            <w:pPr>
              <w:spacing w:after="0"/>
              <w:rPr>
                <w:sz w:val="21"/>
                <w:szCs w:val="21"/>
                <w:color w:val="auto"/>
              </w:rPr>
            </w:pPr>
          </w:p>
        </w:tc>
        <w:tc>
          <w:tcPr>
            <w:tcW w:w="6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17.8</w:t>
            </w:r>
          </w:p>
        </w:tc>
        <w:tc>
          <w:tcPr>
            <w:tcW w:w="1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70,141</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24.2</w:t>
            </w:r>
          </w:p>
        </w:tc>
      </w:tr>
      <w:tr>
        <w:trPr>
          <w:trHeight w:val="243"/>
        </w:trPr>
        <w:tc>
          <w:tcPr>
            <w:tcW w:w="3660" w:type="dxa"/>
            <w:vAlign w:val="bottom"/>
            <w:gridSpan w:val="2"/>
          </w:tcPr>
          <w:p>
            <w:pPr>
              <w:ind w:left="180"/>
              <w:spacing w:after="0"/>
              <w:rPr>
                <w:sz w:val="20"/>
                <w:szCs w:val="20"/>
                <w:color w:val="auto"/>
              </w:rPr>
            </w:pPr>
            <w:r>
              <w:rPr>
                <w:rFonts w:ascii="Arial" w:cs="Arial" w:eastAsia="Arial" w:hAnsi="Arial"/>
                <w:sz w:val="18"/>
                <w:szCs w:val="18"/>
                <w:color w:val="131E29"/>
              </w:rPr>
              <w:t>Depreciation and amortization</w:t>
            </w:r>
          </w:p>
        </w:tc>
        <w:tc>
          <w:tcPr>
            <w:tcW w:w="940" w:type="dxa"/>
            <w:vAlign w:val="bottom"/>
          </w:tcPr>
          <w:p>
            <w:pPr>
              <w:jc w:val="right"/>
              <w:spacing w:after="0"/>
              <w:rPr>
                <w:sz w:val="20"/>
                <w:szCs w:val="20"/>
                <w:color w:val="auto"/>
              </w:rPr>
            </w:pPr>
            <w:r>
              <w:rPr>
                <w:rFonts w:ascii="Arial" w:cs="Arial" w:eastAsia="Arial" w:hAnsi="Arial"/>
                <w:sz w:val="18"/>
                <w:szCs w:val="18"/>
                <w:color w:val="131E29"/>
              </w:rPr>
              <w:t>9,624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131E29"/>
              </w:rPr>
              <w:t>5.6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4,294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131E29"/>
              </w:rPr>
              <w:t>3.9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25,071</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131E29"/>
              </w:rPr>
              <w:t>5.4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11,038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3.8</w:t>
            </w:r>
          </w:p>
        </w:tc>
      </w:tr>
      <w:tr>
        <w:trPr>
          <w:trHeight w:val="27"/>
        </w:trPr>
        <w:tc>
          <w:tcPr>
            <w:tcW w:w="3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8"/>
        </w:trPr>
        <w:tc>
          <w:tcPr>
            <w:tcW w:w="3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Company-operated shop contribution</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44,344</w:t>
            </w:r>
          </w:p>
        </w:tc>
        <w:tc>
          <w:tcPr>
            <w:tcW w:w="100" w:type="dxa"/>
            <w:vAlign w:val="bottom"/>
            <w:tcBorders>
              <w:bottom w:val="single" w:sz="8" w:color="D2DCE5"/>
            </w:tcBorders>
            <w:shd w:val="clear" w:color="auto" w:fill="D2DCE5"/>
          </w:tcPr>
          <w:p>
            <w:pPr>
              <w:spacing w:after="0"/>
              <w:rPr>
                <w:sz w:val="24"/>
                <w:szCs w:val="24"/>
                <w:color w:val="auto"/>
              </w:rPr>
            </w:pPr>
          </w:p>
        </w:tc>
        <w:tc>
          <w:tcPr>
            <w:tcW w:w="160" w:type="dxa"/>
            <w:vAlign w:val="bottom"/>
            <w:tcBorders>
              <w:bottom w:val="single" w:sz="8" w:color="auto"/>
            </w:tcBorders>
            <w:shd w:val="clear" w:color="auto" w:fill="D2DCE5"/>
          </w:tcPr>
          <w:p>
            <w:pPr>
              <w:spacing w:after="0"/>
              <w:rPr>
                <w:sz w:val="24"/>
                <w:szCs w:val="24"/>
                <w:color w:val="auto"/>
              </w:rPr>
            </w:pPr>
          </w:p>
        </w:tc>
        <w:tc>
          <w:tcPr>
            <w:tcW w:w="5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25.6</w:t>
            </w:r>
          </w:p>
        </w:tc>
        <w:tc>
          <w:tcPr>
            <w:tcW w:w="100" w:type="dxa"/>
            <w:vAlign w:val="bottom"/>
            <w:tcBorders>
              <w:bottom w:val="single" w:sz="8" w:color="D2DCE5"/>
            </w:tcBorders>
            <w:shd w:val="clear" w:color="auto" w:fill="D2DCE5"/>
          </w:tcPr>
          <w:p>
            <w:pPr>
              <w:spacing w:after="0"/>
              <w:rPr>
                <w:sz w:val="24"/>
                <w:szCs w:val="24"/>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27,405</w:t>
            </w:r>
          </w:p>
        </w:tc>
        <w:tc>
          <w:tcPr>
            <w:tcW w:w="100" w:type="dxa"/>
            <w:vAlign w:val="bottom"/>
            <w:tcBorders>
              <w:bottom w:val="single" w:sz="8" w:color="D2DCE5"/>
            </w:tcBorders>
            <w:shd w:val="clear" w:color="auto" w:fill="D2DCE5"/>
          </w:tcPr>
          <w:p>
            <w:pPr>
              <w:spacing w:after="0"/>
              <w:rPr>
                <w:sz w:val="24"/>
                <w:szCs w:val="24"/>
                <w:color w:val="auto"/>
              </w:rPr>
            </w:pPr>
          </w:p>
        </w:tc>
        <w:tc>
          <w:tcPr>
            <w:tcW w:w="140" w:type="dxa"/>
            <w:vAlign w:val="bottom"/>
            <w:tcBorders>
              <w:bottom w:val="single" w:sz="8" w:color="auto"/>
            </w:tcBorders>
            <w:shd w:val="clear" w:color="auto" w:fill="D2DCE5"/>
          </w:tcPr>
          <w:p>
            <w:pPr>
              <w:spacing w:after="0"/>
              <w:rPr>
                <w:sz w:val="24"/>
                <w:szCs w:val="24"/>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25.2</w:t>
            </w:r>
          </w:p>
        </w:tc>
        <w:tc>
          <w:tcPr>
            <w:tcW w:w="100" w:type="dxa"/>
            <w:vAlign w:val="bottom"/>
            <w:tcBorders>
              <w:bottom w:val="single" w:sz="8" w:color="D2DCE5"/>
            </w:tcBorders>
            <w:shd w:val="clear" w:color="auto" w:fill="D2DCE5"/>
          </w:tcPr>
          <w:p>
            <w:pPr>
              <w:spacing w:after="0"/>
              <w:rPr>
                <w:sz w:val="24"/>
                <w:szCs w:val="24"/>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107,648</w:t>
            </w:r>
          </w:p>
        </w:tc>
        <w:tc>
          <w:tcPr>
            <w:tcW w:w="100" w:type="dxa"/>
            <w:vAlign w:val="bottom"/>
            <w:tcBorders>
              <w:bottom w:val="single" w:sz="8" w:color="D2DCE5"/>
            </w:tcBorders>
            <w:shd w:val="clear" w:color="auto" w:fill="D2DCE5"/>
          </w:tcPr>
          <w:p>
            <w:pPr>
              <w:spacing w:after="0"/>
              <w:rPr>
                <w:sz w:val="24"/>
                <w:szCs w:val="24"/>
                <w:color w:val="auto"/>
              </w:rPr>
            </w:pPr>
          </w:p>
        </w:tc>
        <w:tc>
          <w:tcPr>
            <w:tcW w:w="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23.2</w:t>
            </w:r>
          </w:p>
        </w:tc>
        <w:tc>
          <w:tcPr>
            <w:tcW w:w="100" w:type="dxa"/>
            <w:vAlign w:val="bottom"/>
            <w:tcBorders>
              <w:bottom w:val="single" w:sz="8" w:color="D2DCE5"/>
            </w:tcBorders>
            <w:shd w:val="clear" w:color="auto" w:fill="D2DCE5"/>
          </w:tcPr>
          <w:p>
            <w:pPr>
              <w:spacing w:after="0"/>
              <w:rPr>
                <w:sz w:val="24"/>
                <w:szCs w:val="24"/>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81,179</w:t>
            </w:r>
          </w:p>
        </w:tc>
        <w:tc>
          <w:tcPr>
            <w:tcW w:w="100" w:type="dxa"/>
            <w:vAlign w:val="bottom"/>
            <w:tcBorders>
              <w:bottom w:val="single" w:sz="8" w:color="D2DCE5"/>
            </w:tcBorders>
            <w:shd w:val="clear" w:color="auto" w:fill="D2DCE5"/>
          </w:tcPr>
          <w:p>
            <w:pPr>
              <w:spacing w:after="0"/>
              <w:rPr>
                <w:sz w:val="24"/>
                <w:szCs w:val="24"/>
                <w:color w:val="auto"/>
              </w:rPr>
            </w:pPr>
          </w:p>
        </w:tc>
        <w:tc>
          <w:tcPr>
            <w:tcW w:w="160" w:type="dxa"/>
            <w:vAlign w:val="bottom"/>
            <w:tcBorders>
              <w:bottom w:val="single" w:sz="8" w:color="auto"/>
            </w:tcBorders>
            <w:shd w:val="clear" w:color="auto" w:fill="D2DCE5"/>
          </w:tcPr>
          <w:p>
            <w:pPr>
              <w:spacing w:after="0"/>
              <w:rPr>
                <w:sz w:val="24"/>
                <w:szCs w:val="24"/>
                <w:color w:val="auto"/>
              </w:rPr>
            </w:pPr>
          </w:p>
        </w:tc>
        <w:tc>
          <w:tcPr>
            <w:tcW w:w="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28.0</w:t>
            </w:r>
          </w:p>
        </w:tc>
      </w:tr>
      <w:tr>
        <w:trPr>
          <w:trHeight w:val="20"/>
        </w:trPr>
        <w:tc>
          <w:tcPr>
            <w:tcW w:w="3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5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D2DCE5"/>
              <w:bottom w:val="single" w:sz="8" w:color="auto"/>
            </w:tcBorders>
          </w:tcPr>
          <w:p>
            <w:pPr>
              <w:spacing w:after="0" w:line="20" w:lineRule="exact"/>
              <w:rPr>
                <w:sz w:val="1"/>
                <w:szCs w:val="1"/>
                <w:color w:val="auto"/>
              </w:rPr>
            </w:pPr>
          </w:p>
        </w:tc>
        <w:tc>
          <w:tcPr>
            <w:tcW w:w="5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6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56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gridSpan w:val="10"/>
          </w:tcPr>
          <w:p>
            <w:pPr>
              <w:ind w:left="340"/>
              <w:spacing w:after="0"/>
              <w:rPr>
                <w:sz w:val="20"/>
                <w:szCs w:val="20"/>
                <w:color w:val="auto"/>
              </w:rPr>
            </w:pPr>
            <w:r>
              <w:rPr>
                <w:rFonts w:ascii="Arial" w:cs="Arial" w:eastAsia="Arial" w:hAnsi="Arial"/>
                <w:sz w:val="18"/>
                <w:szCs w:val="18"/>
                <w:b w:val="1"/>
                <w:bCs w:val="1"/>
                <w:color w:val="131E29"/>
              </w:rPr>
              <w:t>Three Months Ended September 30,</w:t>
            </w:r>
          </w:p>
        </w:tc>
        <w:tc>
          <w:tcPr>
            <w:tcW w:w="3680" w:type="dxa"/>
            <w:vAlign w:val="bottom"/>
            <w:gridSpan w:val="7"/>
          </w:tcPr>
          <w:p>
            <w:pPr>
              <w:jc w:val="right"/>
              <w:ind w:right="270"/>
              <w:spacing w:after="0"/>
              <w:rPr>
                <w:sz w:val="20"/>
                <w:szCs w:val="20"/>
                <w:color w:val="auto"/>
              </w:rPr>
            </w:pPr>
            <w:r>
              <w:rPr>
                <w:rFonts w:ascii="Arial" w:cs="Arial" w:eastAsia="Arial" w:hAnsi="Arial"/>
                <w:sz w:val="18"/>
                <w:szCs w:val="18"/>
                <w:b w:val="1"/>
                <w:bCs w:val="1"/>
                <w:color w:val="131E29"/>
              </w:rPr>
              <w:t>Nine Months Ended September 30,</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131E29"/>
              </w:rPr>
              <w:t>2022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131E29"/>
              </w:rPr>
              <w:t>2021 ¹</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131E29"/>
              </w:rPr>
              <w:t>2022</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131E29"/>
              </w:rPr>
              <w:t>2021</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70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19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b w:val="1"/>
                <w:bCs w:val="1"/>
                <w:color w:val="131E29"/>
              </w:rPr>
              <w:t>%</w:t>
            </w:r>
          </w:p>
        </w:tc>
        <w:tc>
          <w:tcPr>
            <w:tcW w:w="8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131E29"/>
              </w:rPr>
              <w:t>%</w:t>
            </w:r>
          </w:p>
        </w:tc>
        <w:tc>
          <w:tcPr>
            <w:tcW w:w="0" w:type="dxa"/>
            <w:vAlign w:val="bottom"/>
          </w:tcPr>
          <w:p>
            <w:pPr>
              <w:spacing w:after="0"/>
              <w:rPr>
                <w:sz w:val="1"/>
                <w:szCs w:val="1"/>
                <w:color w:val="auto"/>
              </w:rPr>
            </w:pPr>
          </w:p>
        </w:tc>
      </w:tr>
      <w:tr>
        <w:trPr>
          <w:trHeight w:val="26"/>
        </w:trPr>
        <w:tc>
          <w:tcPr>
            <w:tcW w:w="36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131E29"/>
            </w:tcBorders>
          </w:tcPr>
          <w:p>
            <w:pPr>
              <w:spacing w:after="0"/>
              <w:rPr>
                <w:sz w:val="2"/>
                <w:szCs w:val="2"/>
                <w:color w:val="auto"/>
              </w:rPr>
            </w:pPr>
          </w:p>
        </w:tc>
        <w:tc>
          <w:tcPr>
            <w:tcW w:w="5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10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20" w:type="dxa"/>
            <w:vAlign w:val="bottom"/>
            <w:tcBorders>
              <w:bottom w:val="single" w:sz="8" w:color="131E29"/>
            </w:tcBorders>
          </w:tcPr>
          <w:p>
            <w:pPr>
              <w:spacing w:after="0"/>
              <w:rPr>
                <w:sz w:val="2"/>
                <w:szCs w:val="2"/>
                <w:color w:val="auto"/>
              </w:rPr>
            </w:pPr>
          </w:p>
        </w:tc>
        <w:tc>
          <w:tcPr>
            <w:tcW w:w="60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0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0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10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70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Net income (loss)</w:t>
            </w: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1,594</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0.8</w:t>
            </w:r>
          </w:p>
        </w:tc>
        <w:tc>
          <w:tcPr>
            <w:tcW w:w="10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(116,830)</w:t>
            </w:r>
          </w:p>
        </w:tc>
        <w:tc>
          <w:tcPr>
            <w:tcW w:w="1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(90.0)</w:t>
            </w:r>
          </w:p>
        </w:tc>
        <w:tc>
          <w:tcPr>
            <w:tcW w:w="100" w:type="dxa"/>
            <w:vAlign w:val="bottom"/>
            <w:tcBorders>
              <w:bottom w:val="single" w:sz="8" w:color="D2DCE5"/>
            </w:tcBorders>
            <w:shd w:val="clear" w:color="auto" w:fill="D2DCE5"/>
          </w:tcPr>
          <w:p>
            <w:pPr>
              <w:spacing w:after="0"/>
              <w:rPr>
                <w:sz w:val="21"/>
                <w:szCs w:val="21"/>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(16,436)</w:t>
            </w:r>
          </w:p>
        </w:tc>
        <w:tc>
          <w:tcPr>
            <w:tcW w:w="100" w:type="dxa"/>
            <w:vAlign w:val="bottom"/>
            <w:tcBorders>
              <w:bottom w:val="single" w:sz="8" w:color="D2DCE5"/>
            </w:tcBorders>
            <w:shd w:val="clear" w:color="auto" w:fill="D2DCE5"/>
          </w:tcPr>
          <w:p>
            <w:pPr>
              <w:spacing w:after="0"/>
              <w:rPr>
                <w:sz w:val="21"/>
                <w:szCs w:val="21"/>
                <w:color w:val="auto"/>
              </w:rPr>
            </w:pPr>
          </w:p>
        </w:tc>
        <w:tc>
          <w:tcPr>
            <w:tcW w:w="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(3.1)</w:t>
            </w:r>
          </w:p>
        </w:tc>
        <w:tc>
          <w:tcPr>
            <w:tcW w:w="8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(109,763)</w:t>
            </w:r>
          </w:p>
        </w:tc>
        <w:tc>
          <w:tcPr>
            <w:tcW w:w="100" w:type="dxa"/>
            <w:vAlign w:val="bottom"/>
            <w:tcBorders>
              <w:bottom w:val="single" w:sz="8" w:color="D2DCE5"/>
            </w:tcBorders>
            <w:shd w:val="clear" w:color="auto" w:fill="D2DCE5"/>
          </w:tcPr>
          <w:p>
            <w:pPr>
              <w:spacing w:after="0"/>
              <w:rPr>
                <w:sz w:val="21"/>
                <w:szCs w:val="21"/>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(30.7)</w:t>
            </w:r>
          </w:p>
        </w:tc>
        <w:tc>
          <w:tcPr>
            <w:tcW w:w="0" w:type="dxa"/>
            <w:vAlign w:val="bottom"/>
          </w:tcPr>
          <w:p>
            <w:pPr>
              <w:spacing w:after="0"/>
              <w:rPr>
                <w:sz w:val="1"/>
                <w:szCs w:val="1"/>
                <w:color w:val="auto"/>
              </w:rPr>
            </w:pPr>
          </w:p>
        </w:tc>
      </w:tr>
      <w:tr>
        <w:trPr>
          <w:trHeight w:val="243"/>
        </w:trPr>
        <w:tc>
          <w:tcPr>
            <w:tcW w:w="3700" w:type="dxa"/>
            <w:vAlign w:val="bottom"/>
            <w:gridSpan w:val="2"/>
          </w:tcPr>
          <w:p>
            <w:pPr>
              <w:ind w:left="180"/>
              <w:spacing w:after="0"/>
              <w:rPr>
                <w:sz w:val="20"/>
                <w:szCs w:val="20"/>
                <w:color w:val="auto"/>
              </w:rPr>
            </w:pPr>
            <w:r>
              <w:rPr>
                <w:rFonts w:ascii="Arial" w:cs="Arial" w:eastAsia="Arial" w:hAnsi="Arial"/>
                <w:sz w:val="18"/>
                <w:szCs w:val="18"/>
                <w:color w:val="131E29"/>
              </w:rPr>
              <w:t>Depreciation and amortization</w:t>
            </w:r>
          </w:p>
        </w:tc>
        <w:tc>
          <w:tcPr>
            <w:tcW w:w="940" w:type="dxa"/>
            <w:vAlign w:val="bottom"/>
          </w:tcPr>
          <w:p>
            <w:pPr>
              <w:jc w:val="right"/>
              <w:spacing w:after="0"/>
              <w:rPr>
                <w:sz w:val="20"/>
                <w:szCs w:val="20"/>
                <w:color w:val="auto"/>
              </w:rPr>
            </w:pPr>
            <w:r>
              <w:rPr>
                <w:rFonts w:ascii="Arial" w:cs="Arial" w:eastAsia="Arial" w:hAnsi="Arial"/>
                <w:sz w:val="18"/>
                <w:szCs w:val="18"/>
                <w:color w:val="131E29"/>
              </w:rPr>
              <w:t>11,810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131E29"/>
              </w:rPr>
              <w:t>5.9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6,696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5.2</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131E29"/>
              </w:rPr>
              <w:t>31,531</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5.9</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17,727</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131E29"/>
              </w:rPr>
              <w:t>5.0</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4"/>
        </w:trPr>
        <w:tc>
          <w:tcPr>
            <w:tcW w:w="370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 xml:space="preserve">Interest expense, net </w:t>
            </w:r>
            <w:r>
              <w:rPr>
                <w:rFonts w:ascii="Arial" w:cs="Arial" w:eastAsia="Arial" w:hAnsi="Arial"/>
                <w:sz w:val="23"/>
                <w:szCs w:val="23"/>
                <w:color w:val="131E29"/>
                <w:vertAlign w:val="superscript"/>
              </w:rPr>
              <w:t>2</w:t>
            </w:r>
          </w:p>
        </w:tc>
        <w:tc>
          <w:tcPr>
            <w:tcW w:w="9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5,011</w:t>
            </w:r>
          </w:p>
        </w:tc>
        <w:tc>
          <w:tcPr>
            <w:tcW w:w="100" w:type="dxa"/>
            <w:vAlign w:val="bottom"/>
            <w:shd w:val="clear" w:color="auto" w:fill="D2DCE5"/>
          </w:tcPr>
          <w:p>
            <w:pPr>
              <w:spacing w:after="0"/>
              <w:rPr>
                <w:sz w:val="24"/>
                <w:szCs w:val="24"/>
                <w:color w:val="auto"/>
              </w:rPr>
            </w:pPr>
          </w:p>
        </w:tc>
        <w:tc>
          <w:tcPr>
            <w:tcW w:w="160" w:type="dxa"/>
            <w:vAlign w:val="bottom"/>
            <w:shd w:val="clear" w:color="auto" w:fill="D2DCE5"/>
          </w:tcPr>
          <w:p>
            <w:pPr>
              <w:spacing w:after="0"/>
              <w:rPr>
                <w:sz w:val="24"/>
                <w:szCs w:val="24"/>
                <w:color w:val="auto"/>
              </w:rPr>
            </w:pPr>
          </w:p>
        </w:tc>
        <w:tc>
          <w:tcPr>
            <w:tcW w:w="5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2.5</w:t>
            </w:r>
          </w:p>
        </w:tc>
        <w:tc>
          <w:tcPr>
            <w:tcW w:w="100" w:type="dxa"/>
            <w:vAlign w:val="bottom"/>
            <w:shd w:val="clear" w:color="auto" w:fill="D2DCE5"/>
          </w:tcPr>
          <w:p>
            <w:pPr>
              <w:spacing w:after="0"/>
              <w:rPr>
                <w:sz w:val="24"/>
                <w:szCs w:val="24"/>
                <w:color w:val="auto"/>
              </w:rPr>
            </w:pPr>
          </w:p>
        </w:tc>
        <w:tc>
          <w:tcPr>
            <w:tcW w:w="11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2,393</w:t>
            </w:r>
          </w:p>
        </w:tc>
        <w:tc>
          <w:tcPr>
            <w:tcW w:w="100" w:type="dxa"/>
            <w:vAlign w:val="bottom"/>
            <w:shd w:val="clear" w:color="auto" w:fill="D2DCE5"/>
          </w:tcPr>
          <w:p>
            <w:pPr>
              <w:spacing w:after="0"/>
              <w:rPr>
                <w:sz w:val="24"/>
                <w:szCs w:val="24"/>
                <w:color w:val="auto"/>
              </w:rPr>
            </w:pPr>
          </w:p>
        </w:tc>
        <w:tc>
          <w:tcPr>
            <w:tcW w:w="120" w:type="dxa"/>
            <w:vAlign w:val="bottom"/>
            <w:shd w:val="clear" w:color="auto" w:fill="D2DCE5"/>
          </w:tcPr>
          <w:p>
            <w:pPr>
              <w:spacing w:after="0"/>
              <w:rPr>
                <w:sz w:val="24"/>
                <w:szCs w:val="24"/>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1.8</w:t>
            </w:r>
          </w:p>
        </w:tc>
        <w:tc>
          <w:tcPr>
            <w:tcW w:w="100" w:type="dxa"/>
            <w:vAlign w:val="bottom"/>
            <w:shd w:val="clear" w:color="auto" w:fill="D2DCE5"/>
          </w:tcPr>
          <w:p>
            <w:pPr>
              <w:spacing w:after="0"/>
              <w:rPr>
                <w:sz w:val="24"/>
                <w:szCs w:val="24"/>
                <w:color w:val="auto"/>
              </w:rPr>
            </w:pPr>
          </w:p>
        </w:tc>
        <w:tc>
          <w:tcPr>
            <w:tcW w:w="10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11,096</w:t>
            </w:r>
          </w:p>
        </w:tc>
        <w:tc>
          <w:tcPr>
            <w:tcW w:w="100" w:type="dxa"/>
            <w:vAlign w:val="bottom"/>
            <w:shd w:val="clear" w:color="auto" w:fill="D2DCE5"/>
          </w:tcPr>
          <w:p>
            <w:pPr>
              <w:spacing w:after="0"/>
              <w:rPr>
                <w:sz w:val="24"/>
                <w:szCs w:val="24"/>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2.1</w:t>
            </w:r>
          </w:p>
        </w:tc>
        <w:tc>
          <w:tcPr>
            <w:tcW w:w="80" w:type="dxa"/>
            <w:vAlign w:val="bottom"/>
            <w:shd w:val="clear" w:color="auto" w:fill="D2DCE5"/>
          </w:tcPr>
          <w:p>
            <w:pPr>
              <w:spacing w:after="0"/>
              <w:rPr>
                <w:sz w:val="24"/>
                <w:szCs w:val="24"/>
                <w:color w:val="auto"/>
              </w:rPr>
            </w:pPr>
          </w:p>
        </w:tc>
        <w:tc>
          <w:tcPr>
            <w:tcW w:w="11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5,248</w:t>
            </w:r>
          </w:p>
        </w:tc>
        <w:tc>
          <w:tcPr>
            <w:tcW w:w="100" w:type="dxa"/>
            <w:vAlign w:val="bottom"/>
            <w:shd w:val="clear" w:color="auto" w:fill="D2DCE5"/>
          </w:tcPr>
          <w:p>
            <w:pPr>
              <w:spacing w:after="0"/>
              <w:rPr>
                <w:sz w:val="24"/>
                <w:szCs w:val="24"/>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1.5</w:t>
            </w:r>
          </w:p>
        </w:tc>
        <w:tc>
          <w:tcPr>
            <w:tcW w:w="0" w:type="dxa"/>
            <w:vAlign w:val="bottom"/>
          </w:tcPr>
          <w:p>
            <w:pPr>
              <w:spacing w:after="0"/>
              <w:rPr>
                <w:sz w:val="1"/>
                <w:szCs w:val="1"/>
                <w:color w:val="auto"/>
              </w:rPr>
            </w:pPr>
          </w:p>
        </w:tc>
      </w:tr>
      <w:tr>
        <w:trPr>
          <w:trHeight w:val="98"/>
        </w:trPr>
        <w:tc>
          <w:tcPr>
            <w:tcW w:w="3600" w:type="dxa"/>
            <w:vAlign w:val="bottom"/>
            <w:tcBorders>
              <w:bottom w:val="single" w:sz="8" w:color="D2DCE5"/>
            </w:tcBorders>
            <w:shd w:val="clear" w:color="auto" w:fill="D2DCE5"/>
          </w:tcPr>
          <w:p>
            <w:pPr>
              <w:spacing w:after="0"/>
              <w:rPr>
                <w:sz w:val="8"/>
                <w:szCs w:val="8"/>
                <w:color w:val="auto"/>
              </w:rPr>
            </w:pPr>
          </w:p>
        </w:tc>
        <w:tc>
          <w:tcPr>
            <w:tcW w:w="100" w:type="dxa"/>
            <w:vAlign w:val="bottom"/>
            <w:tcBorders>
              <w:bottom w:val="single" w:sz="8" w:color="D2DCE5"/>
            </w:tcBorders>
            <w:shd w:val="clear" w:color="auto" w:fill="D2DCE5"/>
          </w:tcPr>
          <w:p>
            <w:pPr>
              <w:spacing w:after="0"/>
              <w:rPr>
                <w:sz w:val="8"/>
                <w:szCs w:val="8"/>
                <w:color w:val="auto"/>
              </w:rPr>
            </w:pPr>
          </w:p>
        </w:tc>
        <w:tc>
          <w:tcPr>
            <w:tcW w:w="940" w:type="dxa"/>
            <w:vAlign w:val="bottom"/>
            <w:tcBorders>
              <w:bottom w:val="single" w:sz="8" w:color="D2DCE5"/>
            </w:tcBorders>
            <w:vMerge w:val="continue"/>
            <w:shd w:val="clear" w:color="auto" w:fill="D2DCE5"/>
          </w:tcPr>
          <w:p>
            <w:pPr>
              <w:spacing w:after="0"/>
              <w:rPr>
                <w:sz w:val="8"/>
                <w:szCs w:val="8"/>
                <w:color w:val="auto"/>
              </w:rPr>
            </w:pPr>
          </w:p>
        </w:tc>
        <w:tc>
          <w:tcPr>
            <w:tcW w:w="100" w:type="dxa"/>
            <w:vAlign w:val="bottom"/>
            <w:tcBorders>
              <w:bottom w:val="single" w:sz="8" w:color="D2DCE5"/>
            </w:tcBorders>
            <w:shd w:val="clear" w:color="auto" w:fill="D2DCE5"/>
          </w:tcPr>
          <w:p>
            <w:pPr>
              <w:spacing w:after="0"/>
              <w:rPr>
                <w:sz w:val="8"/>
                <w:szCs w:val="8"/>
                <w:color w:val="auto"/>
              </w:rPr>
            </w:pPr>
          </w:p>
        </w:tc>
        <w:tc>
          <w:tcPr>
            <w:tcW w:w="160" w:type="dxa"/>
            <w:vAlign w:val="bottom"/>
            <w:tcBorders>
              <w:bottom w:val="single" w:sz="8" w:color="D2DCE5"/>
            </w:tcBorders>
            <w:shd w:val="clear" w:color="auto" w:fill="D2DCE5"/>
          </w:tcPr>
          <w:p>
            <w:pPr>
              <w:spacing w:after="0"/>
              <w:rPr>
                <w:sz w:val="8"/>
                <w:szCs w:val="8"/>
                <w:color w:val="auto"/>
              </w:rPr>
            </w:pPr>
          </w:p>
        </w:tc>
        <w:tc>
          <w:tcPr>
            <w:tcW w:w="540" w:type="dxa"/>
            <w:vAlign w:val="bottom"/>
            <w:tcBorders>
              <w:bottom w:val="single" w:sz="8" w:color="D2DCE5"/>
            </w:tcBorders>
            <w:vMerge w:val="continue"/>
            <w:shd w:val="clear" w:color="auto" w:fill="D2DCE5"/>
          </w:tcPr>
          <w:p>
            <w:pPr>
              <w:spacing w:after="0"/>
              <w:rPr>
                <w:sz w:val="8"/>
                <w:szCs w:val="8"/>
                <w:color w:val="auto"/>
              </w:rPr>
            </w:pPr>
          </w:p>
        </w:tc>
        <w:tc>
          <w:tcPr>
            <w:tcW w:w="100" w:type="dxa"/>
            <w:vAlign w:val="bottom"/>
            <w:tcBorders>
              <w:bottom w:val="single" w:sz="8" w:color="D2DCE5"/>
            </w:tcBorders>
            <w:shd w:val="clear" w:color="auto" w:fill="D2DCE5"/>
          </w:tcPr>
          <w:p>
            <w:pPr>
              <w:spacing w:after="0"/>
              <w:rPr>
                <w:sz w:val="8"/>
                <w:szCs w:val="8"/>
                <w:color w:val="auto"/>
              </w:rPr>
            </w:pPr>
          </w:p>
        </w:tc>
        <w:tc>
          <w:tcPr>
            <w:tcW w:w="1100" w:type="dxa"/>
            <w:vAlign w:val="bottom"/>
            <w:tcBorders>
              <w:bottom w:val="single" w:sz="8" w:color="D2DCE5"/>
            </w:tcBorders>
            <w:vMerge w:val="continue"/>
            <w:shd w:val="clear" w:color="auto" w:fill="D2DCE5"/>
          </w:tcPr>
          <w:p>
            <w:pPr>
              <w:spacing w:after="0"/>
              <w:rPr>
                <w:sz w:val="8"/>
                <w:szCs w:val="8"/>
                <w:color w:val="auto"/>
              </w:rPr>
            </w:pPr>
          </w:p>
        </w:tc>
        <w:tc>
          <w:tcPr>
            <w:tcW w:w="100" w:type="dxa"/>
            <w:vAlign w:val="bottom"/>
            <w:tcBorders>
              <w:bottom w:val="single" w:sz="8" w:color="D2DCE5"/>
            </w:tcBorders>
            <w:shd w:val="clear" w:color="auto" w:fill="D2DCE5"/>
          </w:tcPr>
          <w:p>
            <w:pPr>
              <w:spacing w:after="0"/>
              <w:rPr>
                <w:sz w:val="8"/>
                <w:szCs w:val="8"/>
                <w:color w:val="auto"/>
              </w:rPr>
            </w:pPr>
          </w:p>
        </w:tc>
        <w:tc>
          <w:tcPr>
            <w:tcW w:w="120" w:type="dxa"/>
            <w:vAlign w:val="bottom"/>
            <w:tcBorders>
              <w:bottom w:val="single" w:sz="8" w:color="D2DCE5"/>
            </w:tcBorders>
            <w:shd w:val="clear" w:color="auto" w:fill="D2DCE5"/>
          </w:tcPr>
          <w:p>
            <w:pPr>
              <w:spacing w:after="0"/>
              <w:rPr>
                <w:sz w:val="8"/>
                <w:szCs w:val="8"/>
                <w:color w:val="auto"/>
              </w:rPr>
            </w:pPr>
          </w:p>
        </w:tc>
        <w:tc>
          <w:tcPr>
            <w:tcW w:w="600" w:type="dxa"/>
            <w:vAlign w:val="bottom"/>
            <w:tcBorders>
              <w:bottom w:val="single" w:sz="8" w:color="D2DCE5"/>
            </w:tcBorders>
            <w:vMerge w:val="continue"/>
            <w:shd w:val="clear" w:color="auto" w:fill="D2DCE5"/>
          </w:tcPr>
          <w:p>
            <w:pPr>
              <w:spacing w:after="0"/>
              <w:rPr>
                <w:sz w:val="8"/>
                <w:szCs w:val="8"/>
                <w:color w:val="auto"/>
              </w:rPr>
            </w:pPr>
          </w:p>
        </w:tc>
        <w:tc>
          <w:tcPr>
            <w:tcW w:w="100" w:type="dxa"/>
            <w:vAlign w:val="bottom"/>
            <w:tcBorders>
              <w:bottom w:val="single" w:sz="8" w:color="D2DCE5"/>
            </w:tcBorders>
            <w:shd w:val="clear" w:color="auto" w:fill="D2DCE5"/>
          </w:tcPr>
          <w:p>
            <w:pPr>
              <w:spacing w:after="0"/>
              <w:rPr>
                <w:sz w:val="8"/>
                <w:szCs w:val="8"/>
                <w:color w:val="auto"/>
              </w:rPr>
            </w:pPr>
          </w:p>
        </w:tc>
        <w:tc>
          <w:tcPr>
            <w:tcW w:w="1000" w:type="dxa"/>
            <w:vAlign w:val="bottom"/>
            <w:tcBorders>
              <w:bottom w:val="single" w:sz="8" w:color="D2DCE5"/>
            </w:tcBorders>
            <w:vMerge w:val="continue"/>
            <w:shd w:val="clear" w:color="auto" w:fill="D2DCE5"/>
          </w:tcPr>
          <w:p>
            <w:pPr>
              <w:spacing w:after="0"/>
              <w:rPr>
                <w:sz w:val="8"/>
                <w:szCs w:val="8"/>
                <w:color w:val="auto"/>
              </w:rPr>
            </w:pPr>
          </w:p>
        </w:tc>
        <w:tc>
          <w:tcPr>
            <w:tcW w:w="100" w:type="dxa"/>
            <w:vAlign w:val="bottom"/>
            <w:tcBorders>
              <w:bottom w:val="single" w:sz="8" w:color="D2DCE5"/>
            </w:tcBorders>
            <w:shd w:val="clear" w:color="auto" w:fill="D2DCE5"/>
          </w:tcPr>
          <w:p>
            <w:pPr>
              <w:spacing w:after="0"/>
              <w:rPr>
                <w:sz w:val="8"/>
                <w:szCs w:val="8"/>
                <w:color w:val="auto"/>
              </w:rPr>
            </w:pPr>
          </w:p>
        </w:tc>
        <w:tc>
          <w:tcPr>
            <w:tcW w:w="600" w:type="dxa"/>
            <w:vAlign w:val="bottom"/>
            <w:tcBorders>
              <w:bottom w:val="single" w:sz="8" w:color="D2DCE5"/>
            </w:tcBorders>
            <w:vMerge w:val="continue"/>
            <w:shd w:val="clear" w:color="auto" w:fill="D2DCE5"/>
          </w:tcPr>
          <w:p>
            <w:pPr>
              <w:spacing w:after="0"/>
              <w:rPr>
                <w:sz w:val="8"/>
                <w:szCs w:val="8"/>
                <w:color w:val="auto"/>
              </w:rPr>
            </w:pPr>
          </w:p>
        </w:tc>
        <w:tc>
          <w:tcPr>
            <w:tcW w:w="80" w:type="dxa"/>
            <w:vAlign w:val="bottom"/>
            <w:tcBorders>
              <w:bottom w:val="single" w:sz="8" w:color="D2DCE5"/>
            </w:tcBorders>
            <w:shd w:val="clear" w:color="auto" w:fill="D2DCE5"/>
          </w:tcPr>
          <w:p>
            <w:pPr>
              <w:spacing w:after="0"/>
              <w:rPr>
                <w:sz w:val="8"/>
                <w:szCs w:val="8"/>
                <w:color w:val="auto"/>
              </w:rPr>
            </w:pPr>
          </w:p>
        </w:tc>
        <w:tc>
          <w:tcPr>
            <w:tcW w:w="1100" w:type="dxa"/>
            <w:vAlign w:val="bottom"/>
            <w:tcBorders>
              <w:bottom w:val="single" w:sz="8" w:color="D2DCE5"/>
            </w:tcBorders>
            <w:vMerge w:val="continue"/>
            <w:shd w:val="clear" w:color="auto" w:fill="D2DCE5"/>
          </w:tcPr>
          <w:p>
            <w:pPr>
              <w:spacing w:after="0"/>
              <w:rPr>
                <w:sz w:val="8"/>
                <w:szCs w:val="8"/>
                <w:color w:val="auto"/>
              </w:rPr>
            </w:pPr>
          </w:p>
        </w:tc>
        <w:tc>
          <w:tcPr>
            <w:tcW w:w="100" w:type="dxa"/>
            <w:vAlign w:val="bottom"/>
            <w:tcBorders>
              <w:bottom w:val="single" w:sz="8" w:color="D2DCE5"/>
            </w:tcBorders>
            <w:shd w:val="clear" w:color="auto" w:fill="D2DCE5"/>
          </w:tcPr>
          <w:p>
            <w:pPr>
              <w:spacing w:after="0"/>
              <w:rPr>
                <w:sz w:val="8"/>
                <w:szCs w:val="8"/>
                <w:color w:val="auto"/>
              </w:rPr>
            </w:pPr>
          </w:p>
        </w:tc>
        <w:tc>
          <w:tcPr>
            <w:tcW w:w="700" w:type="dxa"/>
            <w:vAlign w:val="bottom"/>
            <w:tcBorders>
              <w:bottom w:val="single" w:sz="8" w:color="D2DCE5"/>
            </w:tcBorders>
            <w:vMerge w:val="continue"/>
            <w:shd w:val="clear" w:color="auto" w:fill="D2DCE5"/>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700" w:type="dxa"/>
            <w:vAlign w:val="bottom"/>
            <w:gridSpan w:val="2"/>
          </w:tcPr>
          <w:p>
            <w:pPr>
              <w:ind w:left="180"/>
              <w:spacing w:after="0"/>
              <w:rPr>
                <w:sz w:val="20"/>
                <w:szCs w:val="20"/>
                <w:color w:val="auto"/>
              </w:rPr>
            </w:pPr>
            <w:r>
              <w:rPr>
                <w:rFonts w:ascii="Arial" w:cs="Arial" w:eastAsia="Arial" w:hAnsi="Arial"/>
                <w:sz w:val="18"/>
                <w:szCs w:val="18"/>
                <w:color w:val="131E29"/>
              </w:rPr>
              <w:t>Income tax benefit</w:t>
            </w:r>
          </w:p>
        </w:tc>
        <w:tc>
          <w:tcPr>
            <w:tcW w:w="940" w:type="dxa"/>
            <w:vAlign w:val="bottom"/>
          </w:tcPr>
          <w:p>
            <w:pPr>
              <w:ind w:left="340"/>
              <w:spacing w:after="0"/>
              <w:rPr>
                <w:sz w:val="20"/>
                <w:szCs w:val="20"/>
                <w:color w:val="auto"/>
              </w:rPr>
            </w:pPr>
            <w:r>
              <w:rPr>
                <w:rFonts w:ascii="Arial" w:cs="Arial" w:eastAsia="Arial" w:hAnsi="Arial"/>
                <w:sz w:val="18"/>
                <w:szCs w:val="18"/>
                <w:color w:val="131E29"/>
              </w:rPr>
              <w:t>(3,371)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131E29"/>
              </w:rPr>
              <w:t>(1.7)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(1,280)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(1.0)</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131E29"/>
              </w:rPr>
              <w:t>(2,700)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(0.5)</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(716)</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131E29"/>
              </w:rPr>
              <w:t>(0.2)</w:t>
            </w:r>
          </w:p>
        </w:tc>
        <w:tc>
          <w:tcPr>
            <w:tcW w:w="0" w:type="dxa"/>
            <w:vAlign w:val="bottom"/>
          </w:tcPr>
          <w:p>
            <w:pPr>
              <w:spacing w:after="0"/>
              <w:rPr>
                <w:sz w:val="1"/>
                <w:szCs w:val="1"/>
                <w:color w:val="auto"/>
              </w:rPr>
            </w:pPr>
          </w:p>
        </w:tc>
      </w:tr>
      <w:tr>
        <w:trPr>
          <w:trHeight w:val="27"/>
        </w:trPr>
        <w:tc>
          <w:tcPr>
            <w:tcW w:w="360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131E29"/>
            </w:tcBorders>
          </w:tcPr>
          <w:p>
            <w:pPr>
              <w:spacing w:after="0"/>
              <w:rPr>
                <w:sz w:val="2"/>
                <w:szCs w:val="2"/>
                <w:color w:val="auto"/>
              </w:rPr>
            </w:pPr>
          </w:p>
        </w:tc>
        <w:tc>
          <w:tcPr>
            <w:tcW w:w="5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20" w:type="dxa"/>
            <w:vAlign w:val="bottom"/>
            <w:tcBorders>
              <w:bottom w:val="single" w:sz="8" w:color="131E29"/>
            </w:tcBorders>
          </w:tcPr>
          <w:p>
            <w:pPr>
              <w:spacing w:after="0"/>
              <w:rPr>
                <w:sz w:val="2"/>
                <w:szCs w:val="2"/>
                <w:color w:val="auto"/>
              </w:rPr>
            </w:pPr>
          </w:p>
        </w:tc>
        <w:tc>
          <w:tcPr>
            <w:tcW w:w="60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0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70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70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b w:val="1"/>
                <w:bCs w:val="1"/>
                <w:color w:val="131E29"/>
              </w:rPr>
              <w:t>EBITDA</w:t>
            </w: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15,044</w:t>
            </w:r>
          </w:p>
        </w:tc>
        <w:tc>
          <w:tcPr>
            <w:tcW w:w="100" w:type="dxa"/>
            <w:vAlign w:val="bottom"/>
            <w:tcBorders>
              <w:bottom w:val="single" w:sz="8" w:color="D2DCE5"/>
            </w:tcBorders>
            <w:shd w:val="clear" w:color="auto" w:fill="D2DCE5"/>
          </w:tcPr>
          <w:p>
            <w:pPr>
              <w:spacing w:after="0"/>
              <w:rPr>
                <w:sz w:val="22"/>
                <w:szCs w:val="22"/>
                <w:color w:val="auto"/>
              </w:rPr>
            </w:pPr>
          </w:p>
        </w:tc>
        <w:tc>
          <w:tcPr>
            <w:tcW w:w="160" w:type="dxa"/>
            <w:vAlign w:val="bottom"/>
            <w:tcBorders>
              <w:bottom w:val="single" w:sz="8" w:color="D2DCE5"/>
            </w:tcBorders>
            <w:shd w:val="clear" w:color="auto" w:fill="D2DCE5"/>
          </w:tcPr>
          <w:p>
            <w:pPr>
              <w:spacing w:after="0"/>
              <w:rPr>
                <w:sz w:val="22"/>
                <w:szCs w:val="22"/>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7.6</w:t>
            </w:r>
          </w:p>
        </w:tc>
        <w:tc>
          <w:tcPr>
            <w:tcW w:w="100" w:type="dxa"/>
            <w:vAlign w:val="bottom"/>
            <w:tcBorders>
              <w:bottom w:val="single" w:sz="8" w:color="D2DCE5"/>
            </w:tcBorders>
            <w:shd w:val="clear" w:color="auto" w:fill="D2DCE5"/>
          </w:tcPr>
          <w:p>
            <w:pPr>
              <w:spacing w:after="0"/>
              <w:rPr>
                <w:sz w:val="22"/>
                <w:szCs w:val="22"/>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(109,021)</w:t>
            </w:r>
          </w:p>
        </w:tc>
        <w:tc>
          <w:tcPr>
            <w:tcW w:w="100" w:type="dxa"/>
            <w:vAlign w:val="bottom"/>
            <w:tcBorders>
              <w:bottom w:val="single" w:sz="8" w:color="D2DCE5"/>
            </w:tcBorders>
            <w:shd w:val="clear" w:color="auto" w:fill="D2DCE5"/>
          </w:tcPr>
          <w:p>
            <w:pPr>
              <w:spacing w:after="0"/>
              <w:rPr>
                <w:sz w:val="22"/>
                <w:szCs w:val="22"/>
                <w:color w:val="auto"/>
              </w:rPr>
            </w:pPr>
          </w:p>
        </w:tc>
        <w:tc>
          <w:tcPr>
            <w:tcW w:w="120" w:type="dxa"/>
            <w:vAlign w:val="bottom"/>
            <w:tcBorders>
              <w:bottom w:val="single" w:sz="8" w:color="D2DCE5"/>
            </w:tcBorders>
            <w:shd w:val="clear" w:color="auto" w:fill="D2DCE5"/>
          </w:tcPr>
          <w:p>
            <w:pPr>
              <w:spacing w:after="0"/>
              <w:rPr>
                <w:sz w:val="22"/>
                <w:szCs w:val="22"/>
                <w:color w:val="auto"/>
              </w:rPr>
            </w:pPr>
          </w:p>
        </w:tc>
        <w:tc>
          <w:tcPr>
            <w:tcW w:w="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(84.0)</w:t>
            </w:r>
          </w:p>
        </w:tc>
        <w:tc>
          <w:tcPr>
            <w:tcW w:w="100" w:type="dxa"/>
            <w:vAlign w:val="bottom"/>
            <w:tcBorders>
              <w:bottom w:val="single" w:sz="8" w:color="D2DCE5"/>
            </w:tcBorders>
            <w:shd w:val="clear" w:color="auto" w:fill="D2DCE5"/>
          </w:tcPr>
          <w:p>
            <w:pPr>
              <w:spacing w:after="0"/>
              <w:rPr>
                <w:sz w:val="22"/>
                <w:szCs w:val="22"/>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23,491</w:t>
            </w:r>
          </w:p>
        </w:tc>
        <w:tc>
          <w:tcPr>
            <w:tcW w:w="100" w:type="dxa"/>
            <w:vAlign w:val="bottom"/>
            <w:tcBorders>
              <w:bottom w:val="single" w:sz="8" w:color="D2DCE5"/>
            </w:tcBorders>
            <w:shd w:val="clear" w:color="auto" w:fill="D2DCE5"/>
          </w:tcPr>
          <w:p>
            <w:pPr>
              <w:spacing w:after="0"/>
              <w:rPr>
                <w:sz w:val="22"/>
                <w:szCs w:val="22"/>
                <w:color w:val="auto"/>
              </w:rPr>
            </w:pPr>
          </w:p>
        </w:tc>
        <w:tc>
          <w:tcPr>
            <w:tcW w:w="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4.4</w:t>
            </w:r>
          </w:p>
        </w:tc>
        <w:tc>
          <w:tcPr>
            <w:tcW w:w="80" w:type="dxa"/>
            <w:vAlign w:val="bottom"/>
            <w:tcBorders>
              <w:bottom w:val="single" w:sz="8" w:color="D2DCE5"/>
            </w:tcBorders>
            <w:shd w:val="clear" w:color="auto" w:fill="D2DCE5"/>
          </w:tcPr>
          <w:p>
            <w:pPr>
              <w:spacing w:after="0"/>
              <w:rPr>
                <w:sz w:val="22"/>
                <w:szCs w:val="22"/>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(87,504)</w:t>
            </w:r>
          </w:p>
        </w:tc>
        <w:tc>
          <w:tcPr>
            <w:tcW w:w="100" w:type="dxa"/>
            <w:vAlign w:val="bottom"/>
            <w:tcBorders>
              <w:bottom w:val="single" w:sz="8" w:color="D2DCE5"/>
            </w:tcBorders>
            <w:shd w:val="clear" w:color="auto" w:fill="D2DCE5"/>
          </w:tcPr>
          <w:p>
            <w:pPr>
              <w:spacing w:after="0"/>
              <w:rPr>
                <w:sz w:val="22"/>
                <w:szCs w:val="22"/>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(24.5)</w:t>
            </w:r>
          </w:p>
        </w:tc>
        <w:tc>
          <w:tcPr>
            <w:tcW w:w="0" w:type="dxa"/>
            <w:vAlign w:val="bottom"/>
          </w:tcPr>
          <w:p>
            <w:pPr>
              <w:spacing w:after="0"/>
              <w:rPr>
                <w:sz w:val="1"/>
                <w:szCs w:val="1"/>
                <w:color w:val="auto"/>
              </w:rPr>
            </w:pPr>
          </w:p>
        </w:tc>
      </w:tr>
      <w:tr>
        <w:trPr>
          <w:trHeight w:val="237"/>
        </w:trPr>
        <w:tc>
          <w:tcPr>
            <w:tcW w:w="3700" w:type="dxa"/>
            <w:vAlign w:val="bottom"/>
            <w:gridSpan w:val="2"/>
          </w:tcPr>
          <w:p>
            <w:pPr>
              <w:ind w:left="180"/>
              <w:spacing w:after="0"/>
              <w:rPr>
                <w:sz w:val="20"/>
                <w:szCs w:val="20"/>
                <w:color w:val="auto"/>
              </w:rPr>
            </w:pPr>
            <w:r>
              <w:rPr>
                <w:rFonts w:ascii="Arial" w:cs="Arial" w:eastAsia="Arial" w:hAnsi="Arial"/>
                <w:sz w:val="18"/>
                <w:szCs w:val="18"/>
                <w:color w:val="131E29"/>
              </w:rPr>
              <w:t>Equity-based compensation</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10,649</w:t>
            </w:r>
          </w:p>
        </w:tc>
        <w:tc>
          <w:tcPr>
            <w:tcW w:w="100" w:type="dxa"/>
            <w:vAlign w:val="bottom"/>
          </w:tcPr>
          <w:p>
            <w:pPr>
              <w:spacing w:after="0"/>
              <w:rPr>
                <w:sz w:val="20"/>
                <w:szCs w:val="20"/>
                <w:color w:val="auto"/>
              </w:rPr>
            </w:pPr>
          </w:p>
        </w:tc>
        <w:tc>
          <w:tcPr>
            <w:tcW w:w="160" w:type="dxa"/>
            <w:vAlign w:val="bottom"/>
            <w:tcBorders>
              <w:top w:val="single" w:sz="8" w:color="131E29"/>
            </w:tcBorders>
          </w:tcPr>
          <w:p>
            <w:pPr>
              <w:spacing w:after="0"/>
              <w:rPr>
                <w:sz w:val="20"/>
                <w:szCs w:val="20"/>
                <w:color w:val="auto"/>
              </w:rPr>
            </w:pPr>
          </w:p>
        </w:tc>
        <w:tc>
          <w:tcPr>
            <w:tcW w:w="540" w:type="dxa"/>
            <w:vAlign w:val="bottom"/>
            <w:tcBorders>
              <w:top w:val="single" w:sz="8" w:color="131E29"/>
            </w:tcBorders>
          </w:tcPr>
          <w:p>
            <w:pPr>
              <w:jc w:val="right"/>
              <w:spacing w:after="0"/>
              <w:rPr>
                <w:sz w:val="20"/>
                <w:szCs w:val="20"/>
                <w:color w:val="auto"/>
              </w:rPr>
            </w:pPr>
            <w:r>
              <w:rPr>
                <w:rFonts w:ascii="Arial" w:cs="Arial" w:eastAsia="Arial" w:hAnsi="Arial"/>
                <w:sz w:val="18"/>
                <w:szCs w:val="18"/>
                <w:color w:val="131E29"/>
              </w:rPr>
              <w:t>5.4</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124,779</w:t>
            </w:r>
          </w:p>
        </w:tc>
        <w:tc>
          <w:tcPr>
            <w:tcW w:w="100" w:type="dxa"/>
            <w:vAlign w:val="bottom"/>
          </w:tcPr>
          <w:p>
            <w:pPr>
              <w:spacing w:after="0"/>
              <w:rPr>
                <w:sz w:val="20"/>
                <w:szCs w:val="20"/>
                <w:color w:val="auto"/>
              </w:rPr>
            </w:pPr>
          </w:p>
        </w:tc>
        <w:tc>
          <w:tcPr>
            <w:tcW w:w="120" w:type="dxa"/>
            <w:vAlign w:val="bottom"/>
            <w:tcBorders>
              <w:top w:val="single" w:sz="8" w:color="131E29"/>
            </w:tcBorders>
          </w:tcPr>
          <w:p>
            <w:pPr>
              <w:spacing w:after="0"/>
              <w:rPr>
                <w:sz w:val="20"/>
                <w:szCs w:val="20"/>
                <w:color w:val="auto"/>
              </w:rPr>
            </w:pPr>
          </w:p>
        </w:tc>
        <w:tc>
          <w:tcPr>
            <w:tcW w:w="600" w:type="dxa"/>
            <w:vAlign w:val="bottom"/>
            <w:tcBorders>
              <w:top w:val="single" w:sz="8" w:color="131E29"/>
            </w:tcBorders>
          </w:tcPr>
          <w:p>
            <w:pPr>
              <w:jc w:val="right"/>
              <w:spacing w:after="0"/>
              <w:rPr>
                <w:sz w:val="20"/>
                <w:szCs w:val="20"/>
                <w:color w:val="auto"/>
              </w:rPr>
            </w:pPr>
            <w:r>
              <w:rPr>
                <w:rFonts w:ascii="Arial" w:cs="Arial" w:eastAsia="Arial" w:hAnsi="Arial"/>
                <w:sz w:val="18"/>
                <w:szCs w:val="18"/>
                <w:color w:val="131E29"/>
              </w:rPr>
              <w:t>96.1</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30,995</w:t>
            </w:r>
          </w:p>
        </w:tc>
        <w:tc>
          <w:tcPr>
            <w:tcW w:w="100" w:type="dxa"/>
            <w:vAlign w:val="bottom"/>
          </w:tcPr>
          <w:p>
            <w:pPr>
              <w:spacing w:after="0"/>
              <w:rPr>
                <w:sz w:val="20"/>
                <w:szCs w:val="20"/>
                <w:color w:val="auto"/>
              </w:rPr>
            </w:pPr>
          </w:p>
        </w:tc>
        <w:tc>
          <w:tcPr>
            <w:tcW w:w="600" w:type="dxa"/>
            <w:vAlign w:val="bottom"/>
            <w:tcBorders>
              <w:top w:val="single" w:sz="8" w:color="131E29"/>
            </w:tcBorders>
          </w:tcPr>
          <w:p>
            <w:pPr>
              <w:jc w:val="right"/>
              <w:spacing w:after="0"/>
              <w:rPr>
                <w:sz w:val="20"/>
                <w:szCs w:val="20"/>
                <w:color w:val="auto"/>
              </w:rPr>
            </w:pPr>
            <w:r>
              <w:rPr>
                <w:rFonts w:ascii="Arial" w:cs="Arial" w:eastAsia="Arial" w:hAnsi="Arial"/>
                <w:sz w:val="18"/>
                <w:szCs w:val="18"/>
                <w:color w:val="131E29"/>
              </w:rPr>
              <w:t>5.8</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147,761</w:t>
            </w:r>
          </w:p>
        </w:tc>
        <w:tc>
          <w:tcPr>
            <w:tcW w:w="100" w:type="dxa"/>
            <w:vAlign w:val="bottom"/>
          </w:tcPr>
          <w:p>
            <w:pPr>
              <w:spacing w:after="0"/>
              <w:rPr>
                <w:sz w:val="20"/>
                <w:szCs w:val="20"/>
                <w:color w:val="auto"/>
              </w:rPr>
            </w:pPr>
          </w:p>
        </w:tc>
        <w:tc>
          <w:tcPr>
            <w:tcW w:w="700" w:type="dxa"/>
            <w:vAlign w:val="bottom"/>
            <w:tcBorders>
              <w:top w:val="single" w:sz="8" w:color="131E29"/>
            </w:tcBorders>
          </w:tcPr>
          <w:p>
            <w:pPr>
              <w:jc w:val="right"/>
              <w:spacing w:after="0"/>
              <w:rPr>
                <w:sz w:val="20"/>
                <w:szCs w:val="20"/>
                <w:color w:val="auto"/>
              </w:rPr>
            </w:pPr>
            <w:r>
              <w:rPr>
                <w:rFonts w:ascii="Arial" w:cs="Arial" w:eastAsia="Arial" w:hAnsi="Arial"/>
                <w:sz w:val="18"/>
                <w:szCs w:val="18"/>
                <w:color w:val="131E29"/>
              </w:rPr>
              <w:t>41.3</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Expenses associated with equity offerings</w:t>
            </w:r>
          </w:p>
        </w:tc>
        <w:tc>
          <w:tcPr>
            <w:tcW w:w="1200" w:type="dxa"/>
            <w:vAlign w:val="bottom"/>
            <w:tcBorders>
              <w:bottom w:val="single" w:sz="8" w:color="D2DCE5"/>
            </w:tcBorders>
            <w:gridSpan w:val="3"/>
            <w:shd w:val="clear" w:color="auto" w:fill="D2DCE5"/>
          </w:tcPr>
          <w:p>
            <w:pPr>
              <w:jc w:val="right"/>
              <w:ind w:right="340"/>
              <w:spacing w:after="0"/>
              <w:rPr>
                <w:sz w:val="20"/>
                <w:szCs w:val="20"/>
                <w:color w:val="auto"/>
              </w:rPr>
            </w:pPr>
            <w:r>
              <w:rPr>
                <w:rFonts w:ascii="Arial" w:cs="Arial" w:eastAsia="Arial" w:hAnsi="Arial"/>
                <w:sz w:val="18"/>
                <w:szCs w:val="18"/>
                <w:color w:val="131E29"/>
              </w:rPr>
              <w:t>—</w:t>
            </w:r>
          </w:p>
        </w:tc>
        <w:tc>
          <w:tcPr>
            <w:tcW w:w="64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3,332</w:t>
            </w:r>
          </w:p>
        </w:tc>
        <w:tc>
          <w:tcPr>
            <w:tcW w:w="1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w:t>
            </w:r>
          </w:p>
        </w:tc>
        <w:tc>
          <w:tcPr>
            <w:tcW w:w="10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6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5,661</w:t>
            </w:r>
          </w:p>
        </w:tc>
        <w:tc>
          <w:tcPr>
            <w:tcW w:w="100" w:type="dxa"/>
            <w:vAlign w:val="bottom"/>
            <w:tcBorders>
              <w:bottom w:val="single" w:sz="8" w:color="D2DCE5"/>
            </w:tcBorders>
            <w:shd w:val="clear" w:color="auto" w:fill="D2DCE5"/>
          </w:tcPr>
          <w:p>
            <w:pPr>
              <w:spacing w:after="0"/>
              <w:rPr>
                <w:sz w:val="21"/>
                <w:szCs w:val="21"/>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w:t>
            </w:r>
          </w:p>
        </w:tc>
        <w:tc>
          <w:tcPr>
            <w:tcW w:w="0" w:type="dxa"/>
            <w:vAlign w:val="bottom"/>
          </w:tcPr>
          <w:p>
            <w:pPr>
              <w:spacing w:after="0"/>
              <w:rPr>
                <w:sz w:val="1"/>
                <w:szCs w:val="1"/>
                <w:color w:val="auto"/>
              </w:rPr>
            </w:pPr>
          </w:p>
        </w:tc>
      </w:tr>
      <w:tr>
        <w:trPr>
          <w:trHeight w:val="243"/>
        </w:trPr>
        <w:tc>
          <w:tcPr>
            <w:tcW w:w="3700" w:type="dxa"/>
            <w:vAlign w:val="bottom"/>
            <w:gridSpan w:val="2"/>
          </w:tcPr>
          <w:p>
            <w:pPr>
              <w:ind w:left="180"/>
              <w:spacing w:after="0"/>
              <w:rPr>
                <w:sz w:val="20"/>
                <w:szCs w:val="20"/>
                <w:color w:val="auto"/>
              </w:rPr>
            </w:pPr>
            <w:r>
              <w:rPr>
                <w:rFonts w:ascii="Arial" w:cs="Arial" w:eastAsia="Arial" w:hAnsi="Arial"/>
                <w:sz w:val="18"/>
                <w:szCs w:val="18"/>
                <w:color w:val="131E29"/>
              </w:rPr>
              <w:t>Donations associated with equity offerings</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131E2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1100" w:type="dxa"/>
            <w:vAlign w:val="bottom"/>
          </w:tcPr>
          <w:p>
            <w:pPr>
              <w:jc w:val="right"/>
              <w:spacing w:after="0"/>
              <w:rPr>
                <w:sz w:val="20"/>
                <w:szCs w:val="20"/>
                <w:color w:val="auto"/>
              </w:rPr>
            </w:pPr>
            <w:r>
              <w:rPr>
                <w:rFonts w:ascii="Arial" w:cs="Arial" w:eastAsia="Arial" w:hAnsi="Arial"/>
                <w:sz w:val="18"/>
                <w:szCs w:val="18"/>
                <w:color w:val="131E29"/>
              </w:rPr>
              <w:t>1,392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1.1</w:t>
            </w:r>
          </w:p>
        </w:tc>
        <w:tc>
          <w:tcPr>
            <w:tcW w:w="1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1100" w:type="dxa"/>
            <w:vAlign w:val="bottom"/>
          </w:tcPr>
          <w:p>
            <w:pPr>
              <w:jc w:val="right"/>
              <w:spacing w:after="0"/>
              <w:rPr>
                <w:sz w:val="20"/>
                <w:szCs w:val="20"/>
                <w:color w:val="auto"/>
              </w:rPr>
            </w:pPr>
            <w:r>
              <w:rPr>
                <w:rFonts w:ascii="Arial" w:cs="Arial" w:eastAsia="Arial" w:hAnsi="Arial"/>
                <w:sz w:val="18"/>
                <w:szCs w:val="18"/>
                <w:color w:val="131E29"/>
              </w:rPr>
              <w:t>1,392</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131E29"/>
              </w:rPr>
              <w:t>0.4</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370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COVID-19: “Thank You” pay and</w:t>
            </w:r>
          </w:p>
        </w:tc>
        <w:tc>
          <w:tcPr>
            <w:tcW w:w="9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60" w:type="dxa"/>
            <w:vAlign w:val="bottom"/>
            <w:shd w:val="clear" w:color="auto" w:fill="D2DCE5"/>
          </w:tcPr>
          <w:p>
            <w:pPr>
              <w:spacing w:after="0"/>
              <w:rPr>
                <w:sz w:val="21"/>
                <w:szCs w:val="21"/>
                <w:color w:val="auto"/>
              </w:rPr>
            </w:pPr>
          </w:p>
        </w:tc>
        <w:tc>
          <w:tcPr>
            <w:tcW w:w="5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10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20" w:type="dxa"/>
            <w:vAlign w:val="bottom"/>
            <w:shd w:val="clear" w:color="auto" w:fill="D2DCE5"/>
          </w:tcPr>
          <w:p>
            <w:pPr>
              <w:spacing w:after="0"/>
              <w:rPr>
                <w:sz w:val="21"/>
                <w:szCs w:val="21"/>
                <w:color w:val="auto"/>
              </w:rPr>
            </w:pPr>
          </w:p>
        </w:tc>
        <w:tc>
          <w:tcPr>
            <w:tcW w:w="60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00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60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110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70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7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catastrophic leave</w:t>
            </w: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227</w:t>
            </w:r>
          </w:p>
        </w:tc>
        <w:tc>
          <w:tcPr>
            <w:tcW w:w="100" w:type="dxa"/>
            <w:vAlign w:val="bottom"/>
            <w:tcBorders>
              <w:bottom w:val="single" w:sz="8" w:color="D2DCE5"/>
            </w:tcBorders>
            <w:shd w:val="clear" w:color="auto" w:fill="D2DCE5"/>
          </w:tcPr>
          <w:p>
            <w:pPr>
              <w:spacing w:after="0"/>
              <w:rPr>
                <w:sz w:val="19"/>
                <w:szCs w:val="19"/>
                <w:color w:val="auto"/>
              </w:rPr>
            </w:pPr>
          </w:p>
        </w:tc>
        <w:tc>
          <w:tcPr>
            <w:tcW w:w="160" w:type="dxa"/>
            <w:vAlign w:val="bottom"/>
            <w:tcBorders>
              <w:bottom w:val="single" w:sz="8" w:color="D2DCE5"/>
            </w:tcBorders>
            <w:shd w:val="clear" w:color="auto" w:fill="D2DCE5"/>
          </w:tcPr>
          <w:p>
            <w:pPr>
              <w:spacing w:after="0"/>
              <w:rPr>
                <w:sz w:val="19"/>
                <w:szCs w:val="19"/>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0.1</w:t>
            </w:r>
          </w:p>
        </w:tc>
        <w:tc>
          <w:tcPr>
            <w:tcW w:w="100" w:type="dxa"/>
            <w:vAlign w:val="bottom"/>
            <w:tcBorders>
              <w:bottom w:val="single" w:sz="8" w:color="D2DCE5"/>
            </w:tcBorders>
            <w:shd w:val="clear" w:color="auto" w:fill="D2DCE5"/>
          </w:tcPr>
          <w:p>
            <w:pPr>
              <w:spacing w:after="0"/>
              <w:rPr>
                <w:sz w:val="19"/>
                <w:szCs w:val="19"/>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473</w:t>
            </w:r>
          </w:p>
        </w:tc>
        <w:tc>
          <w:tcPr>
            <w:tcW w:w="100" w:type="dxa"/>
            <w:vAlign w:val="bottom"/>
            <w:tcBorders>
              <w:bottom w:val="single" w:sz="8" w:color="D2DCE5"/>
            </w:tcBorders>
            <w:shd w:val="clear" w:color="auto" w:fill="D2DCE5"/>
          </w:tcPr>
          <w:p>
            <w:pPr>
              <w:spacing w:after="0"/>
              <w:rPr>
                <w:sz w:val="19"/>
                <w:szCs w:val="19"/>
                <w:color w:val="auto"/>
              </w:rPr>
            </w:pPr>
          </w:p>
        </w:tc>
        <w:tc>
          <w:tcPr>
            <w:tcW w:w="120" w:type="dxa"/>
            <w:vAlign w:val="bottom"/>
            <w:tcBorders>
              <w:bottom w:val="single" w:sz="8" w:color="D2DCE5"/>
            </w:tcBorders>
            <w:shd w:val="clear" w:color="auto" w:fill="D2DCE5"/>
          </w:tcPr>
          <w:p>
            <w:pPr>
              <w:spacing w:after="0"/>
              <w:rPr>
                <w:sz w:val="19"/>
                <w:szCs w:val="19"/>
                <w:color w:val="auto"/>
              </w:rPr>
            </w:pPr>
          </w:p>
        </w:tc>
        <w:tc>
          <w:tcPr>
            <w:tcW w:w="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0.4</w:t>
            </w:r>
          </w:p>
        </w:tc>
        <w:tc>
          <w:tcPr>
            <w:tcW w:w="100" w:type="dxa"/>
            <w:vAlign w:val="bottom"/>
            <w:tcBorders>
              <w:bottom w:val="single" w:sz="8" w:color="D2DCE5"/>
            </w:tcBorders>
            <w:shd w:val="clear" w:color="auto" w:fill="D2DCE5"/>
          </w:tcPr>
          <w:p>
            <w:pPr>
              <w:spacing w:after="0"/>
              <w:rPr>
                <w:sz w:val="19"/>
                <w:szCs w:val="19"/>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1,401</w:t>
            </w:r>
          </w:p>
        </w:tc>
        <w:tc>
          <w:tcPr>
            <w:tcW w:w="100" w:type="dxa"/>
            <w:vAlign w:val="bottom"/>
            <w:tcBorders>
              <w:bottom w:val="single" w:sz="8" w:color="D2DCE5"/>
            </w:tcBorders>
            <w:shd w:val="clear" w:color="auto" w:fill="D2DCE5"/>
          </w:tcPr>
          <w:p>
            <w:pPr>
              <w:spacing w:after="0"/>
              <w:rPr>
                <w:sz w:val="19"/>
                <w:szCs w:val="19"/>
                <w:color w:val="auto"/>
              </w:rPr>
            </w:pPr>
          </w:p>
        </w:tc>
        <w:tc>
          <w:tcPr>
            <w:tcW w:w="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0.3</w:t>
            </w:r>
          </w:p>
        </w:tc>
        <w:tc>
          <w:tcPr>
            <w:tcW w:w="80" w:type="dxa"/>
            <w:vAlign w:val="bottom"/>
            <w:tcBorders>
              <w:bottom w:val="single" w:sz="8" w:color="D2DCE5"/>
            </w:tcBorders>
            <w:shd w:val="clear" w:color="auto" w:fill="D2DCE5"/>
          </w:tcPr>
          <w:p>
            <w:pPr>
              <w:spacing w:after="0"/>
              <w:rPr>
                <w:sz w:val="19"/>
                <w:szCs w:val="19"/>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3,029</w:t>
            </w:r>
          </w:p>
        </w:tc>
        <w:tc>
          <w:tcPr>
            <w:tcW w:w="100" w:type="dxa"/>
            <w:vAlign w:val="bottom"/>
            <w:tcBorders>
              <w:bottom w:val="single" w:sz="8" w:color="D2DCE5"/>
            </w:tcBorders>
            <w:shd w:val="clear" w:color="auto" w:fill="D2DCE5"/>
          </w:tcPr>
          <w:p>
            <w:pPr>
              <w:spacing w:after="0"/>
              <w:rPr>
                <w:sz w:val="19"/>
                <w:szCs w:val="19"/>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0.8</w:t>
            </w:r>
          </w:p>
        </w:tc>
        <w:tc>
          <w:tcPr>
            <w:tcW w:w="0" w:type="dxa"/>
            <w:vAlign w:val="bottom"/>
          </w:tcPr>
          <w:p>
            <w:pPr>
              <w:spacing w:after="0"/>
              <w:rPr>
                <w:sz w:val="1"/>
                <w:szCs w:val="1"/>
                <w:color w:val="auto"/>
              </w:rPr>
            </w:pPr>
          </w:p>
        </w:tc>
      </w:tr>
      <w:tr>
        <w:trPr>
          <w:trHeight w:val="243"/>
        </w:trPr>
        <w:tc>
          <w:tcPr>
            <w:tcW w:w="3700" w:type="dxa"/>
            <w:vAlign w:val="bottom"/>
            <w:gridSpan w:val="2"/>
          </w:tcPr>
          <w:p>
            <w:pPr>
              <w:ind w:left="180"/>
              <w:spacing w:after="0"/>
              <w:rPr>
                <w:sz w:val="20"/>
                <w:szCs w:val="20"/>
                <w:color w:val="auto"/>
              </w:rPr>
            </w:pPr>
            <w:r>
              <w:rPr>
                <w:rFonts w:ascii="Arial" w:cs="Arial" w:eastAsia="Arial" w:hAnsi="Arial"/>
                <w:sz w:val="18"/>
                <w:szCs w:val="18"/>
                <w:color w:val="131E29"/>
              </w:rPr>
              <w:t>COVID-19: Prepaid costs not utilized</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131E2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131E2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131E29"/>
              </w:rPr>
              <w:t>—</w:t>
            </w:r>
          </w:p>
        </w:tc>
        <w:tc>
          <w:tcPr>
            <w:tcW w:w="1000" w:type="dxa"/>
            <w:vAlign w:val="bottom"/>
          </w:tcPr>
          <w:p>
            <w:pPr>
              <w:jc w:val="right"/>
              <w:spacing w:after="0"/>
              <w:rPr>
                <w:sz w:val="20"/>
                <w:szCs w:val="20"/>
                <w:color w:val="auto"/>
              </w:rPr>
            </w:pPr>
            <w:r>
              <w:rPr>
                <w:rFonts w:ascii="Arial" w:cs="Arial" w:eastAsia="Arial" w:hAnsi="Arial"/>
                <w:sz w:val="18"/>
                <w:szCs w:val="18"/>
                <w:color w:val="131E29"/>
              </w:rPr>
              <w:t>1,200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0.2</w:t>
            </w:r>
          </w:p>
        </w:tc>
        <w:tc>
          <w:tcPr>
            <w:tcW w:w="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131E29"/>
              </w:rPr>
              <w:t>—</w:t>
            </w:r>
          </w:p>
        </w:tc>
        <w:tc>
          <w:tcPr>
            <w:tcW w:w="700" w:type="dxa"/>
            <w:vAlign w:val="bottom"/>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Milestone events</w:t>
            </w:r>
          </w:p>
        </w:tc>
        <w:tc>
          <w:tcPr>
            <w:tcW w:w="1200" w:type="dxa"/>
            <w:vAlign w:val="bottom"/>
            <w:tcBorders>
              <w:bottom w:val="single" w:sz="8" w:color="D2DCE5"/>
            </w:tcBorders>
            <w:gridSpan w:val="3"/>
            <w:shd w:val="clear" w:color="auto" w:fill="D2DCE5"/>
          </w:tcPr>
          <w:p>
            <w:pPr>
              <w:jc w:val="right"/>
              <w:ind w:right="340"/>
              <w:spacing w:after="0"/>
              <w:rPr>
                <w:sz w:val="20"/>
                <w:szCs w:val="20"/>
                <w:color w:val="auto"/>
              </w:rPr>
            </w:pPr>
            <w:r>
              <w:rPr>
                <w:rFonts w:ascii="Arial" w:cs="Arial" w:eastAsia="Arial" w:hAnsi="Arial"/>
                <w:sz w:val="18"/>
                <w:szCs w:val="18"/>
                <w:color w:val="131E29"/>
              </w:rPr>
              <w:t>—</w:t>
            </w:r>
          </w:p>
        </w:tc>
        <w:tc>
          <w:tcPr>
            <w:tcW w:w="64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1320" w:type="dxa"/>
            <w:vAlign w:val="bottom"/>
            <w:tcBorders>
              <w:bottom w:val="single" w:sz="8" w:color="D2DCE5"/>
            </w:tcBorders>
            <w:gridSpan w:val="3"/>
            <w:shd w:val="clear" w:color="auto" w:fill="D2DCE5"/>
          </w:tcPr>
          <w:p>
            <w:pPr>
              <w:jc w:val="right"/>
              <w:ind w:right="300"/>
              <w:spacing w:after="0"/>
              <w:rPr>
                <w:sz w:val="20"/>
                <w:szCs w:val="20"/>
                <w:color w:val="auto"/>
              </w:rPr>
            </w:pPr>
            <w:r>
              <w:rPr>
                <w:rFonts w:ascii="Arial" w:cs="Arial" w:eastAsia="Arial" w:hAnsi="Arial"/>
                <w:sz w:val="18"/>
                <w:szCs w:val="18"/>
                <w:color w:val="131E29"/>
              </w:rPr>
              <w:t>—</w:t>
            </w:r>
          </w:p>
        </w:tc>
        <w:tc>
          <w:tcPr>
            <w:tcW w:w="70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2,434</w:t>
            </w:r>
          </w:p>
        </w:tc>
        <w:tc>
          <w:tcPr>
            <w:tcW w:w="100" w:type="dxa"/>
            <w:vAlign w:val="bottom"/>
            <w:tcBorders>
              <w:bottom w:val="single" w:sz="8" w:color="D2DCE5"/>
            </w:tcBorders>
            <w:shd w:val="clear" w:color="auto" w:fill="D2DCE5"/>
          </w:tcPr>
          <w:p>
            <w:pPr>
              <w:spacing w:after="0"/>
              <w:rPr>
                <w:sz w:val="21"/>
                <w:szCs w:val="21"/>
                <w:color w:val="auto"/>
              </w:rPr>
            </w:pPr>
          </w:p>
        </w:tc>
        <w:tc>
          <w:tcPr>
            <w:tcW w:w="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0.5</w:t>
            </w:r>
          </w:p>
        </w:tc>
        <w:tc>
          <w:tcPr>
            <w:tcW w:w="80" w:type="dxa"/>
            <w:vAlign w:val="bottom"/>
            <w:tcBorders>
              <w:bottom w:val="single" w:sz="8" w:color="D2DCE5"/>
            </w:tcBorders>
            <w:shd w:val="clear" w:color="auto" w:fill="D2DCE5"/>
          </w:tcPr>
          <w:p>
            <w:pPr>
              <w:spacing w:after="0"/>
              <w:rPr>
                <w:sz w:val="21"/>
                <w:szCs w:val="21"/>
                <w:color w:val="auto"/>
              </w:rPr>
            </w:pPr>
          </w:p>
        </w:tc>
        <w:tc>
          <w:tcPr>
            <w:tcW w:w="120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43"/>
        </w:trPr>
        <w:tc>
          <w:tcPr>
            <w:tcW w:w="3700" w:type="dxa"/>
            <w:vAlign w:val="bottom"/>
            <w:gridSpan w:val="2"/>
          </w:tcPr>
          <w:p>
            <w:pPr>
              <w:ind w:left="180"/>
              <w:spacing w:after="0"/>
              <w:rPr>
                <w:sz w:val="20"/>
                <w:szCs w:val="20"/>
                <w:color w:val="auto"/>
              </w:rPr>
            </w:pPr>
            <w:r>
              <w:rPr>
                <w:rFonts w:ascii="Arial" w:cs="Arial" w:eastAsia="Arial" w:hAnsi="Arial"/>
                <w:sz w:val="18"/>
                <w:szCs w:val="18"/>
                <w:color w:val="131E29"/>
              </w:rPr>
              <w:t>TRAs remeasurement</w:t>
            </w:r>
          </w:p>
        </w:tc>
        <w:tc>
          <w:tcPr>
            <w:tcW w:w="940" w:type="dxa"/>
            <w:vAlign w:val="bottom"/>
          </w:tcPr>
          <w:p>
            <w:pPr>
              <w:jc w:val="right"/>
              <w:spacing w:after="0"/>
              <w:rPr>
                <w:sz w:val="20"/>
                <w:szCs w:val="20"/>
                <w:color w:val="auto"/>
              </w:rPr>
            </w:pPr>
            <w:r>
              <w:rPr>
                <w:rFonts w:ascii="Arial" w:cs="Arial" w:eastAsia="Arial" w:hAnsi="Arial"/>
                <w:sz w:val="18"/>
                <w:szCs w:val="18"/>
                <w:color w:val="131E29"/>
              </w:rPr>
              <w:t>1,910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131E29"/>
              </w:rPr>
              <w:t>1.0</w:t>
            </w:r>
          </w:p>
        </w:tc>
        <w:tc>
          <w:tcPr>
            <w:tcW w:w="100" w:type="dxa"/>
            <w:vAlign w:val="bottom"/>
          </w:tcPr>
          <w:p>
            <w:pPr>
              <w:spacing w:after="0"/>
              <w:rPr>
                <w:sz w:val="21"/>
                <w:szCs w:val="21"/>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131E2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131E29"/>
              </w:rPr>
              <w:t>—</w:t>
            </w:r>
          </w:p>
        </w:tc>
        <w:tc>
          <w:tcPr>
            <w:tcW w:w="1000" w:type="dxa"/>
            <w:vAlign w:val="bottom"/>
          </w:tcPr>
          <w:p>
            <w:pPr>
              <w:jc w:val="right"/>
              <w:spacing w:after="0"/>
              <w:rPr>
                <w:sz w:val="20"/>
                <w:szCs w:val="20"/>
                <w:color w:val="auto"/>
              </w:rPr>
            </w:pPr>
            <w:r>
              <w:rPr>
                <w:rFonts w:ascii="Arial" w:cs="Arial" w:eastAsia="Arial" w:hAnsi="Arial"/>
                <w:sz w:val="18"/>
                <w:szCs w:val="18"/>
                <w:color w:val="131E29"/>
              </w:rPr>
              <w:t>1,910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0.4</w:t>
            </w:r>
          </w:p>
        </w:tc>
        <w:tc>
          <w:tcPr>
            <w:tcW w:w="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131E29"/>
              </w:rPr>
              <w:t>—</w:t>
            </w:r>
          </w:p>
        </w:tc>
        <w:tc>
          <w:tcPr>
            <w:tcW w:w="700" w:type="dxa"/>
            <w:vAlign w:val="bottom"/>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7"/>
        </w:trPr>
        <w:tc>
          <w:tcPr>
            <w:tcW w:w="360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131E29"/>
            </w:tcBorders>
          </w:tcPr>
          <w:p>
            <w:pPr>
              <w:spacing w:after="0"/>
              <w:rPr>
                <w:sz w:val="2"/>
                <w:szCs w:val="2"/>
                <w:color w:val="auto"/>
              </w:rPr>
            </w:pPr>
          </w:p>
        </w:tc>
        <w:tc>
          <w:tcPr>
            <w:tcW w:w="5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20" w:type="dxa"/>
            <w:vAlign w:val="bottom"/>
            <w:tcBorders>
              <w:bottom w:val="single" w:sz="8" w:color="131E29"/>
            </w:tcBorders>
          </w:tcPr>
          <w:p>
            <w:pPr>
              <w:spacing w:after="0"/>
              <w:rPr>
                <w:sz w:val="2"/>
                <w:szCs w:val="2"/>
                <w:color w:val="auto"/>
              </w:rPr>
            </w:pPr>
          </w:p>
        </w:tc>
        <w:tc>
          <w:tcPr>
            <w:tcW w:w="60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0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70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70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b w:val="1"/>
                <w:bCs w:val="1"/>
                <w:color w:val="131E29"/>
              </w:rPr>
              <w:t>Adjusted EBITDA</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27,830</w:t>
            </w:r>
          </w:p>
        </w:tc>
        <w:tc>
          <w:tcPr>
            <w:tcW w:w="100" w:type="dxa"/>
            <w:vAlign w:val="bottom"/>
            <w:tcBorders>
              <w:bottom w:val="single" w:sz="8" w:color="D2DCE5"/>
            </w:tcBorders>
            <w:shd w:val="clear" w:color="auto" w:fill="D2DCE5"/>
          </w:tcPr>
          <w:p>
            <w:pPr>
              <w:spacing w:after="0"/>
              <w:rPr>
                <w:sz w:val="24"/>
                <w:szCs w:val="24"/>
                <w:color w:val="auto"/>
              </w:rPr>
            </w:pPr>
          </w:p>
        </w:tc>
        <w:tc>
          <w:tcPr>
            <w:tcW w:w="160" w:type="dxa"/>
            <w:vAlign w:val="bottom"/>
            <w:tcBorders>
              <w:bottom w:val="single" w:sz="8" w:color="131E29"/>
            </w:tcBorders>
            <w:shd w:val="clear" w:color="auto" w:fill="D2DCE5"/>
          </w:tcPr>
          <w:p>
            <w:pPr>
              <w:spacing w:after="0"/>
              <w:rPr>
                <w:sz w:val="24"/>
                <w:szCs w:val="24"/>
                <w:color w:val="auto"/>
              </w:rPr>
            </w:pPr>
          </w:p>
        </w:tc>
        <w:tc>
          <w:tcPr>
            <w:tcW w:w="54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color w:val="131E29"/>
              </w:rPr>
              <w:t>14.0</w:t>
            </w:r>
          </w:p>
        </w:tc>
        <w:tc>
          <w:tcPr>
            <w:tcW w:w="100" w:type="dxa"/>
            <w:vAlign w:val="bottom"/>
            <w:tcBorders>
              <w:bottom w:val="single" w:sz="8" w:color="D2DCE5"/>
            </w:tcBorders>
            <w:shd w:val="clear" w:color="auto" w:fill="D2DCE5"/>
          </w:tcPr>
          <w:p>
            <w:pPr>
              <w:spacing w:after="0"/>
              <w:rPr>
                <w:sz w:val="24"/>
                <w:szCs w:val="24"/>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20,955</w:t>
            </w:r>
          </w:p>
        </w:tc>
        <w:tc>
          <w:tcPr>
            <w:tcW w:w="100" w:type="dxa"/>
            <w:vAlign w:val="bottom"/>
            <w:tcBorders>
              <w:bottom w:val="single" w:sz="8" w:color="D2DCE5"/>
            </w:tcBorders>
            <w:shd w:val="clear" w:color="auto" w:fill="D2DCE5"/>
          </w:tcPr>
          <w:p>
            <w:pPr>
              <w:spacing w:after="0"/>
              <w:rPr>
                <w:sz w:val="24"/>
                <w:szCs w:val="24"/>
                <w:color w:val="auto"/>
              </w:rPr>
            </w:pPr>
          </w:p>
        </w:tc>
        <w:tc>
          <w:tcPr>
            <w:tcW w:w="120" w:type="dxa"/>
            <w:vAlign w:val="bottom"/>
            <w:tcBorders>
              <w:bottom w:val="single" w:sz="8" w:color="131E29"/>
            </w:tcBorders>
            <w:shd w:val="clear" w:color="auto" w:fill="D2DCE5"/>
          </w:tcPr>
          <w:p>
            <w:pPr>
              <w:spacing w:after="0"/>
              <w:rPr>
                <w:sz w:val="24"/>
                <w:szCs w:val="24"/>
                <w:color w:val="auto"/>
              </w:rPr>
            </w:pPr>
          </w:p>
        </w:tc>
        <w:tc>
          <w:tcPr>
            <w:tcW w:w="60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color w:val="131E29"/>
              </w:rPr>
              <w:t>16.1</w:t>
            </w:r>
          </w:p>
        </w:tc>
        <w:tc>
          <w:tcPr>
            <w:tcW w:w="100" w:type="dxa"/>
            <w:vAlign w:val="bottom"/>
            <w:tcBorders>
              <w:bottom w:val="single" w:sz="8" w:color="D2DCE5"/>
            </w:tcBorders>
            <w:shd w:val="clear" w:color="auto" w:fill="D2DCE5"/>
          </w:tcPr>
          <w:p>
            <w:pPr>
              <w:spacing w:after="0"/>
              <w:rPr>
                <w:sz w:val="24"/>
                <w:szCs w:val="24"/>
                <w:color w:val="auto"/>
              </w:rPr>
            </w:pP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61,431</w:t>
            </w:r>
          </w:p>
        </w:tc>
        <w:tc>
          <w:tcPr>
            <w:tcW w:w="100" w:type="dxa"/>
            <w:vAlign w:val="bottom"/>
            <w:tcBorders>
              <w:bottom w:val="single" w:sz="8" w:color="D2DCE5"/>
            </w:tcBorders>
            <w:shd w:val="clear" w:color="auto" w:fill="D2DCE5"/>
          </w:tcPr>
          <w:p>
            <w:pPr>
              <w:spacing w:after="0"/>
              <w:rPr>
                <w:sz w:val="24"/>
                <w:szCs w:val="24"/>
                <w:color w:val="auto"/>
              </w:rPr>
            </w:pPr>
          </w:p>
        </w:tc>
        <w:tc>
          <w:tcPr>
            <w:tcW w:w="60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color w:val="131E29"/>
              </w:rPr>
              <w:t>11.4</w:t>
            </w:r>
          </w:p>
        </w:tc>
        <w:tc>
          <w:tcPr>
            <w:tcW w:w="80" w:type="dxa"/>
            <w:vAlign w:val="bottom"/>
            <w:tcBorders>
              <w:bottom w:val="single" w:sz="8" w:color="D2DCE5"/>
            </w:tcBorders>
            <w:shd w:val="clear" w:color="auto" w:fill="D2DCE5"/>
          </w:tcPr>
          <w:p>
            <w:pPr>
              <w:spacing w:after="0"/>
              <w:rPr>
                <w:sz w:val="24"/>
                <w:szCs w:val="24"/>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70,339</w:t>
            </w:r>
          </w:p>
        </w:tc>
        <w:tc>
          <w:tcPr>
            <w:tcW w:w="100" w:type="dxa"/>
            <w:vAlign w:val="bottom"/>
            <w:tcBorders>
              <w:bottom w:val="single" w:sz="8" w:color="D2DCE5"/>
            </w:tcBorders>
            <w:shd w:val="clear" w:color="auto" w:fill="D2DCE5"/>
          </w:tcPr>
          <w:p>
            <w:pPr>
              <w:spacing w:after="0"/>
              <w:rPr>
                <w:sz w:val="24"/>
                <w:szCs w:val="24"/>
                <w:color w:val="auto"/>
              </w:rPr>
            </w:pPr>
          </w:p>
        </w:tc>
        <w:tc>
          <w:tcPr>
            <w:tcW w:w="70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color w:val="131E29"/>
              </w:rPr>
              <w:t>19.7</w:t>
            </w:r>
          </w:p>
        </w:tc>
        <w:tc>
          <w:tcPr>
            <w:tcW w:w="0" w:type="dxa"/>
            <w:vAlign w:val="bottom"/>
          </w:tcPr>
          <w:p>
            <w:pPr>
              <w:spacing w:after="0"/>
              <w:rPr>
                <w:sz w:val="1"/>
                <w:szCs w:val="1"/>
                <w:color w:val="auto"/>
              </w:rPr>
            </w:pPr>
          </w:p>
        </w:tc>
      </w:tr>
      <w:tr>
        <w:trPr>
          <w:trHeight w:val="20"/>
        </w:trPr>
        <w:tc>
          <w:tcPr>
            <w:tcW w:w="3600" w:type="dxa"/>
            <w:vAlign w:val="bottom"/>
            <w:tcBorders>
              <w:top w:val="single" w:sz="8" w:color="D2DCE5"/>
              <w:bottom w:val="single" w:sz="8" w:color="D2DCE5"/>
            </w:tcBorders>
            <w:vMerge w:val="restart"/>
          </w:tcPr>
          <w:p>
            <w:pPr>
              <w:spacing w:after="0"/>
              <w:rPr>
                <w:sz w:val="20"/>
                <w:szCs w:val="20"/>
                <w:color w:val="auto"/>
              </w:rPr>
            </w:pPr>
            <w:r>
              <w:rPr>
                <w:rFonts w:ascii="Arial" w:cs="Arial" w:eastAsia="Arial" w:hAnsi="Arial"/>
                <w:sz w:val="18"/>
                <w:szCs w:val="18"/>
                <w:color w:val="131E29"/>
              </w:rPr>
              <w:t>_________________</w:t>
            </w:r>
          </w:p>
        </w:tc>
        <w:tc>
          <w:tcPr>
            <w:tcW w:w="100" w:type="dxa"/>
            <w:vAlign w:val="bottom"/>
            <w:tcBorders>
              <w:top w:val="single" w:sz="8" w:color="D2DCE5"/>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131E29"/>
            </w:tcBorders>
          </w:tcPr>
          <w:p>
            <w:pPr>
              <w:spacing w:after="0" w:line="20" w:lineRule="exact"/>
              <w:rPr>
                <w:sz w:val="1"/>
                <w:szCs w:val="1"/>
                <w:color w:val="auto"/>
              </w:rPr>
            </w:pPr>
          </w:p>
        </w:tc>
        <w:tc>
          <w:tcPr>
            <w:tcW w:w="540" w:type="dxa"/>
            <w:vAlign w:val="bottom"/>
            <w:tcBorders>
              <w:top w:val="single" w:sz="8" w:color="D2DCE5"/>
              <w:bottom w:val="single" w:sz="8" w:color="131E29"/>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D2DCE5"/>
              <w:bottom w:val="single" w:sz="8" w:color="131E29"/>
            </w:tcBorders>
          </w:tcPr>
          <w:p>
            <w:pPr>
              <w:spacing w:after="0" w:line="20" w:lineRule="exact"/>
              <w:rPr>
                <w:sz w:val="1"/>
                <w:szCs w:val="1"/>
                <w:color w:val="auto"/>
              </w:rPr>
            </w:pPr>
          </w:p>
        </w:tc>
        <w:tc>
          <w:tcPr>
            <w:tcW w:w="600" w:type="dxa"/>
            <w:vAlign w:val="bottom"/>
            <w:tcBorders>
              <w:top w:val="single" w:sz="8" w:color="D2DCE5"/>
              <w:bottom w:val="single" w:sz="8" w:color="131E29"/>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600" w:type="dxa"/>
            <w:vAlign w:val="bottom"/>
            <w:tcBorders>
              <w:top w:val="single" w:sz="8" w:color="D2DCE5"/>
              <w:bottom w:val="single" w:sz="8" w:color="131E29"/>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700" w:type="dxa"/>
            <w:vAlign w:val="bottom"/>
            <w:tcBorders>
              <w:top w:val="single" w:sz="8" w:color="D2DCE5"/>
              <w:bottom w:val="single" w:sz="8" w:color="131E2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180" w:hanging="172"/>
        <w:spacing w:after="0"/>
        <w:tabs>
          <w:tab w:leader="none" w:pos="235"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Our historical results have been revised to reflect immaterial corrections related to the accrual of employee sick leave. For additional information, refer to NOTE 2 — Basis of Presentation and Summary of Significant Accounting Policies and NOTE 18 — Segment Reporting, included elsewhere in this Form 10-Q. The impacts of the immaterial corrections on our non-GAAP measures, not included elsewhere in this Form 10-Q, are presented below for the three and nine months ended September 30, 2021, respectively.</w:t>
      </w:r>
    </w:p>
    <w:p>
      <w:pPr>
        <w:spacing w:after="0" w:line="310" w:lineRule="exact"/>
        <w:rPr>
          <w:rFonts w:ascii="Arial" w:cs="Arial" w:eastAsia="Arial" w:hAnsi="Arial"/>
          <w:sz w:val="19"/>
          <w:szCs w:val="19"/>
          <w:color w:val="auto"/>
          <w:vertAlign w:val="superscript"/>
        </w:rPr>
      </w:pPr>
    </w:p>
    <w:p>
      <w:pPr>
        <w:ind w:left="660" w:hanging="328"/>
        <w:spacing w:after="0"/>
        <w:tabs>
          <w:tab w:leader="none" w:pos="6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Increase in EBITDA of $0.3 million and $1.5 million</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Increase in Adjusted EBITDA of $0.3 million and $1.5 million</w:t>
      </w:r>
    </w:p>
    <w:p>
      <w:pPr>
        <w:spacing w:after="0" w:line="163" w:lineRule="exact"/>
        <w:rPr>
          <w:sz w:val="20"/>
          <w:szCs w:val="20"/>
          <w:color w:val="auto"/>
        </w:rPr>
      </w:pPr>
    </w:p>
    <w:p>
      <w:pPr>
        <w:ind w:left="180" w:hanging="172"/>
        <w:spacing w:after="0" w:line="278" w:lineRule="auto"/>
        <w:tabs>
          <w:tab w:leader="none" w:pos="245" w:val="left"/>
        </w:tabs>
        <w:numPr>
          <w:ilvl w:val="0"/>
          <w:numId w:val="47"/>
        </w:numPr>
        <w:rPr>
          <w:rFonts w:ascii="Arial" w:cs="Arial" w:eastAsia="Arial" w:hAnsi="Arial"/>
          <w:sz w:val="9"/>
          <w:szCs w:val="9"/>
          <w:color w:val="auto"/>
        </w:rPr>
      </w:pPr>
      <w:r>
        <w:rPr>
          <w:rFonts w:ascii="Arial" w:cs="Arial" w:eastAsia="Arial" w:hAnsi="Arial"/>
          <w:sz w:val="14"/>
          <w:szCs w:val="14"/>
          <w:color w:val="auto"/>
        </w:rPr>
        <w:t>Effective for the three months ended September 30, 2022 and on a prospective basis, we recorded commitment fees for the unused portion of the revolving credit facility as interest expense. These amounts were previously recorded as selling, general, and administrative expense.</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3. QUANTITATIVE AND QUALITATIVE DISCLOSURES ABOUT MARKET RISK</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Commodity Risks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Our profitability is dependent on, among other things, our ability to anticipate and react to changes in the costs of key operating resources, including beverage commodities, energy, and other commodities. We have been able to partially offset cost increases resulting from several factors, including market conditions, shortages or interruptions in supply due to weather or other conditions beyond our control, governmental regulations and inflation by increasing our menu prices as well as making other operational adjustments that increase productivity. However, substantial increases in costs and expenses, including dairy, coffee, fuel, and packaging commodities pricing during the nine months ended September 30, 2022, could impact our operating results to the extent that such increases continue and cannot be offset by menu price increases. Additionally, if there is a time lag between increasing commodity prices and our ability to increase menu prices or if we choose not to pass on the cost increases, our operating results could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Labor and Benefits Costs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We have experienced minimum wage increases in several states. In the future, we may or may not be able to offset these cost increases with operational efficiencies or menu price increases. As of September 30, 2022, we employed approximately 13,000 hourly workers in our company-operated shops.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Interest Rate Risk</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have historically been exposed to interest rate risk through fluctuations in interest rates on our debt obligations. Our 2022 Credit Facility carries interest at a floating rate. We seek to manage exposure to adverse interest rate changes through our normal operating and financing activities. As of September 30, 2022, $98.8 million and $87.7 million were outstanding on our term loan and revolving loans, respectively. A hypothetical increase of interest rates up to 1% on our outstanding term and revolving loans as of September 30, 2022 would result in an increase in our annual interest expense of approximately $1.9 million. From time to time we may use interest rate swaps to mitigate the potential impacts of changes in benchmark interest rates on interest expense and cash flows.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Impact of Inflation</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The primary inflation factors affecting our operations are commodity and supplies, energy costs, and construction labor costs of company-operated shops. Increases in the minimum wage requirements directly affect our labor costs. Our leases require us to pay taxes, maintenance, repairs, insurance, and utilities, all of which are generally subject to inflationary increases. Finally, the total cost to build our shops is impacted by inflation. Specifically, increases in sitework and permitting, construction materials, labor, and equipment may increase our overall development costs and capital expenditures, and potentially result in higher rent expenses of new shops. We continue to encounter current commodity inflation, known or pending legislation that will increase minimum wages in certain states, and labor market forces that at times may cause us to increase wages in order to adequately staff our shops. We expect these to affect our operating results in the foreseeable future. While these cost increases have impacted our operating results, we have taken measures to gradually increase our menu prices to help offset these pressures. Price increases and other inflationary pressures may lead to decreases in consumer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4. CONTROLS AND PROCEDURES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Evaluation of Disclosure Controls and Procedures</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As of the end of the period covered by this Form 10-Q, our Chief Executive Officer (principal executive officer) and Chief Financial Officer (principal financial officer), have conducted an evaluation of the effectiveness of the design and operation of our disclosure controls and procedures (as defined in Rules 13a-15(e) and 15d-15(e) under the Securities Exchange Act of 1934, as amended (the Exchange Act)). Our certifying officers concluded that, as a result of the material weaknesses in internal control over financial reporting as described below, our disclosure controls and procedures were not effective as of September 30, 2022. Per Rules 13a-15(e) and 15d-15(e), the term disclosure controls and procedures means controls and other procedures of an issuer that are designed to ensure that information required to be disclosed by the issuer in the reports that it files or submits under the Exchange Act (15 U.S.C. 78a et seq.)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Chief Executive Officer and Chief Financial Officer, or persons performing similar functions, as appropriate to allow timely decisions regarding required disclosure. Our management, including our chief executive officer and chief financial officer, does not expect that our disclosure controls and procedures or our internal control over financial reporting will prevent all errors and all fraud due to inherent limitations of internal controls.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We previously identified and disclosed in Part II, Item 9A of our Annual Report on Form 10-K for the year ended December 31, 2021, material weaknesses in our internal control over financial reporting due to limited accounting department personnel capable of appropriately accounting for complex transactions undertaken by the Company and insufficient controls over the review and approval of manual journal entries, including appropriate segregation of duties. Additionally, as a result of the limited accounting department personnel we were unable to maintain an effective risk assessment process necessary to identify all relevant risks of material misstatement and to evaluate the implications of relevant risks on our internal control over financial reporting. As a consequence of the material weaknesses described above, internal control deficiencies related to the design and operation of process-level controls were determined to be pervasive throughout the Company’s financial reporting processes.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Notwithstanding the previously identified material weaknesses, management believes the condensed consolidated financial statements included in this Quarterly Report on Form 10-Q fairly present, in all material respects, our financial condition, results of operations and cash flows as of and for the periods presented in accordance with GAAP.</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Remediation Efforts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remedial actions have been taken as of September 30, 2022:</w:t>
      </w:r>
    </w:p>
    <w:p>
      <w:pPr>
        <w:spacing w:after="0" w:line="171" w:lineRule="exact"/>
        <w:rPr>
          <w:sz w:val="20"/>
          <w:szCs w:val="20"/>
          <w:color w:val="auto"/>
        </w:rPr>
      </w:pPr>
    </w:p>
    <w:p>
      <w:pPr>
        <w:ind w:left="340" w:hanging="332"/>
        <w:spacing w:after="0" w:line="261" w:lineRule="auto"/>
        <w:tabs>
          <w:tab w:leader="none" w:pos="335"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Hired additional full-time accounting subject matter experts with appropriate levels of experience, and augmented skills gaps with external experts;</w:t>
      </w:r>
    </w:p>
    <w:p>
      <w:pPr>
        <w:spacing w:after="0" w:line="143"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Reallocated responsibilities across the accounting organization to ensure level of knowledge and experience are applied based on risk and complexity of transactions and tasks under review, as well as to establish appropriate segregation of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Engaged a professional accounting services firm for technical support in critical areas regarding pronouncements and standards;</w:t>
      </w:r>
    </w:p>
    <w:p>
      <w:pPr>
        <w:spacing w:after="0" w:line="171"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Established procedures to document review of manual journal entries and are in the process of implementing applications controls within the accounting system to ensure proper segregation of duties;</w:t>
      </w:r>
    </w:p>
    <w:p>
      <w:pPr>
        <w:spacing w:after="0" w:line="143" w:lineRule="exact"/>
        <w:rPr>
          <w:rFonts w:ascii="Arial" w:cs="Arial" w:eastAsia="Arial" w:hAnsi="Arial"/>
          <w:sz w:val="18"/>
          <w:szCs w:val="18"/>
          <w:color w:val="131E29"/>
        </w:rPr>
      </w:pPr>
    </w:p>
    <w:p>
      <w:pPr>
        <w:ind w:left="340" w:right="20" w:hanging="332"/>
        <w:spacing w:after="0" w:line="261" w:lineRule="auto"/>
        <w:tabs>
          <w:tab w:leader="none" w:pos="335"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Initiated detailed accounting policies review to confirm alignment with GAAP. This review process identified the immaterial error related to historic sick leave pay accruals that should not have been recorded; and</w:t>
      </w:r>
    </w:p>
    <w:p>
      <w:pPr>
        <w:spacing w:after="0" w:line="143" w:lineRule="exact"/>
        <w:rPr>
          <w:rFonts w:ascii="Arial" w:cs="Arial" w:eastAsia="Arial" w:hAnsi="Arial"/>
          <w:sz w:val="18"/>
          <w:szCs w:val="18"/>
          <w:color w:val="131E29"/>
        </w:rPr>
      </w:pPr>
    </w:p>
    <w:p>
      <w:pPr>
        <w:jc w:val="both"/>
        <w:ind w:left="340" w:hanging="332"/>
        <w:spacing w:after="0" w:line="256" w:lineRule="auto"/>
        <w:tabs>
          <w:tab w:leader="none" w:pos="335"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Commenced an entity-wide risk assessment process which will include documenting internal ownership of risk monitoring and mitigation efforts, risk monitoring activities, and regular reporting by internal audit to executive management and our Audit and Risk Committee of the board of directors on an appropriate frequency.</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While significant progress has been made to enhance our internal control over financial reporting, we are still in the process of implementing and testing these remediated processes, procedures and controls. Additional time is required to complete our assessment. We believe the above actions will be effective in remediating the material weaknesses described above. However, the material weaknesses cannot be considered remediated until controls operate for a sufficient period of time and management has concluded, through testing, that these controls are operating effectively. As such, we were unable to conclude that the material weakness had been remediated as of September 30, 2022, and therefore have concluded that our disclosure controls and procedures were not effective as of September 30, 2022.</w:t>
      </w: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Changes in Internal Control over Financial Reporting</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Beginning January 1, 2022, we implemented ASU 2016-02, as amended, which required the implementation of internal controls to ensure we adequately evaluated our real estate and other vendor contracts and agreements and properly assessed the impact of the new accounting standard. In addition, the new leasing standard had a material impact on our condensed consolidated balance sheets as well as additional disclosure requirements. As such, we implemented changes to our policies and internal control over financial reporting related to our accounting for leases.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Other than those with respect to leases and the remediation efforts described above in our internal control over financial reporting (as defined in Rules 13a-15(f) and 1d-15(f) under the Exchange Act), no other changes occurred during the three months ended September 30, 2022 that have materially affected, or are reasonably likely to materially affect, our internal control over financial reporting.</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098"/>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028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1. LEGAL PROCEEDINGS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131E29"/>
        </w:rPr>
        <w:t>We are not currently involved in any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1A.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Summary of Risk Factors</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131E29"/>
        </w:rPr>
        <w:t>Below is a summary of the principal factors that make an investment in our Class A common stock speculative or risky. This summary does not address all of the risks that we face. Additional discussion of the risks summarized in this summary, and other risks that we face, can be found below under the heading “Risk Factors” and should be carefully considered, together with other information in this Form 10-Q and our other filings with the SEC before making investment decisions regarding our Class A common stock.</w:t>
      </w:r>
    </w:p>
    <w:p>
      <w:pPr>
        <w:spacing w:after="0" w:line="225"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Evolving consumer preferences and tastes or changes in consumer spending may adversely affect our business.</w:t>
      </w:r>
    </w:p>
    <w:p>
      <w:pPr>
        <w:spacing w:after="0" w:line="171" w:lineRule="exact"/>
        <w:rPr>
          <w:rFonts w:ascii="Arial" w:cs="Arial" w:eastAsia="Arial" w:hAnsi="Arial"/>
          <w:sz w:val="18"/>
          <w:szCs w:val="18"/>
          <w:color w:val="131E29"/>
        </w:rPr>
      </w:pPr>
    </w:p>
    <w:p>
      <w:pPr>
        <w:jc w:val="both"/>
        <w:ind w:left="340" w:hanging="332"/>
        <w:spacing w:after="0" w:line="256" w:lineRule="auto"/>
        <w:tabs>
          <w:tab w:leader="none" w:pos="335"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Our financial condition and quarterly results of operations are subject to, and may be adversely affected by, a number of factors, many of which are also largely outside our control and as such our results may fluctuate significantly and may not fully reflect the underlying performance of our business.</w:t>
      </w:r>
    </w:p>
    <w:p>
      <w:pPr>
        <w:spacing w:after="0" w:line="147" w:lineRule="exact"/>
        <w:rPr>
          <w:rFonts w:ascii="Arial" w:cs="Arial" w:eastAsia="Arial" w:hAnsi="Arial"/>
          <w:sz w:val="18"/>
          <w:szCs w:val="18"/>
          <w:color w:val="131E29"/>
        </w:rPr>
      </w:pPr>
    </w:p>
    <w:p>
      <w:pPr>
        <w:jc w:val="both"/>
        <w:ind w:left="340" w:hanging="332"/>
        <w:spacing w:after="0" w:line="254" w:lineRule="auto"/>
        <w:tabs>
          <w:tab w:leader="none" w:pos="335"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We may not be able to compete successfully with other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 or we are forced to change our pricing and other marketing strategies.</w:t>
      </w:r>
    </w:p>
    <w:p>
      <w:pPr>
        <w:spacing w:after="0" w:line="149" w:lineRule="exact"/>
        <w:rPr>
          <w:rFonts w:ascii="Arial" w:cs="Arial" w:eastAsia="Arial" w:hAnsi="Arial"/>
          <w:sz w:val="18"/>
          <w:szCs w:val="18"/>
          <w:color w:val="131E29"/>
        </w:rPr>
      </w:pPr>
    </w:p>
    <w:p>
      <w:pPr>
        <w:ind w:left="320" w:hanging="312"/>
        <w:spacing w:after="0"/>
        <w:tabs>
          <w:tab w:leader="none" w:pos="320"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Our failure to manage our growth effectively could harm our business and operating results.</w:t>
      </w:r>
    </w:p>
    <w:p>
      <w:pPr>
        <w:spacing w:after="0" w:line="171"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Our inability to identify, recruit and retain qualified individuals for our shops could slow our growth and adversely impact our ability to operate.</w:t>
      </w:r>
    </w:p>
    <w:p>
      <w:pPr>
        <w:spacing w:after="0" w:line="143" w:lineRule="exact"/>
        <w:rPr>
          <w:rFonts w:ascii="Arial" w:cs="Arial" w:eastAsia="Arial" w:hAnsi="Arial"/>
          <w:sz w:val="18"/>
          <w:szCs w:val="18"/>
          <w:color w:val="131E29"/>
        </w:rPr>
      </w:pPr>
    </w:p>
    <w:p>
      <w:pPr>
        <w:ind w:left="340" w:right="20" w:hanging="332"/>
        <w:spacing w:after="0" w:line="261" w:lineRule="auto"/>
        <w:tabs>
          <w:tab w:leader="none" w:pos="335"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Our shops are geographically concentrated in the Western United States, and we could be negatively affected by conditions specific to that region.</w:t>
      </w:r>
    </w:p>
    <w:p>
      <w:pPr>
        <w:spacing w:after="0" w:line="143" w:lineRule="exact"/>
        <w:rPr>
          <w:rFonts w:ascii="Arial" w:cs="Arial" w:eastAsia="Arial" w:hAnsi="Arial"/>
          <w:sz w:val="18"/>
          <w:szCs w:val="18"/>
          <w:color w:val="131E29"/>
        </w:rPr>
      </w:pPr>
    </w:p>
    <w:p>
      <w:pPr>
        <w:ind w:left="340" w:right="20" w:hanging="332"/>
        <w:spacing w:after="0" w:line="261" w:lineRule="auto"/>
        <w:tabs>
          <w:tab w:leader="none" w:pos="335"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Interruption of our supply chain of coffee, flavored syrups or other ingredients, coffee machines and other restaurant equipment or packaging could affect our ability to produce or deliver our products and could negatively impact our business and profitability.</w:t>
      </w:r>
    </w:p>
    <w:p>
      <w:pPr>
        <w:spacing w:after="0" w:line="143" w:lineRule="exact"/>
        <w:rPr>
          <w:rFonts w:ascii="Arial" w:cs="Arial" w:eastAsia="Arial" w:hAnsi="Arial"/>
          <w:sz w:val="18"/>
          <w:szCs w:val="18"/>
          <w:color w:val="131E29"/>
        </w:rPr>
      </w:pPr>
    </w:p>
    <w:p>
      <w:pPr>
        <w:ind w:left="340" w:right="20" w:hanging="332"/>
        <w:spacing w:after="0" w:line="261" w:lineRule="auto"/>
        <w:tabs>
          <w:tab w:leader="none" w:pos="335"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Increases in the cost of high-quality arabica coffee beans, dairy or other commodities or decreases in the availability of high-quality arabica coffee beans, dairy or other commodities could have an adverse impact on our business and financial results.</w:t>
      </w:r>
    </w:p>
    <w:p>
      <w:pPr>
        <w:spacing w:after="0" w:line="143" w:lineRule="exact"/>
        <w:rPr>
          <w:rFonts w:ascii="Arial" w:cs="Arial" w:eastAsia="Arial" w:hAnsi="Arial"/>
          <w:sz w:val="18"/>
          <w:szCs w:val="18"/>
          <w:color w:val="131E29"/>
        </w:rPr>
      </w:pPr>
    </w:p>
    <w:p>
      <w:pPr>
        <w:ind w:left="340" w:right="20" w:hanging="332"/>
        <w:spacing w:after="0" w:line="261" w:lineRule="auto"/>
        <w:tabs>
          <w:tab w:leader="none" w:pos="335"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Pandemics or disease outbreaks such as the ongoing COVID-19 pandemic have had, and may continue to have, an effect on our business and results of operations.</w:t>
      </w:r>
    </w:p>
    <w:p>
      <w:pPr>
        <w:spacing w:after="0" w:line="143"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Our success depends substantially on the value of our brand and failure to preserve its value could have a negative impact on our financial results.</w:t>
      </w:r>
    </w:p>
    <w:p>
      <w:pPr>
        <w:spacing w:after="0" w:line="143" w:lineRule="exact"/>
        <w:rPr>
          <w:rFonts w:ascii="Arial" w:cs="Arial" w:eastAsia="Arial" w:hAnsi="Arial"/>
          <w:sz w:val="18"/>
          <w:szCs w:val="18"/>
          <w:color w:val="131E29"/>
        </w:rPr>
      </w:pPr>
    </w:p>
    <w:p>
      <w:pPr>
        <w:jc w:val="both"/>
        <w:ind w:left="340" w:hanging="332"/>
        <w:spacing w:after="0" w:line="256" w:lineRule="auto"/>
        <w:tabs>
          <w:tab w:leader="none" w:pos="335"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reduce our sales.</w:t>
      </w:r>
    </w:p>
    <w:p>
      <w:pPr>
        <w:spacing w:after="0" w:line="147" w:lineRule="exact"/>
        <w:rPr>
          <w:rFonts w:ascii="Arial" w:cs="Arial" w:eastAsia="Arial" w:hAnsi="Arial"/>
          <w:sz w:val="18"/>
          <w:szCs w:val="18"/>
          <w:color w:val="131E29"/>
        </w:rPr>
      </w:pPr>
    </w:p>
    <w:p>
      <w:pPr>
        <w:ind w:left="320" w:hanging="312"/>
        <w:spacing w:after="0"/>
        <w:tabs>
          <w:tab w:leader="none" w:pos="320"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Changes in the availability of and the cost of labor could harm our business.</w:t>
      </w:r>
    </w:p>
    <w:p>
      <w:pPr>
        <w:spacing w:after="0" w:line="171"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Our culture has contributed to our success, and if we cannot maintain this culture as we grow, we could lose the high employee engagement fostered by our culture,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0" w:hanging="332"/>
        <w:spacing w:after="0" w:line="261" w:lineRule="auto"/>
        <w:tabs>
          <w:tab w:leader="none" w:pos="335" w:val="left"/>
        </w:tabs>
        <w:numPr>
          <w:ilvl w:val="0"/>
          <w:numId w:val="51"/>
        </w:numPr>
        <w:rPr>
          <w:rFonts w:ascii="Arial" w:cs="Arial" w:eastAsia="Arial" w:hAnsi="Arial"/>
          <w:sz w:val="18"/>
          <w:szCs w:val="18"/>
          <w:color w:val="131E29"/>
        </w:rPr>
      </w:pPr>
      <w:r>
        <w:rPr>
          <w:rFonts w:ascii="Arial" w:cs="Arial" w:eastAsia="Arial" w:hAnsi="Arial"/>
          <w:sz w:val="18"/>
          <w:szCs w:val="18"/>
          <w:color w:val="131E29"/>
        </w:rPr>
        <w:t>Our Co-Founder and Sponsor continue to have significant influence over us, which could limit your ability to influence the outcome of matters submitted to stockholders for a vote.</w:t>
      </w:r>
    </w:p>
    <w:p>
      <w:pPr>
        <w:spacing w:after="0" w:line="143" w:lineRule="exact"/>
        <w:rPr>
          <w:rFonts w:ascii="Arial" w:cs="Arial" w:eastAsia="Arial" w:hAnsi="Arial"/>
          <w:sz w:val="18"/>
          <w:szCs w:val="18"/>
          <w:color w:val="131E29"/>
        </w:rPr>
      </w:pPr>
    </w:p>
    <w:p>
      <w:pPr>
        <w:jc w:val="both"/>
        <w:ind w:left="340" w:hanging="332"/>
        <w:spacing w:after="0" w:line="256" w:lineRule="auto"/>
        <w:tabs>
          <w:tab w:leader="none" w:pos="335" w:val="left"/>
        </w:tabs>
        <w:numPr>
          <w:ilvl w:val="0"/>
          <w:numId w:val="51"/>
        </w:numPr>
        <w:rPr>
          <w:rFonts w:ascii="Arial" w:cs="Arial" w:eastAsia="Arial" w:hAnsi="Arial"/>
          <w:sz w:val="18"/>
          <w:szCs w:val="18"/>
          <w:color w:val="131E29"/>
        </w:rPr>
      </w:pPr>
      <w:r>
        <w:rPr>
          <w:rFonts w:ascii="Arial" w:cs="Arial" w:eastAsia="Arial" w:hAnsi="Arial"/>
          <w:sz w:val="18"/>
          <w:szCs w:val="18"/>
          <w:color w:val="131E29"/>
        </w:rPr>
        <w:t>We are a “controlled company” within the meaning of the New York Stock Exchange rules and, as a result, qualify for, and rely on, exemptions and relief from certain corporate governance requirements. You do not have the same protections afforded to stockholders of companies that are subject to such requirements.</w:t>
      </w:r>
    </w:p>
    <w:p>
      <w:pPr>
        <w:spacing w:after="0" w:line="147"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51"/>
        </w:numPr>
        <w:rPr>
          <w:rFonts w:ascii="Arial" w:cs="Arial" w:eastAsia="Arial" w:hAnsi="Arial"/>
          <w:sz w:val="18"/>
          <w:szCs w:val="18"/>
          <w:color w:val="131E29"/>
        </w:rPr>
      </w:pPr>
      <w:r>
        <w:rPr>
          <w:rFonts w:ascii="Arial" w:cs="Arial" w:eastAsia="Arial" w:hAnsi="Arial"/>
          <w:sz w:val="18"/>
          <w:szCs w:val="18"/>
          <w:color w:val="131E29"/>
        </w:rPr>
        <w:t>Our growth strategy depends in part on opening new shops in existing and new markets. We may be unsuccessful in opening new shops or establishing new markets, which could adversely affect our growth.</w:t>
      </w:r>
    </w:p>
    <w:p>
      <w:pPr>
        <w:spacing w:after="0" w:line="143" w:lineRule="exact"/>
        <w:rPr>
          <w:rFonts w:ascii="Arial" w:cs="Arial" w:eastAsia="Arial" w:hAnsi="Arial"/>
          <w:sz w:val="18"/>
          <w:szCs w:val="18"/>
          <w:color w:val="131E29"/>
        </w:rPr>
      </w:pPr>
    </w:p>
    <w:p>
      <w:pPr>
        <w:jc w:val="both"/>
        <w:ind w:left="340" w:hanging="332"/>
        <w:spacing w:after="0" w:line="256" w:lineRule="auto"/>
        <w:tabs>
          <w:tab w:leader="none" w:pos="335" w:val="left"/>
        </w:tabs>
        <w:numPr>
          <w:ilvl w:val="0"/>
          <w:numId w:val="51"/>
        </w:numPr>
        <w:rPr>
          <w:rFonts w:ascii="Arial" w:cs="Arial" w:eastAsia="Arial" w:hAnsi="Arial"/>
          <w:sz w:val="18"/>
          <w:szCs w:val="18"/>
          <w:color w:val="131E29"/>
        </w:rPr>
      </w:pPr>
      <w:r>
        <w:rPr>
          <w:rFonts w:ascii="Arial" w:cs="Arial" w:eastAsia="Arial" w:hAnsi="Arial"/>
          <w:sz w:val="18"/>
          <w:szCs w:val="18"/>
          <w:color w:val="131E29"/>
        </w:rPr>
        <w:t>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w:t>
      </w:r>
    </w:p>
    <w:p>
      <w:pPr>
        <w:spacing w:after="0" w:line="147" w:lineRule="exact"/>
        <w:rPr>
          <w:rFonts w:ascii="Arial" w:cs="Arial" w:eastAsia="Arial" w:hAnsi="Arial"/>
          <w:sz w:val="18"/>
          <w:szCs w:val="18"/>
          <w:color w:val="131E29"/>
        </w:rPr>
      </w:pPr>
    </w:p>
    <w:p>
      <w:pPr>
        <w:jc w:val="both"/>
        <w:ind w:left="340" w:hanging="332"/>
        <w:spacing w:after="0" w:line="254" w:lineRule="auto"/>
        <w:tabs>
          <w:tab w:leader="none" w:pos="335" w:val="left"/>
        </w:tabs>
        <w:numPr>
          <w:ilvl w:val="0"/>
          <w:numId w:val="51"/>
        </w:numPr>
        <w:rPr>
          <w:rFonts w:ascii="Arial" w:cs="Arial" w:eastAsia="Arial" w:hAnsi="Arial"/>
          <w:sz w:val="18"/>
          <w:szCs w:val="18"/>
          <w:color w:val="131E29"/>
        </w:rPr>
      </w:pPr>
      <w:r>
        <w:rPr>
          <w:rFonts w:ascii="Arial" w:cs="Arial" w:eastAsia="Arial" w:hAnsi="Arial"/>
          <w:sz w:val="18"/>
          <w:szCs w:val="18"/>
          <w:color w:val="131E29"/>
        </w:rPr>
        <w:t>We have identified material weaknesses in our internal control over financial reporting. If we are unable to remedy our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 Factors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131E29"/>
        </w:rPr>
        <w:t>You should carefully consider the risks described below in addition to the other information set forth in this Form 10-Q, including “Management’s Discussion and Analysis of Financial Condition and Results of Operations,” “Quantitative and Qualitative Disclosures about Market Risk,” our condensed consolidated financial statements and related notes in this Form 10-Q, before making an investment decision. If any of the risks and uncertainties described below occur, it could have a material adverse impact on our business, reputation, financial position, results of operations or cash flows, and the trading price of our Class A common stock.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become material and adversely affect our business, reputation, financial condition, results of operations or cash flows or the trading price of our Class A common stock. The risks relating to our business set forth in our Annual Report on Form 10-K, filed with the SEC on March 11, 2022, are set forth below and are unchanged substantively as of the date of this filing, except for those risks designated by an asterisk (*).</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*Evolving consumer preferences and tastes or changes in consumer spending may adversely affect our business.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Dutch Bros’ continued success depends on our ability to attract and retain customers. Our financial results could be adversely affected by a shift in consumer spending away from outside-the-home beverages, decreases in general discretionary consumer spending (including due to higher gas prices, inflation or lack of consumer confidence), lack of customer acceptance of new products (including due to price increases necessary to cover the costs of new beverages or higher input costs), brand perception (such as the existence or expansion of our competitors), platforms (such as features of our mobile application and changes in our loyalty rewards programs and initiatives), a reduction in individual car ownership, which in turn may reduce the usefulness and convenience of our drive-thru shops, or customers reducing their demand for our current offerings as new beverages are introduced. In addition, most of our beverages contain sugar, caffeine, dairy products, and other compounds, such as taurine and artificial coloring, the health effects of which are the subject of public and regulatory scrutiny,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suggestion of linkages to a variety of adverse health effects. There is increasing consumer awareness of health risks that are attributed to ingredients we use, particularly in the United States, including obesity, increased blood pressure and heart rate, anxiety and insomnia, as well as increased consumer litigation based on alleged adverse health impacts of consumption of various food and beverage products. While we offer alternatives, including reduced sugar and sugar-free items, an unfavorable report on the health effects of sugar, caffeine or other ingredients in our products or changes in public perception of these ingredients could significantly reduce the demand for our beverages. A decrease in customer traffic as a result of these health concerns or negative publicity could significantly reduce the demand for Dutch Bros’ hand-crafted beverages and could harm our business.</w:t>
      </w:r>
    </w:p>
    <w:p>
      <w:pPr>
        <w:spacing w:after="0" w:line="1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006098"/>
        </w:rPr>
        <w:t>*Our financial condition and results of operations are subject to, and may be adversely affected by, a number of factors, many of which are also largely outside our control.</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Our results of operations will be subject to a number of factors and may vary significantly in the future as they have in the past, many of which are outside of our control, and may not fully reflect the underlying performance of our business. Factors that may cause fluctuations in our results of operations and key metrics include, without limitation, those listed elsewhere in this Risk Factors section and those listed below. Any one or more of the factors listed below or described elsewhere in this section could harm our business:</w:t>
      </w:r>
    </w:p>
    <w:p>
      <w:pPr>
        <w:spacing w:after="0" w:line="150"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8"/>
          <w:szCs w:val="18"/>
          <w:color w:val="131E29"/>
        </w:rPr>
      </w:pPr>
      <w:r>
        <w:rPr>
          <w:rFonts w:ascii="Arial" w:cs="Arial" w:eastAsia="Arial" w:hAnsi="Arial"/>
          <w:sz w:val="18"/>
          <w:szCs w:val="18"/>
          <w:color w:val="131E29"/>
        </w:rPr>
        <w:t>increases in real estate or labor costs in certain markets;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2"/>
        </w:numPr>
        <w:rPr>
          <w:rFonts w:ascii="Arial" w:cs="Arial" w:eastAsia="Arial" w:hAnsi="Arial"/>
          <w:sz w:val="18"/>
          <w:szCs w:val="18"/>
          <w:color w:val="131E29"/>
        </w:rPr>
      </w:pPr>
      <w:r>
        <w:rPr>
          <w:rFonts w:ascii="Arial" w:cs="Arial" w:eastAsia="Arial" w:hAnsi="Arial"/>
          <w:sz w:val="18"/>
          <w:szCs w:val="18"/>
          <w:color w:val="131E29"/>
        </w:rPr>
        <w:t>changes in consumer preferences;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2"/>
        </w:numPr>
        <w:rPr>
          <w:rFonts w:ascii="Arial" w:cs="Arial" w:eastAsia="Arial" w:hAnsi="Arial"/>
          <w:sz w:val="18"/>
          <w:szCs w:val="18"/>
          <w:color w:val="131E29"/>
        </w:rPr>
      </w:pPr>
      <w:r>
        <w:rPr>
          <w:rFonts w:ascii="Arial" w:cs="Arial" w:eastAsia="Arial" w:hAnsi="Arial"/>
          <w:sz w:val="18"/>
          <w:szCs w:val="18"/>
          <w:color w:val="131E29"/>
        </w:rPr>
        <w:t>disruptions in our supply chain;</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2"/>
        </w:numPr>
        <w:rPr>
          <w:rFonts w:ascii="Arial" w:cs="Arial" w:eastAsia="Arial" w:hAnsi="Arial"/>
          <w:sz w:val="18"/>
          <w:szCs w:val="18"/>
          <w:color w:val="131E29"/>
        </w:rPr>
      </w:pPr>
      <w:r>
        <w:rPr>
          <w:rFonts w:ascii="Arial" w:cs="Arial" w:eastAsia="Arial" w:hAnsi="Arial"/>
          <w:sz w:val="18"/>
          <w:szCs w:val="18"/>
          <w:color w:val="131E29"/>
        </w:rPr>
        <w:t>the impact of shortages or inflation on our cost of goods or labor, which we have recently seen;</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2"/>
        </w:numPr>
        <w:rPr>
          <w:rFonts w:ascii="Arial" w:cs="Arial" w:eastAsia="Arial" w:hAnsi="Arial"/>
          <w:sz w:val="18"/>
          <w:szCs w:val="18"/>
          <w:color w:val="131E29"/>
        </w:rPr>
      </w:pPr>
      <w:r>
        <w:rPr>
          <w:rFonts w:ascii="Arial" w:cs="Arial" w:eastAsia="Arial" w:hAnsi="Arial"/>
          <w:sz w:val="18"/>
          <w:szCs w:val="18"/>
          <w:color w:val="131E29"/>
        </w:rPr>
        <w:t>changes in governmental laws and rules, including those regarding minimum wage, and approaches to taxation;</w:t>
      </w:r>
    </w:p>
    <w:p>
      <w:pPr>
        <w:spacing w:after="0" w:line="171"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52"/>
        </w:numPr>
        <w:rPr>
          <w:rFonts w:ascii="Arial" w:cs="Arial" w:eastAsia="Arial" w:hAnsi="Arial"/>
          <w:sz w:val="18"/>
          <w:szCs w:val="18"/>
          <w:color w:val="131E29"/>
        </w:rPr>
      </w:pPr>
      <w:r>
        <w:rPr>
          <w:rFonts w:ascii="Arial" w:cs="Arial" w:eastAsia="Arial" w:hAnsi="Arial"/>
          <w:sz w:val="18"/>
          <w:szCs w:val="18"/>
          <w:color w:val="131E29"/>
        </w:rPr>
        <w:t>severe weather or other natural or man-made disasters affecting a large market or several closely located markets that may temporarily but significantly affect our business in such markets, including the price or availability of goods;</w:t>
      </w:r>
    </w:p>
    <w:p>
      <w:pPr>
        <w:spacing w:after="0" w:line="143" w:lineRule="exact"/>
        <w:rPr>
          <w:rFonts w:ascii="Arial" w:cs="Arial" w:eastAsia="Arial" w:hAnsi="Arial"/>
          <w:sz w:val="18"/>
          <w:szCs w:val="18"/>
          <w:color w:val="131E29"/>
        </w:rPr>
      </w:pPr>
    </w:p>
    <w:p>
      <w:pPr>
        <w:ind w:left="340" w:right="20" w:hanging="332"/>
        <w:spacing w:after="0" w:line="261" w:lineRule="auto"/>
        <w:tabs>
          <w:tab w:leader="none" w:pos="335" w:val="left"/>
        </w:tabs>
        <w:numPr>
          <w:ilvl w:val="0"/>
          <w:numId w:val="52"/>
        </w:numPr>
        <w:rPr>
          <w:rFonts w:ascii="Arial" w:cs="Arial" w:eastAsia="Arial" w:hAnsi="Arial"/>
          <w:sz w:val="18"/>
          <w:szCs w:val="18"/>
          <w:color w:val="131E29"/>
        </w:rPr>
      </w:pPr>
      <w:r>
        <w:rPr>
          <w:rFonts w:ascii="Arial" w:cs="Arial" w:eastAsia="Arial" w:hAnsi="Arial"/>
          <w:sz w:val="18"/>
          <w:szCs w:val="18"/>
          <w:color w:val="131E29"/>
        </w:rPr>
        <w:t>labor discord or disruption, geopolitical events, social unrest, war, including repercussions of the war between Russia and Ukraine, terrorism, political instability, acts of public violence, boycotts, hostilities and social unrest and other health pandemics; and</w:t>
      </w:r>
    </w:p>
    <w:p>
      <w:pPr>
        <w:spacing w:after="0" w:line="143" w:lineRule="exact"/>
        <w:rPr>
          <w:rFonts w:ascii="Arial" w:cs="Arial" w:eastAsia="Arial" w:hAnsi="Arial"/>
          <w:sz w:val="18"/>
          <w:szCs w:val="18"/>
          <w:color w:val="131E29"/>
        </w:rPr>
      </w:pPr>
    </w:p>
    <w:p>
      <w:pPr>
        <w:ind w:left="320" w:hanging="312"/>
        <w:spacing w:after="0"/>
        <w:tabs>
          <w:tab w:leader="none" w:pos="320" w:val="left"/>
        </w:tabs>
        <w:numPr>
          <w:ilvl w:val="0"/>
          <w:numId w:val="52"/>
        </w:numPr>
        <w:rPr>
          <w:rFonts w:ascii="Arial" w:cs="Arial" w:eastAsia="Arial" w:hAnsi="Arial"/>
          <w:sz w:val="18"/>
          <w:szCs w:val="18"/>
          <w:color w:val="131E29"/>
        </w:rPr>
      </w:pPr>
      <w:r>
        <w:rPr>
          <w:rFonts w:ascii="Arial" w:cs="Arial" w:eastAsia="Arial" w:hAnsi="Arial"/>
          <w:sz w:val="18"/>
          <w:szCs w:val="18"/>
          <w:color w:val="131E29"/>
        </w:rPr>
        <w:t>adverse outcomes of litigation.</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*Our marketing programs may not be successful, and our new menu items and advertising campaigns may not generate increased revenues or profits.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incur costs and expend resources in our marketing efforts on new menu items and advertising campaigns to raise brand awareness and attract and retain customers. These initiatives may not be successful, resulting in expenses incurred without the benefit of higher revenue. Additionally, some of our competitors have greater financial resources than we do, which enable them to spend significantly more on marketing, advertising, pricing and other initiatives. Should our competitors increase spending on marketing and advertising and other initiatives or our marketing funds decrease for any reason, or should our advertising, promotions and new menu items fail to reach our customers effectively and efficiently, there could be an adverse effect on our revenues and profits could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006098"/>
        </w:rPr>
        <w:t>We may not be able to compete successfully with other coffee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 or we are forced to change our pricing and other marketing strategies.</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The food service and restaurant industry is intensely competitive. We expect competition in this market to continue to be intense as we compete on a variety of fronts, including convenience, taste, price, quality, service and location. If our company-operated and franchised shops cannot compete successfully with other beverage and coffee shops, including Dunkin’ Donuts, Starbucks, other specialty coffee shops, drive-thru QSRs and the growing number of coffee delivery options in new and existing markets, we could lose customers and our revenue could decline. Our company-operated and franchised shops compete with national, regional and local coffee chains, QSRs, and convenience shops for customers, shop locations and qualified management and other staff. Compared to us, some of our competitors have substantially greater financial and other resources, have been in business longer, have greater brand recognition or are better established in the markets where our shops are located or are planned to be located. In some markets that we may grow into, there are already well-funded competitors in the drive-thru coffee or beverage business that may challenge our ability to grow into those regions. Any of these competitive factors may harm our business.</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Additionally, if our competitors begin to evolve their business strategies and adopt aspects of the Dutch Bros business model, such as our drive-thru convenience and digital ordering, our customers may be drawn to those competitors for their beverage needs and our business could be harmed.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*Our strategic initiatives and growth strategy may be unsuccessful which could adversely affect our business and financial results.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As of September 30, 2022, Dutch Bros had 641 shops across 14 states, of which 370 were company-operated and 271 were franchised. One of the key means to achieving our growth strategy will be through opening new shops and operating those shops on a profitable basis. During the nine months ended September 30, 2022, we opened 94 new company-operated shops. Our ability to open new shops is dependent upon a number of factors, many of which are beyond our control, including our and our franchise partners’ ability to:</w:t>
      </w:r>
    </w:p>
    <w:p>
      <w:pPr>
        <w:spacing w:after="0" w:line="150"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8"/>
          <w:szCs w:val="18"/>
          <w:color w:val="131E29"/>
        </w:rPr>
      </w:pPr>
      <w:r>
        <w:rPr>
          <w:rFonts w:ascii="Arial" w:cs="Arial" w:eastAsia="Arial" w:hAnsi="Arial"/>
          <w:sz w:val="18"/>
          <w:szCs w:val="18"/>
          <w:color w:val="131E29"/>
        </w:rPr>
        <w:t>identify available and suitable sites, specifically for drive-thru locations;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3"/>
        </w:numPr>
        <w:rPr>
          <w:rFonts w:ascii="Arial" w:cs="Arial" w:eastAsia="Arial" w:hAnsi="Arial"/>
          <w:sz w:val="18"/>
          <w:szCs w:val="18"/>
          <w:color w:val="131E29"/>
        </w:rPr>
      </w:pPr>
      <w:r>
        <w:rPr>
          <w:rFonts w:ascii="Arial" w:cs="Arial" w:eastAsia="Arial" w:hAnsi="Arial"/>
          <w:sz w:val="18"/>
          <w:szCs w:val="18"/>
          <w:color w:val="131E29"/>
        </w:rPr>
        <w:t>compete for such sites;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3"/>
        </w:numPr>
        <w:rPr>
          <w:rFonts w:ascii="Arial" w:cs="Arial" w:eastAsia="Arial" w:hAnsi="Arial"/>
          <w:sz w:val="18"/>
          <w:szCs w:val="18"/>
          <w:color w:val="131E29"/>
        </w:rPr>
      </w:pPr>
      <w:r>
        <w:rPr>
          <w:rFonts w:ascii="Arial" w:cs="Arial" w:eastAsia="Arial" w:hAnsi="Arial"/>
          <w:sz w:val="18"/>
          <w:szCs w:val="18"/>
          <w:color w:val="131E29"/>
        </w:rPr>
        <w:t>reach acceptable agreements regarding the lease of locations;</w:t>
      </w:r>
    </w:p>
    <w:p>
      <w:pPr>
        <w:spacing w:after="0" w:line="171"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53"/>
        </w:numPr>
        <w:rPr>
          <w:rFonts w:ascii="Arial" w:cs="Arial" w:eastAsia="Arial" w:hAnsi="Arial"/>
          <w:sz w:val="18"/>
          <w:szCs w:val="18"/>
          <w:color w:val="131E29"/>
        </w:rPr>
      </w:pPr>
      <w:r>
        <w:rPr>
          <w:rFonts w:ascii="Arial" w:cs="Arial" w:eastAsia="Arial" w:hAnsi="Arial"/>
          <w:sz w:val="18"/>
          <w:szCs w:val="18"/>
          <w:color w:val="131E29"/>
        </w:rPr>
        <w:t>obtain or have available the financing required to acquire and operate a shop, including construction and opening costs, which includes access to build-to-suit leases and ground lease construction arrangements;</w:t>
      </w:r>
    </w:p>
    <w:p>
      <w:pPr>
        <w:spacing w:after="0" w:line="143" w:lineRule="exact"/>
        <w:rPr>
          <w:rFonts w:ascii="Arial" w:cs="Arial" w:eastAsia="Arial" w:hAnsi="Arial"/>
          <w:sz w:val="18"/>
          <w:szCs w:val="18"/>
          <w:color w:val="131E29"/>
        </w:rPr>
      </w:pPr>
    </w:p>
    <w:p>
      <w:pPr>
        <w:ind w:left="320" w:hanging="312"/>
        <w:spacing w:after="0"/>
        <w:tabs>
          <w:tab w:leader="none" w:pos="320" w:val="left"/>
        </w:tabs>
        <w:numPr>
          <w:ilvl w:val="0"/>
          <w:numId w:val="53"/>
        </w:numPr>
        <w:rPr>
          <w:rFonts w:ascii="Arial" w:cs="Arial" w:eastAsia="Arial" w:hAnsi="Arial"/>
          <w:sz w:val="18"/>
          <w:szCs w:val="18"/>
          <w:color w:val="131E29"/>
        </w:rPr>
      </w:pPr>
      <w:r>
        <w:rPr>
          <w:rFonts w:ascii="Arial" w:cs="Arial" w:eastAsia="Arial" w:hAnsi="Arial"/>
          <w:sz w:val="18"/>
          <w:szCs w:val="18"/>
          <w:color w:val="131E29"/>
        </w:rPr>
        <w:t>respond to unforeseen engineering or environmental problems with leased premises;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3"/>
        </w:numPr>
        <w:rPr>
          <w:rFonts w:ascii="Arial" w:cs="Arial" w:eastAsia="Arial" w:hAnsi="Arial"/>
          <w:sz w:val="18"/>
          <w:szCs w:val="18"/>
          <w:color w:val="131E29"/>
        </w:rPr>
      </w:pPr>
      <w:r>
        <w:rPr>
          <w:rFonts w:ascii="Arial" w:cs="Arial" w:eastAsia="Arial" w:hAnsi="Arial"/>
          <w:sz w:val="18"/>
          <w:szCs w:val="18"/>
          <w:color w:val="131E29"/>
        </w:rPr>
        <w:t>avoid the impact of inclement weather, natural disasters and other calamities;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3"/>
        </w:numPr>
        <w:rPr>
          <w:rFonts w:ascii="Arial" w:cs="Arial" w:eastAsia="Arial" w:hAnsi="Arial"/>
          <w:sz w:val="18"/>
          <w:szCs w:val="18"/>
          <w:color w:val="131E29"/>
        </w:rPr>
      </w:pPr>
      <w:r>
        <w:rPr>
          <w:rFonts w:ascii="Arial" w:cs="Arial" w:eastAsia="Arial" w:hAnsi="Arial"/>
          <w:sz w:val="18"/>
          <w:szCs w:val="18"/>
          <w:color w:val="131E29"/>
        </w:rPr>
        <w:t>hire, train and retain the skilled management and other employees necessary to meet staffing needs;</w:t>
      </w:r>
    </w:p>
    <w:p>
      <w:pPr>
        <w:spacing w:after="0" w:line="171" w:lineRule="exact"/>
        <w:rPr>
          <w:rFonts w:ascii="Arial" w:cs="Arial" w:eastAsia="Arial" w:hAnsi="Arial"/>
          <w:sz w:val="18"/>
          <w:szCs w:val="18"/>
          <w:color w:val="131E29"/>
        </w:rPr>
      </w:pPr>
    </w:p>
    <w:p>
      <w:pPr>
        <w:jc w:val="both"/>
        <w:ind w:left="340" w:hanging="332"/>
        <w:spacing w:after="0" w:line="256" w:lineRule="auto"/>
        <w:tabs>
          <w:tab w:leader="none" w:pos="335" w:val="left"/>
        </w:tabs>
        <w:numPr>
          <w:ilvl w:val="0"/>
          <w:numId w:val="53"/>
        </w:numPr>
        <w:rPr>
          <w:rFonts w:ascii="Arial" w:cs="Arial" w:eastAsia="Arial" w:hAnsi="Arial"/>
          <w:sz w:val="18"/>
          <w:szCs w:val="18"/>
          <w:color w:val="131E29"/>
        </w:rPr>
      </w:pPr>
      <w:r>
        <w:rPr>
          <w:rFonts w:ascii="Arial" w:cs="Arial" w:eastAsia="Arial" w:hAnsi="Arial"/>
          <w:sz w:val="18"/>
          <w:szCs w:val="18"/>
          <w:color w:val="131E29"/>
        </w:rPr>
        <w:t>obtain, in a timely manner and for an acceptable cost, required licenses, permits and regulatory approvals and respond effectively to any changes in local, state or federal law and regulations that adversely affect our and our franchise partners’ costs or ability to open new shops; and</w:t>
      </w:r>
    </w:p>
    <w:p>
      <w:pPr>
        <w:spacing w:after="0" w:line="147" w:lineRule="exact"/>
        <w:rPr>
          <w:rFonts w:ascii="Arial" w:cs="Arial" w:eastAsia="Arial" w:hAnsi="Arial"/>
          <w:sz w:val="18"/>
          <w:szCs w:val="18"/>
          <w:color w:val="131E29"/>
        </w:rPr>
      </w:pPr>
    </w:p>
    <w:p>
      <w:pPr>
        <w:ind w:left="340" w:right="20" w:hanging="332"/>
        <w:spacing w:after="0" w:line="261" w:lineRule="auto"/>
        <w:tabs>
          <w:tab w:leader="none" w:pos="335" w:val="left"/>
        </w:tabs>
        <w:numPr>
          <w:ilvl w:val="0"/>
          <w:numId w:val="53"/>
        </w:numPr>
        <w:rPr>
          <w:rFonts w:ascii="Arial" w:cs="Arial" w:eastAsia="Arial" w:hAnsi="Arial"/>
          <w:sz w:val="18"/>
          <w:szCs w:val="18"/>
          <w:color w:val="131E29"/>
        </w:rPr>
      </w:pPr>
      <w:r>
        <w:rPr>
          <w:rFonts w:ascii="Arial" w:cs="Arial" w:eastAsia="Arial" w:hAnsi="Arial"/>
          <w:sz w:val="18"/>
          <w:szCs w:val="18"/>
          <w:color w:val="131E29"/>
        </w:rPr>
        <w:t>control construction and equipment cost increases for new shops and secure the services of qualified contractors and subcontractors in an increasingly competitive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There is no guarantee that a sufficient number of suitable sites for shops will be available in desirable areas or on terms that are acceptable to us in order to achieve our growth plan. If we are unable to open new shops, or if existing franchise partners do not open new shops, or if shop openings are significantly delayed, our revenue or earnings growth could be adversely affected and our business may be harmed.</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As part of our longer term growth strategy, we expect to enter into geographic markets in which we have little or no prior operating experience. The challenges of entering new markets include: adapting to local regulations or restrictions that may limit our ability to open new shops, restrict the use of certain branding or increase the cost of development; difficulties in hiring experienced personnel; unfamiliarity with local real estate markets and demographics; consumer unfamiliarity with our brand; and different competitive and economic conditions, consumer tastes and discretionary spending patterns that are more difficult to predict or satisfy than in our existing markets. Consumer recognition of our brand has been important in the success of our shops in our existing markets, and we will need to build this recognition in new markets. Shops we open in new markets may take longer to reach expected sales and profit levels on a consistent basis and may have higher construction, occupancy and operating costs than existing shops, thereby affecting our overall profitability. Any failure on our part to recognize or respond to these challenges may adversely affect the success of any new shops.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Due to brand recognition and logistical synergies, as part of our growth strategy, we also intend to open new shops in areas where we have existing shops. The operating results and comparable shop sales could be adversely affected due to close proximity with our other shops and market saturation.</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*New shops, once opened, may not be profitable or may close, and the increases in average per shop revenue and comparable sales that we have experienced in the past may not be indicative of future results.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We plan to open additional company-operated Dutch Bros shops in markets, including in markets where we have little or no operating experience. The target customer base of our shops varies by location, depending on a number of factors, including population density, other local coffee and convenience beverage distributors, area demographics and geography. Our results have been, and in the future may continue to be, significantly impacted by the timing of new shop openings, which is subject to a number of factors, many of which are outside of our control, including landlord delays, associated pre-opening costs and operating inefficiencies, as well as changes in our geographic concentration due to the opening of new shops. We have typically incurred the most significant portion of pre-opening expenses associated with a given shop within the three months preceding the opening of the shop. Our experience has been that labor and operating costs associated with a newly opened shop for the first several months of operation are materially greater than what can be expected after that time, both in aggregate dollars and as a percentage of sales. Our new shops commonly take three months or more to reach planned operating levels due to inefficiencies typically associated with new shops, including the training of new personnel, new market learning curves, inability to hire sufficient qualified staff, and other factors. We may incur additional costs in new markets, particularly for transportation and distribution, which may impact sales and the profitability of those shops. Accordingly, the volume and timing of new shop openings may have a material adverse impact on our profitability.</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Some of Dutch Bros’ shops open with an initial start-up period of higher than normal sales volumes and related costs, which subsequently decrease to stabilized levels. In new markets, the length of time before average sales for new shops stabilize is less predictable and can be longer as a result of our limited knowledge of these markets and consumers’ limited awareness of our brand. In addition, our AUV and comparable sales may not increase at the rates achieved over the past several years. Our ability to operate new shops profitably and increase average shop revenue and comparable shop sales will depend on many factors, some of which are beyond our control, including:</w:t>
      </w:r>
    </w:p>
    <w:p>
      <w:pPr>
        <w:spacing w:after="0" w:line="151"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8"/>
          <w:szCs w:val="18"/>
          <w:color w:val="131E29"/>
        </w:rPr>
      </w:pPr>
      <w:r>
        <w:rPr>
          <w:rFonts w:ascii="Arial" w:cs="Arial" w:eastAsia="Arial" w:hAnsi="Arial"/>
          <w:sz w:val="18"/>
          <w:szCs w:val="18"/>
          <w:color w:val="131E29"/>
        </w:rPr>
        <w:t>consumer awareness and understanding of the Dutch Bros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0" w:hanging="332"/>
        <w:spacing w:after="0" w:line="261" w:lineRule="auto"/>
        <w:tabs>
          <w:tab w:leader="none" w:pos="335" w:val="left"/>
        </w:tabs>
        <w:numPr>
          <w:ilvl w:val="0"/>
          <w:numId w:val="55"/>
        </w:numPr>
        <w:rPr>
          <w:rFonts w:ascii="Arial" w:cs="Arial" w:eastAsia="Arial" w:hAnsi="Arial"/>
          <w:sz w:val="18"/>
          <w:szCs w:val="18"/>
          <w:color w:val="131E29"/>
        </w:rPr>
      </w:pPr>
      <w:r>
        <w:rPr>
          <w:rFonts w:ascii="Arial" w:cs="Arial" w:eastAsia="Arial" w:hAnsi="Arial"/>
          <w:sz w:val="18"/>
          <w:szCs w:val="18"/>
          <w:color w:val="131E29"/>
        </w:rPr>
        <w:t>general economic conditions, such as inflation, which can affect shop traffic, local labor costs and prices we pay for the beverage and other supplies we use;</w:t>
      </w:r>
    </w:p>
    <w:p>
      <w:pPr>
        <w:spacing w:after="0" w:line="143" w:lineRule="exact"/>
        <w:rPr>
          <w:rFonts w:ascii="Arial" w:cs="Arial" w:eastAsia="Arial" w:hAnsi="Arial"/>
          <w:sz w:val="18"/>
          <w:szCs w:val="18"/>
          <w:color w:val="131E29"/>
        </w:rPr>
      </w:pPr>
    </w:p>
    <w:p>
      <w:pPr>
        <w:ind w:left="320" w:hanging="312"/>
        <w:spacing w:after="0"/>
        <w:tabs>
          <w:tab w:leader="none" w:pos="320" w:val="left"/>
        </w:tabs>
        <w:numPr>
          <w:ilvl w:val="0"/>
          <w:numId w:val="55"/>
        </w:numPr>
        <w:rPr>
          <w:rFonts w:ascii="Arial" w:cs="Arial" w:eastAsia="Arial" w:hAnsi="Arial"/>
          <w:sz w:val="18"/>
          <w:szCs w:val="18"/>
          <w:color w:val="131E29"/>
        </w:rPr>
      </w:pPr>
      <w:r>
        <w:rPr>
          <w:rFonts w:ascii="Arial" w:cs="Arial" w:eastAsia="Arial" w:hAnsi="Arial"/>
          <w:sz w:val="18"/>
          <w:szCs w:val="18"/>
          <w:color w:val="131E29"/>
        </w:rPr>
        <w:t>consumption patterns and beverage preferences that differ from region to region;</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5"/>
        </w:numPr>
        <w:rPr>
          <w:rFonts w:ascii="Arial" w:cs="Arial" w:eastAsia="Arial" w:hAnsi="Arial"/>
          <w:sz w:val="18"/>
          <w:szCs w:val="18"/>
          <w:color w:val="131E29"/>
        </w:rPr>
      </w:pPr>
      <w:r>
        <w:rPr>
          <w:rFonts w:ascii="Arial" w:cs="Arial" w:eastAsia="Arial" w:hAnsi="Arial"/>
          <w:sz w:val="18"/>
          <w:szCs w:val="18"/>
          <w:color w:val="131E29"/>
        </w:rPr>
        <w:t>changes in consumer preferences and discretionary spending;</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5"/>
        </w:numPr>
        <w:rPr>
          <w:rFonts w:ascii="Arial" w:cs="Arial" w:eastAsia="Arial" w:hAnsi="Arial"/>
          <w:sz w:val="18"/>
          <w:szCs w:val="18"/>
          <w:color w:val="131E29"/>
        </w:rPr>
      </w:pPr>
      <w:r>
        <w:rPr>
          <w:rFonts w:ascii="Arial" w:cs="Arial" w:eastAsia="Arial" w:hAnsi="Arial"/>
          <w:sz w:val="18"/>
          <w:szCs w:val="18"/>
          <w:color w:val="131E29"/>
        </w:rPr>
        <w:t>difficulties obtaining or maintaining adequate relationships with distributors or suppliers in new markets;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5"/>
        </w:numPr>
        <w:rPr>
          <w:rFonts w:ascii="Arial" w:cs="Arial" w:eastAsia="Arial" w:hAnsi="Arial"/>
          <w:sz w:val="18"/>
          <w:szCs w:val="18"/>
          <w:color w:val="131E29"/>
        </w:rPr>
      </w:pPr>
      <w:r>
        <w:rPr>
          <w:rFonts w:ascii="Arial" w:cs="Arial" w:eastAsia="Arial" w:hAnsi="Arial"/>
          <w:sz w:val="18"/>
          <w:szCs w:val="18"/>
          <w:color w:val="131E29"/>
        </w:rPr>
        <w:t>increases in prices for commodities, including coffee, milk and flavored syrups;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5"/>
        </w:numPr>
        <w:rPr>
          <w:rFonts w:ascii="Arial" w:cs="Arial" w:eastAsia="Arial" w:hAnsi="Arial"/>
          <w:sz w:val="18"/>
          <w:szCs w:val="18"/>
          <w:color w:val="131E29"/>
        </w:rPr>
      </w:pPr>
      <w:r>
        <w:rPr>
          <w:rFonts w:ascii="Arial" w:cs="Arial" w:eastAsia="Arial" w:hAnsi="Arial"/>
          <w:sz w:val="18"/>
          <w:szCs w:val="18"/>
          <w:color w:val="131E29"/>
        </w:rPr>
        <w:t>inefficiency in our labor costs as the staff gains experience;</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5"/>
        </w:numPr>
        <w:rPr>
          <w:rFonts w:ascii="Arial" w:cs="Arial" w:eastAsia="Arial" w:hAnsi="Arial"/>
          <w:sz w:val="18"/>
          <w:szCs w:val="18"/>
          <w:color w:val="131E29"/>
        </w:rPr>
      </w:pPr>
      <w:r>
        <w:rPr>
          <w:rFonts w:ascii="Arial" w:cs="Arial" w:eastAsia="Arial" w:hAnsi="Arial"/>
          <w:sz w:val="18"/>
          <w:szCs w:val="18"/>
          <w:color w:val="131E29"/>
        </w:rPr>
        <w:t>competition, either from our competitors in the food service and restaurant industry or our own shops;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5"/>
        </w:numPr>
        <w:rPr>
          <w:rFonts w:ascii="Arial" w:cs="Arial" w:eastAsia="Arial" w:hAnsi="Arial"/>
          <w:sz w:val="18"/>
          <w:szCs w:val="18"/>
          <w:color w:val="131E29"/>
        </w:rPr>
      </w:pPr>
      <w:r>
        <w:rPr>
          <w:rFonts w:ascii="Arial" w:cs="Arial" w:eastAsia="Arial" w:hAnsi="Arial"/>
          <w:sz w:val="18"/>
          <w:szCs w:val="18"/>
          <w:color w:val="131E29"/>
        </w:rPr>
        <w:t>temporary and permanent site characteristics of new shops;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5"/>
        </w:numPr>
        <w:rPr>
          <w:rFonts w:ascii="Arial" w:cs="Arial" w:eastAsia="Arial" w:hAnsi="Arial"/>
          <w:sz w:val="18"/>
          <w:szCs w:val="18"/>
          <w:color w:val="131E29"/>
        </w:rPr>
      </w:pPr>
      <w:r>
        <w:rPr>
          <w:rFonts w:ascii="Arial" w:cs="Arial" w:eastAsia="Arial" w:hAnsi="Arial"/>
          <w:sz w:val="18"/>
          <w:szCs w:val="18"/>
          <w:color w:val="131E29"/>
        </w:rPr>
        <w:t>changes in government regulation;</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5"/>
        </w:numPr>
        <w:rPr>
          <w:rFonts w:ascii="Arial" w:cs="Arial" w:eastAsia="Arial" w:hAnsi="Arial"/>
          <w:sz w:val="18"/>
          <w:szCs w:val="18"/>
          <w:color w:val="131E29"/>
        </w:rPr>
      </w:pPr>
      <w:r>
        <w:rPr>
          <w:rFonts w:ascii="Arial" w:cs="Arial" w:eastAsia="Arial" w:hAnsi="Arial"/>
          <w:sz w:val="18"/>
          <w:szCs w:val="18"/>
          <w:color w:val="131E29"/>
        </w:rPr>
        <w:t>our ability to hire, motivate and keep qualified employees who share our values; and</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5"/>
        </w:numPr>
        <w:rPr>
          <w:rFonts w:ascii="Arial" w:cs="Arial" w:eastAsia="Arial" w:hAnsi="Arial"/>
          <w:sz w:val="18"/>
          <w:szCs w:val="18"/>
          <w:color w:val="131E29"/>
        </w:rPr>
      </w:pPr>
      <w:r>
        <w:rPr>
          <w:rFonts w:ascii="Arial" w:cs="Arial" w:eastAsia="Arial" w:hAnsi="Arial"/>
          <w:sz w:val="18"/>
          <w:szCs w:val="18"/>
          <w:color w:val="131E29"/>
        </w:rPr>
        <w:t>other unanticipated increases in costs, any of which could give rise to delays or cost overruns.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If our new shops do not perform as planned or close, our business and future prospects could be harmed. In addition, an inability to achieve our expected average shop revenue could harm our business.</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Additionally, opening new shops in existing markets may negatively impact sales at our, and our franchise partners’, existing shops, even if it increases overall AUV in a region. The consumer target area of our shops varies by location, depending on a number of factors, including population density, other local retail and business attractions, area demographics and geography. As a result, the opening of a new shop in or near markets in which we or our franchise partners already have shops could adversely impact sales at these existing shops while growing the overall AUV in a region. Our core business strategy anticipates achieving an ideal AUV through multiple mid-volume shops in a single region to infill and reduce the number of high-volume shops in order to provide continued efficient service. However, existing shops could also make it more difficult to build our and our franchise partners’ consumer base for a new shop in the same market. Sales transfer between our shops may become significant in the future as we continue to expand our operations and could affect our sales growth, which could, in turn, harm our business.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As we expand, we may not be able to maintain our current average shop sales and our business may be harmed. Although we target specified operating and financial metrics, new shops may never meet these targets or may take longer than anticipated to do so. Any new shop we open may never become profitable or achieve operating results similar to those of our existing shops, which could adversely affect our business, financial condition or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Our failure to manage our growth effectively could harm our business and operating results.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have experienced rapid growth. The growth and expansion of our business may place a significant strain on our management, operational and financial resources. As we expand our business, it is important that we continue to maintain a high level of customer service and satisfaction which may place a significant strain on our management, sales and marketing, administrative, financial, and other resources. We may not be able to respond in a timely basis to all the changing demands that our planned expansion will impose on management and on our existing infrastructure, or be able to hire or retain the necessary management and broistas, which could harm our business. Further, if we are not able to continue to provide high quality customer service as a result of these demands, our reputation, as well as our business, including a decline in financial performance, could be harmed. If we experience a decline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financial performance, we may decrease the number of or discontinue new Dutch Bros shop openings, or we may decide to close shops that we are unable to operate in a profitable manner.</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are required to manage multiple relationships with various strategic partners, our franchise partners, customers, and other third parties. In the event of further growth of our operations or in the number of our third-party relationships, our existing management systems, financial and management controls and information systems may not be adequate to support our planned expansion and we may face challenges of integrating, developing, training, and motivating a rapidly growing employee base in our various shops and maintaining our company culture across multiple offices and shops. Our ability to manage our growth effectively will require us to continue to enhance our systems, procedures and controls and to locate, hire, train and retain management and broistas, particularly in new markets which may require significant capital expenditures.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*Damage to our brand or reputation or negative publicity could negatively impact our business.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Our reputation and the quality of our Dutch Bros brand are critical to our business and success in existing markets and will be critical to our success as we enter new markets. We believe that we have built our reputation on the high quality of our hand-crafted beverages and service, our commitment to our customers and our strong employee culture, and we must protect and grow the value of our brand in order for us to continue to be successful. Any incident that erodes consumer loyalty for our brand could significantly reduce its value and damage our business.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We may, from time to time, be faced with negative publicity, regardless of its accuracy, relating to beverage quality; pricing; the safety, sanitation and welfare of our shops; customer complaints or litigation alleging illness or injury; health inspection scores; integrity of our or our suppliers’ food processing, employment practices and other policies, practices and procedures; or employee relationships and welfare or other matters. Negative publicity may adversely affect us, regardless of whether the allegations are substantiated or whether we are held to be responsible. In addition, the negative impact of adverse publicity relating to one shop may extend far beyond the shop involved, to affect some or all of our other shops, including our franchise partner shops. The risk of negative publicity is particularly great with respect to our franchise partner shops because we are limited in the manner in which we can regulate them, especially on a real-time basis, and negative publicity from our franchise partners’ shops may also significantly impact company-operated shops. A similar risk exists with respect to beverage businesses unrelated to us if customers mistakenly associate such unrelated businesses with our operations. Employee claims against us based on, among other things, wage and hour violations, discrimination, harassment or wrongful termination may also create not only legal and financial liability but negative publicity that could adversely affect us and divert our financial and management resources that would otherwise be used to benefit the future performance of our operations. These types of employee claims could also be asserted against us, on a co-employer theory, by employees of our franchise partners. A significant increase in the number of these claims or an increase in the number of successful claims could harm our business.</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Additionally, there has been a marked increase in the use of social media platforms and similar devices, including blogs, social media websites and other forms of internet-based communications that provide individuals with access to a broad audience of consumers and other interested persons. The availability of information on social media platforms is virtually immediate as is its impact. Many social media platforms immediately publish the content their subscribers and participants can post, often without filters or checks on accuracy of the content posted. The opportunity for dissemination of information, including inaccurate information, is seemingly limitless and readily available. Information concerning us may be posted on such platforms at any time. Information posted may be adverse to our interests or may be inaccurate, each of which may harm our performance, prospects or business. The harm may be immediate without affording us an opportunity for redress or correction.</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Ultimately, the risks associated with any such negative publicity or incorrect information cannot be completely eliminated or mitigated and may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Our inability to identify, recruit and retain qualified individuals for our shops could slow our growth and adversely impact our ability to operate.</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Our success also depends substantially on the contributions and abilities of our broistas on whom we rely to give customers a superior experience and elevate our brand. At Dutch Bros, it’s about having fun and giving customers our special brand of “Dutch Luv,” growing our people, and forming genuine relationships with our customers. Accordingly, our success depends in part upon our ability to attract, motivate and retain a sufficient number of qualified operators, all of whom come from within our system, and broistas to meet the needs of our existing shops and to staff new shops. Some of our broistas advance to become operators and when they do, their prior positions need to be filled. We aim to hire warm, friendly, motivated, caring, self-aware and intellectually curious individuals, who are excited and committed to championship performance, remarkable and enriching hospitality, embodying our culture and actively growing themselves and our brand. A sufficient number of qualified individuals to fill these positions and qualifications may be in short supply in some communities. Competition in these communities for qualified staff is high and may require us to pay higher wages and provide greater benefits, especially if there is improvement in regional or national economic conditions. We place a heavy emphasis on the qualification and training of our personnel and spend a significant amount of time and money on training our employees. Any inability to recruit and retain qualified individuals may result in higher turnover and increased labor costs, and could compromise the quality of our service, all of which could adversely affect our business. Any such inability could also delay the planned openings of new shops and could adversely impact our existing shops. Any such inability to retain or recruit qualified employees, increased costs of attracting qualified employees or delays in shop openings could harm our business.</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We are subject to the risks associated with leasing space subject to long-term non-cancelable leases and, with respect to the real property that we own, owning real estate.</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Our leases generally have initial terms of 15 years with renewal options. Shop leases provide for a specified annual rent, typically at a fixed rate for the first five years, with incremental escalations thereafter, and which may contain Consumer Price Index increases and other escalators. Generally, our leases are “net” leases, which require us to pay all the cost of insurance, taxes, maintenance and utilities. We generally cannot terminate these leases without incurring substantial costs. Additional sites that we lease are likely to be subject to similar long-term non-cancelable leases. If an existing or future shop is not profitable, and we decide to close it, we may nonetheless be committed to perform our obligations under the applicable lease including, among other things, paying the base rent for the balance of the lease term. In addition, as each of our leases expires, we may fail to negotiate renewals, either on commercially acceptable terms or at all, which could cause us to close shops in desirable locations. Also, because we sometimes purchase real property for various shop locations, we're subject to all the risks generally associated with owning real estate, including changes in the investment climate for real estate, demographic trends and supply or demand for the use of the shops, which may result from competition from similar restaurants in the area as well as strict, joint and several liability for environmental contamination at or from the property, regardless of fault.</w:t>
      </w:r>
    </w:p>
    <w:p>
      <w:pPr>
        <w:spacing w:after="0" w:line="13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006098"/>
        </w:rPr>
        <w:t>*Our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As of September 30, 2022, approximately 42% of our shops were operated by Dutch Bros’ franchise partners and, because of this, we depend on the financial success and cooperation of our franchise partners for our success. Our franchise partners are independent business operators and are not our employees, and as such we have limited control over how our franchise partners run their businesses, and their inability to operate successfully could adversely affect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We receive royalties, franchise fees, contributions to our marketing development fund, and other fees from our franchise partners. Additionally, we sell proprietary products to our franchise partners at a markup over our cost to produce. We have established operational standards and guidelines for our franchise partners; however, we have limited control over how our franchise partners’ businesses are run, including day to day operations. Even with these operation standards and guidelines, the quality of franchised Dutch Bros shops may be diminished by any number of factors beyond our control. Consequently, our franchise partners may not successfully operate shops in a manner consistent with our standards and requirements, such as quality, service and cleanliness, or may not hire and train qualified shop managers, broistas and other shop personnel or may not implement marketing programs and major initiatives such as shop remodels or equipment or technology upgrades, which may require financial investment. Even if such unsuccessful operations do not rise to the level of breaching the related franchise documents, they may be attributed by customers to our Dutch Bros brand and could have a negative impact on our business.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Our franchise partners may not be able to secure adequate financing to open or continue operating their Dutch Bros shops. If they incur too much debt or if economic or sales trends deteriorate such that they are unable to repay existing debt, our franchise partners could experience financial distress or even bankruptcy. If a significant number of our franchise partners become financially distressed, it could harm our operating results through reduced royalty revenue, marketing fees, and proprietary product sales, and the impact on our profitability could be greater than the percentage decrease in these revenue streams.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While we are responsible for ensuring the success of our entire system of shops and for taking a longer term view with respect to system improvements, our franchise partners have individual business strategies and objectives, which might conflict with our interests. Our franchise partners may from time to time disagree with us and our strategies and objectives regarding the business or our interpretation of our respective rights and obligations under the franchise agreement and the terms and conditions of the franchise partner relationship. This may lead to disputes with our franchise partners and we expect such disputes to occur from time to time in the future as we continue to have franchises. Such disputes may result in legal action against us. To the extent we have such disputes, the attention, time and financial resources of our management and our franchise partners will be diverted from our shops, which could harm our business even if we have a successful outcome in the dispute.</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Actions or omissions by our franchise partners in violation of various laws may be attributed to us or result in negative publicity that affects our overall brand image, which may decrease consumer demand for our products. Franchise partners may engage in online activity via social media or activity in their personal lives that negatively impacts public perception of our franchise partners, our operations or our brand as a whole. This activity may negatively affect franchise partners’ sales and in turn impact our revenue.</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In addition, various state and federal laws govern our relationship with our franchise partners and our potential sale of a franchise. A franchise partner and/or a government agency may bring legal action against us based on the franchisee/franchisor relationships that could result in the award of damages to franchise partners and/or the imposition of fines or other penalties against us.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*Our shops are geographically concentrated in the Western United States, and we could be negatively affected by conditions specific to that region.</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As of September 30, 2022, our company-operated and franchised shops in the Western United States represent approximately 80% of our total shops. Adverse changes in demographic, unemployment, economic, regulatory or weather conditions in the Western United States, including recent significant increases in gas prices, have harmed, and may continue to harm, our business. As a result of our concentration in this market, we have been, and in the future may be, disproportionately affected by these adverse conditions compared to other chain beverage shops with a national footprint. For example, in recent years, wildfires spread across most western states causing poor air quality which reduced consumers’ willingness to venture outside their homes and reduced our AUVs, and any future wildfires may have a similar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*Interruption of our supply chain of coffee, flavored syrups or other ingredients, coffee machines and other restaurant equipment or packaging could affect our ability to produce or deliver our products and could negatively impact our business and profitability.</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Any material interruption in our supply chain, such as material interruption of the supply of coffee, flavored syrups, dairy, coffee machines and other restaurant equipment or packaging, including any packaging for our for our proprietary products due to the casualty loss of any of our roasting plant, interruptions in service by our third-party logistic service providers or common carriers that ship goods within our distribution channels, trade restrictions, such as increased tariffs or quotas, embargoes or customs restrictions, pandemics, social or labor unrest, natural disasters or political disputes and military conflicts that cause a material disruption in our supply chain could have a negative material impact on our business and our profitability. For example, in 2005, our roasting facility burned and our costs increased as we replaced these operations by purchasing coffee from other roasters and paying for contract roasting to cover for the shortage in our own supply, and in 2021, there were global delays in shipping due in part to the COVID-19 pandemic.</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Additionally, most of our beverage and other products are sourced from a wide variety of domestic and international business partners and we rely on these suppliers to provide high quality products and to comply with applicable laws. For certain products, we may rely on one or very few suppliers, such as for our proprietary Dutch Bros. Blue Rebel energy drinks, where we rely on our relationship with Portland Bottling Co. to manufacture and bottle these drinks. Sales of Dutch Bros. Blue Rebel accounted for approximately 27% of our systemwide net sales in the nine months ended September 30, 2022. Failures by Portland Bottling Co. or any of our other suppliers to meet our standards, provide products in a timely and efficient manner, or comply with applicable laws is beyond our control. Failures by a supplier could have a direct negative impact that would harm our business by reducing our and our franchise partners’ sales, which would reduce income from direct sales and royalties.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have experienced disruptions in our supply chain for certain products including cups, canning supplies, lids, espresso machines and restaurant equipment parts, and certain building materials and supplies. While we have, to this point, been able to find acceptable replacements or substitutes or prepurchase certain materials or items, this may not always be possible, especially if supply chains continue to suffer disruptions for extended periods of time. If we are unable to source critical or proprietary supplies, it will negatively affect or business and profitability. If we are unable to locate sufficient building or construction materials, we may not be able to achieve our stated growth objectives.</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*Increases in the cost of high-quality arabica coffee beans, dairy or other commodities or decreases in the availability of high-quality arabica coffee beans, dairy or other commodities could have an adverse impact on our business and financial results.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availability and prices of coffee beans, dairy and other commodities are subject to significant volatility. We purchase, roast and sell high-quality whole bean arabica coffee beans and related coffee products. The high-quality arabica coffee of the quality we seek tends to trade on a negotiated basis at a premium above the “C” price. This premium depends upon the supply and demand at the time of purchase and the amount of the premium can vary significantly. Increases in the “C” coffee commodity price increase the price of high-quality arabica coffee and also impact our ability to enter into fixed-price purchase commitments. We frequently enter into supply contracts whereby the quality, quantity, delivery period and other negotiated terms are agreed upon, but the date, and therefore price, at which the base “C” coffee commodity price component will be fixed has not yet been established.</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 supply and price of coffee we purchase can also be affected by multiple factors in the producing countries, such as weather (including the potential effects of climate change), natural disasters, crop disease, general increase in farm inputs and costs of production, inventory levels, political and economic conditions and the actions of certain organizations and associations that have historically attempted to influence prices of green coffee through agreements establishing export quotas or by restricting coffee supplies. Speculative trading in coffee commodities can also influence coffee prices. The price of coffee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has continued to increase significantly during the nine months ended September 30, 2022. Because of the significance of coffee beans to our operations, combined with our ability to only partially mitigate future price risk through purchasing practices and hedging activities, increases in the cost of high-quality arabica coffee beans could have a material adverse impact on our profitability. In addition, if we are not able to purchase sufficient quantities of green coffee due to any of the above factors or to a worldwide or regional shortage, we may not be able to fulfill the demand for our coffee, which could have a material adverse impact on our profitability.</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We also purchase significant amounts of dairy products, particularly milk, to support the needs of our shops. For example, the cost of dairy products has continued to increase significantly during the nine months ended September 30, 2022, and we continue to see such increased costs. If these increased dairy costs are sustained or further increased, this could harm our business. Additionally, and although less significant to our operations than coffee or dairy, other commodities, including but not limited to plant-based “milks,” tea, sugar, syrups, energy and packaging material, such as plastics, corrugate, and canning materials, are important to our operations.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Increases in the cost of other commodities, such as petroleum, may increase the cost of our packing materials, or lack of availability, whether due to supply shortages, delays or interruptions in processing, impact consumer spending or could otherwise harm our business. For example, we believe the recent increase in gas prices has negatively impacted consumer discretionary spending, particularly in the Western United States where such increases have been relatively higher and where our shops are geographically concentrated.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If we fail to offer high-quality customer experience, our business and reputation will suffer.</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Numerous factors may impact a customer’s experience which may in turn impact the likelihood of such customer returning. Those factors include service, convenience, taste, price, quality, location of our shops and brand image. In addition to providing high quality hand-crafted beverages, we empower our employees to provide an enhanced customer experience. Our broistas put customer needs first and we give them the flexibility required to build genuine, meaningful connections that keep our customers returning for more. From remembering our regulars by name and knowing their customary order, to having treats ready for the four-legged members of the family, or by offering a free drink to someone having a rough day—there is a hint of magic in the details of the Dutch Bros experience that leads to recurring, loyal customers. As we grow, it may be difficult for us to identify, recruit, train and manage enough people with the right skills, talent and attitude to provide this enhanced customer experience.</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006098"/>
        </w:rPr>
        <w:t>If we fail to maintain adequate operational and financial resources, particularly if we continue to grow rapidly, we may be unable to execute our business plan or maintain high levels of service and customer satisfaction.</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Our continuous growth and expansion has placed, and may continue to place, significant demands on our management and our operational and financial resources and in connection therewith, our organizational structure is becoming more complex as we scale our operational, financial, and management controls, as well as our reporting systems and procedures. As we continue to grow, we face challenges of integrating, developing, training, and motivating a rapidly growing employee base in our various shops and maintaining our company culture across multiple offices and shops. Certain members of our management have not previously worked together for an extended period of time, and some do not have prior experience managing a public company, which may affect how they manage our growth. If we fail to manage our anticipated growth and change in a manner that preserves the key aspects of our corporate culture, the quality of our beverages and services may suffer, which could negatively affect our brand and reputation and harm our ability to attract users, employees, and organizations.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To manage growth in our operations and personnel, we need to continue to grow and improve our operational, financial, and management controls and our reporting systems and procedures. We will require significant capital expenditures and the allocation of valuable management resources to grow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In addition, as we expand our business, it is important that we continue to maintain a high level of customer service and satisfaction. As our customer base continues to grow, we will need to expand our customer service and other personnel, which will require more complex management and systems. If we are not able to continue to provide high levels of customer service, our reputation, as well as our business could be harmed.</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006098"/>
        </w:rPr>
        <w:t>*We are increasingly dependent on information technology and our ability to process data in order to operate and sell our products, and if we (or our vendors) are unable to protect against software and hardware vulnerabilities, service interruptions, data corruption, cyber-based attacks, ransomware or security breaches, or if we fail to comply with our commitments and assurances regarding the privacy and security of such data, our operations could be disrupted, our ability to provide our products could be interrupted, our reputation may be harmed and we may be exposed to liability and loss of customers and business.</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We rely on information technology networks and systems and data processing: to market; to sell and deliver our products; to fulfill orders; to collect, receive, store, process, generate, use, transfer, disclose, make accessible, protect, secure, dispose of and share (Process or Processing) personal information, confidential or proprietary information, financial information and other sensitive information; to manage a variety of business processes and activities; for financial reporting purposes; to operate our business; to process orders; for legal and marketing purposes; and to comply with regulatory, legal and tax requirements (collectively, Business Functions). We rely upon third-party service providers and technologies to operate critical business systems to process sensitive information in a variety of contexts, including, without limitation, third-party payment processors, point of sale and order management systems, encryption and authentication technology, human resources systems including scheduling, payroll and compliance systems, internet service providers, enterprise resource planning and financial systems, document management and storage, employee email, our customer loyalty program and communication platform, and other functions. Our ability to monitor these third parties’ information security practices is limited, and these third parties may not have adequate information security measures in place.</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Our (and those of the third parties upon which we rely) information technology networks and systems, and the Processing they perform, may be vulnerable to data security and privacy threats, cyber and otherwise. These threats are becoming increasingly difficult to detect and come from a variety of sources, including traditional computer “hackers,” threat actors, “hacktivists,” personnel (such as through theft or misuse), organized criminal threat actors, sophisticated nation states, and nation-state supported actors. Some threat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products.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risk of unauthorized circumvention of our security measures or those of our third parties on whom we rely has been heightened by advances in computer and software capabilities and the increasing sophistication of actors who employ complex techniques, including, without limitation, “phishing” or social engineering incidents, ransomware, extortion, account takeover attacks, denial or degradation of service attacks, malicious code (such as viruses or worms), supply-chain attacks, software bugs, adware, or malware. 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We may also experience server malfunctions, software or hardware failures,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or loss of data or other information technology assets. Further, security incidents experienced by other companies may also be leveraged against us. For example, credential stuffing attacks are becoming increasingly common and sophisticated actors can mask their attacks, making them increasingly difficult to identify and prevent. We have technology security initiatives and disaster recovery plans in place to mitigate our risk to these vulnerabilities, but these measures may not be adequately designed or implemented to ensure that our operations are not disrupted or that data security breaches do not occur. If our information technology networks and systems or data processing suffers damage, security breaches, vulnerabilities, disruption or shutdown, and we do not effectively resolve the issues in a timely manner, they could cause a material adverse impact to, our Business Functions and our business, reputation and financial condition. Additionally, our remote workforce poses increased risks to our information technology network and systems and data, as more of our employees work remotely, utilizing network connections outside our premises or network, including working at home, while in transit, and in public locations. Future or past business transactions (such as acquisitions or integrations) could also expose us to additional cybersecurity risks and vulnerabilities, as our systems could be negatively affected by vulnerabilities present in acquired or integrated entities’ systems and technologies.</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sensitive information or our information technology networks and systems, or those of the third parties upon which we rely.</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Hackers and data thieves are increasingly sophisticated and operate large-scale and complex automated attacks, which may remain undetected until after they occur. We may expend significant resources or modify our business activities to try to protect against such security incidents. Certain data privacy and security obligations may require us to implement and maintain specific security measures, industry-standard, or reasonable security measures to protect our information technology networks and systems and sensitive information. Despite our efforts to protect our information technology networks and systems, Processing and information, we may not be able to anticipate or to implement effective preventive and remedial measures against all data security and privacy threats. Our security measures (and those of the third parties upon which we rely) may not be adequate to prevent or detect service interruption, system failure data loss or theft, or other material adverse consequences. No security solution, strategy or measures can address all possible security threats. Our (and those of the third parties upon which we rely) applications, systems, networks, software and physical facilities could have material vulnerabilities, be breached or personal or confidential information could be otherwise compromised, including due to employee error or malfeasance, if, for example, third parties attempt to fraudulently induce our personnel or our customers to disclose information or usernames and/or passwords, or otherwise compromise the security of our networks, systems and/or physical facilities. We cannot be certain that we will be able to address any such vulnerabilities, in whole or part, and there may be delays in developing and deploying patches and other remedial measures to adequately address vulnerabilities, and taking such remedial steps could adversely impact or disrupt our operations. We expect similar issues to arise in the future as our mobile application is more widely adopted, and as we continue to expand the features and functionality of our mobile application.</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Applicable data privacy and security obligations may require us to notify relevant stakeholders of security incidents including affected individuals, customers, and regulators.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including reputational harm, costly litigation (including class action litigation), material contract breaches, liability, settlement costs, loss of sales, disruption in our ability (or that of third parties upon whom we rely) to process payments, regulatory scrutiny, actions or investigations, a loss of confidence in our business, systems and Processing, a diversion of management’s time and attention, and significant fines, penalties, assessments,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Additionally, the costs to respond to a security incident and/or to mitigate any security vulnerabilities that may be identified could be significant, our efforts to address these problems may not be successful.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 We could be required to fundamentally change our business activities and practices in response to a security incident or related regulatory actions or litigation, which could have an adverse effect on our business. Additionally, most jurisdictions have enacted laws requiring companies to notify individuals, regulatory authorities, and others of security breaches involving certain types of data.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The Company’s data and information systems may also fail for reasons other than a cyber-attack (e.g., server malfunctions, software or hardware failures, loss of data/computer assets, telecommunications failures, etc.).</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We may not have adequate insurance coverage for handling security incidents or breaches, including fines, judgments, settlements, penalties, costs, attorney fees and other impacts that arise out of incidents or breaches. If the impacts of a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harm our business. In addition, we cannot be sure that our existing insurance coverage will continue to be available on acceptable terms or that our insurers will not deny coverage as to all or part of any future claim or loss. Our contracts may not contain limitations of liability, and even where they do, there can be no assurance that limitations of liability in our contracts are sufficient to protect us from liabilities, damages, or claims related to our data privacy and security obligations. Moreover, our privacy risks are likely to increase as we continue to expand, grow our customer base, and process, store, and transmit increasingly large amounts of personal and/or sensitive data.</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*Pandemics or disease outbreaks such as the ongoing COVID-19 pandemic have had, and may continue to have, an effect on our business and results of operations.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Pandemics or disease outbreaks such as the ongoing COVID-19 pandemic have impacted and are likely to continue to impact customer traffic at our Dutch Bros shops and may make it more difficult to staff our shops and, in more severe cases, may cause a temporary inability to obtain supplies and increase commodity costs. The COVID-19 pandemic continues to evolve, and while we continue to monitor it closely, the extent of the impact of the COVID-19 pandemic on our business, operations and development timelines and plans remains uncertain and will depend on future developments that cannot be predicted at this time. Such developments include the continued spread of the Delta and Omicron variants in the U.S. and other countries and the potential emergence of other variants that may prove especially contagious or virulent, the effectiveness of actions taken globally to contain and treat the disease, including the rate at which vaccinations (including boosters to vaccinations) are made available, the percentage of the population that becomes vaccinated and the effectiveness of the vaccines against Omicron or other variants. The COVID-19 pandemic has impacted all global economies, and in the United States has resulted in varying levels of restrictions and shutdowns implemented by national, state, and local authorities.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Even though we have been deemed an “essential business” to date during this COVID-19 pandemic and have been allowed to remain in operation, even while some of our competitors were not, there is no guarantee that in the event of a future pandemic or resurgence of the COVID-19 pandemic that we will receive the same designation. Regardless of our status as an essential business during the COVID-19 pandemic, our operations have been and we expect will be disrupted when employees or employees of our franchise partners were suspected of having COVID-19 or other illnesses since this required us or our franchise partners to quarantine some or all such employees and close and disinfect our impacted shops. If a significant percentage of our workforce or the workforce of our franchise partners are unable to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including because of illness or travel or government restrictions, like quarantine requirements, in connection with pandemics or disease outbreaks, our operations may be negatively impacted, potentially materially adversely affecting our business, liquidity, financial condition or results of operations.</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Our success is heavily reliant on our franchise partners and the COVID-19 pandemic has caused and may continue to cause financial distress for certain franchise partners that have been or will be impacted. As a result of this distress, our franchise partners may not be able to meet their financial obligations as they come due, including the payment of royalties, rent or other amounts due to us. This has led to, and may continue to lead to, write-offs of amounts we have currently due from our franchise partners beyond amounts we have reserved, as well as decreased future collections from franchise partners. Additionally, in certain instances, we have offered grace periods for certain near-term payments due to us by our franchise partners who needed more access to capital and were in good standing with Dutch Bros. If we need to extend such grace periods again in the future, it will negatively impact our cash flows in the near-term and there is no guarantee that our franchise partners will ultimately pay amounts due. Additionally, our franchise partners may not be able to make payments to landlords, distributors and key suppliers, as well as payments to service any debt they may have outstanding. Franchise partners’ financial distress has also led to, and may continue to lead to, permanent shop closures and delayed or reduced new franchise partners development which would further harm our results and liquidity going forward. Further, in some cases, we are contingently liable for franchise partner lease obligations, and a failure by a franchise partner to perform its obligations under such lease could result in direct payment obligations for us.</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do not yet know the full extent of potential delays or impacts on our business, operations or the global economy as a whole. While the spread of COVID-19 may eventually be contained or mitigated, we do not yet know how our business, our customers or our franchise partners will operate in a post COVID-19 environment. In addition, new strains and variants of the virus have caused a resurgence and an increase in reported infection rates, particularly in areas with lower vaccination rates, which may impact the general economic recovery. There is no guarantee that a future outbreak of this or any other widespread epidemics will not occur, or that the global economy will recover, either of which could seriously harm our business fully recover. The ultimate impact of the COVID-19 pandemic or a similar health epidemic on our business, operations or the global economy as a whole remains highly uncertain.</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While we have developed and continue to develop plans to help mitigate the potential negative impact of the COVID-19 pandemic, these efforts may not be effective, and any protracted economic downturn will likely limit the effectiveness of our efforts. Accordingly, it is not possible for us to predict the duration and extent to which this will affect our business at this time.</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*Unstable market and economic conditions may have serious adverse consequences on our business, financial condition and stock price.</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The global credit and financial markets have experienced extreme volatility and disruptions (including as a result of the ongoing COVID-19 pandemic and actual or perceived changes in interest rates and economic inflation), which has included severely diminished liquidity and credit availability, declines in consumer confidence, prolonged weak consumer demand, a decrease in consumer discretionary spending, declines in economic growth, high inflation, uncertainty about economic stability, and increases in unemployment rates. The financial markets and the global economy may also be adversely affected by the current or anticipated impact of military conflict, including the conflict between Russia and Ukraine, terrorism, or other geopolitical events. Sanctions imposed by the United States and other countries in response to such conflicts, including the one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including disruption to customer demand and our ability to purchase necessary supplies on acceptable terms, if at all. If the current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growth plans. In addition, there is a risk that one or more of our current suppliers, manufacturers, or other partners may not survive an economic downturn, which could directly affect our ability to attain our operating goals on schedule and on budget.</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Our Brand</w:t>
      </w:r>
    </w:p>
    <w:p>
      <w:pPr>
        <w:spacing w:after="0" w:line="16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006098"/>
        </w:rPr>
        <w:t>Our success depends substantially on the value of our brand and failure to preserve its value could have a negative impact on our financial results.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Our success depends in large part upon our and our franchise partners’ ability to maintain and enhance our corporate reputation and the value and perception of our brand. Brand value is based in part on consumer perceptions on a variety of subjective qualities. To be successful in the future, particularly outside of the Western United States where the Dutch Bros brand may be less well-known, we believe we must preserve, grow and leverage the value of our brand across interactions.</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Business incidents, whether isolated or recurring and whether originating from us or our business partners, that erode consumer trust can significantly reduce brand value, potentially trigger boycotts of our shops or result in civil or criminal liability and can have a negative impact on our financial results. Such incidents include actual or perceived breaches of privacy, contaminated products, broistas infected with communicable diseases, such as COVID-19, or other potential incidents discussed in this Risk Factors section. The impact of such incidents may be exacerbated if they receive considerable publicity, including rapidly through social or digital media (including for malicious reasons) or result in litigation. Consumer demand for our products and our brand equity could diminish significantly if we, our employees, franchise partners or other business partners fail to preserve the quality of our products, act or are perceived to act in an unethical, illegal, racially-biased, unequal or socially irresponsible manner, including with respect to the sourcing, content or sale of our products, service and treatment of customers at Dutch Bros shops, or the use of customer data for general or direct marketing or other purposes. Additionally, if we fail to comply with laws and regulations, publicly take controversial positions or actions or fail to deliver a consistently positive consumer experience in each of our markets, including by failing to invest in the right balance of wages and benefits to attract and retain employees that represent the brand well or foster an inclusive and diverse environment, our brand value may be diminished.</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Moreover, our success depends in large part upon our ability to maintain our corporate reputation. For example, the reputation of our Dutch Bros brand could be damaged by claims or perceptions about the quality or safety of our ingredients or beverages or the quality or reputation of our suppliers, distributors or franchise partners or by claims or perceptions that we, our franchise partners or other business partners have acted or are acting in an unethical, illegal, racially-biased or socially irresponsible manner or are not fostering an inclusive and diverse environment, regardless of whether such claims or perceptions are substantiated. Our corporate reputation could also suffer from negative publicity or consumer sentiment regarding Dutch Bros action or inaction or brand imagery, a real or perceived failure of corporate governance, or misconduct by any officer or any employee or representative of us or a franchise partner. Any such incidents (even if resulting from actions of a competitor or franchise partner) could cause a decline directly or indirectly in consumer confidence in, or the perception of, our Dutch Bros brand and/or our products and reduce consumer demand for our products, which would likely result in lower revenue and profits.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There has been an increased public focus, including from the United States federal and state governments, on environmental sustainability matters, including with respect to climate change, greenhouse gases, water resources, packaging and waste, animal health and welfare, deforestation and land use. We endeavor to conduct our business in a manner which reflects our priority of sustainable stewardship, including with respect to environmental sustainability matters, and we are working to manage the risks and costs to us, our franchise partners and our supply chain associated with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types of environmental sustainability matters. In addition, as the result of such heightened public focus on environmental sustainability matters, we may face increased pressure to provide expanded disclosure, make or expand commitments, set targets, or establish additional goals and take actions to meet such goals, in connection with such environmental sustainability matters. These matters and our efforts to address them could expose us to market, operational, reputational and execution costs or risks.</w:t>
      </w:r>
    </w:p>
    <w:p>
      <w:pPr>
        <w:spacing w:after="0" w:line="12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006098"/>
        </w:rPr>
        <w:t>We may not be able to adequately protect our intellectual property, including trademarks, trade names, and service marks, which, in turn, could harm the value of our brand and adversely affect our business.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Our ability to implement our business plan successfully depends in part on our ability to further build brand recognition using our trademarks, service marks, proprietary products and other intellectual property, including our name and logos and the unique character and atmosphere of our Dutch Bros shops. We rely on U.S. trademark, copyright, and trade secret laws, as well as license agreements, nondisclosure agreements, and confidentiality and other contractual provisions to protect our intellectual property. Nevertheless, our competitors may develop similar menu items and concepts, and adequate remedies may not be available in the event of an unauthorized use or disclosure of our trade secrets and other intellectual property.</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success of our business depends on our continued ability to use our existing trademarks, trade names, and service marks to increase brand awareness and further develop our brand as we expand into new markets. We have registered and applied to register trademarks and service marks in the United States. We may not be able to adequately protect our trademarks and service marks, and our competitors and others may successfully challenge the validity and/or enforceability of our trademarks and service marks and other intellectual property. There can also be no assurance that pending or future U.S. trademark applications will be approved in a timely manner or at all, or that such registrations will effectively protect our brand names and trademarks.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Additionally, the steps we have taken to protect our intellectual property in the United States may not be adequate. If our efforts to maintain and protect our intellectual property are inadequate, or if any third party misappropriates, dilutes or infringes on our intellectual property, the value of our brand may be harmed, which could have a material adverse effect on our business and might prevent our brand from achieving or maintaining market acceptance. Even with our own franchise partners, whose activities are monitored and regulated through our franchise agreements, we face risk that they may refer to or make statements about our Dutch Bros brand that do not make proper use of our trademarks or required designations, that improperly alter trademarks or branding, or that are critical of our brand or place our brand in a context that may tarnish our reputation. This may result in dilution of, or harm to, our intellectual property or the value of our brand.</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We may also from time to time be required to institute litigation to enforce our trademarks, service marks and other intellectual property. Such litigation could result in substantial costs and diversion of resources and could negatively affect our sales, profitability and prospects regardless of whether we can successfully enforce our rights.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Third parties may oppose our trademark and service mark applications, or otherwise challenge our use of the trademarks and service marks. In the event that these or other intellectual property rights are successfully challenged, we could be forced to rebrand our products, which would result in loss of brand recognition and would require us to devote resources to advertising and marketing new brands. Third parties may also assert that we infringe, misappropriate or otherwise violate their intellectual property and may sue us for intellectual property infringement. Even if we are successful in these proceedings, we may incur substantial costs, and the time and attention of our management and other personnel may be diverted in pursuing these proceedings. If a court finds that we infringe a third party's intellectual property, we may be required to pay damages and/or be subject to an injunction. With respect to any third party intellectual property that we use or wish to use in our business (whether or not asserted against us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litigation), we may not be able to enter into licensing or other arrangements with the owner of such intellectual property at a reasonable cost or on reasonable terms.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006098"/>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reduce our sales.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Incidents or reports, whether true or not, of food-borne or water-borne illness or other food safety issues, food contamination or tampering, employee hygiene and cleanliness failures or improper employee conduct at our shops could lead to product liability or other claims. Such incidents or reports could negatively affect our brand and reputation as well as our business, revenue and profits. Similar incidents or reports occurring at coffee and convenience shops unrelated to us could likewise create negative publicity, which could negatively impact consumer behavior towards us.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cannot guarantee to customers that our internal controls and training will be fully effective in preventing all food-borne illnesses. New illnesses resistant to our current precautions may develop in the future, or diseases with long incubation periods could arise, that could give rise to claims or allegations on a retroactive basis. One or more instances of food-borne illness in one of our company-operated or franchised shops could negatively affect sales at all our shops if highly publicized. This risk exists even if it were later determined that the illness was wrongly attributed to one of our shops. Additionally, even if food-borne illnesses were not identified at our shops, our sales could be adversely affected if instances of food-borne illnesses at other coffee and beverage chains were highly publicized.</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6098"/>
        </w:rPr>
        <w:t>If we, our franchise partners, or our vendors are unable to protect our customers’ credit and debit card data or confidential information in connection with processing the same or confidential employee information, we could be exposed to data loss, litigation, liability and reputational damage.</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Our business requires the collection, transmission and retention of large volumes of customer and employee data, including credit and debit card numbers and other personally identifiable information, in various information technology systems that we maintain and in those maintained by third parties with whom we contract to provide services. The integrity and protection of that customer and employee data is critical to us. Further, our customers and employees have a high expectation that we and our service providers will adequately protect their personal information.</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currently accept payments using credit cards and debit cards and, as such, are subject to payment card association operating rules and certification requirements, including the Payment Card Industry Data Security Standard, which is a security standard applicable to companies like ours that collect, store or transmit certain data regarding credit and debit cards, holders and transactions. We are also subject to rules governing electronic funds transfers. Such rules could change or be reinterpreted to make it difficult or impossible for us to comply. If we (or a third party processing payment card transactions on our behalf) suffer a security breach affecting payment card information,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as payment for transactions, which could materially impact our operations and financial performance.</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 information, security and privacy requirements imposed by governmental regulation are increasingly demanding. Our systems may not be able to satisfy these changing requirements and customer and employee expectations or may require significant additional investments or time in order to do so. Efforts to hack or breach security measures, failures of systems or software to operate as designed or intended, viruses, operator error or inadvertent releases of data all threaten our and our service providers' information systems and records. A breach in the security of our information technology systems or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of our service providers could lead to an interruption in the operation of our systems, resulting in operational inefficiencies and a loss of profits. For example, in 2014, our online store and our customers were the victims of a security breach and as a result a few thousand of our customer’s personal information records were exposed. Additionally, a significant theft, loss or misappropriation of, or access to, customers’ or other proprietary data or other breach of our information technology systems could result in fines, legal claims or proceedings, including regulatory investigations and actions, or liability for failure to comply with privacy and information security laws, which could disrupt our operations, damage our reputation and expose us to claims from customers and employees, any of which could harm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People and Culture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*Changes in the availability of and the cost of labor could harm our business.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Our business could be harmed by increases in labor costs, including those increases triggered by inflation, regulatory actions regarding wages, scheduling and benefits, increased health care and workers’ compensation insurance costs, which, in a retail business such as ours, are some of our most significant costs. In particular, our broistas are paid wage rates at or based on the applicable federal, state, or local minimum wage, and increases in the applicable minimum wage have in the past and will increase labor costs. From time to time, legislative proposals are made to increase the minimum wage at the federal, state and local level, such as the California Fast Food Accountability and Standards Recovery Act, passed in September 2022, which would create a council to establish, among other things, minimum wages in the broadly-defined fast food industry. As federal, state or other applicable minimum wage rates increase, we may be required to increase not only the wage rates of minimum wage broistas or other employees, but also the wages paid to other hourly employees. As part of our focus on building long-term customer loyalty, we do not expect our customers to bear the entire burden of increased labor and commodity costs and, when possible, we do not increase prices in order to pass increased labor or commodity costs on to customers, as we believe such price increases would negatively impact our brand and consumer loyalty. If we do not increase prices to cover increased labor or commodity costs, this is likely to result in lower revenue, and may also reduce margins.</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Furthermore, the successful operation of our business depends upon our, and our franchise partners’, ability to attract, motivate and retain a sufficient number of qualified employees. From time to time, there may be a shortage of qualified employees in certain of the communities in which we operate or expand to. Shortages may make it increasingly difficult and expensive to attract, train and retain the services of a satisfactory number of qualified employees, which could delay the planned openings of new company-operated and franchised shops and adversely impact the operations and profitability of existing shops. Furthermore, competition for qualified employees, particularly in markets where such shortages exist, could require us to pay higher wages, which could result in higher labor costs. Accordingly, if we and our franchise partners are unable to recruit and retain sufficiently qualified individuals, our business could be harmed.</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Additionally, the growth of our business can make it increasingly difficult to locate and hire sufficient numbers of key employees, to maintain an effective system of internal controls for a dispersed chain and to train employees to deliver consistently high-quality hand-crafted beverages and customer experiences, which could materially harm our business and results of operations. In addition, growth and the addition of new shops may result in inefficiencies in our staffing, which can increase overtime costs or otherwise impact profitability.</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*We depend on our executive officers and other key employees, and the loss of one or more of these employees or an inability to attract and retain other highly skilled employees could harm our business.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Our success depends largely upon the continued services of our executive officers and other key employees, and the hiring and retention of additional executives and other key personnel. We rely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leadership team in the areas of marketing, sales, customer experience, and selling, general and administrative. From time to time, we expect there will be changes in our executive management team resulting from the hiring or departure of executives, which could disrupt our business. The loss of one or more of our executive officers or key employees could harm our business. Changes in our executive management team may also cause disruptions in, and harm to, our business.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Dutch Bros continues to be led by our Executive Chairman and Co-Founder, Travis Boersma, who plays an important role in driving our culture, determining the strategy, and executing against that strategy across the Company. If Mr. Boersma’s services became unavailable to Dutch Bros for any reason, it may be difficult or impossible for us to find an adequate replacement, which could cause us to be less successful in maintaining our culture and developing and effectively executing on our company strategies.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Our culture has contributed to our success, and if we cannot maintain this culture as we grow, we could lose the high employee engagement fostered by our culture, which could harm our business.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At Dutch Bros, we believe our people-first culture is a critical component of our success and customer loyalty. The success of this differentiated people-first culture and serving hand-crafted, high-quality beverages through the convenience of a premium drive-thru experience has helped us enter new markets and rapidly open new shops. We have invested substantial time and resources in developing pathways for our employees to create their own compelling future, which we believe has fostered the positive, people-first culture that defines our organization and is enjoyed by our customers. We have built out our leadership team with an expectation of protecting this culture, an emphasis on shared values and a commitment to diversity and inclusion. As we continue to develop the infrastructure to support our growth, we will need to maintain our culture among a larger number of employees dispersed in various geographic regions. Any failure to preserve our culture could negatively affect our future success, including our ability to retain and recruit personnel, and loss of customer loyalty.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Unionization activities may disrupt our operations and affect our profitability.</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adversely affect our business, financial condition or results of operations. In addition, a labor dispute involving some or all of our employees may harm our reputation, disrupt our operations and reduce our revenue, and resolution of disputes may increase our costs. Further, if we enter into a new market with unionized construction companies, or the construction companies in our current markets become unionized, construction and build out costs for new shops in such markets could materially increase.</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Regulation and Litigation</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*Changes in statutory, regulatory, accounting, and other legal requirements, including changes in accounting principles generally accepted in the United States, could potentially impact our operating and financial results.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We are subject to numerous statutory, regulatory and legal requirements. Our operating results could be negatively impacted by developments in these areas due to the costs of compliance in addition to possible government penalties and litigation in the event of deemed noncompliance. Changes in the regulatory environment in the area of food safety, privacy and information security, wage and hour laws, among others, could potentially impact our operations and financial results.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Generally accepted accounting principles in the United States (GAAP) are subject to interpretation by the Financial Accounting Standards Board, the American Institute of Certified Public Accountants, the SEC, and various bodies formed to promulgate and interpret appropriate accounting principles. A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these principles or interpretations could have a significant effect on our reported financial results, and could affect the reporting of transactions completed before the announcement of a change.</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Moreover, while we believe that we maintain insurance customary for businesses of our size and type, there are types of losses we may incur that cannot be insured against or that we believe are not economically reasonable to insure. Such losses could harm our business.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Federal regulators and some state governments in states that we do business in have indicated that they will be imposing vaccination and testing mandates for employers. While the exact contours of these rules and regulations are not yet known, if vaccinations are mandated it will negatively impact our ability to recruit and retain sufficient employees to meet our growth goals and operate existing shops in some areas. In addition, if these mandates impose the cost of testing of wages for time spent testing on employers this will have a material impact on our business and profitability.</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Until the end of the COVID-19 pandemic, we may be made subject to additional burdensome employment and health and safety laws and regulations passed or adopted by legislatures and regulators in an effort to end the pandemic or mitigate its effects. Any future pandemics could have similar impacts.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Fluctuations in our tax obligations and effective tax rate and realization of our deferred tax assets may result in volatility of our operating results and adversely affect our financial condition.</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are subject to taxes by the U.S. federal, state, and local tax authorities, and our tax liabilities will be affected by the allocation of expenses to differing jurisdictions. We record tax expense based on our estimates of future payments, which may include reserves for uncertain tax positions in multiple tax jurisdictions, and valuation allowances related to certain net deferred tax assets. At any one time, many tax years may be subject to audit by various taxing jurisdictions. The results of these audits and negotiations with taxing authorities may affect the ultimate settlement of these issues. We expect that throughout the year there could be ongoing variability in our quarterly tax rates as events occur and exposures are evaluated. Our future effective tax rates could be subject to volatility or adversely affected by a number of factors, including:</w:t>
      </w:r>
    </w:p>
    <w:p>
      <w:pPr>
        <w:spacing w:after="0" w:line="153" w:lineRule="exact"/>
        <w:rPr>
          <w:sz w:val="20"/>
          <w:szCs w:val="20"/>
          <w:color w:val="auto"/>
        </w:rPr>
      </w:pPr>
    </w:p>
    <w:p>
      <w:pPr>
        <w:ind w:left="320" w:hanging="312"/>
        <w:spacing w:after="0"/>
        <w:tabs>
          <w:tab w:leader="none" w:pos="320" w:val="left"/>
        </w:tabs>
        <w:numPr>
          <w:ilvl w:val="0"/>
          <w:numId w:val="56"/>
        </w:numPr>
        <w:rPr>
          <w:rFonts w:ascii="Arial" w:cs="Arial" w:eastAsia="Arial" w:hAnsi="Arial"/>
          <w:sz w:val="18"/>
          <w:szCs w:val="18"/>
          <w:color w:val="131E29"/>
        </w:rPr>
      </w:pPr>
      <w:r>
        <w:rPr>
          <w:rFonts w:ascii="Arial" w:cs="Arial" w:eastAsia="Arial" w:hAnsi="Arial"/>
          <w:sz w:val="18"/>
          <w:szCs w:val="18"/>
          <w:color w:val="131E29"/>
        </w:rPr>
        <w:t>changes in the valuation of our deferred tax assets and liabilities;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6"/>
        </w:numPr>
        <w:rPr>
          <w:rFonts w:ascii="Arial" w:cs="Arial" w:eastAsia="Arial" w:hAnsi="Arial"/>
          <w:sz w:val="18"/>
          <w:szCs w:val="18"/>
          <w:color w:val="131E29"/>
        </w:rPr>
      </w:pPr>
      <w:r>
        <w:rPr>
          <w:rFonts w:ascii="Arial" w:cs="Arial" w:eastAsia="Arial" w:hAnsi="Arial"/>
          <w:sz w:val="18"/>
          <w:szCs w:val="18"/>
          <w:color w:val="131E29"/>
        </w:rPr>
        <w:t>expected timing and amount of the release of any tax valuation allowance;</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6"/>
        </w:numPr>
        <w:rPr>
          <w:rFonts w:ascii="Arial" w:cs="Arial" w:eastAsia="Arial" w:hAnsi="Arial"/>
          <w:sz w:val="18"/>
          <w:szCs w:val="18"/>
          <w:color w:val="131E29"/>
        </w:rPr>
      </w:pPr>
      <w:r>
        <w:rPr>
          <w:rFonts w:ascii="Arial" w:cs="Arial" w:eastAsia="Arial" w:hAnsi="Arial"/>
          <w:sz w:val="18"/>
          <w:szCs w:val="18"/>
          <w:color w:val="131E29"/>
        </w:rPr>
        <w:t>changes in tax laws, regulations or interpretations thereof; or</w:t>
      </w:r>
    </w:p>
    <w:p>
      <w:pPr>
        <w:spacing w:after="0" w:line="171"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56"/>
        </w:numPr>
        <w:rPr>
          <w:rFonts w:ascii="Arial" w:cs="Arial" w:eastAsia="Arial" w:hAnsi="Arial"/>
          <w:sz w:val="18"/>
          <w:szCs w:val="18"/>
          <w:color w:val="131E29"/>
        </w:rPr>
      </w:pPr>
      <w:r>
        <w:rPr>
          <w:rFonts w:ascii="Arial" w:cs="Arial" w:eastAsia="Arial" w:hAnsi="Arial"/>
          <w:sz w:val="18"/>
          <w:szCs w:val="18"/>
          <w:color w:val="131E29"/>
        </w:rPr>
        <w:t>future earnings being lower than anticipated in jurisdictions where we have lower statutory tax rates and higher than anticipated earnings in jurisdictions where we have higher statutory tax rates.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In addition, our effective tax rate in a given financial statement period may be materially impacted by a variety of factors including but not limited to changes in the mix and level of earnings, varying tax rates in the different jurisdictions in which we operate, fluctuations in the valuation allowance or by changes to existing accounting rules or regulations. Further, tax legislation may be enacted in the future which could negatively impact our current or future tax structure and effective tax rates. We may be subject to audits of our income, sales and other transaction taxes by U.S. federal, state, and local taxing authorities. Outcomes from these audits could have an adverse effect on our operating results and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We are subject to many federal, state and local laws with which compliance is both costly and complex.</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 food service and restaurant industry is subject to extensive federal, state and local laws and regulations, including those relating to health care reform, building and zoning requirements, and the preparation and sale of food and beverages for consumption. Such laws and regulations are subject to change from time to time. The failure to comply with these laws and regulations could adversely affect our operating results. Typically, licenses, permits and approvals under such laws and regulations must be renewed annually and may be revoked, suspended or denied renewal for cause at any time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governmental authorities determine that our conduct violates applicable regulations. Difficulties or failure to maintain or obtain the required licenses, permits and approvals could adversely affect our existing shops and delay or result in our decision to cancel the opening of new shops, which would adversely affect our business.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 development and operation of a shop depends, to a significant extent, on the selection of suitable sites for drive-thrus, which are subject to unique permitting, zoning, land use, environmental, traffic and other regulations and requirements. We are also subject to licensing and regulation by state and local authorities relating to health, sanitation, safety and fire standards.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are subject to the Fair Labor Standards Act and various other federal, state and local laws that regulate the wages and hours of employees. These laws commonly apply a strict liability standard so that even inadvertent noncompliance can lead to claims, government enforcement actions and litigation. These laws vary from state to state and are subject to frequent amendments and judicial interpretations that can require rapid adjustments to operations. Insurance coverage for violations of these laws is costly and sometimes is not available. Changes to these laws can adversely affect our business by increasing labor and compliance costs. The failure to comply with these laws could adversely affect our business as a result of costly litigation or government enforcement actions.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are also subject to a variety of other employee relations laws including Family and Medical Leave Act of 1933 and state leave laws, employment discrimination laws, predictive scheduling laws, occupational health and safety laws and regulations and the National Labor Relations Act of 1935, to name a few. Together, these many laws and regulations present a thicket of compliance obligations and liability risks. As we grow, we will need to continue to increase our compliance efforts in these areas, which may affect our results from operations. Changes to these laws and regulations may increase these costs beyond our expectations or predictions, which would adversely affect our business operations and financial results. Violations of these laws could lead to costly litigation or governmental investigation or proceedings.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are subject to compliance obligations of the Food Safety Modernization Acts (FSMA). Under FSMA, we are required to develop and implement a Food Safety Plan for our roasting operations. While we are not currently required to implement a FSMA Food Safety Plan or a Hazard Analysis and Critical Points system (HACCP) in our shops, many states have required restaurants to develop and implement HACCP, and the United States government continues to expand the sectors of the food industry that must adopt and implement HACCP. Additionally, our suppliers may initiate or otherwise be subject to food recalls that may impact the availability of certain products, result in adverse publicity or require us to take actions that could be costly for us or otherwise impact our business.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We are subject to the Americans with Disabilities Act (the ADA), which, among other things, requires our shops to meet federally mandated requirements for the disabled. The ADA prohibits discrimination in employment and public accommodations on the basis of disability. Under the ADA, we could be required to expend funds to modify our shops to provide service to, or make reasonable accommodations for the employment of, disabled persons. In addition, our employment practices are subject to the requirements of the Immigration and Naturalization Service relating to citizenship and residency.</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In addition, our franchise activities are subject to laws enacted by a number of states and rules and regulations promulgated by the Franchise Trade Commission (the FTC). Failure to comply with new or existing franchise laws, rules and regulations in any jurisdiction or to obtain required government approvals could negatively affect our licensing sales and our relationships with our licensees.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enforcement actions, fines and civil and criminal liability. In addition, certain laws, including the ADA, could require us to expend significant funds to make modifications to our shops if we failed to comply with applicable standards. Compliance with all these laws and regulations can be costly and can increase our exposure to litigation or governmental investigations or proceedings.</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6098"/>
        </w:rPr>
        <w:t>*We (and our vendors) are subject to stringent and changing laws, regulations, industry standards, contractual obligations, policies and other obligations related to data privacy and security. The actual or perceived failure by us or our vendors to comply with such obligations, may harm our business, financial condition and results of operations, and prospects.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We Process personal information, confidential information and other sensitive information necessary to provide our products and services and other Business Functions. Our Processing activities may subject us to numerous data privacy and security obligations, such as various laws, regulations, guidance, industry standards, external and internal privacy and security policies, contracts, and other obligations that govern data privacy, security, and Processing of personal information by us and on our behalf.</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Data privacy and regulation of privacy, information security and Processing has become a significant issue in the United States. The legal and regulatory framework for data privacy and security issues is rapidly evolving and is expected to increase our compliance costs and exposure to liability. There are numerous federal, state, and local laws, orders, codes, regulations and regulatory guidance regarding privacy, information security and Processing (Data Protection Laws), the number and scope of which is changing, subject to differing applications and interpretations, and may be inconsistent among jurisdictions, or in conflict with other rules, laws or Data Protection Obligations (defined below). We expect that there will continue to be new Data Protection Laws and Data Protection Obligations, and we cannot yet determine the impact such future Data Protection Laws may have on our business. Any significant change to Data Protection Laws and Data Protection Obligations, including without limitation, regarding the manner in which the express or implied consent of customers for Processing is obtained, could increase our costs and require us to modify our operations, possibly in a material manner, which we may be unable to complete and may limit our ability to Process customer data and operate our business.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Data Protection Laws are, and are likely to remain, uncertain for the foreseeable future, and our (or our vendors’) actual or perceived failure to address or comply with these laws could: increase our compliance and operational costs; limit our ability to market our products or services and attract new and retain current customers; limit or eliminate our ability to Process personal information; expose us to regulatory scrutiny, actions, investigations, fines and penalties; result in reputational harm; lead to a loss of customers; reduce the use of our products or services; result in litigation and liability, including class action litigation; cause us to incur significant costs, expenses, and fees (including attorney fees); cause a material adverse impact to business operations or financial results; and otherwise result in other material harm to our business (Adverse Data Protection Impact).</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We are subject to the terms of our external and internal privacy and security policies, marketing materials, and other statements, such as compliance with certain certifications, industry standards, publications and frameworks (Privacy Policies) and contractual obligations to third parties related to privacy, information security and Processing, including contractual obligations to indemnify and hold harmless third parties from the costs or consequences of non-compliance with Data Protection Laws or other obligations (Data Protection Obligations).</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strive to comply with applicable Data Protection Laws, Privacy Policies and Data Protection Obligations to the extent possible, but we may at times fail to do so, or may be perceived to have failed to do so. Moreover, despite our efforts, we may not be successful in achieving compliance if our employees, partners or vendors do not comply with applicable Data Protection Laws, Privacy Policies and Data Protection Obligations. For example, any failure by a third-party processor to comply with applicable Data Protection Laws, Privacy Policies and Data Protection Obligations could result in adverse effects, including inability to, or interruption in our ability to, operate our business and proceedings against us by governmental entities or others. We may be subject to, and suffer an Adverse Data Protection Impact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or our vendors fail (or are perceived to have failed) to comply with applicable Data Protection Laws, Privacy Policies and Data Protection Obligations, or if our Privacy Policies are, in whole or part, found to be inaccurate, incomplete, deceptive, unfair or misrepresentative of our actual practices. In addition, any such failure or perceived failure could result in public statements against us by consumer advocacy groups, the media or others, which may cause us material reputational harm. Our actual or perceived failure to comply with Data Protection Laws, Privacy Policies and Data Protection Obligations could also subject us to litigation, claims, proceedings, actions or investigations by governmental entities, authorities or regulators, which could result in an Adverse Data Protection Impact, including required changes to our business practices, the diversion of resources and the attention of management from our business, regulatory oversights and audits, discontinuance of necessary Processing or other remedies that adversely affect our business.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In the United States, these include the Telephone Consumer Protection Act (TCPA), the Electronic Communications Privacy Act, the Computer Fraud and Abuse Act, the California Consumer Privacy Act (the CCPA), other state, local, and federal laws relating to data privacy and security, and rules and regulations promulgated under the authority of the Federal Trade Commission. The CCPA provides individual privacy rights for California residents and places increased privacy and security obligations on covered businesses processing personal information. The CCPA requires covered businesses to provide new disclosures to California residents and provide such individuals with ways to opt-out of certain sales of personal information. The CCPA also provides a private right of action and statutory damages for violations (up to $7,500 per violation), including for data breaches. To the extent applicable to our business and operations, the CCPA may impact our business activities by increasing our compliance costs and potential liability with respect to personal information that we or third parties with whom we contract to provide services maintain about California residents. In addition, the CCPA will be expanded on January 1, 2023, when the California Privacy Rights Act of 2020 (CPRA) becomes operative. The CPRA will, among other things, apply to personal information of business representatives and employees and establish a new California Privacy Protection Agency to implement and enforce the law. These Data Protection Laws (such as the CCPA and CPRA) exemplify the vulnerability of our business to the evolving regulatory environment related to personal information.</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Moreover, across the United States, laws and regulations governing data privacy and security continue to develop and evolve. For example, Virginia passed the Consumer Data Protection Act (CDPA), Colorado passed the Colorado Privacy Act (CPA), Connecticut passed the Connecticut Data Privacy Act (CTDPA), and Utah passed the Utah Consumer Privacy Act (UCPA), all of which become effective in 2023. In addition, data privacy and security laws have been proposed at the federal, state, and local levels in recent years, which could further complicate compliance efforts. Compliance with the CPRA, the CCPA, the CDPA, the CPA, the CTDPA, the UCPA and any newly enacted data privacy and security laws or regulations may be challenging and cost- and time-intensive, and may require us to modify our data processing practices and policies and to incur substantial costs and potential liability in an effort to comply with such legislation. The Data Protection Laws, Privacy Policies and Data Protection Obligations to which we are subject may significantly affect our business activities and many of these obligations may contain ambiguous provisions creating uncertainty. Compliance with the requirements imposed by such Data Protection Laws and Data Protection Obligations may require us to revise our business practices, allocate more resources to data privacy and security, and implement new technologies. Such efforts may result in significant costs to our business. Noncompliance could result in Adverse Data Protection Impact, including proceedings against us by governmental and regulatory entities, collaborators, individuals or others.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In addition to data privacy and security laws, we may be contractually subject to data privacy and security obligations, including industry standards adopted by industry groups and may become subject to new data privacy and security obligations in the future. Additionally,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131E29"/>
        </w:rPr>
        <w:t>Noncompliance with PCI-DSS can result in penalties ranging from $5,000 to $ 100,000 per month by credit card companies, litigation, damage to our reputation, and revenue losses. We may also rely on vendors to process payment card data, and those vendors may be subject to PCI DSS, and our business may be negatively affected if our vendors are fined or suffer other consequences as a result of PCI DSS noncompliance (or perceived noncompliance). We rely on a variety of marketing techniques and practices, including email and social media marketing, online targeted advertising, and cookie-based Processing, to sell our products and services and to attract new customers, and we, and our vendors, may be subject to various current and future Data Protection Laws and Data Protection Obligations that govern marketing and advertising practices. For example, the Controlling the Assault of Non-Solicited Pornography and Marketing Act of 2003 (CAN-SPAM) and the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$ 1,500 per violation imposed through private litigation or by state authorities. Additionally, governmental authorities continue to evaluate the privacy implications inherent in the use of third-party “cookies” and other methods of online tracking for behavioral advertising and other purposes, such as by regulating the level of consumer notice and consent required before a company can employ cookies or other electronic tracking tools or the use of data gathered with such tools. Additionally, some providers of consumer devices, web browsers and application shops have implemented, or announced plans to implement, means to make it easier for Internet users to prevent the placement of cookies or to block other tracking technologies, require additional consents or limit the ability to track user activity, which could if widely adopted result in the use of third-party cookies and other methods of online tracking becoming significantly less effective. For example, Apple introduced an iOS update in April 2021 that allowed users to more easily opt-out of tracking of activity across devices. Additionally, Google has announced that it intends to phase out third-party cookies in its Chrome browser, which could make it more difficult for us to target advertisements. Individuals may increasingly resist our collecting, using, and sharing of personal information to deliver targeted advertising. Individuals are becoming more aware of options related to consent, “do not track” mechanisms, and “ad-blocking” software, any of which could materially impact our ability to collect personal information and deliver relevant promotions or media. As a result, we may be required to change the way we market our products. Any of these developments could increase our costs of operations and limit our ability to acquire new customers on cost-effective terms, which, in turn, could have an adverse effect on our business, financial condition, results of operations and prospects.</w:t>
      </w:r>
    </w:p>
    <w:p>
      <w:pPr>
        <w:spacing w:after="0" w:line="1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We and our franchise partners are subject to extensive government regulations that could result in claims leading to increased costs and restrict our ability to operate franchises.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and our franchise partners are subject to extensive government regulation at the federal, state and local government levels, including by the FTC. These include, but are not limited to, regulations relating to the preparation and sale of beverages, zoning and building codes, franchising, land use and employee, health, sanitation and safety matters. We and our franchise partners are required to obtain and maintain a wide variety of governmental licenses, permits and approvals. Local authorities may suspend or deny renewal of our governmental licenses if they determine that our operations do not meet the standards for initial grant or renewal. Difficulty or failure in obtaining them in the future could result in delaying or canceling the opening of new shops and thus could harm our business. Any such failure could also subject us to liability from our franchise partners.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Additionally, governmental authorities may adopt broad standards for determining when two or more entities may be deemed joint employers of the same employees. For example, Congress has a legislation proposal in process that could shift more liability for franchise partner employment practices onto franchisors. The federal PROAct would codify the Browning-Ferris decision that redefined joint employment to include a broader category of conduct by the franchisor. In addition, the National Labor Relations Board proposed a rule in September 2022 that could broaden the standards applicable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establishing a joint employer relationship. If these or similar laws or rules come into effect, it could increase the possibility of Dutch Bros being held liable for our franchise partners’ employment practices.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*Beverage and restaurant companies have been the target of class action lawsuits and other proceedings that are costly, divert management attention and, if successful, could result in our payment of substantial damages or settlement costs.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Our business is subject to the risk of litigation by employees, customers, competitors, landlords or neighboring businesses, suppliers, franchise partners, stockholders or others through private actions, class actions, administrative proceedings, regulatory actions or other litigation. The outcome of litigation, particularly class action and regulatory actions, is difficult to assess or quantify. In recent years, beverage and restaurant companies have been subject to lawsuits, including class action lawsuits, alleging violations of federal and state laws regarding workplace and employment matters, discrimination and similar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overtime eligibility of assistant managers and failure to pay for all hours worked. Any such lawsuits in which Dutch Bros, Dutch Bros OpCo, or any subsidiary thereof is named as a party may result in substantial expenses and/or damages.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Occasionally, our customers file complaints or lawsuits against us alleging that we are responsible for some illness or injury they suffered at or after a visit to one of our shops, including actions seeking damages resulting from food-borne illness or accidents in our shops. We also could be subject to a variety of other claims from third parties arising in the ordinary course of our business, including contract claims. The food service and restaurant industry has also been subject to a growing number of claims that their menus and actions have led to the obesity of certain of their customers.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Occasionally, we and our franchise partners are involved in disputes with neighbors, government officials and landlords over the lines of cars attempting to visit our shops. These disputes have led to the loss or changing of locations, changes to hours and operations and costly litigation. If we are unable to reach agreement in future disputes or to alleviate pressure on certain shops by building additional shops or making operational changes, we may be required to close locations or alter operations at some locations. Lost sales and royalty payments caused by such closures or alterations, plus increased expenses from litigation, would harm our business.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Regardless of whether any claims against us are valid or whether we are liable, claims may be expensive to defend and may divert time and money away from our operations. In addition, they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harm our business.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6098"/>
        </w:rPr>
        <w:t>Legislation and regulations requiring the display and provision of nutritional information for our menu offerings, and new information or attitudes regarding diet and health or adverse opinions about the health effects of consuming our menu offerings, could affect consumer preferences and negatively impact our business, financial condition and results of operations.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Government regulation and consumer eating habits may impact our business as a result of changes in attitudes regarding diet and health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For example, a number of states, counties and cities have enacted menu labeling laws requiring multi-unit restaurant operators to disclose certain nutritional information to customers, or have enacted legislation restricting the use of certain types of ingredients in food sold at restaurants. Furthermore, the Patient Protection and Affordable Care Act of 2010 (the PPACA) establishes a uniform, federal requirement for certain restaurants to post certain nutritional information on their menus. Specifically, the PPACA amended the Federal Food, Drug and Cosmetic Act to require certain chain restaurants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FDA to require covered restaurants to make additional nutrient disclosures, such as disclosure of trans-fat content. An unfavorable report on, or reaction to, our menu ingredients, the size of our portions or the nutritional content of our menu items could negatively influence the demand for our offerings.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We cannot make any assurances regarding our ability to effectively respond to changes in consumer health perceptions or our ability to successfully implement the nutrient content disclosure requirements and to adapt our menu offerings to trends in drinking and consumption habits. The imposition of menu-labeling laws could have an adverse effect on our results of operations and financial position, as well as the food service and restaurant industry in general.</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Our Organizational Structure</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6098"/>
        </w:rPr>
        <w:t>*Dutch Bros Inc. is a holding company, and its only material asset is its interest in Dutch Bros OpCo. Accordingly, Dutch Bros Inc. is dependent upon distributions from Dutch Bros OpCo to pay its taxes and expenses (including payments under the Tax Receivable Agreements) and to pay dividends.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Dutch Bros Inc. is a holding company, and has no material assets other than its ownership of OpCo Units. Dutch Bros Inc. has no independent means of generating revenue or cash flow, and its ability to pay taxes, operating expenses and dividends in the future, if any, will be dependent upon the financial results and cash flows of Dutch Bros OpCo and its subsidiaries and distributions received from Dutch Bros OpCo. There can be no assurance that Dutch Bros OpCo and its subsidiaries will generate sufficient cash flow to make such distributions, or that applicable state law and contractual restrictions, including negative covenants in our debt instruments, will permit such distributions.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anticipate that Dutch Bros OpCo will continue to be treated as a partnership for U.S. federal income tax purposes and, as such, generally will not be subject to any entity-level U.S. federal income tax. Instead, taxable income will be allocated to holders of Dutch Bros OpCo Class A common units. Accordingly, Dutch Bros Inc. will incur income taxes on its allocable share of any net taxable income of Dutch Bros OpCo and will also incur expenses related to its operations, including payments under the Tax Receivable Agreements, which we expect could be significant. Furthermore, Dutch Bros Inc.’s allocable share of Dutch Bros OpCo’s net taxable income will increase over time as the Continuing Members redeem or exchange their Dutch Bros OpCo Class A common units for shares of Class A common stock or cash.</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intend, through Dutch Bros Inc.’s role as managing member, to cause Dutch Bros OpCo to make cash distributions to the holders of Dutch Bros OpCo Class A common units, including Dutch Bros Inc., in an amount sufficient to (i) fund each holder’s tax obligations in respect of allocations of taxable income from Dutch Bros OpCo and (ii) cover Dutch Bros Inc.’s operating expenses, including payments under the Tax Receivable Agreements. However, Dutch Bros OpCo’s ability to make such distributions may be subject to various limitations and restrictions, such as restrictions on distributions that would either violate any contract or agreement to which Dutch Bros OpCo is then a party, including debt agreements, or any applicable law, or that would have the effect of rendering Dutch Bros OpCo insolvent. In addition, for taxable years beginning after December 31, 2017, liability for adjustments to a partnership’s tax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131E29"/>
        </w:rPr>
        <w:t>can be imposed on the partnership itself in certain circumstances, absent an election to the contrary. Dutch Bros OpCo could be subject to material liabilities pursuant to adjustments to its partnership tax returns if, for example, its calculations or allocations of taxable income or loss are incorrect, which also could limit its ability to make distributions to us.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If Dutch Bros Inc. does not have sufficient funds to pay taxes or other liabilities or to fund its operations, we may have to borrow funds, which could materially adversely affect our liquidity and financial condition and subject us to various restrictions imposed by any such lenders. To the extent that Dutch Bros Inc. is unable to make payments under the Tax Receivable Agreements for any reason, such payments generally will be deferred and will accrue interest until paid; provided, however, that nonpayment for a specified period may constitute a material breach of a material obligation under the Tax Receivable Agreements and therefore accelerate payments due under the Tax Receivable Agreements. In addition, if Dutch Bros OpCo does not have sufficient funds to make distributions, Dutch Bros Inc.’s ability to declare and pay cash dividends will also be restricted or impaired.</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006098"/>
        </w:rPr>
        <w:t>*Dutch Bros OpCo may make distributions of cash to Dutch Bros Inc. in excess of the amounts used by Dutch Bros Inc. to make distributions to its stockholders and pay its expenses (including taxes and payments under the Tax Receivable Agreements). To the extent Dutch Bros Inc. does not distribute such excess cash as dividends on Class A and Class D common stock, the Continuing Members would benefit from any value attributable to such cash as a result of their ownership of Class A common stock upon a redemption or exchange of their Dutch Bros OpCo Class A common units.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Distributions from Dutch Bros OpCo may in certain periods exceed Dutch Bros Inc.’s liabilities, including tax liabilities, obligations to make payments under the Tax Receivable Agreements, and other expenses. Dutch Bros Inc.’s board of directors, in its sole discretion, will make any determination from time to time with respect to the use of any such excess cash so accumulated, which may include, among other uses, to pay dividends on its Class A common stock and Class D common stock. Dutch Bros Inc. will have no obligation to distribute such cash (or other available cash other than any declared dividend) to its stockholders.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No adjustments to the exchange ratio of Dutch Bros OpCo Class A common units for shares of Class A common stock will be made as a result of either (i) any cash distribution by Dutch Bros Inc. or (ii) any cash that Dutch Bros Inc. retains and does not distribute to its stockholders. To the extent Dutch Bros Inc. does not distribute such cash as dividends on Class A and Class D common stock and instead, for example, holds such cash balances, buys additional Dutch Bros OpCo Class A common units or lends such cash to Dutch Bros OpCo, this may result in shares of Class A common stock increasing in value relative to the Dutch Bros OpCo Class A common units. The holders of Dutch Bros OpCo Class A common units may benefit from any value attributable to such cash balances if they receive shares of Class A common stock on redemption or exchange of their Dutch Bros OpCo Class A common units or if Dutch Bros Inc. acquires additional Dutch Bros OpCo Class A common units (whether from Dutch Bros OpCo or from holders of Dutch Bros OpCo Class A common units) at a price based on the market price of our Class A common stock at the time.</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*The Tax Receivable Agreements with the Continuing Members and Pre-IPO Blocker Holders require Dutch Bros Inc. to make cash payments to them in respect of certain tax benefits to which it may become entitled, and such payments may be substantial.</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In connection with the IPO, Dutch Bros Inc. entered into the Tax Receivable Agreements with the Continuing Members and the Pre-IPO Blocker Holders, as applicable. These Tax Receivable Agreements provide for the payment by Dutch Bros Inc. to such Continuing Members and Pre-IPO Blocker Holders of 85% of the benefits, if any, that Dutch Bros Inc. is deemed to realize (calculated using certain assumptions) as a result of certain tax attributes and benefits covered by the Tax Receivable Agreements. The Exchange Tax Receivable Agreement provides for the payment by Dutch Bros Inc. to the Continuing Members of 85% of the benefits, if any, that Dutch Bros Inc. is deemed to realize (calculated using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assumptions) as a result of (i) Dutch Bros Inc.’s allocable share of existing tax basis attributable to certain assets of Dutch Bros OpCo and its subsidiaries (including assets that will eventually be subject to depreciation or amortization once placed in service) at the time of any redemption or exchange of Dutch Bros OpCo Class A common units (including certain transactions in connection with the IPO) which tax basis is allocated to such redeemed or exchanged Dutch Bros OpCo Class A common units acquired by Dutch Bros Inc., (ii) adjustments that will increase the tax basis of the tangible and intangible assets of the Dutch Bros OpCo and its subsidiaries as a result of Dutch Bros Inc.’s taxable acquisition of Dutch Bros OpCo Class A common units from the Continuing Members in connection with the IPO and in connection with future redemptions or exchanges of Dutch Bros OpCo Class A common units for shares of Class A common stock (or a corresponding amount of cash), (iii) disproportionate allocations (if any) of tax benefits to Dutch Bros Inc. under Section 704(c) of the Internal Revenue Code of 1986, as amended (the Code), as a result of Dutch Bros Inc.’s acquisition of other Dutch Bros OpCo Class A common units from Dutch Bros OpCo and former members of Dutch Bros OpCo who are not Continuing Members in certain transactions in connection with the IPO and (iv) certain other tax benefits, including tax benefits attributable to payments under the Exchange Tax Receivable Agreement. The Reorganization Tax Receivable Agreement provides for the payment by Dutch Bros Inc. to Pre-IPO Blocker Holders of 85% of the benefits, if any, that Dutch Bros Inc. is deemed to realize (calculated using certain assumptions) as a result of (i) existing tax basis and certain adjustments to the tax basis of certain assets of Dutch Bros OpCo and its subsidiaries, in each case, that are attributable to Dutch Bros OpCo Class A common units acquired by Dutch Bros Inc. from the Blocker Companies in connection with the IPO, (ii) certain tax attributes of the Blocker Companies (including net operating losses, capital losses, research and development credits, work opportunity tax credits, excess Section 163(j) limitation carryforwards, charitable deductions, foreign Tax credits and any Tax attributes subject to carryforward under Section 381 of the Code), and (iii) certain other tax benefits, including tax benefits attributable to payments under the Reorganization Tax Receivable Agreement.</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In each case, these increases in Dutch Bros Inc.’s allocable share of existing tax basis, the tax basis adjustments generated over time, and the application of Section 704(c) of the Code, may increase (for tax purposes) depreciation and amortization deductions allocated to Dutch Bros Inc. and, therefore, may reduce the amount of tax that Dutch Bros Inc. would otherwise be required to pay in the future. Actual tax benefits realized by Dutch Bros Inc.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Dutch Bros Inc., but not of Dutch Bros OpCo. While the amount of existing tax basis, the anticipated tax basis adjustments, the application of Section 704(c) of the Code, and the actual amount and utilization of tax attributes, as well as the amount and timing of any payments under the Tax Receivable Agreements, will vary depending upon a number of factors, including the timing of redemptions and exchanges, the price of shares of our Class A common stock at the time of redemptions and exchanges, the extent to which such redemptions and exchanges are taxable, and the amount and timing of our income, we expect that as a result of the size of the transfers and increases in the tax basis of the tangible and intangible assets of Dutch Bros OpCo and our possible utilization of tax attributes, including existing tax basis attributable to Dutch Bros OpCo Class A common units acquired in connection with the IPO, the payments that Dutch Bros Inc. may make under the Tax Receivable Agreements may be substantial. The payments under the Tax Receivable Agreements are not conditioned upon continued ownership of Dutch Bros Inc. by the exchanging holders of Dutch Bros OpCo Class A common units or the Pre-IPO Blocker Holders.</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Payments under the Tax Receivable Agreements will be based on the tax reporting positions that we determine, and the Internal Revenue Service (IRS) or another tax authority may challenge all or part of the tax basis increases, as well as other related tax positions we take, and a court could sustain such challenge. The Continuing Members and Pre-IPO Blocker Holders will not reimburse Dutch Bros Inc. for any payments previously made under the Tax Receivable Agreements if such basis increases or other tax benefits are subsequently disallowed, except that any excess payments made by Dutch Bros Inc. to the Continuing Members and Pre-IPO Blocker Holders will be netted against future payments that it might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otherwise be required to make to them under the applicable Tax Receivable Agreements. However, a challenge to any tax benefits initially claimed may not arise for a number of years following the initial time of such payment or, even if challenged early, such excess cash payment may be greater than the amount of future cash payments that Dutch Bros Inc. might otherwise be required to make under the terms of the Tax Receivable Agreements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As a result, in certain circumstances Dutch Bros Inc. may make payments to the Continuing Members and Pre-IPO Blocker Holders under the Tax Receivable Agreements in excess of its actual cash tax savings. Therefore, payments could be made under the Tax Receivable Agreements in excess of the tax savings that we realize in respect of the tax attributes with respect to the Continuing Members and Pre-IPO Blocker Holders that are the subject of the Tax Receivable Agreements.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In certain cases, payments under the Tax Receivable Agreements may be accelerated and/or significantly exceed the actual benefits Dutch Bros Inc. realizes in respect of the tax attributes subject to the Tax Receivable Agreements.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Dutch Bros Inc.’s payment obligations under the Tax Receivable Agreements may be accelerated in the event of certain changes of control or certain material breaches of material obligations and will be accelerated in the event it elects to terminate the Tax Receivable Agreements early. The accelerated payments will relate to all relevant tax attributes that may subsequently be available to Dutch Bros Inc. The accelerated payments required in such circumstances will be calculated by reference to the present value (at a discount rate equal to the lesser of (i) 6.5% per annum and (ii) one year LIBOR, or its successor rate, plus 100 “basis points”) of all future payments that the Continuing Members and Pre-IPO Blocker Holders would have been entitled to receive under the Tax Receivable Agreements, and such accelerated payments and any other future payments under the Tax Receivable Agreements will utilize certain valuation assumptions, including that Dutch Bros Inc.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Accordingly, it is possible that the actual cash tax benefits realized by Dutch Bros Inc.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Dutch Bros Inc. realizes in respect of the tax attributes subject to the Tax Receivable Agreements and/or payments to us from Dutch Bros OpCo are not sufficient to permit Dutch Bros Inc. to make payments under the Tax Receivable Agreements after it has paid taxes and other expenses.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6098"/>
        </w:rPr>
        <w:t>The acceleration of payments under the Tax Receivable Agreements in the case of certain changes of control may impair our ability to consummate change of control transactions or negatively impact the value received by owners of our Class A common stock.</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Tax Receivable Agreements provide that upon certain mergers, asset sales or other forms of business combination or certain other changes of control, Dutch Bros Inc.’s (or its successor’s) obligations with respect to the Tax Receivable Agreements would be based on certain assumptions, including that we (or our successor) would have sufficient taxable income to fully utilize the benefits arising from the increased tax deductions and tax basis and other benefits covered by the Tax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Agreements. Consequently, it is possible, in these circumstances, that the actual cash tax savings realized by us may be significantly less than the corresponding tax benefit payments under the Tax Receivable Agreements. Dutch Bros Inc.’s accelerated payment obligations and/or assumptions adopted under the Tax Receivable Agreements in the case of a change of control may impair our ability to consummate a change of control transactions or negatively impact the value received by owners of our Class A common stock in a change of control transaction.</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6098"/>
        </w:rPr>
        <w:t>If we were deemed to be an investment company under the Investment Company Act of 1940, as amended (the 1940 Act), as a result of our ownership of Dutch Bros OpCo, applicable restrictions could make it impractical for us to continue our business as contemplated and could have a material adverse effect on our business.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As the sole managing member of Dutch Bros OpCo, we control and operate Dutch Bros OpCo. On that basis, we believe that our interest in Dutch Bros OpCo is not an “investment security” as that term is used in the 1940 Act. However, if we were to cease participation in the management of Dutch Bros OpCo or if Dutch Bros OpCo itself becomes an investment company, our interest in Dutch Bros OpCo, as applicable, could be deemed an “investment security” for purposes of the 1940 Act.</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and Dutch Bros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Ownership of Our Class A Common Stock</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6098"/>
        </w:rPr>
        <w:t xml:space="preserve">*Additional stock issuances (including pursuant to the redemption of </w:t>
      </w:r>
      <w:r>
        <w:rPr>
          <w:rFonts w:ascii="Arial" w:cs="Arial" w:eastAsia="Arial" w:hAnsi="Arial"/>
          <w:sz w:val="18"/>
          <w:szCs w:val="18"/>
          <w:b w:val="1"/>
          <w:bCs w:val="1"/>
          <w:i w:val="1"/>
          <w:iCs w:val="1"/>
          <w:color w:val="131E29"/>
        </w:rPr>
        <w:t>Dutch Bros OpCo</w:t>
      </w:r>
      <w:r>
        <w:rPr>
          <w:rFonts w:ascii="Arial" w:cs="Arial" w:eastAsia="Arial" w:hAnsi="Arial"/>
          <w:sz w:val="18"/>
          <w:szCs w:val="18"/>
          <w:b w:val="1"/>
          <w:bCs w:val="1"/>
          <w:i w:val="1"/>
          <w:iCs w:val="1"/>
          <w:color w:val="006098"/>
        </w:rPr>
        <w:t xml:space="preserve"> Class A common units from our Continuing Members) could result in significant dilution to our stockholders and cause the trading price of our Class A common stock to decline.</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We may issue our capital stock or securities convertible into our capital stock from time to time in connection with a financing, acquisition, investments or otherwise (including pursuant to the redemption of Dutch Bros OpCo Class A common units from our Continuing Members). Additional issuances of our stock will result in dilution to existing holders of our stock. Any such issuances could result in substantial dilution to our existing stockholders and cause the trading price of our Class A common stock to decline.</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In particular, following the issuance of shares of Class A common stock in connection with the redemption of Dutch Bros OpCo Class A common units from our Continuing Members and the related cancellation of shares of our Class B common stock or Class C common stock, such shares of Class A common stock will have the same economic rights as other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*An active trading market for our Class A common stock may not be sustained, and the trading price of our Class A common stock may be volatile, and you could lose all or part of your investment.</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only recently completed our IPO, so there is a limited history regarding the public market and trading of our Class A common stock. If an active public market is not sustained, it may be difficult for you to sell your shares of Class A common stock at a price at or above the price per share of the IPO or at a price that is attractive to you or at all. Further, an inactive market may also impair our ability to raise capital by selling shares of our Class A common stock and may impair our ability to enter into strategic collaborations or acquire companies or products by using our shares of Class A common stock as consideration. Likewise, the price of our Class A common stock is likely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risk factors set forth in this section as well as the following:</w:t>
      </w:r>
    </w:p>
    <w:p>
      <w:pPr>
        <w:spacing w:after="0" w:line="151"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8"/>
          <w:szCs w:val="18"/>
          <w:color w:val="131E29"/>
        </w:rPr>
      </w:pPr>
      <w:r>
        <w:rPr>
          <w:rFonts w:ascii="Arial" w:cs="Arial" w:eastAsia="Arial" w:hAnsi="Arial"/>
          <w:sz w:val="18"/>
          <w:szCs w:val="18"/>
          <w:color w:val="131E29"/>
        </w:rPr>
        <w:t>price and volume fluctuations in the overall stock market from time to time;</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7"/>
        </w:numPr>
        <w:rPr>
          <w:rFonts w:ascii="Arial" w:cs="Arial" w:eastAsia="Arial" w:hAnsi="Arial"/>
          <w:sz w:val="18"/>
          <w:szCs w:val="18"/>
          <w:color w:val="131E29"/>
        </w:rPr>
      </w:pPr>
      <w:r>
        <w:rPr>
          <w:rFonts w:ascii="Arial" w:cs="Arial" w:eastAsia="Arial" w:hAnsi="Arial"/>
          <w:sz w:val="18"/>
          <w:szCs w:val="18"/>
          <w:color w:val="131E29"/>
        </w:rPr>
        <w:t>volatility in the trading prices and trading volumes of competitors’ stocks;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7"/>
        </w:numPr>
        <w:rPr>
          <w:rFonts w:ascii="Arial" w:cs="Arial" w:eastAsia="Arial" w:hAnsi="Arial"/>
          <w:sz w:val="18"/>
          <w:szCs w:val="18"/>
          <w:color w:val="131E29"/>
        </w:rPr>
      </w:pPr>
      <w:r>
        <w:rPr>
          <w:rFonts w:ascii="Arial" w:cs="Arial" w:eastAsia="Arial" w:hAnsi="Arial"/>
          <w:sz w:val="18"/>
          <w:szCs w:val="18"/>
          <w:color w:val="131E29"/>
        </w:rPr>
        <w:t>changes in operating performance and stock market valuations of other companies generally, or those in our industry in particular;</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7"/>
        </w:numPr>
        <w:rPr>
          <w:rFonts w:ascii="Arial" w:cs="Arial" w:eastAsia="Arial" w:hAnsi="Arial"/>
          <w:sz w:val="18"/>
          <w:szCs w:val="18"/>
          <w:color w:val="131E29"/>
        </w:rPr>
      </w:pPr>
      <w:r>
        <w:rPr>
          <w:rFonts w:ascii="Arial" w:cs="Arial" w:eastAsia="Arial" w:hAnsi="Arial"/>
          <w:sz w:val="18"/>
          <w:szCs w:val="18"/>
          <w:color w:val="131E29"/>
        </w:rPr>
        <w:t>sales of shares of our Class A common stock by us or our stockholders, including the Continuing Members;</w:t>
      </w:r>
    </w:p>
    <w:p>
      <w:pPr>
        <w:spacing w:after="0" w:line="171"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57"/>
        </w:numPr>
        <w:rPr>
          <w:rFonts w:ascii="Arial" w:cs="Arial" w:eastAsia="Arial" w:hAnsi="Arial"/>
          <w:sz w:val="18"/>
          <w:szCs w:val="18"/>
          <w:color w:val="131E29"/>
        </w:rPr>
      </w:pPr>
      <w:r>
        <w:rPr>
          <w:rFonts w:ascii="Arial" w:cs="Arial" w:eastAsia="Arial" w:hAnsi="Arial"/>
          <w:sz w:val="18"/>
          <w:szCs w:val="18"/>
          <w:color w:val="131E29"/>
        </w:rPr>
        <w:t>failure of securities analysts to maintain coverage of us, changes in financial estimates by securities analysts who follow our company, or our failure to meet these estimates or the expectations of investors;</w:t>
      </w:r>
    </w:p>
    <w:p>
      <w:pPr>
        <w:spacing w:after="0" w:line="143" w:lineRule="exact"/>
        <w:rPr>
          <w:rFonts w:ascii="Arial" w:cs="Arial" w:eastAsia="Arial" w:hAnsi="Arial"/>
          <w:sz w:val="18"/>
          <w:szCs w:val="18"/>
          <w:color w:val="131E29"/>
        </w:rPr>
      </w:pPr>
    </w:p>
    <w:p>
      <w:pPr>
        <w:jc w:val="both"/>
        <w:ind w:left="340" w:hanging="332"/>
        <w:spacing w:after="0" w:line="254" w:lineRule="auto"/>
        <w:tabs>
          <w:tab w:leader="none" w:pos="335" w:val="left"/>
        </w:tabs>
        <w:numPr>
          <w:ilvl w:val="0"/>
          <w:numId w:val="57"/>
        </w:numPr>
        <w:rPr>
          <w:rFonts w:ascii="Arial" w:cs="Arial" w:eastAsia="Arial" w:hAnsi="Arial"/>
          <w:sz w:val="18"/>
          <w:szCs w:val="18"/>
          <w:color w:val="131E29"/>
        </w:rPr>
      </w:pPr>
      <w:r>
        <w:rPr>
          <w:rFonts w:ascii="Arial" w:cs="Arial" w:eastAsia="Arial" w:hAnsi="Arial"/>
          <w:sz w:val="18"/>
          <w:szCs w:val="18"/>
          <w:color w:val="131E29"/>
        </w:rPr>
        <w:t>changes in our financial, operating or other metrics, regardless of whether we consider those metrics as reflective of the current state or long-term prospects of our business, and how those results compare to securities analyst expectations, including whether those results fail to meet, exceed or significantly exceed securities analyst expectations, particularly in light of the significant portion of our revenue derived from a limited number of customers;</w:t>
      </w:r>
    </w:p>
    <w:p>
      <w:pPr>
        <w:spacing w:after="0" w:line="149" w:lineRule="exact"/>
        <w:rPr>
          <w:rFonts w:ascii="Arial" w:cs="Arial" w:eastAsia="Arial" w:hAnsi="Arial"/>
          <w:sz w:val="18"/>
          <w:szCs w:val="18"/>
          <w:color w:val="131E29"/>
        </w:rPr>
      </w:pPr>
    </w:p>
    <w:p>
      <w:pPr>
        <w:ind w:left="320" w:hanging="312"/>
        <w:spacing w:after="0"/>
        <w:tabs>
          <w:tab w:leader="none" w:pos="320" w:val="left"/>
        </w:tabs>
        <w:numPr>
          <w:ilvl w:val="0"/>
          <w:numId w:val="57"/>
        </w:numPr>
        <w:rPr>
          <w:rFonts w:ascii="Arial" w:cs="Arial" w:eastAsia="Arial" w:hAnsi="Arial"/>
          <w:sz w:val="18"/>
          <w:szCs w:val="18"/>
          <w:color w:val="131E29"/>
        </w:rPr>
      </w:pPr>
      <w:r>
        <w:rPr>
          <w:rFonts w:ascii="Arial" w:cs="Arial" w:eastAsia="Arial" w:hAnsi="Arial"/>
          <w:sz w:val="18"/>
          <w:szCs w:val="18"/>
          <w:color w:val="131E29"/>
        </w:rPr>
        <w:t>announcements by us or our competitors of new products or services;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7"/>
        </w:numPr>
        <w:rPr>
          <w:rFonts w:ascii="Arial" w:cs="Arial" w:eastAsia="Arial" w:hAnsi="Arial"/>
          <w:sz w:val="18"/>
          <w:szCs w:val="18"/>
          <w:color w:val="131E29"/>
        </w:rPr>
      </w:pPr>
      <w:r>
        <w:rPr>
          <w:rFonts w:ascii="Arial" w:cs="Arial" w:eastAsia="Arial" w:hAnsi="Arial"/>
          <w:sz w:val="18"/>
          <w:szCs w:val="18"/>
          <w:color w:val="131E29"/>
        </w:rPr>
        <w:t>the public’s reaction to our press releases, other public announcements, and filings with the SEC;</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7"/>
        </w:numPr>
        <w:rPr>
          <w:rFonts w:ascii="Arial" w:cs="Arial" w:eastAsia="Arial" w:hAnsi="Arial"/>
          <w:sz w:val="18"/>
          <w:szCs w:val="18"/>
          <w:color w:val="131E29"/>
        </w:rPr>
      </w:pPr>
      <w:r>
        <w:rPr>
          <w:rFonts w:ascii="Arial" w:cs="Arial" w:eastAsia="Arial" w:hAnsi="Arial"/>
          <w:sz w:val="18"/>
          <w:szCs w:val="18"/>
          <w:color w:val="131E29"/>
        </w:rPr>
        <w:t>rumors and market speculation involving us or other companies in our industry;</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7"/>
        </w:numPr>
        <w:rPr>
          <w:rFonts w:ascii="Arial" w:cs="Arial" w:eastAsia="Arial" w:hAnsi="Arial"/>
          <w:sz w:val="18"/>
          <w:szCs w:val="18"/>
          <w:color w:val="131E29"/>
        </w:rPr>
      </w:pPr>
      <w:r>
        <w:rPr>
          <w:rFonts w:ascii="Arial" w:cs="Arial" w:eastAsia="Arial" w:hAnsi="Arial"/>
          <w:sz w:val="18"/>
          <w:szCs w:val="18"/>
          <w:color w:val="131E29"/>
        </w:rPr>
        <w:t>actual or anticipated changes in our results of operations or fluctuations in our results of operations;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7"/>
        </w:numPr>
        <w:rPr>
          <w:rFonts w:ascii="Arial" w:cs="Arial" w:eastAsia="Arial" w:hAnsi="Arial"/>
          <w:sz w:val="18"/>
          <w:szCs w:val="18"/>
          <w:color w:val="131E29"/>
        </w:rPr>
      </w:pPr>
      <w:r>
        <w:rPr>
          <w:rFonts w:ascii="Arial" w:cs="Arial" w:eastAsia="Arial" w:hAnsi="Arial"/>
          <w:sz w:val="18"/>
          <w:szCs w:val="18"/>
          <w:color w:val="131E29"/>
        </w:rPr>
        <w:t>actual or anticipated developments in our business, our competitors’ businesses or the competitive landscape generally;</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7"/>
        </w:numPr>
        <w:rPr>
          <w:rFonts w:ascii="Arial" w:cs="Arial" w:eastAsia="Arial" w:hAnsi="Arial"/>
          <w:sz w:val="18"/>
          <w:szCs w:val="18"/>
          <w:color w:val="131E29"/>
        </w:rPr>
      </w:pPr>
      <w:r>
        <w:rPr>
          <w:rFonts w:ascii="Arial" w:cs="Arial" w:eastAsia="Arial" w:hAnsi="Arial"/>
          <w:sz w:val="18"/>
          <w:szCs w:val="18"/>
          <w:color w:val="131E29"/>
        </w:rPr>
        <w:t>litigation involving us, our industry or both, or investigations by regulators into our operations or those of our competitors;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7"/>
        </w:numPr>
        <w:rPr>
          <w:rFonts w:ascii="Arial" w:cs="Arial" w:eastAsia="Arial" w:hAnsi="Arial"/>
          <w:sz w:val="18"/>
          <w:szCs w:val="18"/>
          <w:color w:val="131E29"/>
        </w:rPr>
      </w:pPr>
      <w:r>
        <w:rPr>
          <w:rFonts w:ascii="Arial" w:cs="Arial" w:eastAsia="Arial" w:hAnsi="Arial"/>
          <w:sz w:val="18"/>
          <w:szCs w:val="18"/>
          <w:color w:val="131E29"/>
        </w:rPr>
        <w:t>actual or perceived privacy or data security incidents;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7"/>
        </w:numPr>
        <w:rPr>
          <w:rFonts w:ascii="Arial" w:cs="Arial" w:eastAsia="Arial" w:hAnsi="Arial"/>
          <w:sz w:val="18"/>
          <w:szCs w:val="18"/>
          <w:color w:val="131E29"/>
        </w:rPr>
      </w:pPr>
      <w:r>
        <w:rPr>
          <w:rFonts w:ascii="Arial" w:cs="Arial" w:eastAsia="Arial" w:hAnsi="Arial"/>
          <w:sz w:val="18"/>
          <w:szCs w:val="18"/>
          <w:color w:val="131E29"/>
        </w:rPr>
        <w:t>developments or disputes concerning our intellectual property or other proprietary rights;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7"/>
        </w:numPr>
        <w:rPr>
          <w:rFonts w:ascii="Arial" w:cs="Arial" w:eastAsia="Arial" w:hAnsi="Arial"/>
          <w:sz w:val="18"/>
          <w:szCs w:val="18"/>
          <w:color w:val="131E29"/>
        </w:rPr>
      </w:pPr>
      <w:r>
        <w:rPr>
          <w:rFonts w:ascii="Arial" w:cs="Arial" w:eastAsia="Arial" w:hAnsi="Arial"/>
          <w:sz w:val="18"/>
          <w:szCs w:val="18"/>
          <w:color w:val="131E29"/>
        </w:rPr>
        <w:t>announced or completed acquisitions of businesses, franchises or other assets by us or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8"/>
          <w:szCs w:val="18"/>
          <w:color w:val="131E29"/>
        </w:rPr>
      </w:pPr>
      <w:r>
        <w:rPr>
          <w:rFonts w:ascii="Arial" w:cs="Arial" w:eastAsia="Arial" w:hAnsi="Arial"/>
          <w:sz w:val="18"/>
          <w:szCs w:val="18"/>
          <w:color w:val="131E29"/>
        </w:rPr>
        <w:t>new laws or regulations or new interpretations of existing laws or regulations applicable to our business;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8"/>
        </w:numPr>
        <w:rPr>
          <w:rFonts w:ascii="Arial" w:cs="Arial" w:eastAsia="Arial" w:hAnsi="Arial"/>
          <w:sz w:val="18"/>
          <w:szCs w:val="18"/>
          <w:color w:val="131E29"/>
        </w:rPr>
      </w:pPr>
      <w:r>
        <w:rPr>
          <w:rFonts w:ascii="Arial" w:cs="Arial" w:eastAsia="Arial" w:hAnsi="Arial"/>
          <w:sz w:val="18"/>
          <w:szCs w:val="18"/>
          <w:color w:val="131E29"/>
        </w:rPr>
        <w:t>changes in accounting standards, policies, guidelines, interpretations or principles;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8"/>
        </w:numPr>
        <w:rPr>
          <w:rFonts w:ascii="Arial" w:cs="Arial" w:eastAsia="Arial" w:hAnsi="Arial"/>
          <w:sz w:val="18"/>
          <w:szCs w:val="18"/>
          <w:color w:val="131E29"/>
        </w:rPr>
      </w:pPr>
      <w:r>
        <w:rPr>
          <w:rFonts w:ascii="Arial" w:cs="Arial" w:eastAsia="Arial" w:hAnsi="Arial"/>
          <w:sz w:val="18"/>
          <w:szCs w:val="18"/>
          <w:color w:val="131E29"/>
        </w:rPr>
        <w:t>any significant change in our management; and</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8"/>
        </w:numPr>
        <w:rPr>
          <w:rFonts w:ascii="Arial" w:cs="Arial" w:eastAsia="Arial" w:hAnsi="Arial"/>
          <w:sz w:val="18"/>
          <w:szCs w:val="18"/>
          <w:color w:val="131E29"/>
        </w:rPr>
      </w:pPr>
      <w:r>
        <w:rPr>
          <w:rFonts w:ascii="Arial" w:cs="Arial" w:eastAsia="Arial" w:hAnsi="Arial"/>
          <w:sz w:val="18"/>
          <w:szCs w:val="18"/>
          <w:color w:val="131E29"/>
        </w:rPr>
        <w:t>general political and economic conditions and slow or negative growth of our markets.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*The multi-class structure of our common stock has the effect of concentrating voting control with Continuing Members, limiting your ability to influence corporate matters.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Each share of our Class A common stock entitles its holder to one vote on all matters on which stockholders are entitled to vote generally. Our shares of Class B common stock have no economic rights but each share will entitle its holder to ten votes (or such lower number as required to prevent the holders of Class B common stock from holding, in the aggregate, 80% or more of the aggregate voting power of Dutch Bros Inc. at any time) for so long as the aggregate number of outstanding shares of our Class B common stock represents at least 5% of the total outstanding shares of common stock, and thereafter, one vote per share on all matters on which stockholders are entitled to vote generally. All of our Class B common stock are held by certain Continuing Members affiliated with our Co-Founder. Our shares of Class C common stock and Class D common stock entitle its holder to three votes for each share (for so long as the aggregate number of outstanding shares of our Class C common stock and Class D common stock represents at least 5% of the total outstanding shares of common stock, and thereafter, one vote per share) on all matters on which stockholders are entitled to vote generally. Our shares of Class C common stock have no economic rights but Class D common stock have the same economic rights as shares of Class A common stock. All of our Class C common stock are held by certain Continuing Members affiliated with our Sponsor and all our Class D common stock are held by the Pre-IPO Blocker Holders.</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The difference in voting rights could adversely affect the value of our Class A common stock by, for example, delaying or deferring a change of control or if investors view, or any potential future purchaser of our company views, the superior voting rights of the Class B common stock, Class C common stock and Class D common stock to have value. Because of the ten-to-one voting ratio between our Class B common stock and our Class A common stock, and the three-to-one voting ratio between our Class C common stock and Class D common stock, on the one hand, and our Class A common stock on the other hand, the holders of our Class B common stock, Class C common stock and Class D common stock collectively will continue to control a majority of the combined voting power of our common stock and therefore be able to control all matters submitted to our stockholders so long as they collectively represent at least a majority of the total voting power. This concentrated control will limit or preclude the ability of holders of Class A common stock to influence corporate matters for the foreseeable future.</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As a newly public company utilizing a multi-class capital structure, FTSE Russell and Standard &amp; Poor’s will not include our stock in their indices. Affected indices include the Russell 2000 and the S&amp;P 500, S&amp;P MidCap 400 and S&amp;P SmallCap 600, which together make up the S&amp;P Composite 1500. Our multi-class capital structure makes us ineligible for inclusion in certain indices, and as a result, mutual funds, exchange-traded funds and other investment vehicles that attempt to passively track these indices will not be investing in our Class A common stock. In addition,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*Our Co-Founder and Sponsor have significant influence over us, which could limit your ability to influence the outcome of matters submitted to stockholders for a vote.</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Certain affiliates of our Co-Founder beneficially own approximately 75.9% of the combined voting power of our Class A common stock, Class B common stock, Class C common stock and Class D common stock, and our Sponsor, directly and through affiliated investment funds, beneficially owns approximately 18.8% of the combined voting power of our Class A common stock, Class B common stock, Class C common stock and Class D common stock. Each share of Class A common stock entitles the holder to one vote, each share of Class B common stock entitles the holder to ten votes (for so long as the aggregate number of outstanding shares of our Class B common stock represents at least 5% of the total outstanding common stock, and thereafter, one vote per share, provided that the number of votes per share may be adjusted from time to time in accordance with our amended and restated certificate of incorporation, as required to prevent the holders of Class B common stock from holding, in the aggregate, 80% or more of the aggregate voting power of Dutch Bros Inc. at any time) and each share of Class C common stock and Class D common stock entitles the holder to three votes (for so long as the aggregate number of outstanding shares of our Class C common stock and Class D common stock represents at least 5% of the total outstanding common stock, and thereafter, one vote per share) on all matters on which stockholders are entitled to vote generally. Thus our Co-Founder and our Sponsor exercise control over all corporate actions requiring stockholder approval, irrespective of how our other stockholders may vote, including the election and removal of directors and the size of our board of directors, any amendment of our certificate of incorporation or bylaws or the approval of any merger or other significant corporate transaction, including a sale of substantially all our assets.</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In addition, our amended and restated certificate of incorporation provides that the holders of Class C common stock, which our Sponsor and its affiliates hold all of, are entitled to elect up to two members of our board of directors, voting as a separate class. The Stockholders Agreement similarly provides that we will agree to nominate to our board of directors individuals designated by our Sponsor, which will retain the right to designate up to two members of the board of directors for so long as the holders of shares of Class C common stock are entitled to elect one or more members to the board of directors pursuant to our amended and restated certificate of incorporation. Our Sponsor may therefore have influence over management and substantial control over matters requiring stockholder approval, including the annual election of directors and significant corporate transactions, such as a merger or other sale of our company or its assets, for the foreseeable future. It is possible that our Co-Founder’s and our Sponsor’s interests may not align with the interests of our other stockholders.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Our Co-Founder and Sponsor own approximately 64.6% of the Dutch Bros OpCo Class A common units. Because they hold their ownership interest in our business directly in Dutch Bros OpCo, rather than through Dutch Bros Inc., the Continuing Members may have conflicting interests with holders of shares of our Class A common stock. For example, if Dutch Bros OpCo makes distributions to us, the non-managing members of Dutch Bros OpCo will also be entitled to receive such distributions pro rata in accordance with their ownership of Dutch Bros OpCo Class A common units and their preferences as to the timing and amount of any such distributions may differ from those of our public stockholders. The Continuing Members may also have different tax positions from Dutch Bros Inc. that could influence their decisions regarding whether and when to dispose of assets, especially in light of the existence of the Tax Receivable Agreements, whether and when to incur new or refinance existing indebtedness and whether and when Dutch Bros Inc. should terminate the Tax Receivable Agreements and accelerate its obligations thereunder. In addition, the structuring of future transactions may take into consideration our pre-IPO owners’ tax or other considerations even where no similar benefit would accrue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6098"/>
        </w:rPr>
        <w:t>*We are a “controlled company” within the meaning of the New York Stock Exchange rules and, as a result, qualify for, and rely on, exemptions and relief from certain corporate governance requirements. You do not have the same protections afforded to stockholders of companies that are subject to such requirements.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Certain affiliates of our Co-Founder beneficially own approximately 75.9% of the combined voting power of our Class A common stock, Class B common stock, Class C common stock and Class D common stock. As a result, we are a “controlled company” within the meaning of the New York Stock Exchange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51"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8"/>
          <w:szCs w:val="18"/>
          <w:color w:val="131E29"/>
        </w:rPr>
      </w:pPr>
      <w:r>
        <w:rPr>
          <w:rFonts w:ascii="Arial" w:cs="Arial" w:eastAsia="Arial" w:hAnsi="Arial"/>
          <w:sz w:val="18"/>
          <w:szCs w:val="18"/>
          <w:color w:val="131E29"/>
        </w:rPr>
        <w:t>a board that is composed of a majority of “independent directors,” as defined under the New York Stock Exchange rules;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9"/>
        </w:numPr>
        <w:rPr>
          <w:rFonts w:ascii="Arial" w:cs="Arial" w:eastAsia="Arial" w:hAnsi="Arial"/>
          <w:sz w:val="18"/>
          <w:szCs w:val="18"/>
          <w:color w:val="131E29"/>
        </w:rPr>
      </w:pPr>
      <w:r>
        <w:rPr>
          <w:rFonts w:ascii="Arial" w:cs="Arial" w:eastAsia="Arial" w:hAnsi="Arial"/>
          <w:sz w:val="18"/>
          <w:szCs w:val="18"/>
          <w:color w:val="131E29"/>
        </w:rPr>
        <w:t>a compensation committee that is composed entirely of independent directors; and</w:t>
      </w:r>
    </w:p>
    <w:p>
      <w:pPr>
        <w:spacing w:after="0" w:line="171" w:lineRule="exact"/>
        <w:rPr>
          <w:rFonts w:ascii="Arial" w:cs="Arial" w:eastAsia="Arial" w:hAnsi="Arial"/>
          <w:sz w:val="18"/>
          <w:szCs w:val="18"/>
          <w:color w:val="131E29"/>
        </w:rPr>
      </w:pPr>
    </w:p>
    <w:p>
      <w:pPr>
        <w:ind w:left="340" w:right="20" w:hanging="332"/>
        <w:spacing w:after="0" w:line="261" w:lineRule="auto"/>
        <w:tabs>
          <w:tab w:leader="none" w:pos="335" w:val="left"/>
        </w:tabs>
        <w:numPr>
          <w:ilvl w:val="0"/>
          <w:numId w:val="59"/>
        </w:numPr>
        <w:rPr>
          <w:rFonts w:ascii="Arial" w:cs="Arial" w:eastAsia="Arial" w:hAnsi="Arial"/>
          <w:sz w:val="18"/>
          <w:szCs w:val="18"/>
          <w:color w:val="131E29"/>
        </w:rPr>
      </w:pPr>
      <w:r>
        <w:rPr>
          <w:rFonts w:ascii="Arial" w:cs="Arial" w:eastAsia="Arial" w:hAnsi="Arial"/>
          <w:sz w:val="18"/>
          <w:szCs w:val="18"/>
          <w:color w:val="131E29"/>
        </w:rPr>
        <w:t>director nominations be made, or recommended to the full board of directors, by its independent directors, or by a nominations/governance committee that is composed entirely of independent directors.</w:t>
      </w:r>
    </w:p>
    <w:p>
      <w:pPr>
        <w:spacing w:after="0" w:line="14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131E29"/>
        </w:rPr>
        <w:t>We intend to continue to utilize these exemptions until we are no longer eligible for them. Accordingly, you will not have the same protections afforded to stockholders of companies that are subject to all the corporate governance requirements of the New York Stock Exchange.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Certain of our directors have relationships with our Sponsor, which may cause conflicts of interest with respect to our business.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Two of our directors are affiliated with our Sponsor. Our Sponsor-affiliated directors have fiduciary duties to us and, in addition, have duties to our Sponsor. As a result, these directors may face real or apparent conflicts of interest with respect to matters affecting both us and our Sponsor, whose interests may be adverse to ours in some circumstances.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Additionally, our amended and restated certificate of incorporation provides that we renounce any interest or expectancy in, or in being offered an opportunity to participate in, business opportunities that are from time to time available to Sponsor and of its officers, directors, agents, stockholders, members, partners, affiliates and subsidiaries and each such party shall not have any obligation to offer us those opportunities unless presented to one of our directors or officers in his or her capacity as a director or officer.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*Future sales of shares of our Class A or Class D common stock cause the market price of our Class A common stock to decline.</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Sales of a substantial number of shares of our Class A or Class D common stock (after converting to Class A common stock) in the public market, or the perception that these redemptions, exchanges or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per share of the IPO, and therefore they may take steps to sell their shares or otherwise secure the unrecognized gains on those shares.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Subject to the terms of the Third Dutch Bros OpCo Agreement, an aggregate of 105,755,565 Dutch Bros OpCo Class A common units may be redeemed in exchange for shares of our Class A common stock and an aggregate of 12,411,419 shares of Class D common stock may be converted into shares of our Class A common stock. Any shares we issue upon redemption or exchange of Dutch Bros OpCo Class A common units or upon the conversion of shares of Class D common stock, as applicable,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“restricted securities” as defined in Rule 144 and may not be sold in the absence of registration under the Securities Act unless an exemption from registration is available, including the exemptions contained in Rule 144.</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However, all such shares are now eligible for resale in the public market, subject, in the case of shares held by our affiliates, to volume, manner of sale, and other limitations under Rule 144.</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Our trading price and trading volume could decline if securities or industry analysts do not publish research about our business, or if they publish unfavorable research.</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trading market for our Class A common stock relies in part on the research and reports that equity research analysts publish about us or our business. A lack of adequate research coverage may harm the liquidity and trading price of our Class A common stock. We do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As a newly public company, we incur increased costs and demands upon management as a result of complying with the laws and regulations affecting public companies in the United States, which may harm our business.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As a public company listed in the United States, we have incurred and will incur significant additional legal, accounting, and other expenses. In addition, changing laws, regulations, and standards relating to corporate governance and public disclosure, including regulations implemented by the SEC and the New York Stock Exchange,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selling,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These rules and regulations could also make it more difficult for us to attract and retain qualified persons to serve on our board of directors or our board committees or as executive officers. Our management and other personnel devote a substantial amount of time to these compliance initiatives and, as a result, management’s attention may be diverted from other business concerns, which could harm our business and operating results. As we hire more employees to aid us in compliance with these requirements, our costs and expenses may increase.</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Our management team and other personnel devote a substantial amount of time to new compliance initiatives and we may not successfully or efficiently manage our transition to a public company. To comply with the requirements of being a public company, including the Sarbanes-Oxley Act, we are implementing new internal controls and procedures and hiring accounting or internal audit staff, which will require us to incur additional expenses and harm our results of operations.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*We will no longer qualify as an “emerging growth company” as of December 31, 2022, and, as a result, we will no longer be able to avail ourselves of certain reduced reporting and disclosure requirements.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We are currently an “emerging growth company,” as defined in the Jumpstart Our Business Startups Act (the JOBS Act), and we have taken advantage of certain exemptions from various reporting requirements that are applicable to other public companies that are not “emerging growth companies,” including the auditor attestation requirements of Section 404 of the Sarbanes-Oxley Act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condensed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It is possible that investors have found or will continue to find our Class A common stock less attractive in light of the fact that we have relied on certain of these exemptions.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Based on the market value of our Class A common stock held by non-affiliates as of June 30, 2022, we will cease to qualify as an “emerging growth company,” effective as of December 31, 2022. We will no longer be able to take advantage of any of the exemptions from various reporting requirements that are applicable to other public companies that are not “emerging growth companies” as described above, and we will no longer be able to use the extended transition period for complying with new or revised accounting standards. We expect that the loss of our “emerging growth company” status and compliance with these additional requirements will substantially increase our legal and financial compliance costs. In addition, any failure to comply with these additional requirements in a timely manner, or at all, could have an adverse effect on our business and results of operations and could cause a decline in the price of our Class A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General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*Our results may fluctuate significantly and may not meet our expectations or those of investors or securities analysts.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Our results of operations, including the levels of our revenue, deferred revenue, working capital, and cash flows, may vary significantly in the future, such that period-to-period comparisons of our results of operations may not be meaningful. Our financial results may fluctuate due to a variety of factors, many of which are outside of our control and may be difficult to predict, including, but not limited to:</w:t>
      </w:r>
    </w:p>
    <w:p>
      <w:pPr>
        <w:spacing w:after="0" w:line="148"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8"/>
          <w:szCs w:val="18"/>
          <w:color w:val="131E29"/>
        </w:rPr>
      </w:pPr>
      <w:r>
        <w:rPr>
          <w:rFonts w:ascii="Arial" w:cs="Arial" w:eastAsia="Arial" w:hAnsi="Arial"/>
          <w:sz w:val="18"/>
          <w:szCs w:val="18"/>
          <w:color w:val="131E29"/>
        </w:rPr>
        <w:t>changes in consumer tastes and nutritional and dietary trends;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0"/>
        </w:numPr>
        <w:rPr>
          <w:rFonts w:ascii="Arial" w:cs="Arial" w:eastAsia="Arial" w:hAnsi="Arial"/>
          <w:sz w:val="18"/>
          <w:szCs w:val="18"/>
          <w:color w:val="131E29"/>
        </w:rPr>
      </w:pPr>
      <w:r>
        <w:rPr>
          <w:rFonts w:ascii="Arial" w:cs="Arial" w:eastAsia="Arial" w:hAnsi="Arial"/>
          <w:sz w:val="18"/>
          <w:szCs w:val="18"/>
          <w:color w:val="131E29"/>
        </w:rPr>
        <w:t>successful identification and acquisition of appropriate sites and timely develop and expand our number of profitable shops;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0"/>
        </w:numPr>
        <w:rPr>
          <w:rFonts w:ascii="Arial" w:cs="Arial" w:eastAsia="Arial" w:hAnsi="Arial"/>
          <w:sz w:val="18"/>
          <w:szCs w:val="18"/>
          <w:color w:val="131E29"/>
        </w:rPr>
      </w:pPr>
      <w:r>
        <w:rPr>
          <w:rFonts w:ascii="Arial" w:cs="Arial" w:eastAsia="Arial" w:hAnsi="Arial"/>
          <w:sz w:val="18"/>
          <w:szCs w:val="18"/>
          <w:color w:val="131E29"/>
        </w:rPr>
        <w:t>protection of our brand and reputation;</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0"/>
        </w:numPr>
        <w:rPr>
          <w:rFonts w:ascii="Arial" w:cs="Arial" w:eastAsia="Arial" w:hAnsi="Arial"/>
          <w:sz w:val="18"/>
          <w:szCs w:val="18"/>
          <w:color w:val="131E29"/>
        </w:rPr>
      </w:pPr>
      <w:r>
        <w:rPr>
          <w:rFonts w:ascii="Arial" w:cs="Arial" w:eastAsia="Arial" w:hAnsi="Arial"/>
          <w:sz w:val="18"/>
          <w:szCs w:val="18"/>
          <w:color w:val="131E29"/>
        </w:rPr>
        <w:t>dependence on a small number of suppliers, including for roasting;</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0"/>
        </w:numPr>
        <w:rPr>
          <w:rFonts w:ascii="Arial" w:cs="Arial" w:eastAsia="Arial" w:hAnsi="Arial"/>
          <w:sz w:val="18"/>
          <w:szCs w:val="18"/>
          <w:color w:val="131E29"/>
        </w:rPr>
      </w:pPr>
      <w:r>
        <w:rPr>
          <w:rFonts w:ascii="Arial" w:cs="Arial" w:eastAsia="Arial" w:hAnsi="Arial"/>
          <w:sz w:val="18"/>
          <w:szCs w:val="18"/>
          <w:color w:val="131E29"/>
        </w:rPr>
        <w:t>expectations regarding our future operating and financial performance;</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0"/>
        </w:numPr>
        <w:rPr>
          <w:rFonts w:ascii="Arial" w:cs="Arial" w:eastAsia="Arial" w:hAnsi="Arial"/>
          <w:sz w:val="18"/>
          <w:szCs w:val="18"/>
          <w:color w:val="131E29"/>
        </w:rPr>
      </w:pPr>
      <w:r>
        <w:rPr>
          <w:rFonts w:ascii="Arial" w:cs="Arial" w:eastAsia="Arial" w:hAnsi="Arial"/>
          <w:sz w:val="18"/>
          <w:szCs w:val="18"/>
          <w:color w:val="131E29"/>
        </w:rPr>
        <w:t>the size of our addressable markets, market share, and market trends;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0"/>
        </w:numPr>
        <w:rPr>
          <w:rFonts w:ascii="Arial" w:cs="Arial" w:eastAsia="Arial" w:hAnsi="Arial"/>
          <w:sz w:val="18"/>
          <w:szCs w:val="18"/>
          <w:color w:val="131E29"/>
        </w:rPr>
      </w:pPr>
      <w:r>
        <w:rPr>
          <w:rFonts w:ascii="Arial" w:cs="Arial" w:eastAsia="Arial" w:hAnsi="Arial"/>
          <w:sz w:val="18"/>
          <w:szCs w:val="18"/>
          <w:color w:val="131E29"/>
        </w:rPr>
        <w:t>effective management and continued growth of our workforce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8"/>
          <w:szCs w:val="18"/>
          <w:color w:val="131E29"/>
        </w:rPr>
      </w:pPr>
      <w:r>
        <w:rPr>
          <w:rFonts w:ascii="Arial" w:cs="Arial" w:eastAsia="Arial" w:hAnsi="Arial"/>
          <w:sz w:val="18"/>
          <w:szCs w:val="18"/>
          <w:color w:val="131E29"/>
        </w:rPr>
        <w:t>our ability to attract, retain, and motivate skilled personnel, including key members of our senior management;</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1"/>
        </w:numPr>
        <w:rPr>
          <w:rFonts w:ascii="Arial" w:cs="Arial" w:eastAsia="Arial" w:hAnsi="Arial"/>
          <w:sz w:val="18"/>
          <w:szCs w:val="18"/>
          <w:color w:val="131E29"/>
        </w:rPr>
      </w:pPr>
      <w:r>
        <w:rPr>
          <w:rFonts w:ascii="Arial" w:cs="Arial" w:eastAsia="Arial" w:hAnsi="Arial"/>
          <w:sz w:val="18"/>
          <w:szCs w:val="18"/>
          <w:color w:val="131E29"/>
        </w:rPr>
        <w:t>generation of projected same shop sales growth;</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1"/>
        </w:numPr>
        <w:rPr>
          <w:rFonts w:ascii="Arial" w:cs="Arial" w:eastAsia="Arial" w:hAnsi="Arial"/>
          <w:sz w:val="18"/>
          <w:szCs w:val="18"/>
          <w:color w:val="131E29"/>
        </w:rPr>
      </w:pPr>
      <w:r>
        <w:rPr>
          <w:rFonts w:ascii="Arial" w:cs="Arial" w:eastAsia="Arial" w:hAnsi="Arial"/>
          <w:sz w:val="18"/>
          <w:szCs w:val="18"/>
          <w:color w:val="131E29"/>
        </w:rPr>
        <w:t>the sufficiency of our cash, cash equivalents, and investments to meet our liquidity needs;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1"/>
        </w:numPr>
        <w:rPr>
          <w:rFonts w:ascii="Arial" w:cs="Arial" w:eastAsia="Arial" w:hAnsi="Arial"/>
          <w:sz w:val="18"/>
          <w:szCs w:val="18"/>
          <w:color w:val="131E29"/>
        </w:rPr>
      </w:pPr>
      <w:r>
        <w:rPr>
          <w:rFonts w:ascii="Arial" w:cs="Arial" w:eastAsia="Arial" w:hAnsi="Arial"/>
          <w:sz w:val="18"/>
          <w:szCs w:val="18"/>
          <w:color w:val="131E29"/>
        </w:rPr>
        <w:t>dependence on long-term non-cancelable leases;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1"/>
        </w:numPr>
        <w:rPr>
          <w:rFonts w:ascii="Arial" w:cs="Arial" w:eastAsia="Arial" w:hAnsi="Arial"/>
          <w:sz w:val="18"/>
          <w:szCs w:val="18"/>
          <w:color w:val="131E29"/>
        </w:rPr>
      </w:pPr>
      <w:r>
        <w:rPr>
          <w:rFonts w:ascii="Arial" w:cs="Arial" w:eastAsia="Arial" w:hAnsi="Arial"/>
          <w:sz w:val="18"/>
          <w:szCs w:val="18"/>
          <w:color w:val="131E29"/>
        </w:rPr>
        <w:t>our employees and the status of our workers;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1"/>
        </w:numPr>
        <w:rPr>
          <w:rFonts w:ascii="Arial" w:cs="Arial" w:eastAsia="Arial" w:hAnsi="Arial"/>
          <w:sz w:val="18"/>
          <w:szCs w:val="18"/>
          <w:color w:val="131E29"/>
        </w:rPr>
      </w:pPr>
      <w:r>
        <w:rPr>
          <w:rFonts w:ascii="Arial" w:cs="Arial" w:eastAsia="Arial" w:hAnsi="Arial"/>
          <w:sz w:val="18"/>
          <w:szCs w:val="18"/>
          <w:color w:val="131E29"/>
        </w:rPr>
        <w:t>our inability to maintain good relationships with our franchising partners;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1"/>
        </w:numPr>
        <w:rPr>
          <w:rFonts w:ascii="Arial" w:cs="Arial" w:eastAsia="Arial" w:hAnsi="Arial"/>
          <w:sz w:val="18"/>
          <w:szCs w:val="18"/>
          <w:color w:val="131E29"/>
        </w:rPr>
      </w:pPr>
      <w:r>
        <w:rPr>
          <w:rFonts w:ascii="Arial" w:cs="Arial" w:eastAsia="Arial" w:hAnsi="Arial"/>
          <w:sz w:val="18"/>
          <w:szCs w:val="18"/>
          <w:color w:val="131E29"/>
        </w:rPr>
        <w:t>the timing and amount of deferred expenses related to the maintenance of company-operated shops;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1"/>
        </w:numPr>
        <w:rPr>
          <w:rFonts w:ascii="Arial" w:cs="Arial" w:eastAsia="Arial" w:hAnsi="Arial"/>
          <w:sz w:val="18"/>
          <w:szCs w:val="18"/>
          <w:color w:val="131E29"/>
        </w:rPr>
      </w:pPr>
      <w:r>
        <w:rPr>
          <w:rFonts w:ascii="Arial" w:cs="Arial" w:eastAsia="Arial" w:hAnsi="Arial"/>
          <w:sz w:val="18"/>
          <w:szCs w:val="18"/>
          <w:color w:val="131E29"/>
        </w:rPr>
        <w:t>the effects of seasonal trends on our results of operations;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1"/>
        </w:numPr>
        <w:rPr>
          <w:rFonts w:ascii="Arial" w:cs="Arial" w:eastAsia="Arial" w:hAnsi="Arial"/>
          <w:sz w:val="18"/>
          <w:szCs w:val="18"/>
          <w:color w:val="131E29"/>
        </w:rPr>
      </w:pPr>
      <w:r>
        <w:rPr>
          <w:rFonts w:ascii="Arial" w:cs="Arial" w:eastAsia="Arial" w:hAnsi="Arial"/>
          <w:sz w:val="18"/>
          <w:szCs w:val="18"/>
          <w:color w:val="131E29"/>
        </w:rPr>
        <w:t>our vulnerability to global financial market conditions, including the continuing effects from the recent recession;</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1"/>
        </w:numPr>
        <w:rPr>
          <w:rFonts w:ascii="Arial" w:cs="Arial" w:eastAsia="Arial" w:hAnsi="Arial"/>
          <w:sz w:val="18"/>
          <w:szCs w:val="18"/>
          <w:color w:val="131E29"/>
        </w:rPr>
      </w:pPr>
      <w:r>
        <w:rPr>
          <w:rFonts w:ascii="Arial" w:cs="Arial" w:eastAsia="Arial" w:hAnsi="Arial"/>
          <w:sz w:val="18"/>
          <w:szCs w:val="18"/>
          <w:color w:val="131E29"/>
        </w:rPr>
        <w:t>adverse weather conditions in local or regional areas where our shops are located; and</w:t>
      </w:r>
    </w:p>
    <w:p>
      <w:pPr>
        <w:spacing w:after="0" w:line="171"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61"/>
        </w:numPr>
        <w:rPr>
          <w:rFonts w:ascii="Arial" w:cs="Arial" w:eastAsia="Arial" w:hAnsi="Arial"/>
          <w:sz w:val="18"/>
          <w:szCs w:val="18"/>
          <w:color w:val="131E29"/>
        </w:rPr>
      </w:pPr>
      <w:r>
        <w:rPr>
          <w:rFonts w:ascii="Arial" w:cs="Arial" w:eastAsia="Arial" w:hAnsi="Arial"/>
          <w:sz w:val="18"/>
          <w:szCs w:val="18"/>
          <w:color w:val="131E29"/>
        </w:rPr>
        <w:t>our realization of any benefit from our organizational structure net of expenses associated with the same (including our obligations under the Tax Receivable Agreements).</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Any one or more of the factors above may result in significant fluctuations in our results of operations, which may negatively impact the trading price of our Class A common stock. You should not rely on our past results as an indicator of our future performance.</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*Our outstanding indebtedness could materially adversely affect our financial condition and our ability to operate our business, pursue our growth strategy, and react to changes in the economy or industry.</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As of September 30, 2022, we had $98.8 million and $87.7 million in term loan and revolving loans outstanding, respectively. In addition, subject to certain restrictions under the 2022 Credit Facility (as defined in NOTE 9 — Debt to the condensed consolidated financial statements located in Part I, Item 1 of this Form 10-Q), we may incur additional debt.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131E29"/>
        </w:rPr>
        <w:t>Our debt could have important consequences to you, including the following:</w:t>
      </w:r>
    </w:p>
    <w:p>
      <w:pPr>
        <w:spacing w:after="0" w:line="171" w:lineRule="exact"/>
        <w:rPr>
          <w:sz w:val="20"/>
          <w:szCs w:val="20"/>
          <w:color w:val="auto"/>
        </w:rPr>
      </w:pPr>
    </w:p>
    <w:p>
      <w:pPr>
        <w:ind w:left="340" w:hanging="332"/>
        <w:spacing w:after="0" w:line="261" w:lineRule="auto"/>
        <w:tabs>
          <w:tab w:leader="none" w:pos="335" w:val="left"/>
        </w:tabs>
        <w:numPr>
          <w:ilvl w:val="0"/>
          <w:numId w:val="62"/>
        </w:numPr>
        <w:rPr>
          <w:rFonts w:ascii="Arial" w:cs="Arial" w:eastAsia="Arial" w:hAnsi="Arial"/>
          <w:sz w:val="18"/>
          <w:szCs w:val="18"/>
          <w:color w:val="131E29"/>
        </w:rPr>
      </w:pPr>
      <w:r>
        <w:rPr>
          <w:rFonts w:ascii="Arial" w:cs="Arial" w:eastAsia="Arial" w:hAnsi="Arial"/>
          <w:sz w:val="18"/>
          <w:szCs w:val="18"/>
          <w:color w:val="131E29"/>
        </w:rPr>
        <w:t>it may be difficult for us to satisfy our obligations, including debt service requirements under our outstanding debt, resulting in possible defaults on and acceleration of such indebtedness;</w:t>
      </w:r>
    </w:p>
    <w:p>
      <w:pPr>
        <w:spacing w:after="0" w:line="143"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62"/>
        </w:numPr>
        <w:rPr>
          <w:rFonts w:ascii="Arial" w:cs="Arial" w:eastAsia="Arial" w:hAnsi="Arial"/>
          <w:sz w:val="18"/>
          <w:szCs w:val="18"/>
          <w:color w:val="131E29"/>
        </w:rPr>
      </w:pPr>
      <w:r>
        <w:rPr>
          <w:rFonts w:ascii="Arial" w:cs="Arial" w:eastAsia="Arial" w:hAnsi="Arial"/>
          <w:sz w:val="18"/>
          <w:szCs w:val="18"/>
          <w:color w:val="131E29"/>
        </w:rPr>
        <w:t>our ability to obtain additional financing for working capital, capital expenditures, debt service requirements or other general corporate purposes may be impaired;</w:t>
      </w:r>
    </w:p>
    <w:p>
      <w:pPr>
        <w:spacing w:after="0" w:line="143" w:lineRule="exact"/>
        <w:rPr>
          <w:rFonts w:ascii="Arial" w:cs="Arial" w:eastAsia="Arial" w:hAnsi="Arial"/>
          <w:sz w:val="18"/>
          <w:szCs w:val="18"/>
          <w:color w:val="131E29"/>
        </w:rPr>
      </w:pPr>
    </w:p>
    <w:p>
      <w:pPr>
        <w:jc w:val="both"/>
        <w:ind w:left="340" w:hanging="332"/>
        <w:spacing w:after="0" w:line="256" w:lineRule="auto"/>
        <w:tabs>
          <w:tab w:leader="none" w:pos="335" w:val="left"/>
        </w:tabs>
        <w:numPr>
          <w:ilvl w:val="0"/>
          <w:numId w:val="62"/>
        </w:numPr>
        <w:rPr>
          <w:rFonts w:ascii="Arial" w:cs="Arial" w:eastAsia="Arial" w:hAnsi="Arial"/>
          <w:sz w:val="18"/>
          <w:szCs w:val="18"/>
          <w:color w:val="131E29"/>
        </w:rPr>
      </w:pPr>
      <w:r>
        <w:rPr>
          <w:rFonts w:ascii="Arial" w:cs="Arial" w:eastAsia="Arial" w:hAnsi="Arial"/>
          <w:sz w:val="18"/>
          <w:szCs w:val="18"/>
          <w:color w:val="131E29"/>
        </w:rPr>
        <w:t>a substantial portion of cash flow from operations may be dedicated to the payment of principal and interest on our debt, therefore reducing our ability to use our cash flow to fund our operations, capital expenditures, future business opportunities, acquisitions and other general corporate purposes;</w:t>
      </w:r>
    </w:p>
    <w:p>
      <w:pPr>
        <w:spacing w:after="0" w:line="147"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62"/>
        </w:numPr>
        <w:rPr>
          <w:rFonts w:ascii="Arial" w:cs="Arial" w:eastAsia="Arial" w:hAnsi="Arial"/>
          <w:sz w:val="18"/>
          <w:szCs w:val="18"/>
          <w:color w:val="131E29"/>
        </w:rPr>
      </w:pPr>
      <w:r>
        <w:rPr>
          <w:rFonts w:ascii="Arial" w:cs="Arial" w:eastAsia="Arial" w:hAnsi="Arial"/>
          <w:sz w:val="18"/>
          <w:szCs w:val="18"/>
          <w:color w:val="131E29"/>
        </w:rPr>
        <w:t>we are more vulnerable to economic downturns and adverse industry conditions and our flexibility to plan for, or react to, changes in our business or industry is more limited;</w:t>
      </w:r>
    </w:p>
    <w:p>
      <w:pPr>
        <w:spacing w:after="0" w:line="143"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62"/>
        </w:numPr>
        <w:rPr>
          <w:rFonts w:ascii="Arial" w:cs="Arial" w:eastAsia="Arial" w:hAnsi="Arial"/>
          <w:sz w:val="18"/>
          <w:szCs w:val="18"/>
          <w:color w:val="131E29"/>
        </w:rPr>
      </w:pPr>
      <w:r>
        <w:rPr>
          <w:rFonts w:ascii="Arial" w:cs="Arial" w:eastAsia="Arial" w:hAnsi="Arial"/>
          <w:sz w:val="18"/>
          <w:szCs w:val="18"/>
          <w:color w:val="131E29"/>
        </w:rPr>
        <w:t>our ability to capitalize on business opportunities and to react to competitive pressures, as compared to our competitors, may be compromised due to our level of debt; and</w:t>
      </w:r>
    </w:p>
    <w:p>
      <w:pPr>
        <w:spacing w:after="0" w:line="143" w:lineRule="exact"/>
        <w:rPr>
          <w:rFonts w:ascii="Arial" w:cs="Arial" w:eastAsia="Arial" w:hAnsi="Arial"/>
          <w:sz w:val="18"/>
          <w:szCs w:val="18"/>
          <w:color w:val="131E29"/>
        </w:rPr>
      </w:pPr>
    </w:p>
    <w:p>
      <w:pPr>
        <w:ind w:left="320" w:hanging="312"/>
        <w:spacing w:after="0"/>
        <w:tabs>
          <w:tab w:leader="none" w:pos="320" w:val="left"/>
        </w:tabs>
        <w:numPr>
          <w:ilvl w:val="0"/>
          <w:numId w:val="62"/>
        </w:numPr>
        <w:rPr>
          <w:rFonts w:ascii="Arial" w:cs="Arial" w:eastAsia="Arial" w:hAnsi="Arial"/>
          <w:sz w:val="18"/>
          <w:szCs w:val="18"/>
          <w:color w:val="131E29"/>
        </w:rPr>
      </w:pPr>
      <w:r>
        <w:rPr>
          <w:rFonts w:ascii="Arial" w:cs="Arial" w:eastAsia="Arial" w:hAnsi="Arial"/>
          <w:sz w:val="18"/>
          <w:szCs w:val="18"/>
          <w:color w:val="131E29"/>
        </w:rPr>
        <w:t>our ability to borrow additional funds or to refinance debt may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Furthermore, all of our debt under our 2022 Credit Facility bears interest at variable rates. If these rates were to increase significantly, whether because of an increase in market interest rates or a decrease in our creditworthiness, our ability to borrow additional funds may be reduced and the risks related to our substantial debt would intensify.</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006098"/>
        </w:rPr>
        <w:t>*Restrictions imposed by our outstanding indebtedness and any future indebtedness may limit our ability to operate our business, execute our growth strategy, and finance our future operations or capital needs or engage in other business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131E29"/>
        </w:rPr>
        <w:t>The covenants under our 2022 Credit Facility restrict our ability, among other things, to:</w:t>
      </w:r>
    </w:p>
    <w:p>
      <w:pPr>
        <w:spacing w:after="0" w:line="171"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8"/>
          <w:szCs w:val="18"/>
          <w:color w:val="131E29"/>
        </w:rPr>
      </w:pPr>
      <w:r>
        <w:rPr>
          <w:rFonts w:ascii="Arial" w:cs="Arial" w:eastAsia="Arial" w:hAnsi="Arial"/>
          <w:sz w:val="18"/>
          <w:szCs w:val="18"/>
          <w:color w:val="131E29"/>
        </w:rPr>
        <w:t>incur additional debt;</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3"/>
        </w:numPr>
        <w:rPr>
          <w:rFonts w:ascii="Arial" w:cs="Arial" w:eastAsia="Arial" w:hAnsi="Arial"/>
          <w:sz w:val="18"/>
          <w:szCs w:val="18"/>
          <w:color w:val="131E29"/>
        </w:rPr>
      </w:pPr>
      <w:r>
        <w:rPr>
          <w:rFonts w:ascii="Arial" w:cs="Arial" w:eastAsia="Arial" w:hAnsi="Arial"/>
          <w:sz w:val="18"/>
          <w:szCs w:val="18"/>
          <w:color w:val="131E29"/>
        </w:rPr>
        <w:t>grant liens on assets;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3"/>
        </w:numPr>
        <w:rPr>
          <w:rFonts w:ascii="Arial" w:cs="Arial" w:eastAsia="Arial" w:hAnsi="Arial"/>
          <w:sz w:val="18"/>
          <w:szCs w:val="18"/>
          <w:color w:val="131E29"/>
        </w:rPr>
      </w:pPr>
      <w:r>
        <w:rPr>
          <w:rFonts w:ascii="Arial" w:cs="Arial" w:eastAsia="Arial" w:hAnsi="Arial"/>
          <w:sz w:val="18"/>
          <w:szCs w:val="18"/>
          <w:color w:val="131E29"/>
        </w:rPr>
        <w:t>sell or dispose of assets;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3"/>
        </w:numPr>
        <w:rPr>
          <w:rFonts w:ascii="Arial" w:cs="Arial" w:eastAsia="Arial" w:hAnsi="Arial"/>
          <w:sz w:val="18"/>
          <w:szCs w:val="18"/>
          <w:color w:val="131E29"/>
        </w:rPr>
      </w:pPr>
      <w:r>
        <w:rPr>
          <w:rFonts w:ascii="Arial" w:cs="Arial" w:eastAsia="Arial" w:hAnsi="Arial"/>
          <w:sz w:val="18"/>
          <w:szCs w:val="18"/>
          <w:color w:val="131E29"/>
        </w:rPr>
        <w:t>merge with or acquire other companies, or make other investments;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3"/>
        </w:numPr>
        <w:rPr>
          <w:rFonts w:ascii="Arial" w:cs="Arial" w:eastAsia="Arial" w:hAnsi="Arial"/>
          <w:sz w:val="18"/>
          <w:szCs w:val="18"/>
          <w:color w:val="131E29"/>
        </w:rPr>
      </w:pPr>
      <w:r>
        <w:rPr>
          <w:rFonts w:ascii="Arial" w:cs="Arial" w:eastAsia="Arial" w:hAnsi="Arial"/>
          <w:sz w:val="18"/>
          <w:szCs w:val="18"/>
          <w:color w:val="131E29"/>
        </w:rPr>
        <w:t>enter into sale and leaseback transactions and swap agreements;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3"/>
        </w:numPr>
        <w:rPr>
          <w:rFonts w:ascii="Arial" w:cs="Arial" w:eastAsia="Arial" w:hAnsi="Arial"/>
          <w:sz w:val="18"/>
          <w:szCs w:val="18"/>
          <w:color w:val="131E29"/>
        </w:rPr>
      </w:pPr>
      <w:r>
        <w:rPr>
          <w:rFonts w:ascii="Arial" w:cs="Arial" w:eastAsia="Arial" w:hAnsi="Arial"/>
          <w:sz w:val="18"/>
          <w:szCs w:val="18"/>
          <w:color w:val="131E29"/>
        </w:rPr>
        <w:t>liquidate or dissolve ourselves; engage in businesses that are not in a related line of business; or</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3"/>
        </w:numPr>
        <w:rPr>
          <w:rFonts w:ascii="Arial" w:cs="Arial" w:eastAsia="Arial" w:hAnsi="Arial"/>
          <w:sz w:val="18"/>
          <w:szCs w:val="18"/>
          <w:color w:val="131E29"/>
        </w:rPr>
      </w:pPr>
      <w:r>
        <w:rPr>
          <w:rFonts w:ascii="Arial" w:cs="Arial" w:eastAsia="Arial" w:hAnsi="Arial"/>
          <w:sz w:val="18"/>
          <w:szCs w:val="18"/>
          <w:color w:val="131E29"/>
        </w:rPr>
        <w:t>pay dividends or make other distributions.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In addition, our 2022 Credit Facility contains financial covenants that require us not to exceed a maximum net lease-adjusted total leverage ratio and maintain a minimum fixed charge coverage ratio. Our ability to comply with these financial covenants can be affected by events beyond our control, and we may not be able to satisfy them.</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 breach of any of the covenants in the 2022 Credit Facility could result in an event of default, which could trigger acceleration of our indebtedness and may result in the acceleration of or default under other debt we may incur in the future, which could have a material adverse effect on our business, results of operations and financial condition. In the event of such event of default under our 2022 Credit Facility, the applicable lenders could elect to terminate their commitments and declare all outstanding loans, together with accrued and unpaid interest and any fees and other obligations, to be due and payable, and/or exercise their rights and remedies under the loan documents governing our 2022 Credit Facility or any applicable law. Our obligations under the 2022 Credit Facility are guaranteed by our subsidiaries and secured by substantially all of our and such subsidiary guarantors’ assets.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If we were unable to repay or otherwise refinance these loans when due, the applicable lenders could proceed against the collateral granted to them to secure such indebtedness, which could force us into bankruptcy or liquidation. In the event the applicable lenders accelerate the repayment of our loans, we and our subsidiaries may not have sufficient assets to repay such indebtedness. Any acceleration of amounts due under our 2022 Credit Facility or the exercise by the applicable lenders of their rights and remedies would likely have a material adverse effect on our business.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131E29"/>
        </w:rPr>
        <w:t>As a result of these restrictions, we may be:</w:t>
      </w:r>
    </w:p>
    <w:p>
      <w:pPr>
        <w:spacing w:after="0" w:line="171"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8"/>
          <w:szCs w:val="18"/>
          <w:color w:val="131E29"/>
        </w:rPr>
      </w:pPr>
      <w:r>
        <w:rPr>
          <w:rFonts w:ascii="Arial" w:cs="Arial" w:eastAsia="Arial" w:hAnsi="Arial"/>
          <w:sz w:val="18"/>
          <w:szCs w:val="18"/>
          <w:color w:val="131E29"/>
        </w:rPr>
        <w:t>limited in how we conduct our business;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4"/>
        </w:numPr>
        <w:rPr>
          <w:rFonts w:ascii="Arial" w:cs="Arial" w:eastAsia="Arial" w:hAnsi="Arial"/>
          <w:sz w:val="18"/>
          <w:szCs w:val="18"/>
          <w:color w:val="131E29"/>
        </w:rPr>
      </w:pPr>
      <w:r>
        <w:rPr>
          <w:rFonts w:ascii="Arial" w:cs="Arial" w:eastAsia="Arial" w:hAnsi="Arial"/>
          <w:sz w:val="18"/>
          <w:szCs w:val="18"/>
          <w:color w:val="131E29"/>
        </w:rPr>
        <w:t>unable to raise additional debt or equity financing to operate during general economic or business downturns; or</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4"/>
        </w:numPr>
        <w:rPr>
          <w:rFonts w:ascii="Arial" w:cs="Arial" w:eastAsia="Arial" w:hAnsi="Arial"/>
          <w:sz w:val="18"/>
          <w:szCs w:val="18"/>
          <w:color w:val="131E29"/>
        </w:rPr>
      </w:pPr>
      <w:r>
        <w:rPr>
          <w:rFonts w:ascii="Arial" w:cs="Arial" w:eastAsia="Arial" w:hAnsi="Arial"/>
          <w:sz w:val="18"/>
          <w:szCs w:val="18"/>
          <w:color w:val="131E29"/>
        </w:rPr>
        <w:t>unable to compete effectively or to take advantage of new business opportunities.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These restrictions may affect our ability to grow in accordance with our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131E29"/>
        </w:rPr>
        <w:t>Furthermore, the terms of any future indebtedness we may incur could have further additional restrictive covenants. We may not be able to maintain compliance with these covenants in the future, and in such event, we cannot assure you that we will be able to obtain waivers from the lenders or amend the covenants.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006098"/>
        </w:rPr>
        <w:t>*We have identified material weaknesses in our internal control over financial reporting. If we are unable to remedy our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Prior to the IPO, we were a private company and had limited accounting and financial reporting personnel and other resources with which to address our internal controls and related procedures. In connection with the audit of our consolidated financial statements as of and for the years ended December 31, 2021, 2020, and 2019, our management and auditors determined that a material weakness existed in the internal control over financial reporting due to limited accounting department personnel capable of appropriately accounting for complex transactions we undertake. Additionally, there were insufficient controls over the review and approval of manual journal entries, including appropriate segregation of duties. Further, as a result of the limited accounting department personnel we were unable to maintain an effective risk assessment process necessary to identify all relevant risks of material misstatement and to evaluate the implications of relevant risks on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We are in the process of implementing measures designed to improve our internal control over financial reporting to remediate these material weaknesses. While we continue to take remediation steps, including hiring additional personnel subsequent to December 31, 2020, initiating detailed accounting policies review, and commencing an entity-wide risk assessment process, we continue to have a limited number of personnel with the level of GAAP accounting knowledge, specifically related to complex accounting transactions, commensurate with our financial reporting requirements. As such, we continued to have material weaknesses in our control over financial reporting as of September 30, 2022.</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If we fail to remediate our existing material weaknesses or identify new material weaknesses in our internal controls over financial reporting, if we are unable to comply with the requirements of Section 404 of the Sarbanes-Oxley Act in a timely manner, if we are unable to conclude that our internal control over financial reporting is effective, or if our independent registered public accounting firm is unable to express an opinion as to the effectiveness of our internal control over financial reporting when we are no longer an “emerging growth company” (which will occur on December 31, 2022), investors may lose confidence in the accuracy and completeness of our financial reports and the market price of our common stock could be negatively affected. As a result of such failures, we could also become subject to investigations by the New York Stock Exchange, the SEC or other regulatory authorities, and become subject to litigation from investors and stockholders, which could harm our reputation and financial condition or divert financial and management resources from our regular business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For example, as we prepared to become a public company, we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Further, deficiencies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be required to include in our periodic reports that will be filed with the SEC, commencing with our 2022 annual report on Form 10-K.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2022 annual report on Form 10-K.</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Our independent registered public accounting firm is not required to formally attest to the effectiveness of our internal control over financial reporting until after we are no longer an “emerging growth company” as defined in the JOBS Act, which will occur as of December 31, 2022. At such time, our independent registered public accounting firm may issue a report that is adverse in the event it is not satisfied with the level at which our internal control over financial reporting is documented, designed or operating.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failure to maintain effective disclosure controls and internal control over financial reporting could harm our business, results of operations, and financial condition and could cause a decline in the trading price of our common stock.</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6098"/>
        </w:rPr>
        <w:t>We may engage in merger and acquisition activities or strategic partnerships, which would require significant management attention, disrupt our business, dilute stockholder value, and adversely affect our business, results of operations, and financial condition.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As part of our business strategy to grow our business, we have in the past and may in the future make investments or acquisitions in, or enter into strategic partnerships with, other companies, including acquisitions of franchises from our franchise partners. The identification of suitable acquisition or partnership candidates can be difficult, time-consuming, and costly, and we may not be able to complete acquisitions or partnerships on favorable terms, if at all. These acquisitions or partnerships may not ultimately strengthen our competitive position or achieve the intended goals of such acquisition or partnership, and any acquisitions or partnerships we complete could be viewed negatively by customers or investors. We may encounter difficult or unforeseen expenditures in integrating an acquisition or partnership. In addition, if we fail to successfully integrate such acquisitions, assets, technologies or personnel associated with such acquisitions or partnerships into our company, the business and results of operations of the combined company would be adversely affected.</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These transactions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and accurately forecast the financial impact of an acquisition or partnership transaction, including accounting charges. We may have to pay cash for any such acquisition or partnership which would limit other potential uses for our cash. If we incur debt to fund any such acquisition or partnership,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or partnerships, existing stockholders’ ownership would be diluted.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*We may need additional capital, and we cannot be sure that additional financing will be available.</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Historically, we have financed our operations and capital expenditures primarily through sales of OpCo Units that are convertible into our capital stock. In the future, we may raise additional capital through additional equity or debt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006098"/>
        </w:rPr>
        <w:t>Our amended and restated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Our amended and restated certificate of incorporation provides that, unless we consent in writing to the selection of an alternative forum, the Court of Chancery of the State of Delaware is the exclusive forum for the following types of actions or proceedings under Delaware statutory or common law:</w:t>
      </w:r>
    </w:p>
    <w:p>
      <w:pPr>
        <w:spacing w:after="0" w:line="148"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8"/>
          <w:szCs w:val="18"/>
          <w:color w:val="131E29"/>
        </w:rPr>
      </w:pPr>
      <w:r>
        <w:rPr>
          <w:rFonts w:ascii="Arial" w:cs="Arial" w:eastAsia="Arial" w:hAnsi="Arial"/>
          <w:sz w:val="18"/>
          <w:szCs w:val="18"/>
          <w:color w:val="131E29"/>
        </w:rPr>
        <w:t>any derivative claim or cause of action brought on our behalf;</w:t>
      </w:r>
    </w:p>
    <w:p>
      <w:pPr>
        <w:spacing w:after="0" w:line="171"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65"/>
        </w:numPr>
        <w:rPr>
          <w:rFonts w:ascii="Arial" w:cs="Arial" w:eastAsia="Arial" w:hAnsi="Arial"/>
          <w:sz w:val="18"/>
          <w:szCs w:val="18"/>
          <w:color w:val="131E29"/>
        </w:rPr>
      </w:pPr>
      <w:r>
        <w:rPr>
          <w:rFonts w:ascii="Arial" w:cs="Arial" w:eastAsia="Arial" w:hAnsi="Arial"/>
          <w:sz w:val="18"/>
          <w:szCs w:val="18"/>
          <w:color w:val="131E29"/>
        </w:rPr>
        <w:t>any claim or cause of action for a breach of fiduciary duty owed by any of our current or former directors, officers or other employees to us or our stockholders;</w:t>
      </w:r>
    </w:p>
    <w:p>
      <w:pPr>
        <w:spacing w:after="0" w:line="143" w:lineRule="exact"/>
        <w:rPr>
          <w:rFonts w:ascii="Arial" w:cs="Arial" w:eastAsia="Arial" w:hAnsi="Arial"/>
          <w:sz w:val="18"/>
          <w:szCs w:val="18"/>
          <w:color w:val="131E29"/>
        </w:rPr>
      </w:pPr>
    </w:p>
    <w:p>
      <w:pPr>
        <w:jc w:val="both"/>
        <w:ind w:left="340" w:hanging="332"/>
        <w:spacing w:after="0" w:line="256" w:lineRule="auto"/>
        <w:tabs>
          <w:tab w:leader="none" w:pos="335" w:val="left"/>
        </w:tabs>
        <w:numPr>
          <w:ilvl w:val="0"/>
          <w:numId w:val="65"/>
        </w:numPr>
        <w:rPr>
          <w:rFonts w:ascii="Arial" w:cs="Arial" w:eastAsia="Arial" w:hAnsi="Arial"/>
          <w:sz w:val="18"/>
          <w:szCs w:val="18"/>
          <w:color w:val="131E29"/>
        </w:rPr>
      </w:pPr>
      <w:r>
        <w:rPr>
          <w:rFonts w:ascii="Arial" w:cs="Arial" w:eastAsia="Arial" w:hAnsi="Arial"/>
          <w:sz w:val="18"/>
          <w:szCs w:val="18"/>
          <w:color w:val="131E29"/>
        </w:rPr>
        <w:t>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(as each may be amended from time to time);</w:t>
      </w:r>
    </w:p>
    <w:p>
      <w:pPr>
        <w:spacing w:after="0" w:line="147" w:lineRule="exact"/>
        <w:rPr>
          <w:rFonts w:ascii="Arial" w:cs="Arial" w:eastAsia="Arial" w:hAnsi="Arial"/>
          <w:sz w:val="18"/>
          <w:szCs w:val="18"/>
          <w:color w:val="131E29"/>
        </w:rPr>
      </w:pPr>
    </w:p>
    <w:p>
      <w:pPr>
        <w:jc w:val="both"/>
        <w:ind w:left="340" w:hanging="332"/>
        <w:spacing w:after="0" w:line="256" w:lineRule="auto"/>
        <w:tabs>
          <w:tab w:leader="none" w:pos="335" w:val="left"/>
        </w:tabs>
        <w:numPr>
          <w:ilvl w:val="0"/>
          <w:numId w:val="65"/>
        </w:numPr>
        <w:rPr>
          <w:rFonts w:ascii="Arial" w:cs="Arial" w:eastAsia="Arial" w:hAnsi="Arial"/>
          <w:sz w:val="18"/>
          <w:szCs w:val="18"/>
          <w:color w:val="131E29"/>
        </w:rPr>
      </w:pPr>
      <w:r>
        <w:rPr>
          <w:rFonts w:ascii="Arial" w:cs="Arial" w:eastAsia="Arial" w:hAnsi="Arial"/>
          <w:sz w:val="18"/>
          <w:szCs w:val="18"/>
          <w:color w:val="131E29"/>
        </w:rPr>
        <w:t>any claim or cause of action seeking to interpret, apply, enforce or determine the validity of our amended and restated certificate of incorporation or our amended and restated bylaws (as each may be amended from time to time, including any right, obligation or remedy thereunder);</w:t>
      </w:r>
    </w:p>
    <w:p>
      <w:pPr>
        <w:spacing w:after="0" w:line="147"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65"/>
        </w:numPr>
        <w:rPr>
          <w:rFonts w:ascii="Arial" w:cs="Arial" w:eastAsia="Arial" w:hAnsi="Arial"/>
          <w:sz w:val="18"/>
          <w:szCs w:val="18"/>
          <w:color w:val="131E29"/>
        </w:rPr>
      </w:pPr>
      <w:r>
        <w:rPr>
          <w:rFonts w:ascii="Arial" w:cs="Arial" w:eastAsia="Arial" w:hAnsi="Arial"/>
          <w:sz w:val="18"/>
          <w:szCs w:val="18"/>
          <w:color w:val="131E29"/>
        </w:rPr>
        <w:t>any claim or cause of action as to which the Delaware General Corporation Law confers jurisdiction to the Court of Chancery of the State of Delaware; and</w:t>
      </w:r>
    </w:p>
    <w:p>
      <w:pPr>
        <w:spacing w:after="0" w:line="143"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65"/>
        </w:numPr>
        <w:rPr>
          <w:rFonts w:ascii="Arial" w:cs="Arial" w:eastAsia="Arial" w:hAnsi="Arial"/>
          <w:sz w:val="18"/>
          <w:szCs w:val="18"/>
          <w:color w:val="131E29"/>
        </w:rPr>
      </w:pPr>
      <w:r>
        <w:rPr>
          <w:rFonts w:ascii="Arial" w:cs="Arial" w:eastAsia="Arial" w:hAnsi="Arial"/>
          <w:sz w:val="18"/>
          <w:szCs w:val="18"/>
          <w:color w:val="131E29"/>
        </w:rPr>
        <w:t>any claim or cause of action against us or any of our current or former directors, officers or other employees governed by the internal-affairs doctrine.</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This provision would not apply to suits brought to enforce a duty or liability created by the Exchange Act or any other claim for which the U.S. federal courts have exclusive jurisdiction. In addition, our amended and restated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If a court were to find either choice of forum provision contained in our amended and restated certificate of incorporation to be inapplicable or unenforceable in an action, we may incur additional costs associated with resolving such action in other jurisdictions. For example, the Court of Chancery of the State of Delaware recently determined that the exclusive forum provisions of federal district courts of the United States of America for resolving any complaint asserting a cause of action arising under the Securities Act is not enforceable.</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Additionally, our amended and restated certificate of incorporation provides that any person or entity holding, owning or otherwise acquiring any interest in any of our securities shall be deemed to have notice of and consented to these provisions.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6098"/>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There are provisions in our amended and restated certificate of incorporation and amended and restated bylaws that may make it difficult for a third party to acquire, or attempt to acquire, control of our company, even if a change in control was considered favorable by our stockholders.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131E29"/>
        </w:rPr>
        <w:t>Our charter documents also contain other provisions that could have an anti-takeover effect, such as:</w:t>
      </w:r>
    </w:p>
    <w:p>
      <w:pPr>
        <w:spacing w:after="0" w:line="171"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8"/>
          <w:szCs w:val="18"/>
          <w:color w:val="131E29"/>
        </w:rPr>
      </w:pPr>
      <w:r>
        <w:rPr>
          <w:rFonts w:ascii="Arial" w:cs="Arial" w:eastAsia="Arial" w:hAnsi="Arial"/>
          <w:sz w:val="18"/>
          <w:szCs w:val="18"/>
          <w:color w:val="131E29"/>
        </w:rPr>
        <w:t>permitting the board of directors to establish the number of directors and fill any vacancies and newly created directorships;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6"/>
        </w:numPr>
        <w:rPr>
          <w:rFonts w:ascii="Arial" w:cs="Arial" w:eastAsia="Arial" w:hAnsi="Arial"/>
          <w:sz w:val="18"/>
          <w:szCs w:val="18"/>
          <w:color w:val="131E29"/>
        </w:rPr>
      </w:pPr>
      <w:r>
        <w:rPr>
          <w:rFonts w:ascii="Arial" w:cs="Arial" w:eastAsia="Arial" w:hAnsi="Arial"/>
          <w:sz w:val="18"/>
          <w:szCs w:val="18"/>
          <w:color w:val="131E29"/>
        </w:rPr>
        <w:t>providing that directors may only be removed pursuant to the provisions of Section 141(k) of the Delaware General Corporation Law;</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6"/>
        </w:numPr>
        <w:rPr>
          <w:rFonts w:ascii="Arial" w:cs="Arial" w:eastAsia="Arial" w:hAnsi="Arial"/>
          <w:sz w:val="18"/>
          <w:szCs w:val="18"/>
          <w:color w:val="131E29"/>
        </w:rPr>
      </w:pPr>
      <w:r>
        <w:rPr>
          <w:rFonts w:ascii="Arial" w:cs="Arial" w:eastAsia="Arial" w:hAnsi="Arial"/>
          <w:sz w:val="18"/>
          <w:szCs w:val="18"/>
          <w:color w:val="131E29"/>
        </w:rPr>
        <w:t>prohibiting cumulative voting for directors;</w:t>
      </w:r>
    </w:p>
    <w:p>
      <w:pPr>
        <w:spacing w:after="0" w:line="171"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66"/>
        </w:numPr>
        <w:rPr>
          <w:rFonts w:ascii="Arial" w:cs="Arial" w:eastAsia="Arial" w:hAnsi="Arial"/>
          <w:sz w:val="18"/>
          <w:szCs w:val="18"/>
          <w:color w:val="131E29"/>
        </w:rPr>
      </w:pPr>
      <w:r>
        <w:rPr>
          <w:rFonts w:ascii="Arial" w:cs="Arial" w:eastAsia="Arial" w:hAnsi="Arial"/>
          <w:sz w:val="18"/>
          <w:szCs w:val="18"/>
          <w:color w:val="131E29"/>
        </w:rPr>
        <w:t>the ability of the holders of our Class C common stock, voting as a separate class, to elect up to two directors, subject to the limitations set forth in our amended and restated certificate;</w:t>
      </w:r>
    </w:p>
    <w:p>
      <w:pPr>
        <w:spacing w:after="0" w:line="143" w:lineRule="exact"/>
        <w:rPr>
          <w:rFonts w:ascii="Arial" w:cs="Arial" w:eastAsia="Arial" w:hAnsi="Arial"/>
          <w:sz w:val="18"/>
          <w:szCs w:val="18"/>
          <w:color w:val="131E29"/>
        </w:rPr>
      </w:pPr>
    </w:p>
    <w:p>
      <w:pPr>
        <w:ind w:left="320" w:hanging="312"/>
        <w:spacing w:after="0"/>
        <w:tabs>
          <w:tab w:leader="none" w:pos="320" w:val="left"/>
        </w:tabs>
        <w:numPr>
          <w:ilvl w:val="0"/>
          <w:numId w:val="66"/>
        </w:numPr>
        <w:rPr>
          <w:rFonts w:ascii="Arial" w:cs="Arial" w:eastAsia="Arial" w:hAnsi="Arial"/>
          <w:sz w:val="18"/>
          <w:szCs w:val="18"/>
          <w:color w:val="131E29"/>
        </w:rPr>
      </w:pPr>
      <w:r>
        <w:rPr>
          <w:rFonts w:ascii="Arial" w:cs="Arial" w:eastAsia="Arial" w:hAnsi="Arial"/>
          <w:sz w:val="18"/>
          <w:szCs w:val="18"/>
          <w:color w:val="131E29"/>
        </w:rPr>
        <w:t>requiring super-majority voting to amend some provisions in our amended and restated bylaws;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6"/>
        </w:numPr>
        <w:rPr>
          <w:rFonts w:ascii="Arial" w:cs="Arial" w:eastAsia="Arial" w:hAnsi="Arial"/>
          <w:sz w:val="18"/>
          <w:szCs w:val="18"/>
          <w:color w:val="131E29"/>
        </w:rPr>
      </w:pPr>
      <w:r>
        <w:rPr>
          <w:rFonts w:ascii="Arial" w:cs="Arial" w:eastAsia="Arial" w:hAnsi="Arial"/>
          <w:sz w:val="18"/>
          <w:szCs w:val="18"/>
          <w:color w:val="131E29"/>
        </w:rPr>
        <w:t>authorizing the issuance of “blank check” preferred stock that our board of directors could use to implement a stockholder rights plan;</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6"/>
        </w:numPr>
        <w:rPr>
          <w:rFonts w:ascii="Arial" w:cs="Arial" w:eastAsia="Arial" w:hAnsi="Arial"/>
          <w:sz w:val="18"/>
          <w:szCs w:val="18"/>
          <w:color w:val="131E29"/>
        </w:rPr>
      </w:pPr>
      <w:r>
        <w:rPr>
          <w:rFonts w:ascii="Arial" w:cs="Arial" w:eastAsia="Arial" w:hAnsi="Arial"/>
          <w:sz w:val="18"/>
          <w:szCs w:val="18"/>
          <w:color w:val="131E29"/>
        </w:rPr>
        <w:t>eliminating the ability of stockholders to call special meetings of stockholders; and</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66"/>
        </w:numPr>
        <w:rPr>
          <w:rFonts w:ascii="Arial" w:cs="Arial" w:eastAsia="Arial" w:hAnsi="Arial"/>
          <w:sz w:val="18"/>
          <w:szCs w:val="18"/>
          <w:color w:val="131E29"/>
        </w:rPr>
      </w:pPr>
      <w:r>
        <w:rPr>
          <w:rFonts w:ascii="Arial" w:cs="Arial" w:eastAsia="Arial" w:hAnsi="Arial"/>
          <w:sz w:val="18"/>
          <w:szCs w:val="18"/>
          <w:color w:val="131E29"/>
        </w:rPr>
        <w:t>our multi-class common stock structure as described above.</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amended and restated certificate of incorporation or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*We do not intend to pay dividends for the foreseeable future.</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In addition, our ability to pay dividends on our Class A common stock and our Class D common stock is currently limited by the covenants of our 2022 Credit Facility and may be further restricted by the terms of any future debt or preferred securities. Holders of our Class B common stock and Class C common stock do not have any right to receive dividends, or to receive a distribution upon a liquidation, dissolution or winding up of Dutch Bros Inc., with respect to their Class B common stock or Class C common stock. Accordingly, stockholders must rely on sales of their Class A common stock after price appreciation, which may never occur, as the only way to realize any future gains on their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*Catastrophic events may disrupt our business.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Labor discord or disruption, geopolitical events, social unrest, war, including repercussions of the recent military conflict between Russia and Ukraine, terrorism, political instability, acts of public violence, boycotts, hostilities and social unrest and other health pandemics that lead to avoidance of public places or cause people to stay at home could harm our business. Additionally, natural disasters or other catastrophic events may cause damage or disruption to our operations, international commerce, and the global economy, and thus could harm our business. In particular, the west coast wildfires and the COVID-19 pandemic, including the reactions of governments, markets, and the general public, may result in a number of adverse consequences for our business, operations, and results of operations, many of which are beyond our control. In the event of a major earthquake, hurricane or catastrophic event such as fire, power loss, telecommunications failure, cyber-attack, war or terrorist attack, we may be unable to continue our operations and may endure system interruptions, reputational harm, breaches of data security, and loss of critical data, all of which would harm our business, results of operations, and financial condition. In addition, the insurance we maintain would likely not be adequate to cover our losses resulting from disasters or other business interruptions.</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*Economic and business factors that are largely beyond our control may adversely affect consumer behavior and the results of our operations.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Our business is dependent upon consumer discretionary spending, which may be affected by general economic conditions that are beyond our control. For example, increasing inflation, international, domestic and regional economic conditions, consumer income levels, financial market volatility, a slow or stagnant pace of economic growth, rising energy costs, rising interest rates, social unrest, and governmental, political and budget concerns or divisions may have a negative effect on consumer confidence and discretionary spending. For example, the recent rapid rise in inflation may prompt consumers to decrease discretionary spending as demonstrated in the underperformance of certain shops in California in the third quarter of 2022 where inflation contributed to greater increased gas prices in California relative to the rest of the country. A significant decrease in our customer traffic or average value per transaction without a corresponding decrease in costs would put downward pressure on margins and would negatively impact our financial results.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There is also a risk that if negative economic conditions or uncertainty persist for a long period of time or worsen, consumers may make long-lasting changes to their discretionary purchasing behavior, including less frequent discretionary purchases on a more permanent basis or there may be a general downturn in the our industry. These and other macroeconomic factors could have an adverse effect on our sales, profitability or shop development and expansion plans, which could harm our results of operations and financial condition. These factors also could cause us to, among other things, reduce the number and frequency of new shop openings or close shops.</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2. UNREGISTERED SALES OF EQUITY SECURITIES AND USE OF PROCEEDS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Recent Sales of Unregistered Securities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On August 15, 2022, pursuant to Section 3(a)(9) of the Securities Act of 1933, we made an unregistered issuance of our Class A common stock via exchange of approximately 4.3 million Dutch Bros OpCo Class A common units held by our Sponsor for shares of our Class A common stock on a one-for-one basis. Such shares of Class A common stock were then sold directly by our Sponsor pursuant to Rule 144 of the Securities Act of 1933, and no proceeds were received by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3. DEFAULTS UPON SENIOR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131E29"/>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4. MINE SAFETY DISCLOSURES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131E29"/>
        </w:rPr>
        <w:t>Not applicable.</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5. OTHER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131E29"/>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6. EXHIBITS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131E29"/>
        </w:rPr>
        <w:t>(a)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exhibits are included herein or incorporated herein by reference: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20" w:type="dxa"/>
            <w:vAlign w:val="bottom"/>
            <w:gridSpan w:val="5"/>
          </w:tcPr>
          <w:p>
            <w:pPr>
              <w:ind w:left="520"/>
              <w:spacing w:after="0"/>
              <w:rPr>
                <w:sz w:val="20"/>
                <w:szCs w:val="20"/>
                <w:color w:val="auto"/>
              </w:rPr>
            </w:pPr>
            <w:r>
              <w:rPr>
                <w:rFonts w:ascii="Arial" w:cs="Arial" w:eastAsia="Arial" w:hAnsi="Arial"/>
                <w:sz w:val="14"/>
                <w:szCs w:val="14"/>
                <w:b w:val="1"/>
                <w:bCs w:val="1"/>
                <w:color w:val="131E29"/>
              </w:rPr>
              <w:t>Incorporated by Reference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131E29"/>
              </w:rPr>
              <w:t>Exhibit</w:t>
            </w: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131E29"/>
                <w:w w:val="97"/>
              </w:rPr>
              <w:t>Filed</w:t>
            </w:r>
          </w:p>
        </w:tc>
        <w:tc>
          <w:tcPr>
            <w:tcW w:w="0" w:type="dxa"/>
            <w:vAlign w:val="bottom"/>
          </w:tcPr>
          <w:p>
            <w:pPr>
              <w:spacing w:after="0"/>
              <w:rPr>
                <w:sz w:val="1"/>
                <w:szCs w:val="1"/>
                <w:color w:val="auto"/>
              </w:rPr>
            </w:pPr>
          </w:p>
        </w:tc>
      </w:tr>
      <w:tr>
        <w:trPr>
          <w:trHeight w:val="169"/>
        </w:trPr>
        <w:tc>
          <w:tcPr>
            <w:tcW w:w="118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131E29"/>
              </w:rPr>
              <w:t>Number</w:t>
            </w:r>
          </w:p>
        </w:tc>
        <w:tc>
          <w:tcPr>
            <w:tcW w:w="4520" w:type="dxa"/>
            <w:vAlign w:val="bottom"/>
            <w:gridSpan w:val="12"/>
          </w:tcPr>
          <w:p>
            <w:pPr>
              <w:spacing w:after="0"/>
              <w:rPr>
                <w:sz w:val="20"/>
                <w:szCs w:val="20"/>
                <w:color w:val="auto"/>
              </w:rPr>
            </w:pPr>
            <w:r>
              <w:rPr>
                <w:rFonts w:ascii="Arial" w:cs="Arial" w:eastAsia="Arial" w:hAnsi="Arial"/>
                <w:sz w:val="14"/>
                <w:szCs w:val="14"/>
                <w:b w:val="1"/>
                <w:bCs w:val="1"/>
                <w:color w:val="131E29"/>
              </w:rPr>
              <w:t>Description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131E29"/>
              </w:rPr>
              <w:t>Form</w:t>
            </w:r>
          </w:p>
        </w:tc>
        <w:tc>
          <w:tcPr>
            <w:tcW w:w="1240" w:type="dxa"/>
            <w:vAlign w:val="bottom"/>
          </w:tcPr>
          <w:p>
            <w:pPr>
              <w:ind w:left="360"/>
              <w:spacing w:after="0"/>
              <w:rPr>
                <w:sz w:val="20"/>
                <w:szCs w:val="20"/>
                <w:color w:val="auto"/>
              </w:rPr>
            </w:pPr>
            <w:r>
              <w:rPr>
                <w:rFonts w:ascii="Arial" w:cs="Arial" w:eastAsia="Arial" w:hAnsi="Arial"/>
                <w:sz w:val="14"/>
                <w:szCs w:val="14"/>
                <w:b w:val="1"/>
                <w:bCs w:val="1"/>
                <w:color w:val="131E29"/>
              </w:rPr>
              <w:t>File No.</w:t>
            </w: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131E29"/>
              </w:rPr>
              <w:t>Exhibit</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131E29"/>
              </w:rPr>
              <w:t>Filing Date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131E29"/>
              </w:rPr>
              <w:t>Herewith</w:t>
            </w:r>
          </w:p>
        </w:tc>
        <w:tc>
          <w:tcPr>
            <w:tcW w:w="0" w:type="dxa"/>
            <w:vAlign w:val="bottom"/>
          </w:tcPr>
          <w:p>
            <w:pPr>
              <w:spacing w:after="0"/>
              <w:rPr>
                <w:sz w:val="1"/>
                <w:szCs w:val="1"/>
                <w:color w:val="auto"/>
              </w:rPr>
            </w:pPr>
          </w:p>
        </w:tc>
      </w:tr>
      <w:tr>
        <w:trPr>
          <w:trHeight w:val="26"/>
        </w:trPr>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80" w:type="dxa"/>
            <w:vAlign w:val="bottom"/>
            <w:tcBorders>
              <w:bottom w:val="single" w:sz="8" w:color="D2DCE5"/>
            </w:tcBorders>
            <w:shd w:val="clear" w:color="auto" w:fill="D2DCE5"/>
          </w:tcPr>
          <w:p>
            <w:pPr>
              <w:spacing w:after="0"/>
              <w:rPr>
                <w:sz w:val="15"/>
                <w:szCs w:val="15"/>
                <w:color w:val="auto"/>
              </w:rPr>
            </w:pPr>
          </w:p>
        </w:tc>
        <w:tc>
          <w:tcPr>
            <w:tcW w:w="100" w:type="dxa"/>
            <w:vAlign w:val="bottom"/>
            <w:tcBorders>
              <w:bottom w:val="single" w:sz="8" w:color="D2DCE5"/>
              <w:right w:val="single" w:sz="8" w:color="D2DCE5"/>
            </w:tcBorders>
            <w:shd w:val="clear" w:color="auto" w:fill="D2DCE5"/>
          </w:tcPr>
          <w:p>
            <w:pPr>
              <w:spacing w:after="0"/>
              <w:rPr>
                <w:sz w:val="15"/>
                <w:szCs w:val="15"/>
                <w:color w:val="auto"/>
              </w:rPr>
            </w:pPr>
          </w:p>
        </w:tc>
        <w:tc>
          <w:tcPr>
            <w:tcW w:w="3840" w:type="dxa"/>
            <w:vAlign w:val="bottom"/>
            <w:tcBorders>
              <w:bottom w:val="single" w:sz="8" w:color="0000FF"/>
            </w:tcBorders>
            <w:gridSpan w:val="7"/>
            <w:shd w:val="clear" w:color="auto" w:fill="D2DCE5"/>
          </w:tcPr>
          <w:p>
            <w:pPr>
              <w:spacing w:after="0" w:line="183" w:lineRule="exact"/>
              <w:rPr>
                <w:rFonts w:ascii="Arial" w:cs="Arial" w:eastAsia="Arial" w:hAnsi="Arial"/>
                <w:sz w:val="16"/>
                <w:szCs w:val="16"/>
                <w:color w:val="0000FF"/>
              </w:rPr>
            </w:pPr>
            <w:hyperlink r:id="rId260">
              <w:r>
                <w:rPr>
                  <w:rFonts w:ascii="Arial" w:cs="Arial" w:eastAsia="Arial" w:hAnsi="Arial"/>
                  <w:sz w:val="16"/>
                  <w:szCs w:val="16"/>
                  <w:color w:val="0000FF"/>
                </w:rPr>
                <w:t>Amended and Restated Certificate of Incorporation of</w:t>
              </w:r>
            </w:hyperlink>
          </w:p>
        </w:tc>
        <w:tc>
          <w:tcPr>
            <w:tcW w:w="680" w:type="dxa"/>
            <w:vAlign w:val="bottom"/>
            <w:tcBorders>
              <w:bottom w:val="single" w:sz="8" w:color="D2DCE5"/>
            </w:tcBorders>
            <w:gridSpan w:val="5"/>
            <w:shd w:val="clear" w:color="auto" w:fill="D2DCE5"/>
          </w:tcPr>
          <w:p>
            <w:pPr>
              <w:spacing w:after="0"/>
              <w:rPr>
                <w:sz w:val="15"/>
                <w:szCs w:val="15"/>
                <w:color w:val="auto"/>
              </w:rPr>
            </w:pPr>
          </w:p>
        </w:tc>
        <w:tc>
          <w:tcPr>
            <w:tcW w:w="760" w:type="dxa"/>
            <w:vAlign w:val="bottom"/>
            <w:tcBorders>
              <w:bottom w:val="single" w:sz="8" w:color="D2DCE5"/>
            </w:tcBorders>
            <w:shd w:val="clear" w:color="auto" w:fill="D2DCE5"/>
          </w:tcPr>
          <w:p>
            <w:pPr>
              <w:spacing w:after="0"/>
              <w:rPr>
                <w:sz w:val="15"/>
                <w:szCs w:val="15"/>
                <w:color w:val="auto"/>
              </w:rPr>
            </w:pPr>
          </w:p>
        </w:tc>
        <w:tc>
          <w:tcPr>
            <w:tcW w:w="1240" w:type="dxa"/>
            <w:vAlign w:val="bottom"/>
            <w:tcBorders>
              <w:bottom w:val="single" w:sz="8" w:color="D2DCE5"/>
            </w:tcBorders>
            <w:shd w:val="clear" w:color="auto" w:fill="D2DCE5"/>
          </w:tcPr>
          <w:p>
            <w:pPr>
              <w:spacing w:after="0"/>
              <w:rPr>
                <w:sz w:val="15"/>
                <w:szCs w:val="15"/>
                <w:color w:val="auto"/>
              </w:rPr>
            </w:pPr>
          </w:p>
        </w:tc>
        <w:tc>
          <w:tcPr>
            <w:tcW w:w="820" w:type="dxa"/>
            <w:vAlign w:val="bottom"/>
            <w:tcBorders>
              <w:bottom w:val="single" w:sz="8" w:color="D2DCE5"/>
            </w:tcBorders>
            <w:shd w:val="clear" w:color="auto" w:fill="D2DCE5"/>
          </w:tcPr>
          <w:p>
            <w:pPr>
              <w:spacing w:after="0"/>
              <w:rPr>
                <w:sz w:val="15"/>
                <w:szCs w:val="15"/>
                <w:color w:val="auto"/>
              </w:rPr>
            </w:pPr>
          </w:p>
        </w:tc>
        <w:tc>
          <w:tcPr>
            <w:tcW w:w="100" w:type="dxa"/>
            <w:vAlign w:val="bottom"/>
            <w:tcBorders>
              <w:bottom w:val="single" w:sz="8" w:color="D2DCE5"/>
            </w:tcBorders>
            <w:shd w:val="clear" w:color="auto" w:fill="D2DCE5"/>
          </w:tcPr>
          <w:p>
            <w:pPr>
              <w:spacing w:after="0"/>
              <w:rPr>
                <w:sz w:val="15"/>
                <w:szCs w:val="15"/>
                <w:color w:val="auto"/>
              </w:rPr>
            </w:pPr>
          </w:p>
        </w:tc>
        <w:tc>
          <w:tcPr>
            <w:tcW w:w="1560" w:type="dxa"/>
            <w:vAlign w:val="bottom"/>
            <w:tcBorders>
              <w:bottom w:val="single" w:sz="8" w:color="D2DCE5"/>
            </w:tcBorders>
            <w:shd w:val="clear" w:color="auto" w:fill="D2DCE5"/>
          </w:tcPr>
          <w:p>
            <w:pPr>
              <w:spacing w:after="0"/>
              <w:rPr>
                <w:sz w:val="15"/>
                <w:szCs w:val="15"/>
                <w:color w:val="auto"/>
              </w:rPr>
            </w:pPr>
          </w:p>
        </w:tc>
        <w:tc>
          <w:tcPr>
            <w:tcW w:w="100" w:type="dxa"/>
            <w:vAlign w:val="bottom"/>
            <w:tcBorders>
              <w:bottom w:val="single" w:sz="8" w:color="D2DCE5"/>
            </w:tcBorders>
            <w:shd w:val="clear" w:color="auto" w:fill="D2DCE5"/>
          </w:tcPr>
          <w:p>
            <w:pPr>
              <w:spacing w:after="0"/>
              <w:rPr>
                <w:sz w:val="15"/>
                <w:szCs w:val="15"/>
                <w:color w:val="auto"/>
              </w:rPr>
            </w:pPr>
          </w:p>
        </w:tc>
        <w:tc>
          <w:tcPr>
            <w:tcW w:w="960" w:type="dxa"/>
            <w:vAlign w:val="bottom"/>
            <w:tcBorders>
              <w:bottom w:val="single" w:sz="8" w:color="D2DCE5"/>
            </w:tcBorders>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3.1</w:t>
            </w:r>
          </w:p>
        </w:tc>
        <w:tc>
          <w:tcPr>
            <w:tcW w:w="100" w:type="dxa"/>
            <w:vAlign w:val="bottom"/>
            <w:tcBorders>
              <w:right w:val="single" w:sz="8" w:color="D2DCE5"/>
            </w:tcBorders>
            <w:shd w:val="clear" w:color="auto" w:fill="D2DCE5"/>
          </w:tcPr>
          <w:p>
            <w:pPr>
              <w:spacing w:after="0"/>
              <w:rPr>
                <w:sz w:val="15"/>
                <w:szCs w:val="15"/>
                <w:color w:val="auto"/>
              </w:rPr>
            </w:pPr>
          </w:p>
        </w:tc>
        <w:tc>
          <w:tcPr>
            <w:tcW w:w="4520" w:type="dxa"/>
            <w:vAlign w:val="bottom"/>
            <w:gridSpan w:val="12"/>
            <w:shd w:val="clear" w:color="auto" w:fill="D2DCE5"/>
          </w:tcPr>
          <w:p>
            <w:pPr>
              <w:spacing w:after="0" w:line="183" w:lineRule="exact"/>
              <w:rPr>
                <w:rFonts w:ascii="Arial" w:cs="Arial" w:eastAsia="Arial" w:hAnsi="Arial"/>
                <w:sz w:val="16"/>
                <w:szCs w:val="16"/>
                <w:color w:val="0000FF"/>
              </w:rPr>
            </w:pPr>
            <w:hyperlink r:id="rId260">
              <w:r>
                <w:rPr>
                  <w:rFonts w:ascii="Arial" w:cs="Arial" w:eastAsia="Arial" w:hAnsi="Arial"/>
                  <w:sz w:val="16"/>
                  <w:szCs w:val="16"/>
                  <w:color w:val="0000FF"/>
                </w:rPr>
                <w:t>Registrant</w:t>
              </w:r>
            </w:hyperlink>
          </w:p>
        </w:tc>
        <w:tc>
          <w:tcPr>
            <w:tcW w:w="76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8-K</w:t>
            </w:r>
          </w:p>
        </w:tc>
        <w:tc>
          <w:tcPr>
            <w:tcW w:w="124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001-40798</w:t>
            </w:r>
          </w:p>
        </w:tc>
        <w:tc>
          <w:tcPr>
            <w:tcW w:w="82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w w:val="98"/>
              </w:rPr>
              <w:t>3.1</w:t>
            </w:r>
          </w:p>
        </w:tc>
        <w:tc>
          <w:tcPr>
            <w:tcW w:w="100" w:type="dxa"/>
            <w:vAlign w:val="bottom"/>
            <w:shd w:val="clear" w:color="auto" w:fill="D2DCE5"/>
          </w:tcPr>
          <w:p>
            <w:pPr>
              <w:spacing w:after="0"/>
              <w:rPr>
                <w:sz w:val="15"/>
                <w:szCs w:val="15"/>
                <w:color w:val="auto"/>
              </w:rPr>
            </w:pPr>
          </w:p>
        </w:tc>
        <w:tc>
          <w:tcPr>
            <w:tcW w:w="1660" w:type="dxa"/>
            <w:vAlign w:val="bottom"/>
            <w:gridSpan w:val="2"/>
            <w:vMerge w:val="restart"/>
            <w:shd w:val="clear" w:color="auto" w:fill="D2DCE5"/>
          </w:tcPr>
          <w:p>
            <w:pPr>
              <w:jc w:val="center"/>
              <w:ind w:right="80"/>
              <w:spacing w:after="0"/>
              <w:rPr>
                <w:sz w:val="20"/>
                <w:szCs w:val="20"/>
                <w:color w:val="auto"/>
              </w:rPr>
            </w:pPr>
            <w:r>
              <w:rPr>
                <w:rFonts w:ascii="Arial" w:cs="Arial" w:eastAsia="Arial" w:hAnsi="Arial"/>
                <w:sz w:val="16"/>
                <w:szCs w:val="16"/>
                <w:color w:val="131E29"/>
              </w:rPr>
              <w:t>September 17, 2021</w:t>
            </w:r>
          </w:p>
        </w:tc>
        <w:tc>
          <w:tcPr>
            <w:tcW w:w="96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80" w:type="dxa"/>
            <w:vAlign w:val="bottom"/>
            <w:tcBorders>
              <w:top w:val="single" w:sz="8" w:color="D2DCE5"/>
            </w:tcBorders>
            <w:vMerge w:val="continue"/>
            <w:shd w:val="clear" w:color="auto" w:fill="D2DCE5"/>
          </w:tcPr>
          <w:p>
            <w:pPr>
              <w:spacing w:after="0"/>
              <w:rPr>
                <w:sz w:val="17"/>
                <w:szCs w:val="17"/>
                <w:color w:val="auto"/>
              </w:rPr>
            </w:pPr>
          </w:p>
        </w:tc>
        <w:tc>
          <w:tcPr>
            <w:tcW w:w="100" w:type="dxa"/>
            <w:vAlign w:val="bottom"/>
            <w:tcBorders>
              <w:top w:val="single" w:sz="8" w:color="D2DCE5"/>
              <w:right w:val="single" w:sz="8" w:color="D2DCE5"/>
            </w:tcBorders>
            <w:shd w:val="clear" w:color="auto" w:fill="D2DCE5"/>
          </w:tcPr>
          <w:p>
            <w:pPr>
              <w:spacing w:after="0"/>
              <w:rPr>
                <w:sz w:val="17"/>
                <w:szCs w:val="17"/>
                <w:color w:val="auto"/>
              </w:rPr>
            </w:pPr>
          </w:p>
        </w:tc>
        <w:tc>
          <w:tcPr>
            <w:tcW w:w="740" w:type="dxa"/>
            <w:vAlign w:val="bottom"/>
            <w:tcBorders>
              <w:top w:val="single" w:sz="8" w:color="0000FF"/>
            </w:tcBorders>
            <w:shd w:val="clear" w:color="auto" w:fill="D2DCE5"/>
          </w:tcPr>
          <w:p>
            <w:pPr>
              <w:spacing w:after="0"/>
              <w:rPr>
                <w:sz w:val="17"/>
                <w:szCs w:val="17"/>
                <w:color w:val="auto"/>
              </w:rPr>
            </w:pPr>
          </w:p>
        </w:tc>
        <w:tc>
          <w:tcPr>
            <w:tcW w:w="80" w:type="dxa"/>
            <w:vAlign w:val="bottom"/>
            <w:tcBorders>
              <w:top w:val="single" w:sz="8" w:color="D2DCE5"/>
            </w:tcBorders>
            <w:shd w:val="clear" w:color="auto" w:fill="D2DCE5"/>
          </w:tcPr>
          <w:p>
            <w:pPr>
              <w:spacing w:after="0"/>
              <w:rPr>
                <w:sz w:val="17"/>
                <w:szCs w:val="17"/>
                <w:color w:val="auto"/>
              </w:rPr>
            </w:pPr>
          </w:p>
        </w:tc>
        <w:tc>
          <w:tcPr>
            <w:tcW w:w="460" w:type="dxa"/>
            <w:vAlign w:val="bottom"/>
            <w:tcBorders>
              <w:top w:val="single" w:sz="8" w:color="D2DCE5"/>
            </w:tcBorders>
            <w:shd w:val="clear" w:color="auto" w:fill="D2DCE5"/>
          </w:tcPr>
          <w:p>
            <w:pPr>
              <w:spacing w:after="0"/>
              <w:rPr>
                <w:sz w:val="17"/>
                <w:szCs w:val="17"/>
                <w:color w:val="auto"/>
              </w:rPr>
            </w:pPr>
          </w:p>
        </w:tc>
        <w:tc>
          <w:tcPr>
            <w:tcW w:w="1140" w:type="dxa"/>
            <w:vAlign w:val="bottom"/>
            <w:tcBorders>
              <w:top w:val="single" w:sz="8" w:color="D2DCE5"/>
            </w:tcBorders>
            <w:shd w:val="clear" w:color="auto" w:fill="D2DCE5"/>
          </w:tcPr>
          <w:p>
            <w:pPr>
              <w:spacing w:after="0"/>
              <w:rPr>
                <w:sz w:val="17"/>
                <w:szCs w:val="17"/>
                <w:color w:val="auto"/>
              </w:rPr>
            </w:pPr>
          </w:p>
        </w:tc>
        <w:tc>
          <w:tcPr>
            <w:tcW w:w="80" w:type="dxa"/>
            <w:vAlign w:val="bottom"/>
            <w:tcBorders>
              <w:top w:val="single" w:sz="8" w:color="D2DCE5"/>
            </w:tcBorders>
            <w:shd w:val="clear" w:color="auto" w:fill="D2DCE5"/>
          </w:tcPr>
          <w:p>
            <w:pPr>
              <w:spacing w:after="0"/>
              <w:rPr>
                <w:sz w:val="17"/>
                <w:szCs w:val="17"/>
                <w:color w:val="auto"/>
              </w:rPr>
            </w:pPr>
          </w:p>
        </w:tc>
        <w:tc>
          <w:tcPr>
            <w:tcW w:w="740" w:type="dxa"/>
            <w:vAlign w:val="bottom"/>
            <w:tcBorders>
              <w:top w:val="single" w:sz="8" w:color="D2DCE5"/>
            </w:tcBorders>
            <w:shd w:val="clear" w:color="auto" w:fill="D2DCE5"/>
          </w:tcPr>
          <w:p>
            <w:pPr>
              <w:spacing w:after="0"/>
              <w:rPr>
                <w:sz w:val="17"/>
                <w:szCs w:val="17"/>
                <w:color w:val="auto"/>
              </w:rPr>
            </w:pPr>
          </w:p>
        </w:tc>
        <w:tc>
          <w:tcPr>
            <w:tcW w:w="600" w:type="dxa"/>
            <w:vAlign w:val="bottom"/>
            <w:tcBorders>
              <w:top w:val="single" w:sz="8" w:color="D2DCE5"/>
            </w:tcBorders>
            <w:shd w:val="clear" w:color="auto" w:fill="D2DCE5"/>
          </w:tcPr>
          <w:p>
            <w:pPr>
              <w:spacing w:after="0"/>
              <w:rPr>
                <w:sz w:val="17"/>
                <w:szCs w:val="17"/>
                <w:color w:val="auto"/>
              </w:rPr>
            </w:pPr>
          </w:p>
        </w:tc>
        <w:tc>
          <w:tcPr>
            <w:tcW w:w="220" w:type="dxa"/>
            <w:vAlign w:val="bottom"/>
            <w:tcBorders>
              <w:top w:val="single" w:sz="8" w:color="D2DCE5"/>
              <w:right w:val="single" w:sz="8" w:color="D2DCE5"/>
            </w:tcBorders>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220" w:type="dxa"/>
            <w:vAlign w:val="bottom"/>
            <w:tcBorders>
              <w:top w:val="single" w:sz="8" w:color="D2DCE5"/>
              <w:right w:val="single" w:sz="8" w:color="D2DCE5"/>
            </w:tcBorders>
            <w:shd w:val="clear" w:color="auto" w:fill="D2DCE5"/>
          </w:tcPr>
          <w:p>
            <w:pPr>
              <w:spacing w:after="0"/>
              <w:rPr>
                <w:sz w:val="17"/>
                <w:szCs w:val="17"/>
                <w:color w:val="auto"/>
              </w:rPr>
            </w:pPr>
          </w:p>
        </w:tc>
        <w:tc>
          <w:tcPr>
            <w:tcW w:w="60" w:type="dxa"/>
            <w:vAlign w:val="bottom"/>
            <w:tcBorders>
              <w:top w:val="single" w:sz="8" w:color="D2DCE5"/>
            </w:tcBorders>
            <w:shd w:val="clear" w:color="auto" w:fill="D2DCE5"/>
          </w:tcPr>
          <w:p>
            <w:pPr>
              <w:spacing w:after="0"/>
              <w:rPr>
                <w:sz w:val="17"/>
                <w:szCs w:val="17"/>
                <w:color w:val="auto"/>
              </w:rPr>
            </w:pPr>
          </w:p>
        </w:tc>
        <w:tc>
          <w:tcPr>
            <w:tcW w:w="80" w:type="dxa"/>
            <w:vAlign w:val="bottom"/>
            <w:tcBorders>
              <w:top w:val="single" w:sz="8" w:color="D2DCE5"/>
            </w:tcBorders>
            <w:shd w:val="clear" w:color="auto" w:fill="D2DCE5"/>
          </w:tcPr>
          <w:p>
            <w:pPr>
              <w:spacing w:after="0"/>
              <w:rPr>
                <w:sz w:val="17"/>
                <w:szCs w:val="17"/>
                <w:color w:val="auto"/>
              </w:rPr>
            </w:pPr>
          </w:p>
        </w:tc>
        <w:tc>
          <w:tcPr>
            <w:tcW w:w="760" w:type="dxa"/>
            <w:vAlign w:val="bottom"/>
            <w:tcBorders>
              <w:top w:val="single" w:sz="8" w:color="D2DCE5"/>
            </w:tcBorders>
            <w:vMerge w:val="continue"/>
            <w:shd w:val="clear" w:color="auto" w:fill="D2DCE5"/>
          </w:tcPr>
          <w:p>
            <w:pPr>
              <w:spacing w:after="0"/>
              <w:rPr>
                <w:sz w:val="17"/>
                <w:szCs w:val="17"/>
                <w:color w:val="auto"/>
              </w:rPr>
            </w:pPr>
          </w:p>
        </w:tc>
        <w:tc>
          <w:tcPr>
            <w:tcW w:w="1240" w:type="dxa"/>
            <w:vAlign w:val="bottom"/>
            <w:tcBorders>
              <w:top w:val="single" w:sz="8" w:color="D2DCE5"/>
            </w:tcBorders>
            <w:vMerge w:val="continue"/>
            <w:shd w:val="clear" w:color="auto" w:fill="D2DCE5"/>
          </w:tcPr>
          <w:p>
            <w:pPr>
              <w:spacing w:after="0"/>
              <w:rPr>
                <w:sz w:val="17"/>
                <w:szCs w:val="17"/>
                <w:color w:val="auto"/>
              </w:rPr>
            </w:pPr>
          </w:p>
        </w:tc>
        <w:tc>
          <w:tcPr>
            <w:tcW w:w="820" w:type="dxa"/>
            <w:vAlign w:val="bottom"/>
            <w:tcBorders>
              <w:top w:val="single" w:sz="8" w:color="D2DCE5"/>
            </w:tcBorders>
            <w:vMerge w:val="continue"/>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1660" w:type="dxa"/>
            <w:vAlign w:val="bottom"/>
            <w:tcBorders>
              <w:top w:val="single" w:sz="8" w:color="D2DCE5"/>
            </w:tcBorders>
            <w:gridSpan w:val="2"/>
            <w:vMerge w:val="continue"/>
            <w:shd w:val="clear" w:color="auto" w:fill="D2DCE5"/>
          </w:tcPr>
          <w:p>
            <w:pPr>
              <w:spacing w:after="0"/>
              <w:rPr>
                <w:sz w:val="17"/>
                <w:szCs w:val="17"/>
                <w:color w:val="auto"/>
              </w:rPr>
            </w:pPr>
          </w:p>
        </w:tc>
        <w:tc>
          <w:tcPr>
            <w:tcW w:w="960" w:type="dxa"/>
            <w:vAlign w:val="bottom"/>
            <w:tcBorders>
              <w:top w:val="single" w:sz="8" w:color="D2DCE5"/>
            </w:tcBorders>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80" w:type="dxa"/>
            <w:vAlign w:val="bottom"/>
            <w:vMerge w:val="restart"/>
          </w:tcPr>
          <w:p>
            <w:pPr>
              <w:jc w:val="center"/>
              <w:spacing w:after="0"/>
              <w:rPr>
                <w:sz w:val="20"/>
                <w:szCs w:val="20"/>
                <w:color w:val="auto"/>
              </w:rPr>
            </w:pPr>
            <w:r>
              <w:rPr>
                <w:rFonts w:ascii="Arial" w:cs="Arial" w:eastAsia="Arial" w:hAnsi="Arial"/>
                <w:sz w:val="16"/>
                <w:szCs w:val="16"/>
                <w:color w:val="131E29"/>
              </w:rPr>
              <w:t>3.2</w:t>
            </w:r>
          </w:p>
        </w:tc>
        <w:tc>
          <w:tcPr>
            <w:tcW w:w="100" w:type="dxa"/>
            <w:vAlign w:val="bottom"/>
          </w:tcPr>
          <w:p>
            <w:pPr>
              <w:spacing w:after="0"/>
              <w:rPr>
                <w:sz w:val="16"/>
                <w:szCs w:val="16"/>
                <w:color w:val="auto"/>
              </w:rPr>
            </w:pPr>
          </w:p>
        </w:tc>
        <w:tc>
          <w:tcPr>
            <w:tcW w:w="4520" w:type="dxa"/>
            <w:vAlign w:val="bottom"/>
            <w:gridSpan w:val="12"/>
          </w:tcPr>
          <w:p>
            <w:pPr>
              <w:spacing w:after="0"/>
              <w:rPr>
                <w:rFonts w:ascii="Arial" w:cs="Arial" w:eastAsia="Arial" w:hAnsi="Arial"/>
                <w:sz w:val="16"/>
                <w:szCs w:val="16"/>
                <w:color w:val="0000FF"/>
              </w:rPr>
            </w:pPr>
            <w:hyperlink r:id="rId261">
              <w:r>
                <w:rPr>
                  <w:rFonts w:ascii="Arial" w:cs="Arial" w:eastAsia="Arial" w:hAnsi="Arial"/>
                  <w:sz w:val="16"/>
                  <w:szCs w:val="16"/>
                  <w:color w:val="0000FF"/>
                </w:rPr>
                <w:t>Amended and Restated Bylaws of Registrant</w:t>
              </w:r>
            </w:hyperlink>
          </w:p>
        </w:tc>
        <w:tc>
          <w:tcPr>
            <w:tcW w:w="760" w:type="dxa"/>
            <w:vAlign w:val="bottom"/>
            <w:vMerge w:val="restart"/>
          </w:tcPr>
          <w:p>
            <w:pPr>
              <w:jc w:val="center"/>
              <w:spacing w:after="0"/>
              <w:rPr>
                <w:sz w:val="20"/>
                <w:szCs w:val="20"/>
                <w:color w:val="auto"/>
              </w:rPr>
            </w:pPr>
            <w:r>
              <w:rPr>
                <w:rFonts w:ascii="Arial" w:cs="Arial" w:eastAsia="Arial" w:hAnsi="Arial"/>
                <w:sz w:val="16"/>
                <w:szCs w:val="16"/>
                <w:color w:val="131E29"/>
              </w:rPr>
              <w:t>S-1</w:t>
            </w:r>
          </w:p>
        </w:tc>
        <w:tc>
          <w:tcPr>
            <w:tcW w:w="1240" w:type="dxa"/>
            <w:vAlign w:val="bottom"/>
            <w:vMerge w:val="restart"/>
          </w:tcPr>
          <w:p>
            <w:pPr>
              <w:jc w:val="center"/>
              <w:spacing w:after="0"/>
              <w:rPr>
                <w:sz w:val="20"/>
                <w:szCs w:val="20"/>
                <w:color w:val="auto"/>
              </w:rPr>
            </w:pPr>
            <w:r>
              <w:rPr>
                <w:rFonts w:ascii="Arial" w:cs="Arial" w:eastAsia="Arial" w:hAnsi="Arial"/>
                <w:sz w:val="16"/>
                <w:szCs w:val="16"/>
                <w:color w:val="131E29"/>
              </w:rPr>
              <w:t>333-258988</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131E29"/>
                <w:w w:val="98"/>
              </w:rPr>
              <w:t>3.4</w:t>
            </w:r>
          </w:p>
        </w:tc>
        <w:tc>
          <w:tcPr>
            <w:tcW w:w="100" w:type="dxa"/>
            <w:vAlign w:val="bottom"/>
          </w:tcPr>
          <w:p>
            <w:pPr>
              <w:spacing w:after="0"/>
              <w:rPr>
                <w:sz w:val="16"/>
                <w:szCs w:val="16"/>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131E29"/>
              </w:rPr>
              <w:t>August 20, 2021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1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8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4.1</w:t>
            </w:r>
          </w:p>
        </w:tc>
        <w:tc>
          <w:tcPr>
            <w:tcW w:w="100" w:type="dxa"/>
            <w:vAlign w:val="bottom"/>
            <w:tcBorders>
              <w:right w:val="single" w:sz="8" w:color="D2DCE5"/>
            </w:tcBorders>
            <w:shd w:val="clear" w:color="auto" w:fill="D2DCE5"/>
          </w:tcPr>
          <w:p>
            <w:pPr>
              <w:spacing w:after="0"/>
              <w:rPr>
                <w:sz w:val="17"/>
                <w:szCs w:val="17"/>
                <w:color w:val="auto"/>
              </w:rPr>
            </w:pPr>
          </w:p>
        </w:tc>
        <w:tc>
          <w:tcPr>
            <w:tcW w:w="4520" w:type="dxa"/>
            <w:vAlign w:val="bottom"/>
            <w:gridSpan w:val="12"/>
            <w:shd w:val="clear" w:color="auto" w:fill="D2DCE5"/>
          </w:tcPr>
          <w:p>
            <w:pPr>
              <w:spacing w:after="0"/>
              <w:rPr>
                <w:rFonts w:ascii="Arial" w:cs="Arial" w:eastAsia="Arial" w:hAnsi="Arial"/>
                <w:sz w:val="16"/>
                <w:szCs w:val="16"/>
                <w:color w:val="0000FF"/>
              </w:rPr>
            </w:pPr>
            <w:hyperlink r:id="rId262">
              <w:r>
                <w:rPr>
                  <w:rFonts w:ascii="Arial" w:cs="Arial" w:eastAsia="Arial" w:hAnsi="Arial"/>
                  <w:sz w:val="16"/>
                  <w:szCs w:val="16"/>
                  <w:color w:val="0000FF"/>
                </w:rPr>
                <w:t>Form of Common Stock Certificate</w:t>
              </w:r>
            </w:hyperlink>
          </w:p>
        </w:tc>
        <w:tc>
          <w:tcPr>
            <w:tcW w:w="76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S-1/A</w:t>
            </w:r>
          </w:p>
        </w:tc>
        <w:tc>
          <w:tcPr>
            <w:tcW w:w="124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333-258988</w:t>
            </w:r>
          </w:p>
        </w:tc>
        <w:tc>
          <w:tcPr>
            <w:tcW w:w="82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w w:val="98"/>
              </w:rPr>
              <w:t>4.1</w:t>
            </w:r>
          </w:p>
        </w:tc>
        <w:tc>
          <w:tcPr>
            <w:tcW w:w="100" w:type="dxa"/>
            <w:vAlign w:val="bottom"/>
            <w:shd w:val="clear" w:color="auto" w:fill="D2DCE5"/>
          </w:tcPr>
          <w:p>
            <w:pPr>
              <w:spacing w:after="0"/>
              <w:rPr>
                <w:sz w:val="17"/>
                <w:szCs w:val="17"/>
                <w:color w:val="auto"/>
              </w:rPr>
            </w:pPr>
          </w:p>
        </w:tc>
        <w:tc>
          <w:tcPr>
            <w:tcW w:w="1660" w:type="dxa"/>
            <w:vAlign w:val="bottom"/>
            <w:gridSpan w:val="2"/>
            <w:vMerge w:val="restart"/>
            <w:shd w:val="clear" w:color="auto" w:fill="D2DCE5"/>
          </w:tcPr>
          <w:p>
            <w:pPr>
              <w:jc w:val="center"/>
              <w:ind w:right="80"/>
              <w:spacing w:after="0"/>
              <w:rPr>
                <w:sz w:val="20"/>
                <w:szCs w:val="20"/>
                <w:color w:val="auto"/>
              </w:rPr>
            </w:pPr>
            <w:r>
              <w:rPr>
                <w:rFonts w:ascii="Arial" w:cs="Arial" w:eastAsia="Arial" w:hAnsi="Arial"/>
                <w:sz w:val="16"/>
                <w:szCs w:val="16"/>
                <w:color w:val="131E29"/>
              </w:rPr>
              <w:t>September 13, 2021</w:t>
            </w:r>
          </w:p>
        </w:tc>
        <w:tc>
          <w:tcPr>
            <w:tcW w:w="96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Borders>
              <w:top w:val="single" w:sz="8" w:color="D2DCE5"/>
            </w:tcBorders>
            <w:vMerge w:val="continue"/>
            <w:shd w:val="clear" w:color="auto" w:fill="D2DCE5"/>
          </w:tcPr>
          <w:p>
            <w:pPr>
              <w:spacing w:after="0"/>
              <w:rPr>
                <w:sz w:val="17"/>
                <w:szCs w:val="17"/>
                <w:color w:val="auto"/>
              </w:rPr>
            </w:pPr>
          </w:p>
        </w:tc>
        <w:tc>
          <w:tcPr>
            <w:tcW w:w="100" w:type="dxa"/>
            <w:vAlign w:val="bottom"/>
            <w:tcBorders>
              <w:top w:val="single" w:sz="8" w:color="D2DCE5"/>
              <w:right w:val="single" w:sz="8" w:color="D2DCE5"/>
            </w:tcBorders>
            <w:shd w:val="clear" w:color="auto" w:fill="D2DCE5"/>
          </w:tcPr>
          <w:p>
            <w:pPr>
              <w:spacing w:after="0"/>
              <w:rPr>
                <w:sz w:val="17"/>
                <w:szCs w:val="17"/>
                <w:color w:val="auto"/>
              </w:rPr>
            </w:pPr>
          </w:p>
        </w:tc>
        <w:tc>
          <w:tcPr>
            <w:tcW w:w="740" w:type="dxa"/>
            <w:vAlign w:val="bottom"/>
            <w:tcBorders>
              <w:top w:val="single" w:sz="8" w:color="0000FF"/>
            </w:tcBorders>
            <w:shd w:val="clear" w:color="auto" w:fill="D2DCE5"/>
          </w:tcPr>
          <w:p>
            <w:pPr>
              <w:spacing w:after="0"/>
              <w:rPr>
                <w:sz w:val="17"/>
                <w:szCs w:val="17"/>
                <w:color w:val="auto"/>
              </w:rPr>
            </w:pPr>
          </w:p>
        </w:tc>
        <w:tc>
          <w:tcPr>
            <w:tcW w:w="80" w:type="dxa"/>
            <w:vAlign w:val="bottom"/>
            <w:tcBorders>
              <w:top w:val="single" w:sz="8" w:color="0000FF"/>
            </w:tcBorders>
            <w:shd w:val="clear" w:color="auto" w:fill="D2DCE5"/>
          </w:tcPr>
          <w:p>
            <w:pPr>
              <w:spacing w:after="0"/>
              <w:rPr>
                <w:sz w:val="17"/>
                <w:szCs w:val="17"/>
                <w:color w:val="auto"/>
              </w:rPr>
            </w:pPr>
          </w:p>
        </w:tc>
        <w:tc>
          <w:tcPr>
            <w:tcW w:w="460" w:type="dxa"/>
            <w:vAlign w:val="bottom"/>
            <w:tcBorders>
              <w:top w:val="single" w:sz="8" w:color="0000FF"/>
            </w:tcBorders>
            <w:shd w:val="clear" w:color="auto" w:fill="D2DCE5"/>
          </w:tcPr>
          <w:p>
            <w:pPr>
              <w:spacing w:after="0"/>
              <w:rPr>
                <w:sz w:val="17"/>
                <w:szCs w:val="17"/>
                <w:color w:val="auto"/>
              </w:rPr>
            </w:pPr>
          </w:p>
        </w:tc>
        <w:tc>
          <w:tcPr>
            <w:tcW w:w="1140" w:type="dxa"/>
            <w:vAlign w:val="bottom"/>
            <w:tcBorders>
              <w:top w:val="single" w:sz="8" w:color="0000FF"/>
            </w:tcBorders>
            <w:shd w:val="clear" w:color="auto" w:fill="D2DCE5"/>
          </w:tcPr>
          <w:p>
            <w:pPr>
              <w:spacing w:after="0"/>
              <w:rPr>
                <w:sz w:val="17"/>
                <w:szCs w:val="17"/>
                <w:color w:val="auto"/>
              </w:rPr>
            </w:pPr>
          </w:p>
        </w:tc>
        <w:tc>
          <w:tcPr>
            <w:tcW w:w="80" w:type="dxa"/>
            <w:vAlign w:val="bottom"/>
            <w:tcBorders>
              <w:top w:val="single" w:sz="8" w:color="0000FF"/>
            </w:tcBorders>
            <w:shd w:val="clear" w:color="auto" w:fill="D2DCE5"/>
          </w:tcPr>
          <w:p>
            <w:pPr>
              <w:spacing w:after="0"/>
              <w:rPr>
                <w:sz w:val="17"/>
                <w:szCs w:val="17"/>
                <w:color w:val="auto"/>
              </w:rPr>
            </w:pPr>
          </w:p>
        </w:tc>
        <w:tc>
          <w:tcPr>
            <w:tcW w:w="740" w:type="dxa"/>
            <w:vAlign w:val="bottom"/>
            <w:tcBorders>
              <w:top w:val="single" w:sz="8" w:color="D2DCE5"/>
            </w:tcBorders>
            <w:shd w:val="clear" w:color="auto" w:fill="D2DCE5"/>
          </w:tcPr>
          <w:p>
            <w:pPr>
              <w:spacing w:after="0"/>
              <w:rPr>
                <w:sz w:val="17"/>
                <w:szCs w:val="17"/>
                <w:color w:val="auto"/>
              </w:rPr>
            </w:pPr>
          </w:p>
        </w:tc>
        <w:tc>
          <w:tcPr>
            <w:tcW w:w="600" w:type="dxa"/>
            <w:vAlign w:val="bottom"/>
            <w:tcBorders>
              <w:top w:val="single" w:sz="8" w:color="D2DCE5"/>
            </w:tcBorders>
            <w:shd w:val="clear" w:color="auto" w:fill="D2DCE5"/>
          </w:tcPr>
          <w:p>
            <w:pPr>
              <w:spacing w:after="0"/>
              <w:rPr>
                <w:sz w:val="17"/>
                <w:szCs w:val="17"/>
                <w:color w:val="auto"/>
              </w:rPr>
            </w:pPr>
          </w:p>
        </w:tc>
        <w:tc>
          <w:tcPr>
            <w:tcW w:w="220" w:type="dxa"/>
            <w:vAlign w:val="bottom"/>
            <w:tcBorders>
              <w:top w:val="single" w:sz="8" w:color="D2DCE5"/>
              <w:right w:val="single" w:sz="8" w:color="D2DCE5"/>
            </w:tcBorders>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220" w:type="dxa"/>
            <w:vAlign w:val="bottom"/>
            <w:tcBorders>
              <w:top w:val="single" w:sz="8" w:color="D2DCE5"/>
              <w:right w:val="single" w:sz="8" w:color="D2DCE5"/>
            </w:tcBorders>
            <w:shd w:val="clear" w:color="auto" w:fill="D2DCE5"/>
          </w:tcPr>
          <w:p>
            <w:pPr>
              <w:spacing w:after="0"/>
              <w:rPr>
                <w:sz w:val="17"/>
                <w:szCs w:val="17"/>
                <w:color w:val="auto"/>
              </w:rPr>
            </w:pPr>
          </w:p>
        </w:tc>
        <w:tc>
          <w:tcPr>
            <w:tcW w:w="60" w:type="dxa"/>
            <w:vAlign w:val="bottom"/>
            <w:tcBorders>
              <w:top w:val="single" w:sz="8" w:color="D2DCE5"/>
            </w:tcBorders>
            <w:shd w:val="clear" w:color="auto" w:fill="D2DCE5"/>
          </w:tcPr>
          <w:p>
            <w:pPr>
              <w:spacing w:after="0"/>
              <w:rPr>
                <w:sz w:val="17"/>
                <w:szCs w:val="17"/>
                <w:color w:val="auto"/>
              </w:rPr>
            </w:pPr>
          </w:p>
        </w:tc>
        <w:tc>
          <w:tcPr>
            <w:tcW w:w="80" w:type="dxa"/>
            <w:vAlign w:val="bottom"/>
            <w:tcBorders>
              <w:top w:val="single" w:sz="8" w:color="D2DCE5"/>
            </w:tcBorders>
            <w:shd w:val="clear" w:color="auto" w:fill="D2DCE5"/>
          </w:tcPr>
          <w:p>
            <w:pPr>
              <w:spacing w:after="0"/>
              <w:rPr>
                <w:sz w:val="17"/>
                <w:szCs w:val="17"/>
                <w:color w:val="auto"/>
              </w:rPr>
            </w:pPr>
          </w:p>
        </w:tc>
        <w:tc>
          <w:tcPr>
            <w:tcW w:w="760" w:type="dxa"/>
            <w:vAlign w:val="bottom"/>
            <w:tcBorders>
              <w:top w:val="single" w:sz="8" w:color="D2DCE5"/>
            </w:tcBorders>
            <w:vMerge w:val="continue"/>
            <w:shd w:val="clear" w:color="auto" w:fill="D2DCE5"/>
          </w:tcPr>
          <w:p>
            <w:pPr>
              <w:spacing w:after="0"/>
              <w:rPr>
                <w:sz w:val="17"/>
                <w:szCs w:val="17"/>
                <w:color w:val="auto"/>
              </w:rPr>
            </w:pPr>
          </w:p>
        </w:tc>
        <w:tc>
          <w:tcPr>
            <w:tcW w:w="1240" w:type="dxa"/>
            <w:vAlign w:val="bottom"/>
            <w:tcBorders>
              <w:top w:val="single" w:sz="8" w:color="D2DCE5"/>
            </w:tcBorders>
            <w:vMerge w:val="continue"/>
            <w:shd w:val="clear" w:color="auto" w:fill="D2DCE5"/>
          </w:tcPr>
          <w:p>
            <w:pPr>
              <w:spacing w:after="0"/>
              <w:rPr>
                <w:sz w:val="17"/>
                <w:szCs w:val="17"/>
                <w:color w:val="auto"/>
              </w:rPr>
            </w:pPr>
          </w:p>
        </w:tc>
        <w:tc>
          <w:tcPr>
            <w:tcW w:w="820" w:type="dxa"/>
            <w:vAlign w:val="bottom"/>
            <w:tcBorders>
              <w:top w:val="single" w:sz="8" w:color="D2DCE5"/>
            </w:tcBorders>
            <w:vMerge w:val="continue"/>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1660" w:type="dxa"/>
            <w:vAlign w:val="bottom"/>
            <w:tcBorders>
              <w:top w:val="single" w:sz="8" w:color="D2DCE5"/>
            </w:tcBorders>
            <w:gridSpan w:val="2"/>
            <w:vMerge w:val="continue"/>
            <w:shd w:val="clear" w:color="auto" w:fill="D2DCE5"/>
          </w:tcPr>
          <w:p>
            <w:pPr>
              <w:spacing w:after="0"/>
              <w:rPr>
                <w:sz w:val="17"/>
                <w:szCs w:val="17"/>
                <w:color w:val="auto"/>
              </w:rPr>
            </w:pPr>
          </w:p>
        </w:tc>
        <w:tc>
          <w:tcPr>
            <w:tcW w:w="960" w:type="dxa"/>
            <w:vAlign w:val="bottom"/>
            <w:tcBorders>
              <w:top w:val="single" w:sz="8" w:color="D2DCE5"/>
            </w:tcBorders>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20" w:type="dxa"/>
            <w:vAlign w:val="bottom"/>
            <w:gridSpan w:val="12"/>
          </w:tcPr>
          <w:p>
            <w:pPr>
              <w:spacing w:after="0"/>
              <w:rPr>
                <w:rFonts w:ascii="Arial" w:cs="Arial" w:eastAsia="Arial" w:hAnsi="Arial"/>
                <w:sz w:val="16"/>
                <w:szCs w:val="16"/>
                <w:color w:val="0000FF"/>
              </w:rPr>
            </w:pPr>
            <w:hyperlink r:id="rId263">
              <w:r>
                <w:rPr>
                  <w:rFonts w:ascii="Arial" w:cs="Arial" w:eastAsia="Arial" w:hAnsi="Arial"/>
                  <w:sz w:val="16"/>
                  <w:szCs w:val="16"/>
                  <w:color w:val="0000FF"/>
                </w:rPr>
                <w:t>Offer Letter, dated as of August 12, 2022, by and between</w:t>
              </w:r>
            </w:hyperlink>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tcPr>
          <w:p>
            <w:pPr>
              <w:jc w:val="center"/>
              <w:spacing w:after="0"/>
              <w:rPr>
                <w:sz w:val="20"/>
                <w:szCs w:val="20"/>
                <w:color w:val="auto"/>
              </w:rPr>
            </w:pPr>
            <w:r>
              <w:rPr>
                <w:rFonts w:ascii="Arial" w:cs="Arial" w:eastAsia="Arial" w:hAnsi="Arial"/>
                <w:sz w:val="16"/>
                <w:szCs w:val="16"/>
                <w:color w:val="131E29"/>
              </w:rPr>
              <w:t>10.1</w:t>
            </w:r>
          </w:p>
        </w:tc>
        <w:tc>
          <w:tcPr>
            <w:tcW w:w="100" w:type="dxa"/>
            <w:vAlign w:val="bottom"/>
          </w:tcPr>
          <w:p>
            <w:pPr>
              <w:spacing w:after="0"/>
              <w:rPr>
                <w:sz w:val="15"/>
                <w:szCs w:val="15"/>
                <w:color w:val="auto"/>
              </w:rPr>
            </w:pPr>
          </w:p>
        </w:tc>
        <w:tc>
          <w:tcPr>
            <w:tcW w:w="4160" w:type="dxa"/>
            <w:vAlign w:val="bottom"/>
            <w:tcBorders>
              <w:top w:val="single" w:sz="8" w:color="0000FF"/>
            </w:tcBorders>
            <w:gridSpan w:val="9"/>
          </w:tcPr>
          <w:p>
            <w:pPr>
              <w:spacing w:after="0" w:line="183" w:lineRule="exact"/>
              <w:rPr>
                <w:rFonts w:ascii="Arial" w:cs="Arial" w:eastAsia="Arial" w:hAnsi="Arial"/>
                <w:sz w:val="16"/>
                <w:szCs w:val="16"/>
                <w:color w:val="0000FF"/>
              </w:rPr>
            </w:pPr>
            <w:hyperlink r:id="rId263">
              <w:r>
                <w:rPr>
                  <w:rFonts w:ascii="Arial" w:cs="Arial" w:eastAsia="Arial" w:hAnsi="Arial"/>
                  <w:sz w:val="16"/>
                  <w:szCs w:val="16"/>
                  <w:color w:val="0000FF"/>
                </w:rPr>
                <w:t>Dutch Bros Inc. and Ann M. Miller</w:t>
              </w:r>
            </w:hyperlink>
          </w:p>
        </w:tc>
        <w:tc>
          <w:tcPr>
            <w:tcW w:w="360" w:type="dxa"/>
            <w:vAlign w:val="bottom"/>
            <w:gridSpan w:val="3"/>
          </w:tcPr>
          <w:p>
            <w:pPr>
              <w:spacing w:after="0"/>
              <w:rPr>
                <w:sz w:val="15"/>
                <w:szCs w:val="15"/>
                <w:color w:val="auto"/>
              </w:rPr>
            </w:pPr>
          </w:p>
        </w:tc>
        <w:tc>
          <w:tcPr>
            <w:tcW w:w="760" w:type="dxa"/>
            <w:vAlign w:val="bottom"/>
            <w:vMerge w:val="restart"/>
          </w:tcPr>
          <w:p>
            <w:pPr>
              <w:ind w:left="20"/>
              <w:spacing w:after="0"/>
              <w:rPr>
                <w:sz w:val="20"/>
                <w:szCs w:val="20"/>
                <w:color w:val="auto"/>
              </w:rPr>
            </w:pPr>
            <w:r>
              <w:rPr>
                <w:rFonts w:ascii="Arial" w:cs="Arial" w:eastAsia="Arial" w:hAnsi="Arial"/>
                <w:sz w:val="16"/>
                <w:szCs w:val="16"/>
                <w:color w:val="131E29"/>
              </w:rPr>
              <w:t>8-K</w:t>
            </w:r>
          </w:p>
        </w:tc>
        <w:tc>
          <w:tcPr>
            <w:tcW w:w="1240" w:type="dxa"/>
            <w:vAlign w:val="bottom"/>
            <w:vMerge w:val="restart"/>
          </w:tcPr>
          <w:p>
            <w:pPr>
              <w:jc w:val="center"/>
              <w:spacing w:after="0"/>
              <w:rPr>
                <w:sz w:val="20"/>
                <w:szCs w:val="20"/>
                <w:color w:val="auto"/>
              </w:rPr>
            </w:pPr>
            <w:r>
              <w:rPr>
                <w:rFonts w:ascii="Arial" w:cs="Arial" w:eastAsia="Arial" w:hAnsi="Arial"/>
                <w:sz w:val="16"/>
                <w:szCs w:val="16"/>
                <w:color w:val="131E29"/>
              </w:rPr>
              <w:t>001-40798</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131E29"/>
              </w:rPr>
              <w:t>10.1</w:t>
            </w:r>
          </w:p>
        </w:tc>
        <w:tc>
          <w:tcPr>
            <w:tcW w:w="100" w:type="dxa"/>
            <w:vAlign w:val="bottom"/>
          </w:tcPr>
          <w:p>
            <w:pPr>
              <w:spacing w:after="0"/>
              <w:rPr>
                <w:sz w:val="15"/>
                <w:szCs w:val="15"/>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131E29"/>
              </w:rPr>
              <w:t>August 25, 2022</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11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80" w:type="dxa"/>
            <w:vAlign w:val="bottom"/>
            <w:shd w:val="clear" w:color="auto" w:fill="D2DCE5"/>
          </w:tcPr>
          <w:p>
            <w:pPr>
              <w:spacing w:after="0"/>
              <w:rPr>
                <w:sz w:val="17"/>
                <w:szCs w:val="17"/>
                <w:color w:val="auto"/>
              </w:rPr>
            </w:pPr>
          </w:p>
        </w:tc>
        <w:tc>
          <w:tcPr>
            <w:tcW w:w="100" w:type="dxa"/>
            <w:vAlign w:val="bottom"/>
            <w:tcBorders>
              <w:right w:val="single" w:sz="8" w:color="D2DCE5"/>
            </w:tcBorders>
            <w:shd w:val="clear" w:color="auto" w:fill="D2DCE5"/>
          </w:tcPr>
          <w:p>
            <w:pPr>
              <w:spacing w:after="0"/>
              <w:rPr>
                <w:sz w:val="17"/>
                <w:szCs w:val="17"/>
                <w:color w:val="auto"/>
              </w:rPr>
            </w:pPr>
          </w:p>
        </w:tc>
        <w:tc>
          <w:tcPr>
            <w:tcW w:w="4520" w:type="dxa"/>
            <w:vAlign w:val="bottom"/>
            <w:gridSpan w:val="12"/>
            <w:shd w:val="clear" w:color="auto" w:fill="D2DCE5"/>
          </w:tcPr>
          <w:p>
            <w:pPr>
              <w:spacing w:after="0"/>
              <w:rPr>
                <w:sz w:val="20"/>
                <w:szCs w:val="20"/>
                <w:color w:val="auto"/>
              </w:rPr>
            </w:pPr>
            <w:r>
              <w:rPr>
                <w:rFonts w:ascii="Arial" w:cs="Arial" w:eastAsia="Arial" w:hAnsi="Arial"/>
                <w:sz w:val="16"/>
                <w:szCs w:val="16"/>
                <w:color w:val="0000FF"/>
              </w:rPr>
              <w:t>Certification of Chief Executive Officer Pursuant to Rules</w:t>
            </w:r>
          </w:p>
        </w:tc>
        <w:tc>
          <w:tcPr>
            <w:tcW w:w="760" w:type="dxa"/>
            <w:vAlign w:val="bottom"/>
            <w:shd w:val="clear" w:color="auto" w:fill="D2DCE5"/>
          </w:tcPr>
          <w:p>
            <w:pPr>
              <w:spacing w:after="0"/>
              <w:rPr>
                <w:sz w:val="17"/>
                <w:szCs w:val="17"/>
                <w:color w:val="auto"/>
              </w:rPr>
            </w:pPr>
          </w:p>
        </w:tc>
        <w:tc>
          <w:tcPr>
            <w:tcW w:w="1240" w:type="dxa"/>
            <w:vAlign w:val="bottom"/>
            <w:shd w:val="clear" w:color="auto" w:fill="D2DCE5"/>
          </w:tcPr>
          <w:p>
            <w:pPr>
              <w:spacing w:after="0"/>
              <w:rPr>
                <w:sz w:val="17"/>
                <w:szCs w:val="17"/>
                <w:color w:val="auto"/>
              </w:rPr>
            </w:pPr>
          </w:p>
        </w:tc>
        <w:tc>
          <w:tcPr>
            <w:tcW w:w="82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5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D2DCE5"/>
          </w:tcPr>
          <w:p>
            <w:pPr>
              <w:spacing w:after="0" w:line="20" w:lineRule="exact"/>
              <w:rPr>
                <w:sz w:val="1"/>
                <w:szCs w:val="1"/>
                <w:color w:val="auto"/>
              </w:rPr>
            </w:pPr>
          </w:p>
        </w:tc>
        <w:tc>
          <w:tcPr>
            <w:tcW w:w="100" w:type="dxa"/>
            <w:vAlign w:val="bottom"/>
            <w:tcBorders>
              <w:right w:val="single" w:sz="8" w:color="D2DCE5"/>
            </w:tcBorders>
            <w:shd w:val="clear" w:color="auto" w:fill="D2DCE5"/>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780" w:type="dxa"/>
            <w:vAlign w:val="bottom"/>
            <w:tcBorders>
              <w:right w:val="single" w:sz="8" w:color="0000FF"/>
            </w:tcBorders>
            <w:gridSpan w:val="5"/>
            <w:shd w:val="clear" w:color="auto" w:fill="0000FF"/>
          </w:tcPr>
          <w:p>
            <w:pPr>
              <w:spacing w:after="0" w:line="20" w:lineRule="exact"/>
              <w:rPr>
                <w:sz w:val="1"/>
                <w:szCs w:val="1"/>
                <w:color w:val="auto"/>
              </w:rPr>
            </w:pPr>
          </w:p>
        </w:tc>
        <w:tc>
          <w:tcPr>
            <w:tcW w:w="320" w:type="dxa"/>
            <w:vAlign w:val="bottom"/>
            <w:tcBorders>
              <w:right w:val="single" w:sz="8" w:color="D2DCE5"/>
            </w:tcBorders>
            <w:gridSpan w:val="2"/>
            <w:shd w:val="clear" w:color="auto" w:fill="D2DCE5"/>
          </w:tcPr>
          <w:p>
            <w:pPr>
              <w:spacing w:after="0" w:line="20" w:lineRule="exact"/>
              <w:rPr>
                <w:sz w:val="1"/>
                <w:szCs w:val="1"/>
                <w:color w:val="auto"/>
              </w:rPr>
            </w:pPr>
          </w:p>
        </w:tc>
        <w:tc>
          <w:tcPr>
            <w:tcW w:w="140" w:type="dxa"/>
            <w:vAlign w:val="bottom"/>
            <w:gridSpan w:val="2"/>
            <w:shd w:val="clear" w:color="auto" w:fill="D2DCE5"/>
          </w:tcPr>
          <w:p>
            <w:pPr>
              <w:spacing w:after="0" w:line="20" w:lineRule="exact"/>
              <w:rPr>
                <w:sz w:val="1"/>
                <w:szCs w:val="1"/>
                <w:color w:val="auto"/>
              </w:rPr>
            </w:pPr>
          </w:p>
        </w:tc>
        <w:tc>
          <w:tcPr>
            <w:tcW w:w="760" w:type="dxa"/>
            <w:vAlign w:val="bottom"/>
            <w:shd w:val="clear" w:color="auto" w:fill="D2DCE5"/>
          </w:tcPr>
          <w:p>
            <w:pPr>
              <w:spacing w:after="0" w:line="20" w:lineRule="exact"/>
              <w:rPr>
                <w:sz w:val="1"/>
                <w:szCs w:val="1"/>
                <w:color w:val="auto"/>
              </w:rPr>
            </w:pPr>
          </w:p>
        </w:tc>
        <w:tc>
          <w:tcPr>
            <w:tcW w:w="1240" w:type="dxa"/>
            <w:vAlign w:val="bottom"/>
            <w:shd w:val="clear" w:color="auto" w:fill="D2DCE5"/>
          </w:tcPr>
          <w:p>
            <w:pPr>
              <w:spacing w:after="0" w:line="20" w:lineRule="exact"/>
              <w:rPr>
                <w:sz w:val="1"/>
                <w:szCs w:val="1"/>
                <w:color w:val="auto"/>
              </w:rPr>
            </w:pPr>
          </w:p>
        </w:tc>
        <w:tc>
          <w:tcPr>
            <w:tcW w:w="820" w:type="dxa"/>
            <w:vAlign w:val="bottom"/>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1560" w:type="dxa"/>
            <w:vAlign w:val="bottom"/>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960" w:type="dxa"/>
            <w:vAlign w:val="bottom"/>
            <w:shd w:val="clear" w:color="auto" w:fill="D2DC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shd w:val="clear" w:color="auto" w:fill="D2DCE5"/>
          </w:tcPr>
          <w:p>
            <w:pPr>
              <w:spacing w:after="0"/>
              <w:rPr>
                <w:sz w:val="15"/>
                <w:szCs w:val="15"/>
                <w:color w:val="auto"/>
              </w:rPr>
            </w:pPr>
          </w:p>
        </w:tc>
        <w:tc>
          <w:tcPr>
            <w:tcW w:w="100" w:type="dxa"/>
            <w:vAlign w:val="bottom"/>
            <w:tcBorders>
              <w:right w:val="single" w:sz="8" w:color="D2DCE5"/>
            </w:tcBorders>
            <w:shd w:val="clear" w:color="auto" w:fill="D2DCE5"/>
          </w:tcPr>
          <w:p>
            <w:pPr>
              <w:spacing w:after="0"/>
              <w:rPr>
                <w:sz w:val="15"/>
                <w:szCs w:val="15"/>
                <w:color w:val="auto"/>
              </w:rPr>
            </w:pPr>
          </w:p>
        </w:tc>
        <w:tc>
          <w:tcPr>
            <w:tcW w:w="4520" w:type="dxa"/>
            <w:vAlign w:val="bottom"/>
            <w:gridSpan w:val="12"/>
            <w:shd w:val="clear" w:color="auto" w:fill="D2DCE5"/>
          </w:tcPr>
          <w:p>
            <w:pPr>
              <w:spacing w:after="0" w:line="183" w:lineRule="exact"/>
              <w:rPr>
                <w:sz w:val="20"/>
                <w:szCs w:val="20"/>
                <w:color w:val="auto"/>
              </w:rPr>
            </w:pPr>
            <w:r>
              <w:rPr>
                <w:rFonts w:ascii="Arial" w:cs="Arial" w:eastAsia="Arial" w:hAnsi="Arial"/>
                <w:sz w:val="16"/>
                <w:szCs w:val="16"/>
                <w:color w:val="0000FF"/>
              </w:rPr>
              <w:t>13a-14(a) and 15d-14(a) of the Securities Exchange Act of</w:t>
            </w:r>
          </w:p>
        </w:tc>
        <w:tc>
          <w:tcPr>
            <w:tcW w:w="760" w:type="dxa"/>
            <w:vAlign w:val="bottom"/>
            <w:shd w:val="clear" w:color="auto" w:fill="D2DCE5"/>
          </w:tcPr>
          <w:p>
            <w:pPr>
              <w:spacing w:after="0"/>
              <w:rPr>
                <w:sz w:val="15"/>
                <w:szCs w:val="15"/>
                <w:color w:val="auto"/>
              </w:rPr>
            </w:pPr>
          </w:p>
        </w:tc>
        <w:tc>
          <w:tcPr>
            <w:tcW w:w="1240" w:type="dxa"/>
            <w:vAlign w:val="bottom"/>
            <w:shd w:val="clear" w:color="auto" w:fill="D2DCE5"/>
          </w:tcPr>
          <w:p>
            <w:pPr>
              <w:spacing w:after="0"/>
              <w:rPr>
                <w:sz w:val="15"/>
                <w:szCs w:val="15"/>
                <w:color w:val="auto"/>
              </w:rPr>
            </w:pPr>
          </w:p>
        </w:tc>
        <w:tc>
          <w:tcPr>
            <w:tcW w:w="8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1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D2DCE5"/>
          </w:tcPr>
          <w:p>
            <w:pPr>
              <w:spacing w:after="0" w:line="20" w:lineRule="exact"/>
              <w:rPr>
                <w:sz w:val="1"/>
                <w:szCs w:val="1"/>
                <w:color w:val="auto"/>
              </w:rPr>
            </w:pPr>
          </w:p>
        </w:tc>
        <w:tc>
          <w:tcPr>
            <w:tcW w:w="100" w:type="dxa"/>
            <w:vAlign w:val="bottom"/>
            <w:tcBorders>
              <w:right w:val="single" w:sz="8" w:color="D2DCE5"/>
            </w:tcBorders>
            <w:shd w:val="clear" w:color="auto" w:fill="D2DCE5"/>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780" w:type="dxa"/>
            <w:vAlign w:val="bottom"/>
            <w:tcBorders>
              <w:right w:val="single" w:sz="8" w:color="0000FF"/>
            </w:tcBorders>
            <w:gridSpan w:val="5"/>
            <w:shd w:val="clear" w:color="auto" w:fill="0000FF"/>
          </w:tcPr>
          <w:p>
            <w:pPr>
              <w:spacing w:after="0" w:line="20" w:lineRule="exact"/>
              <w:rPr>
                <w:sz w:val="1"/>
                <w:szCs w:val="1"/>
                <w:color w:val="auto"/>
              </w:rPr>
            </w:pPr>
          </w:p>
        </w:tc>
        <w:tc>
          <w:tcPr>
            <w:tcW w:w="320" w:type="dxa"/>
            <w:vAlign w:val="bottom"/>
            <w:tcBorders>
              <w:right w:val="single" w:sz="8" w:color="D2DCE5"/>
            </w:tcBorders>
            <w:gridSpan w:val="2"/>
            <w:shd w:val="clear" w:color="auto" w:fill="0000FF"/>
          </w:tcPr>
          <w:p>
            <w:pPr>
              <w:spacing w:after="0" w:line="20" w:lineRule="exact"/>
              <w:rPr>
                <w:sz w:val="1"/>
                <w:szCs w:val="1"/>
                <w:color w:val="auto"/>
              </w:rPr>
            </w:pPr>
          </w:p>
        </w:tc>
        <w:tc>
          <w:tcPr>
            <w:tcW w:w="140" w:type="dxa"/>
            <w:vAlign w:val="bottom"/>
            <w:gridSpan w:val="2"/>
            <w:shd w:val="clear" w:color="auto" w:fill="D2DCE5"/>
          </w:tcPr>
          <w:p>
            <w:pPr>
              <w:spacing w:after="0" w:line="20" w:lineRule="exact"/>
              <w:rPr>
                <w:sz w:val="1"/>
                <w:szCs w:val="1"/>
                <w:color w:val="auto"/>
              </w:rPr>
            </w:pPr>
          </w:p>
        </w:tc>
        <w:tc>
          <w:tcPr>
            <w:tcW w:w="760" w:type="dxa"/>
            <w:vAlign w:val="bottom"/>
            <w:shd w:val="clear" w:color="auto" w:fill="D2DCE5"/>
          </w:tcPr>
          <w:p>
            <w:pPr>
              <w:spacing w:after="0" w:line="20" w:lineRule="exact"/>
              <w:rPr>
                <w:sz w:val="1"/>
                <w:szCs w:val="1"/>
                <w:color w:val="auto"/>
              </w:rPr>
            </w:pPr>
          </w:p>
        </w:tc>
        <w:tc>
          <w:tcPr>
            <w:tcW w:w="1240" w:type="dxa"/>
            <w:vAlign w:val="bottom"/>
            <w:shd w:val="clear" w:color="auto" w:fill="D2DCE5"/>
          </w:tcPr>
          <w:p>
            <w:pPr>
              <w:spacing w:after="0" w:line="20" w:lineRule="exact"/>
              <w:rPr>
                <w:sz w:val="1"/>
                <w:szCs w:val="1"/>
                <w:color w:val="auto"/>
              </w:rPr>
            </w:pPr>
          </w:p>
        </w:tc>
        <w:tc>
          <w:tcPr>
            <w:tcW w:w="820" w:type="dxa"/>
            <w:vAlign w:val="bottom"/>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1560" w:type="dxa"/>
            <w:vAlign w:val="bottom"/>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960" w:type="dxa"/>
            <w:vAlign w:val="bottom"/>
            <w:shd w:val="clear" w:color="auto" w:fill="D2DC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Borders>
              <w:bottom w:val="single" w:sz="8" w:color="D2DCE5"/>
            </w:tcBorders>
            <w:shd w:val="clear" w:color="auto" w:fill="D2DCE5"/>
          </w:tcPr>
          <w:p>
            <w:pPr>
              <w:spacing w:after="0"/>
              <w:rPr>
                <w:sz w:val="14"/>
                <w:szCs w:val="14"/>
                <w:color w:val="auto"/>
              </w:rPr>
            </w:pPr>
          </w:p>
        </w:tc>
        <w:tc>
          <w:tcPr>
            <w:tcW w:w="100" w:type="dxa"/>
            <w:vAlign w:val="bottom"/>
            <w:tcBorders>
              <w:bottom w:val="single" w:sz="8" w:color="D2DCE5"/>
              <w:right w:val="single" w:sz="8" w:color="D2DCE5"/>
            </w:tcBorders>
            <w:shd w:val="clear" w:color="auto" w:fill="D2DCE5"/>
          </w:tcPr>
          <w:p>
            <w:pPr>
              <w:spacing w:after="0"/>
              <w:rPr>
                <w:sz w:val="14"/>
                <w:szCs w:val="14"/>
                <w:color w:val="auto"/>
              </w:rPr>
            </w:pPr>
          </w:p>
        </w:tc>
        <w:tc>
          <w:tcPr>
            <w:tcW w:w="4380" w:type="dxa"/>
            <w:vAlign w:val="bottom"/>
            <w:tcBorders>
              <w:bottom w:val="single" w:sz="8" w:color="0000FF"/>
              <w:right w:val="single" w:sz="8" w:color="D2DCE5"/>
            </w:tcBorders>
            <w:gridSpan w:val="10"/>
            <w:shd w:val="clear" w:color="auto" w:fill="D2DCE5"/>
          </w:tcPr>
          <w:p>
            <w:pPr>
              <w:spacing w:after="0" w:line="169" w:lineRule="exact"/>
              <w:rPr>
                <w:sz w:val="20"/>
                <w:szCs w:val="20"/>
                <w:color w:val="auto"/>
              </w:rPr>
            </w:pPr>
            <w:r>
              <w:rPr>
                <w:rFonts w:ascii="Arial" w:cs="Arial" w:eastAsia="Arial" w:hAnsi="Arial"/>
                <w:sz w:val="16"/>
                <w:szCs w:val="16"/>
                <w:color w:val="0000FF"/>
              </w:rPr>
              <w:t>1934, as Adopted Pursuant to Section 302 of the Sarbanes-</w:t>
            </w:r>
          </w:p>
        </w:tc>
        <w:tc>
          <w:tcPr>
            <w:tcW w:w="140" w:type="dxa"/>
            <w:vAlign w:val="bottom"/>
            <w:tcBorders>
              <w:bottom w:val="single" w:sz="8" w:color="D2DCE5"/>
            </w:tcBorders>
            <w:gridSpan w:val="2"/>
            <w:shd w:val="clear" w:color="auto" w:fill="D2DCE5"/>
          </w:tcPr>
          <w:p>
            <w:pPr>
              <w:spacing w:after="0"/>
              <w:rPr>
                <w:sz w:val="14"/>
                <w:szCs w:val="14"/>
                <w:color w:val="auto"/>
              </w:rPr>
            </w:pPr>
          </w:p>
        </w:tc>
        <w:tc>
          <w:tcPr>
            <w:tcW w:w="760" w:type="dxa"/>
            <w:vAlign w:val="bottom"/>
            <w:tcBorders>
              <w:bottom w:val="single" w:sz="8" w:color="D2DCE5"/>
            </w:tcBorders>
            <w:shd w:val="clear" w:color="auto" w:fill="D2DCE5"/>
          </w:tcPr>
          <w:p>
            <w:pPr>
              <w:spacing w:after="0"/>
              <w:rPr>
                <w:sz w:val="14"/>
                <w:szCs w:val="14"/>
                <w:color w:val="auto"/>
              </w:rPr>
            </w:pPr>
          </w:p>
        </w:tc>
        <w:tc>
          <w:tcPr>
            <w:tcW w:w="1240" w:type="dxa"/>
            <w:vAlign w:val="bottom"/>
            <w:tcBorders>
              <w:bottom w:val="single" w:sz="8" w:color="D2DCE5"/>
            </w:tcBorders>
            <w:shd w:val="clear" w:color="auto" w:fill="D2DCE5"/>
          </w:tcPr>
          <w:p>
            <w:pPr>
              <w:spacing w:after="0"/>
              <w:rPr>
                <w:sz w:val="14"/>
                <w:szCs w:val="14"/>
                <w:color w:val="auto"/>
              </w:rPr>
            </w:pPr>
          </w:p>
        </w:tc>
        <w:tc>
          <w:tcPr>
            <w:tcW w:w="820" w:type="dxa"/>
            <w:vAlign w:val="bottom"/>
            <w:tcBorders>
              <w:bottom w:val="single" w:sz="8" w:color="D2DCE5"/>
            </w:tcBorders>
            <w:shd w:val="clear" w:color="auto" w:fill="D2DCE5"/>
          </w:tcPr>
          <w:p>
            <w:pPr>
              <w:spacing w:after="0"/>
              <w:rPr>
                <w:sz w:val="14"/>
                <w:szCs w:val="14"/>
                <w:color w:val="auto"/>
              </w:rPr>
            </w:pPr>
          </w:p>
        </w:tc>
        <w:tc>
          <w:tcPr>
            <w:tcW w:w="100" w:type="dxa"/>
            <w:vAlign w:val="bottom"/>
            <w:tcBorders>
              <w:bottom w:val="single" w:sz="8" w:color="D2DCE5"/>
            </w:tcBorders>
            <w:shd w:val="clear" w:color="auto" w:fill="D2DCE5"/>
          </w:tcPr>
          <w:p>
            <w:pPr>
              <w:spacing w:after="0"/>
              <w:rPr>
                <w:sz w:val="14"/>
                <w:szCs w:val="14"/>
                <w:color w:val="auto"/>
              </w:rPr>
            </w:pPr>
          </w:p>
        </w:tc>
        <w:tc>
          <w:tcPr>
            <w:tcW w:w="1560" w:type="dxa"/>
            <w:vAlign w:val="bottom"/>
            <w:tcBorders>
              <w:bottom w:val="single" w:sz="8" w:color="D2DCE5"/>
            </w:tcBorders>
            <w:shd w:val="clear" w:color="auto" w:fill="D2DCE5"/>
          </w:tcPr>
          <w:p>
            <w:pPr>
              <w:spacing w:after="0"/>
              <w:rPr>
                <w:sz w:val="14"/>
                <w:szCs w:val="14"/>
                <w:color w:val="auto"/>
              </w:rPr>
            </w:pPr>
          </w:p>
        </w:tc>
        <w:tc>
          <w:tcPr>
            <w:tcW w:w="100" w:type="dxa"/>
            <w:vAlign w:val="bottom"/>
            <w:tcBorders>
              <w:bottom w:val="single" w:sz="8" w:color="D2DCE5"/>
            </w:tcBorders>
            <w:shd w:val="clear" w:color="auto" w:fill="D2DCE5"/>
          </w:tcPr>
          <w:p>
            <w:pPr>
              <w:spacing w:after="0"/>
              <w:rPr>
                <w:sz w:val="14"/>
                <w:szCs w:val="14"/>
                <w:color w:val="auto"/>
              </w:rPr>
            </w:pPr>
          </w:p>
        </w:tc>
        <w:tc>
          <w:tcPr>
            <w:tcW w:w="960" w:type="dxa"/>
            <w:vAlign w:val="bottom"/>
            <w:tcBorders>
              <w:bottom w:val="single" w:sz="8" w:color="D2DCE5"/>
            </w:tcBorders>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31.1</w:t>
            </w:r>
          </w:p>
        </w:tc>
        <w:tc>
          <w:tcPr>
            <w:tcW w:w="100" w:type="dxa"/>
            <w:vAlign w:val="bottom"/>
            <w:tcBorders>
              <w:right w:val="single" w:sz="8" w:color="D2DCE5"/>
            </w:tcBorders>
            <w:shd w:val="clear" w:color="auto" w:fill="D2DCE5"/>
          </w:tcPr>
          <w:p>
            <w:pPr>
              <w:spacing w:after="0"/>
              <w:rPr>
                <w:sz w:val="15"/>
                <w:szCs w:val="15"/>
                <w:color w:val="auto"/>
              </w:rPr>
            </w:pPr>
          </w:p>
        </w:tc>
        <w:tc>
          <w:tcPr>
            <w:tcW w:w="4520" w:type="dxa"/>
            <w:vAlign w:val="bottom"/>
            <w:gridSpan w:val="12"/>
            <w:shd w:val="clear" w:color="auto" w:fill="D2DCE5"/>
          </w:tcPr>
          <w:p>
            <w:pPr>
              <w:spacing w:after="0" w:line="183" w:lineRule="exact"/>
              <w:rPr>
                <w:sz w:val="20"/>
                <w:szCs w:val="20"/>
                <w:color w:val="auto"/>
              </w:rPr>
            </w:pPr>
            <w:r>
              <w:rPr>
                <w:rFonts w:ascii="Arial" w:cs="Arial" w:eastAsia="Arial" w:hAnsi="Arial"/>
                <w:sz w:val="16"/>
                <w:szCs w:val="16"/>
                <w:color w:val="0000FF"/>
              </w:rPr>
              <w:t>Oxley Act of 2002</w:t>
            </w:r>
          </w:p>
        </w:tc>
        <w:tc>
          <w:tcPr>
            <w:tcW w:w="760" w:type="dxa"/>
            <w:vAlign w:val="bottom"/>
            <w:shd w:val="clear" w:color="auto" w:fill="D2DCE5"/>
          </w:tcPr>
          <w:p>
            <w:pPr>
              <w:spacing w:after="0"/>
              <w:rPr>
                <w:sz w:val="15"/>
                <w:szCs w:val="15"/>
                <w:color w:val="auto"/>
              </w:rPr>
            </w:pPr>
          </w:p>
        </w:tc>
        <w:tc>
          <w:tcPr>
            <w:tcW w:w="1240" w:type="dxa"/>
            <w:vAlign w:val="bottom"/>
            <w:shd w:val="clear" w:color="auto" w:fill="D2DCE5"/>
          </w:tcPr>
          <w:p>
            <w:pPr>
              <w:spacing w:after="0"/>
              <w:rPr>
                <w:sz w:val="15"/>
                <w:szCs w:val="15"/>
                <w:color w:val="auto"/>
              </w:rPr>
            </w:pPr>
          </w:p>
        </w:tc>
        <w:tc>
          <w:tcPr>
            <w:tcW w:w="8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1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196"/>
        </w:trPr>
        <w:tc>
          <w:tcPr>
            <w:tcW w:w="1080" w:type="dxa"/>
            <w:vAlign w:val="bottom"/>
            <w:tcBorders>
              <w:top w:val="single" w:sz="8" w:color="D2DCE5"/>
            </w:tcBorders>
            <w:vMerge w:val="continue"/>
            <w:shd w:val="clear" w:color="auto" w:fill="D2DCE5"/>
          </w:tcPr>
          <w:p>
            <w:pPr>
              <w:spacing w:after="0"/>
              <w:rPr>
                <w:sz w:val="17"/>
                <w:szCs w:val="17"/>
                <w:color w:val="auto"/>
              </w:rPr>
            </w:pPr>
          </w:p>
        </w:tc>
        <w:tc>
          <w:tcPr>
            <w:tcW w:w="100" w:type="dxa"/>
            <w:vAlign w:val="bottom"/>
            <w:tcBorders>
              <w:top w:val="single" w:sz="8" w:color="D2DCE5"/>
              <w:right w:val="single" w:sz="8" w:color="D2DCE5"/>
            </w:tcBorders>
            <w:shd w:val="clear" w:color="auto" w:fill="D2DCE5"/>
          </w:tcPr>
          <w:p>
            <w:pPr>
              <w:spacing w:after="0"/>
              <w:rPr>
                <w:sz w:val="17"/>
                <w:szCs w:val="17"/>
                <w:color w:val="auto"/>
              </w:rPr>
            </w:pPr>
          </w:p>
        </w:tc>
        <w:tc>
          <w:tcPr>
            <w:tcW w:w="740" w:type="dxa"/>
            <w:vAlign w:val="bottom"/>
            <w:tcBorders>
              <w:top w:val="single" w:sz="8" w:color="0000FF"/>
            </w:tcBorders>
            <w:shd w:val="clear" w:color="auto" w:fill="D2DCE5"/>
          </w:tcPr>
          <w:p>
            <w:pPr>
              <w:spacing w:after="0"/>
              <w:rPr>
                <w:sz w:val="17"/>
                <w:szCs w:val="17"/>
                <w:color w:val="auto"/>
              </w:rPr>
            </w:pPr>
          </w:p>
        </w:tc>
        <w:tc>
          <w:tcPr>
            <w:tcW w:w="80" w:type="dxa"/>
            <w:vAlign w:val="bottom"/>
            <w:tcBorders>
              <w:top w:val="single" w:sz="8" w:color="0000FF"/>
            </w:tcBorders>
            <w:shd w:val="clear" w:color="auto" w:fill="D2DCE5"/>
          </w:tcPr>
          <w:p>
            <w:pPr>
              <w:spacing w:after="0"/>
              <w:rPr>
                <w:sz w:val="17"/>
                <w:szCs w:val="17"/>
                <w:color w:val="auto"/>
              </w:rPr>
            </w:pPr>
          </w:p>
        </w:tc>
        <w:tc>
          <w:tcPr>
            <w:tcW w:w="460" w:type="dxa"/>
            <w:vAlign w:val="bottom"/>
            <w:tcBorders>
              <w:top w:val="single" w:sz="8" w:color="0000FF"/>
            </w:tcBorders>
            <w:shd w:val="clear" w:color="auto" w:fill="D2DCE5"/>
          </w:tcPr>
          <w:p>
            <w:pPr>
              <w:spacing w:after="0"/>
              <w:rPr>
                <w:sz w:val="17"/>
                <w:szCs w:val="17"/>
                <w:color w:val="auto"/>
              </w:rPr>
            </w:pPr>
          </w:p>
        </w:tc>
        <w:tc>
          <w:tcPr>
            <w:tcW w:w="1140" w:type="dxa"/>
            <w:vAlign w:val="bottom"/>
            <w:tcBorders>
              <w:top w:val="single" w:sz="8" w:color="D2DCE5"/>
            </w:tcBorders>
            <w:shd w:val="clear" w:color="auto" w:fill="D2DCE5"/>
          </w:tcPr>
          <w:p>
            <w:pPr>
              <w:spacing w:after="0"/>
              <w:rPr>
                <w:sz w:val="17"/>
                <w:szCs w:val="17"/>
                <w:color w:val="auto"/>
              </w:rPr>
            </w:pPr>
          </w:p>
        </w:tc>
        <w:tc>
          <w:tcPr>
            <w:tcW w:w="80" w:type="dxa"/>
            <w:vAlign w:val="bottom"/>
            <w:tcBorders>
              <w:top w:val="single" w:sz="8" w:color="D2DCE5"/>
            </w:tcBorders>
            <w:shd w:val="clear" w:color="auto" w:fill="D2DCE5"/>
          </w:tcPr>
          <w:p>
            <w:pPr>
              <w:spacing w:after="0"/>
              <w:rPr>
                <w:sz w:val="17"/>
                <w:szCs w:val="17"/>
                <w:color w:val="auto"/>
              </w:rPr>
            </w:pPr>
          </w:p>
        </w:tc>
        <w:tc>
          <w:tcPr>
            <w:tcW w:w="740" w:type="dxa"/>
            <w:vAlign w:val="bottom"/>
            <w:tcBorders>
              <w:top w:val="single" w:sz="8" w:color="D2DCE5"/>
            </w:tcBorders>
            <w:shd w:val="clear" w:color="auto" w:fill="D2DCE5"/>
          </w:tcPr>
          <w:p>
            <w:pPr>
              <w:spacing w:after="0"/>
              <w:rPr>
                <w:sz w:val="17"/>
                <w:szCs w:val="17"/>
                <w:color w:val="auto"/>
              </w:rPr>
            </w:pPr>
          </w:p>
        </w:tc>
        <w:tc>
          <w:tcPr>
            <w:tcW w:w="600" w:type="dxa"/>
            <w:vAlign w:val="bottom"/>
            <w:tcBorders>
              <w:top w:val="single" w:sz="8" w:color="D2DCE5"/>
            </w:tcBorders>
            <w:shd w:val="clear" w:color="auto" w:fill="D2DCE5"/>
          </w:tcPr>
          <w:p>
            <w:pPr>
              <w:spacing w:after="0"/>
              <w:rPr>
                <w:sz w:val="17"/>
                <w:szCs w:val="17"/>
                <w:color w:val="auto"/>
              </w:rPr>
            </w:pPr>
          </w:p>
        </w:tc>
        <w:tc>
          <w:tcPr>
            <w:tcW w:w="220" w:type="dxa"/>
            <w:vAlign w:val="bottom"/>
            <w:tcBorders>
              <w:top w:val="single" w:sz="8" w:color="D2DCE5"/>
              <w:right w:val="single" w:sz="8" w:color="D2DCE5"/>
            </w:tcBorders>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220" w:type="dxa"/>
            <w:vAlign w:val="bottom"/>
            <w:tcBorders>
              <w:top w:val="single" w:sz="8" w:color="D2DCE5"/>
              <w:right w:val="single" w:sz="8" w:color="D2DCE5"/>
            </w:tcBorders>
            <w:shd w:val="clear" w:color="auto" w:fill="D2DCE5"/>
          </w:tcPr>
          <w:p>
            <w:pPr>
              <w:spacing w:after="0"/>
              <w:rPr>
                <w:sz w:val="17"/>
                <w:szCs w:val="17"/>
                <w:color w:val="auto"/>
              </w:rPr>
            </w:pPr>
          </w:p>
        </w:tc>
        <w:tc>
          <w:tcPr>
            <w:tcW w:w="60" w:type="dxa"/>
            <w:vAlign w:val="bottom"/>
            <w:tcBorders>
              <w:top w:val="single" w:sz="8" w:color="D2DCE5"/>
            </w:tcBorders>
            <w:shd w:val="clear" w:color="auto" w:fill="D2DCE5"/>
          </w:tcPr>
          <w:p>
            <w:pPr>
              <w:spacing w:after="0"/>
              <w:rPr>
                <w:sz w:val="17"/>
                <w:szCs w:val="17"/>
                <w:color w:val="auto"/>
              </w:rPr>
            </w:pPr>
          </w:p>
        </w:tc>
        <w:tc>
          <w:tcPr>
            <w:tcW w:w="80" w:type="dxa"/>
            <w:vAlign w:val="bottom"/>
            <w:tcBorders>
              <w:top w:val="single" w:sz="8" w:color="D2DCE5"/>
            </w:tcBorders>
            <w:shd w:val="clear" w:color="auto" w:fill="D2DCE5"/>
          </w:tcPr>
          <w:p>
            <w:pPr>
              <w:spacing w:after="0"/>
              <w:rPr>
                <w:sz w:val="17"/>
                <w:szCs w:val="17"/>
                <w:color w:val="auto"/>
              </w:rPr>
            </w:pPr>
          </w:p>
        </w:tc>
        <w:tc>
          <w:tcPr>
            <w:tcW w:w="760" w:type="dxa"/>
            <w:vAlign w:val="bottom"/>
            <w:tcBorders>
              <w:top w:val="single" w:sz="8" w:color="D2DCE5"/>
            </w:tcBorders>
            <w:shd w:val="clear" w:color="auto" w:fill="D2DCE5"/>
          </w:tcPr>
          <w:p>
            <w:pPr>
              <w:spacing w:after="0"/>
              <w:rPr>
                <w:sz w:val="17"/>
                <w:szCs w:val="17"/>
                <w:color w:val="auto"/>
              </w:rPr>
            </w:pPr>
          </w:p>
        </w:tc>
        <w:tc>
          <w:tcPr>
            <w:tcW w:w="1240" w:type="dxa"/>
            <w:vAlign w:val="bottom"/>
            <w:tcBorders>
              <w:top w:val="single" w:sz="8" w:color="D2DCE5"/>
            </w:tcBorders>
            <w:shd w:val="clear" w:color="auto" w:fill="D2DCE5"/>
          </w:tcPr>
          <w:p>
            <w:pPr>
              <w:spacing w:after="0"/>
              <w:rPr>
                <w:sz w:val="17"/>
                <w:szCs w:val="17"/>
                <w:color w:val="auto"/>
              </w:rPr>
            </w:pPr>
          </w:p>
        </w:tc>
        <w:tc>
          <w:tcPr>
            <w:tcW w:w="820" w:type="dxa"/>
            <w:vAlign w:val="bottom"/>
            <w:tcBorders>
              <w:top w:val="single" w:sz="8" w:color="D2DCE5"/>
            </w:tcBorders>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1560" w:type="dxa"/>
            <w:vAlign w:val="bottom"/>
            <w:tcBorders>
              <w:top w:val="single" w:sz="8" w:color="D2DCE5"/>
            </w:tcBorders>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960" w:type="dxa"/>
            <w:vAlign w:val="bottom"/>
            <w:tcBorders>
              <w:top w:val="single" w:sz="8" w:color="D2DCE5"/>
            </w:tcBorders>
            <w:vMerge w:val="continue"/>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rPr>
              <w:t>Certification of Chief Financial Officer Pursuant to Rules 13a-</w:t>
            </w:r>
          </w:p>
        </w:tc>
        <w:tc>
          <w:tcPr>
            <w:tcW w:w="140" w:type="dxa"/>
            <w:vAlign w:val="bottom"/>
            <w:gridSpan w:val="2"/>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20" w:type="dxa"/>
            <w:vAlign w:val="bottom"/>
            <w:gridSpan w:val="12"/>
          </w:tcPr>
          <w:p>
            <w:pPr>
              <w:spacing w:after="0" w:line="183" w:lineRule="exact"/>
              <w:rPr>
                <w:sz w:val="20"/>
                <w:szCs w:val="20"/>
                <w:color w:val="auto"/>
              </w:rPr>
            </w:pPr>
            <w:r>
              <w:rPr>
                <w:rFonts w:ascii="Arial" w:cs="Arial" w:eastAsia="Arial" w:hAnsi="Arial"/>
                <w:sz w:val="16"/>
                <w:szCs w:val="16"/>
                <w:color w:val="0000FF"/>
              </w:rPr>
              <w:t>14(a) and 15d-14(a) of the Securities Exchange Act of 1934,</w:t>
            </w: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tcBorders>
              <w:top w:val="single" w:sz="8" w:color="0000FF"/>
              <w:bottom w:val="single" w:sz="8" w:color="0000FF"/>
            </w:tcBorders>
            <w:gridSpan w:val="10"/>
          </w:tcPr>
          <w:p>
            <w:pPr>
              <w:spacing w:after="0" w:line="169" w:lineRule="exact"/>
              <w:rPr>
                <w:sz w:val="20"/>
                <w:szCs w:val="20"/>
                <w:color w:val="auto"/>
              </w:rPr>
            </w:pPr>
            <w:r>
              <w:rPr>
                <w:rFonts w:ascii="Arial" w:cs="Arial" w:eastAsia="Arial" w:hAnsi="Arial"/>
                <w:sz w:val="16"/>
                <w:szCs w:val="16"/>
                <w:color w:val="0000FF"/>
              </w:rPr>
              <w:t>as Adopted Pursuant to Section 302 of the Sarbanes-Oxley</w:t>
            </w:r>
          </w:p>
        </w:tc>
        <w:tc>
          <w:tcPr>
            <w:tcW w:w="14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tcPr>
          <w:p>
            <w:pPr>
              <w:jc w:val="center"/>
              <w:spacing w:after="0"/>
              <w:rPr>
                <w:sz w:val="20"/>
                <w:szCs w:val="20"/>
                <w:color w:val="auto"/>
              </w:rPr>
            </w:pPr>
            <w:r>
              <w:rPr>
                <w:rFonts w:ascii="Arial" w:cs="Arial" w:eastAsia="Arial" w:hAnsi="Arial"/>
                <w:sz w:val="16"/>
                <w:szCs w:val="16"/>
                <w:color w:val="131E29"/>
              </w:rPr>
              <w:t>31.2</w:t>
            </w:r>
          </w:p>
        </w:tc>
        <w:tc>
          <w:tcPr>
            <w:tcW w:w="100" w:type="dxa"/>
            <w:vAlign w:val="bottom"/>
          </w:tcPr>
          <w:p>
            <w:pPr>
              <w:spacing w:after="0"/>
              <w:rPr>
                <w:sz w:val="15"/>
                <w:szCs w:val="15"/>
                <w:color w:val="auto"/>
              </w:rPr>
            </w:pPr>
          </w:p>
        </w:tc>
        <w:tc>
          <w:tcPr>
            <w:tcW w:w="4520" w:type="dxa"/>
            <w:vAlign w:val="bottom"/>
            <w:gridSpan w:val="12"/>
          </w:tcPr>
          <w:p>
            <w:pPr>
              <w:spacing w:after="0" w:line="183" w:lineRule="exact"/>
              <w:rPr>
                <w:sz w:val="20"/>
                <w:szCs w:val="20"/>
                <w:color w:val="auto"/>
              </w:rPr>
            </w:pPr>
            <w:r>
              <w:rPr>
                <w:rFonts w:ascii="Arial" w:cs="Arial" w:eastAsia="Arial" w:hAnsi="Arial"/>
                <w:sz w:val="16"/>
                <w:szCs w:val="16"/>
                <w:color w:val="0000FF"/>
              </w:rPr>
              <w:t>Act of 2002</w:t>
            </w: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186"/>
        </w:trPr>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80" w:type="dxa"/>
            <w:vAlign w:val="bottom"/>
            <w:shd w:val="clear" w:color="auto" w:fill="D2DCE5"/>
          </w:tcPr>
          <w:p>
            <w:pPr>
              <w:spacing w:after="0"/>
              <w:rPr>
                <w:sz w:val="17"/>
                <w:szCs w:val="17"/>
                <w:color w:val="auto"/>
              </w:rPr>
            </w:pPr>
          </w:p>
        </w:tc>
        <w:tc>
          <w:tcPr>
            <w:tcW w:w="100" w:type="dxa"/>
            <w:vAlign w:val="bottom"/>
            <w:tcBorders>
              <w:right w:val="single" w:sz="8" w:color="D2DCE5"/>
            </w:tcBorders>
            <w:shd w:val="clear" w:color="auto" w:fill="D2DCE5"/>
          </w:tcPr>
          <w:p>
            <w:pPr>
              <w:spacing w:after="0"/>
              <w:rPr>
                <w:sz w:val="17"/>
                <w:szCs w:val="17"/>
                <w:color w:val="auto"/>
              </w:rPr>
            </w:pPr>
          </w:p>
        </w:tc>
        <w:tc>
          <w:tcPr>
            <w:tcW w:w="4520" w:type="dxa"/>
            <w:vAlign w:val="bottom"/>
            <w:gridSpan w:val="12"/>
            <w:shd w:val="clear" w:color="auto" w:fill="D2DCE5"/>
          </w:tcPr>
          <w:p>
            <w:pPr>
              <w:spacing w:after="0"/>
              <w:rPr>
                <w:sz w:val="20"/>
                <w:szCs w:val="20"/>
                <w:color w:val="auto"/>
              </w:rPr>
            </w:pPr>
            <w:r>
              <w:rPr>
                <w:rFonts w:ascii="Arial" w:cs="Arial" w:eastAsia="Arial" w:hAnsi="Arial"/>
                <w:sz w:val="16"/>
                <w:szCs w:val="16"/>
                <w:color w:val="0000FF"/>
              </w:rPr>
              <w:t>Certifications of Chief Executive Officer and Chief Financial</w:t>
            </w:r>
          </w:p>
        </w:tc>
        <w:tc>
          <w:tcPr>
            <w:tcW w:w="760" w:type="dxa"/>
            <w:vAlign w:val="bottom"/>
            <w:shd w:val="clear" w:color="auto" w:fill="D2DCE5"/>
          </w:tcPr>
          <w:p>
            <w:pPr>
              <w:spacing w:after="0"/>
              <w:rPr>
                <w:sz w:val="17"/>
                <w:szCs w:val="17"/>
                <w:color w:val="auto"/>
              </w:rPr>
            </w:pPr>
          </w:p>
        </w:tc>
        <w:tc>
          <w:tcPr>
            <w:tcW w:w="1240" w:type="dxa"/>
            <w:vAlign w:val="bottom"/>
            <w:shd w:val="clear" w:color="auto" w:fill="D2DCE5"/>
          </w:tcPr>
          <w:p>
            <w:pPr>
              <w:spacing w:after="0"/>
              <w:rPr>
                <w:sz w:val="17"/>
                <w:szCs w:val="17"/>
                <w:color w:val="auto"/>
              </w:rPr>
            </w:pPr>
          </w:p>
        </w:tc>
        <w:tc>
          <w:tcPr>
            <w:tcW w:w="82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5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80" w:type="dxa"/>
            <w:vAlign w:val="bottom"/>
            <w:tcBorders>
              <w:top w:val="single" w:sz="8" w:color="D2DCE5"/>
            </w:tcBorders>
            <w:shd w:val="clear" w:color="auto" w:fill="D2DCE5"/>
          </w:tcPr>
          <w:p>
            <w:pPr>
              <w:spacing w:after="0"/>
              <w:rPr>
                <w:sz w:val="15"/>
                <w:szCs w:val="15"/>
                <w:color w:val="auto"/>
              </w:rPr>
            </w:pPr>
          </w:p>
        </w:tc>
        <w:tc>
          <w:tcPr>
            <w:tcW w:w="100" w:type="dxa"/>
            <w:vAlign w:val="bottom"/>
            <w:tcBorders>
              <w:top w:val="single" w:sz="8" w:color="D2DCE5"/>
              <w:right w:val="single" w:sz="8" w:color="D2DCE5"/>
            </w:tcBorders>
            <w:shd w:val="clear" w:color="auto" w:fill="D2DCE5"/>
          </w:tcPr>
          <w:p>
            <w:pPr>
              <w:spacing w:after="0"/>
              <w:rPr>
                <w:sz w:val="15"/>
                <w:szCs w:val="15"/>
                <w:color w:val="auto"/>
              </w:rPr>
            </w:pPr>
          </w:p>
        </w:tc>
        <w:tc>
          <w:tcPr>
            <w:tcW w:w="4380" w:type="dxa"/>
            <w:vAlign w:val="bottom"/>
            <w:tcBorders>
              <w:top w:val="single" w:sz="8" w:color="0000FF"/>
              <w:right w:val="single" w:sz="8" w:color="D2DCE5"/>
            </w:tcBorders>
            <w:gridSpan w:val="10"/>
            <w:shd w:val="clear" w:color="auto" w:fill="D2DCE5"/>
          </w:tcPr>
          <w:p>
            <w:pPr>
              <w:spacing w:after="0" w:line="183" w:lineRule="exact"/>
              <w:rPr>
                <w:sz w:val="20"/>
                <w:szCs w:val="20"/>
                <w:color w:val="auto"/>
              </w:rPr>
            </w:pPr>
            <w:r>
              <w:rPr>
                <w:rFonts w:ascii="Arial" w:cs="Arial" w:eastAsia="Arial" w:hAnsi="Arial"/>
                <w:sz w:val="16"/>
                <w:szCs w:val="16"/>
                <w:color w:val="0000FF"/>
              </w:rPr>
              <w:t>Officer Pursuant to 18 U.S.C. Section 1350, as Adopted</w:t>
            </w:r>
          </w:p>
        </w:tc>
        <w:tc>
          <w:tcPr>
            <w:tcW w:w="140" w:type="dxa"/>
            <w:vAlign w:val="bottom"/>
            <w:tcBorders>
              <w:top w:val="single" w:sz="8" w:color="D2DCE5"/>
            </w:tcBorders>
            <w:gridSpan w:val="2"/>
            <w:shd w:val="clear" w:color="auto" w:fill="D2DCE5"/>
          </w:tcPr>
          <w:p>
            <w:pPr>
              <w:spacing w:after="0"/>
              <w:rPr>
                <w:sz w:val="15"/>
                <w:szCs w:val="15"/>
                <w:color w:val="auto"/>
              </w:rPr>
            </w:pPr>
          </w:p>
        </w:tc>
        <w:tc>
          <w:tcPr>
            <w:tcW w:w="760" w:type="dxa"/>
            <w:vAlign w:val="bottom"/>
            <w:tcBorders>
              <w:top w:val="single" w:sz="8" w:color="D2DCE5"/>
            </w:tcBorders>
            <w:shd w:val="clear" w:color="auto" w:fill="D2DCE5"/>
          </w:tcPr>
          <w:p>
            <w:pPr>
              <w:spacing w:after="0"/>
              <w:rPr>
                <w:sz w:val="15"/>
                <w:szCs w:val="15"/>
                <w:color w:val="auto"/>
              </w:rPr>
            </w:pPr>
          </w:p>
        </w:tc>
        <w:tc>
          <w:tcPr>
            <w:tcW w:w="1240" w:type="dxa"/>
            <w:vAlign w:val="bottom"/>
            <w:tcBorders>
              <w:top w:val="single" w:sz="8" w:color="D2DCE5"/>
            </w:tcBorders>
            <w:shd w:val="clear" w:color="auto" w:fill="D2DCE5"/>
          </w:tcPr>
          <w:p>
            <w:pPr>
              <w:spacing w:after="0"/>
              <w:rPr>
                <w:sz w:val="15"/>
                <w:szCs w:val="15"/>
                <w:color w:val="auto"/>
              </w:rPr>
            </w:pPr>
          </w:p>
        </w:tc>
        <w:tc>
          <w:tcPr>
            <w:tcW w:w="820" w:type="dxa"/>
            <w:vAlign w:val="bottom"/>
            <w:tcBorders>
              <w:top w:val="single" w:sz="8" w:color="D2DCE5"/>
            </w:tcBorders>
            <w:shd w:val="clear" w:color="auto" w:fill="D2DCE5"/>
          </w:tcPr>
          <w:p>
            <w:pPr>
              <w:spacing w:after="0"/>
              <w:rPr>
                <w:sz w:val="15"/>
                <w:szCs w:val="15"/>
                <w:color w:val="auto"/>
              </w:rPr>
            </w:pPr>
          </w:p>
        </w:tc>
        <w:tc>
          <w:tcPr>
            <w:tcW w:w="100" w:type="dxa"/>
            <w:vAlign w:val="bottom"/>
            <w:tcBorders>
              <w:top w:val="single" w:sz="8" w:color="D2DCE5"/>
            </w:tcBorders>
            <w:shd w:val="clear" w:color="auto" w:fill="D2DCE5"/>
          </w:tcPr>
          <w:p>
            <w:pPr>
              <w:spacing w:after="0"/>
              <w:rPr>
                <w:sz w:val="15"/>
                <w:szCs w:val="15"/>
                <w:color w:val="auto"/>
              </w:rPr>
            </w:pPr>
          </w:p>
        </w:tc>
        <w:tc>
          <w:tcPr>
            <w:tcW w:w="1560" w:type="dxa"/>
            <w:vAlign w:val="bottom"/>
            <w:tcBorders>
              <w:top w:val="single" w:sz="8" w:color="D2DCE5"/>
            </w:tcBorders>
            <w:shd w:val="clear" w:color="auto" w:fill="D2DCE5"/>
          </w:tcPr>
          <w:p>
            <w:pPr>
              <w:spacing w:after="0"/>
              <w:rPr>
                <w:sz w:val="15"/>
                <w:szCs w:val="15"/>
                <w:color w:val="auto"/>
              </w:rPr>
            </w:pPr>
          </w:p>
        </w:tc>
        <w:tc>
          <w:tcPr>
            <w:tcW w:w="100" w:type="dxa"/>
            <w:vAlign w:val="bottom"/>
            <w:tcBorders>
              <w:top w:val="single" w:sz="8" w:color="D2DCE5"/>
            </w:tcBorders>
            <w:shd w:val="clear" w:color="auto" w:fill="D2DCE5"/>
          </w:tcPr>
          <w:p>
            <w:pPr>
              <w:spacing w:after="0"/>
              <w:rPr>
                <w:sz w:val="15"/>
                <w:szCs w:val="15"/>
                <w:color w:val="auto"/>
              </w:rPr>
            </w:pPr>
          </w:p>
        </w:tc>
        <w:tc>
          <w:tcPr>
            <w:tcW w:w="960" w:type="dxa"/>
            <w:vAlign w:val="bottom"/>
            <w:tcBorders>
              <w:top w:val="single" w:sz="8" w:color="D2DCE5"/>
            </w:tcBorders>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D2DCE5"/>
          </w:tcPr>
          <w:p>
            <w:pPr>
              <w:spacing w:after="0" w:line="20" w:lineRule="exact"/>
              <w:rPr>
                <w:sz w:val="1"/>
                <w:szCs w:val="1"/>
                <w:color w:val="auto"/>
              </w:rPr>
            </w:pPr>
          </w:p>
        </w:tc>
        <w:tc>
          <w:tcPr>
            <w:tcW w:w="100" w:type="dxa"/>
            <w:vAlign w:val="bottom"/>
            <w:tcBorders>
              <w:right w:val="single" w:sz="8" w:color="D2DCE5"/>
            </w:tcBorders>
            <w:shd w:val="clear" w:color="auto" w:fill="D2DCE5"/>
          </w:tcPr>
          <w:p>
            <w:pPr>
              <w:spacing w:after="0" w:line="20" w:lineRule="exact"/>
              <w:rPr>
                <w:sz w:val="1"/>
                <w:szCs w:val="1"/>
                <w:color w:val="auto"/>
              </w:rPr>
            </w:pPr>
          </w:p>
        </w:tc>
        <w:tc>
          <w:tcPr>
            <w:tcW w:w="4060" w:type="dxa"/>
            <w:vAlign w:val="bottom"/>
            <w:tcBorders>
              <w:right w:val="single" w:sz="8" w:color="D2DCE5"/>
            </w:tcBorders>
            <w:gridSpan w:val="8"/>
            <w:shd w:val="clear" w:color="auto" w:fill="0000FF"/>
          </w:tcPr>
          <w:p>
            <w:pPr>
              <w:spacing w:after="0" w:line="20" w:lineRule="exact"/>
              <w:rPr>
                <w:sz w:val="1"/>
                <w:szCs w:val="1"/>
                <w:color w:val="auto"/>
              </w:rPr>
            </w:pPr>
          </w:p>
        </w:tc>
        <w:tc>
          <w:tcPr>
            <w:tcW w:w="460" w:type="dxa"/>
            <w:vAlign w:val="bottom"/>
            <w:gridSpan w:val="4"/>
            <w:shd w:val="clear" w:color="auto" w:fill="D2DCE5"/>
          </w:tcPr>
          <w:p>
            <w:pPr>
              <w:spacing w:after="0" w:line="20" w:lineRule="exact"/>
              <w:rPr>
                <w:sz w:val="1"/>
                <w:szCs w:val="1"/>
                <w:color w:val="auto"/>
              </w:rPr>
            </w:pPr>
          </w:p>
        </w:tc>
        <w:tc>
          <w:tcPr>
            <w:tcW w:w="760" w:type="dxa"/>
            <w:vAlign w:val="bottom"/>
            <w:shd w:val="clear" w:color="auto" w:fill="D2DCE5"/>
          </w:tcPr>
          <w:p>
            <w:pPr>
              <w:spacing w:after="0" w:line="20" w:lineRule="exact"/>
              <w:rPr>
                <w:sz w:val="1"/>
                <w:szCs w:val="1"/>
                <w:color w:val="auto"/>
              </w:rPr>
            </w:pPr>
          </w:p>
        </w:tc>
        <w:tc>
          <w:tcPr>
            <w:tcW w:w="1240" w:type="dxa"/>
            <w:vAlign w:val="bottom"/>
            <w:shd w:val="clear" w:color="auto" w:fill="D2DCE5"/>
          </w:tcPr>
          <w:p>
            <w:pPr>
              <w:spacing w:after="0" w:line="20" w:lineRule="exact"/>
              <w:rPr>
                <w:sz w:val="1"/>
                <w:szCs w:val="1"/>
                <w:color w:val="auto"/>
              </w:rPr>
            </w:pPr>
          </w:p>
        </w:tc>
        <w:tc>
          <w:tcPr>
            <w:tcW w:w="820" w:type="dxa"/>
            <w:vAlign w:val="bottom"/>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1560" w:type="dxa"/>
            <w:vAlign w:val="bottom"/>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960" w:type="dxa"/>
            <w:vAlign w:val="bottom"/>
            <w:shd w:val="clear" w:color="auto" w:fill="D2DC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32.1*</w:t>
            </w:r>
          </w:p>
        </w:tc>
        <w:tc>
          <w:tcPr>
            <w:tcW w:w="100" w:type="dxa"/>
            <w:vAlign w:val="bottom"/>
            <w:tcBorders>
              <w:right w:val="single" w:sz="8" w:color="D2DCE5"/>
            </w:tcBorders>
            <w:shd w:val="clear" w:color="auto" w:fill="D2DCE5"/>
          </w:tcPr>
          <w:p>
            <w:pPr>
              <w:spacing w:after="0"/>
              <w:rPr>
                <w:sz w:val="14"/>
                <w:szCs w:val="14"/>
                <w:color w:val="auto"/>
              </w:rPr>
            </w:pPr>
          </w:p>
        </w:tc>
        <w:tc>
          <w:tcPr>
            <w:tcW w:w="4520" w:type="dxa"/>
            <w:vAlign w:val="bottom"/>
            <w:gridSpan w:val="12"/>
            <w:shd w:val="clear" w:color="auto" w:fill="D2DCE5"/>
          </w:tcPr>
          <w:p>
            <w:pPr>
              <w:spacing w:after="0" w:line="169" w:lineRule="exact"/>
              <w:rPr>
                <w:sz w:val="20"/>
                <w:szCs w:val="20"/>
                <w:color w:val="auto"/>
              </w:rPr>
            </w:pPr>
            <w:r>
              <w:rPr>
                <w:rFonts w:ascii="Arial" w:cs="Arial" w:eastAsia="Arial" w:hAnsi="Arial"/>
                <w:sz w:val="16"/>
                <w:szCs w:val="16"/>
                <w:color w:val="0000FF"/>
              </w:rPr>
              <w:t>Pursuant to Section 906 of the Sarbanes-Oxley Act of 2002</w:t>
            </w:r>
          </w:p>
        </w:tc>
        <w:tc>
          <w:tcPr>
            <w:tcW w:w="760" w:type="dxa"/>
            <w:vAlign w:val="bottom"/>
            <w:shd w:val="clear" w:color="auto" w:fill="D2DCE5"/>
          </w:tcPr>
          <w:p>
            <w:pPr>
              <w:spacing w:after="0"/>
              <w:rPr>
                <w:sz w:val="14"/>
                <w:szCs w:val="14"/>
                <w:color w:val="auto"/>
              </w:rPr>
            </w:pPr>
          </w:p>
        </w:tc>
        <w:tc>
          <w:tcPr>
            <w:tcW w:w="1240" w:type="dxa"/>
            <w:vAlign w:val="bottom"/>
            <w:shd w:val="clear" w:color="auto" w:fill="D2DCE5"/>
          </w:tcPr>
          <w:p>
            <w:pPr>
              <w:spacing w:after="0"/>
              <w:rPr>
                <w:sz w:val="14"/>
                <w:szCs w:val="14"/>
                <w:color w:val="auto"/>
              </w:rPr>
            </w:pPr>
          </w:p>
        </w:tc>
        <w:tc>
          <w:tcPr>
            <w:tcW w:w="82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15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6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196"/>
        </w:trPr>
        <w:tc>
          <w:tcPr>
            <w:tcW w:w="1080" w:type="dxa"/>
            <w:vAlign w:val="bottom"/>
            <w:tcBorders>
              <w:top w:val="single" w:sz="8" w:color="D2DCE5"/>
            </w:tcBorders>
            <w:vMerge w:val="continue"/>
            <w:shd w:val="clear" w:color="auto" w:fill="D2DCE5"/>
          </w:tcPr>
          <w:p>
            <w:pPr>
              <w:spacing w:after="0"/>
              <w:rPr>
                <w:sz w:val="17"/>
                <w:szCs w:val="17"/>
                <w:color w:val="auto"/>
              </w:rPr>
            </w:pPr>
          </w:p>
        </w:tc>
        <w:tc>
          <w:tcPr>
            <w:tcW w:w="100" w:type="dxa"/>
            <w:vAlign w:val="bottom"/>
            <w:tcBorders>
              <w:top w:val="single" w:sz="8" w:color="D2DCE5"/>
              <w:right w:val="single" w:sz="8" w:color="D2DCE5"/>
            </w:tcBorders>
            <w:shd w:val="clear" w:color="auto" w:fill="D2DCE5"/>
          </w:tcPr>
          <w:p>
            <w:pPr>
              <w:spacing w:after="0"/>
              <w:rPr>
                <w:sz w:val="17"/>
                <w:szCs w:val="17"/>
                <w:color w:val="auto"/>
              </w:rPr>
            </w:pPr>
          </w:p>
        </w:tc>
        <w:tc>
          <w:tcPr>
            <w:tcW w:w="740" w:type="dxa"/>
            <w:vAlign w:val="bottom"/>
            <w:tcBorders>
              <w:top w:val="single" w:sz="8" w:color="0000FF"/>
            </w:tcBorders>
            <w:shd w:val="clear" w:color="auto" w:fill="D2DCE5"/>
          </w:tcPr>
          <w:p>
            <w:pPr>
              <w:spacing w:after="0"/>
              <w:rPr>
                <w:sz w:val="17"/>
                <w:szCs w:val="17"/>
                <w:color w:val="auto"/>
              </w:rPr>
            </w:pPr>
          </w:p>
        </w:tc>
        <w:tc>
          <w:tcPr>
            <w:tcW w:w="80" w:type="dxa"/>
            <w:vAlign w:val="bottom"/>
            <w:tcBorders>
              <w:top w:val="single" w:sz="8" w:color="0000FF"/>
            </w:tcBorders>
            <w:shd w:val="clear" w:color="auto" w:fill="D2DCE5"/>
          </w:tcPr>
          <w:p>
            <w:pPr>
              <w:spacing w:after="0"/>
              <w:rPr>
                <w:sz w:val="17"/>
                <w:szCs w:val="17"/>
                <w:color w:val="auto"/>
              </w:rPr>
            </w:pPr>
          </w:p>
        </w:tc>
        <w:tc>
          <w:tcPr>
            <w:tcW w:w="460" w:type="dxa"/>
            <w:vAlign w:val="bottom"/>
            <w:tcBorders>
              <w:top w:val="single" w:sz="8" w:color="0000FF"/>
            </w:tcBorders>
            <w:shd w:val="clear" w:color="auto" w:fill="D2DCE5"/>
          </w:tcPr>
          <w:p>
            <w:pPr>
              <w:spacing w:after="0"/>
              <w:rPr>
                <w:sz w:val="17"/>
                <w:szCs w:val="17"/>
                <w:color w:val="auto"/>
              </w:rPr>
            </w:pPr>
          </w:p>
        </w:tc>
        <w:tc>
          <w:tcPr>
            <w:tcW w:w="1140" w:type="dxa"/>
            <w:vAlign w:val="bottom"/>
            <w:tcBorders>
              <w:top w:val="single" w:sz="8" w:color="0000FF"/>
            </w:tcBorders>
            <w:shd w:val="clear" w:color="auto" w:fill="D2DCE5"/>
          </w:tcPr>
          <w:p>
            <w:pPr>
              <w:spacing w:after="0"/>
              <w:rPr>
                <w:sz w:val="17"/>
                <w:szCs w:val="17"/>
                <w:color w:val="auto"/>
              </w:rPr>
            </w:pPr>
          </w:p>
        </w:tc>
        <w:tc>
          <w:tcPr>
            <w:tcW w:w="80" w:type="dxa"/>
            <w:vAlign w:val="bottom"/>
            <w:tcBorders>
              <w:top w:val="single" w:sz="8" w:color="0000FF"/>
            </w:tcBorders>
            <w:shd w:val="clear" w:color="auto" w:fill="D2DCE5"/>
          </w:tcPr>
          <w:p>
            <w:pPr>
              <w:spacing w:after="0"/>
              <w:rPr>
                <w:sz w:val="17"/>
                <w:szCs w:val="17"/>
                <w:color w:val="auto"/>
              </w:rPr>
            </w:pPr>
          </w:p>
        </w:tc>
        <w:tc>
          <w:tcPr>
            <w:tcW w:w="740" w:type="dxa"/>
            <w:vAlign w:val="bottom"/>
            <w:tcBorders>
              <w:top w:val="single" w:sz="8" w:color="0000FF"/>
            </w:tcBorders>
            <w:shd w:val="clear" w:color="auto" w:fill="D2DCE5"/>
          </w:tcPr>
          <w:p>
            <w:pPr>
              <w:spacing w:after="0"/>
              <w:rPr>
                <w:sz w:val="17"/>
                <w:szCs w:val="17"/>
                <w:color w:val="auto"/>
              </w:rPr>
            </w:pPr>
          </w:p>
        </w:tc>
        <w:tc>
          <w:tcPr>
            <w:tcW w:w="600" w:type="dxa"/>
            <w:vAlign w:val="bottom"/>
            <w:tcBorders>
              <w:top w:val="single" w:sz="8" w:color="0000FF"/>
            </w:tcBorders>
            <w:shd w:val="clear" w:color="auto" w:fill="D2DCE5"/>
          </w:tcPr>
          <w:p>
            <w:pPr>
              <w:spacing w:after="0"/>
              <w:rPr>
                <w:sz w:val="17"/>
                <w:szCs w:val="17"/>
                <w:color w:val="auto"/>
              </w:rPr>
            </w:pPr>
          </w:p>
        </w:tc>
        <w:tc>
          <w:tcPr>
            <w:tcW w:w="220" w:type="dxa"/>
            <w:vAlign w:val="bottom"/>
            <w:tcBorders>
              <w:top w:val="single" w:sz="8" w:color="0000FF"/>
              <w:right w:val="single" w:sz="8" w:color="D2DCE5"/>
            </w:tcBorders>
            <w:shd w:val="clear" w:color="auto" w:fill="D2DCE5"/>
          </w:tcPr>
          <w:p>
            <w:pPr>
              <w:spacing w:after="0"/>
              <w:rPr>
                <w:sz w:val="17"/>
                <w:szCs w:val="17"/>
                <w:color w:val="auto"/>
              </w:rPr>
            </w:pPr>
          </w:p>
        </w:tc>
        <w:tc>
          <w:tcPr>
            <w:tcW w:w="100" w:type="dxa"/>
            <w:vAlign w:val="bottom"/>
            <w:tcBorders>
              <w:top w:val="single" w:sz="8" w:color="0000FF"/>
            </w:tcBorders>
            <w:shd w:val="clear" w:color="auto" w:fill="D2DCE5"/>
          </w:tcPr>
          <w:p>
            <w:pPr>
              <w:spacing w:after="0"/>
              <w:rPr>
                <w:sz w:val="17"/>
                <w:szCs w:val="17"/>
                <w:color w:val="auto"/>
              </w:rPr>
            </w:pPr>
          </w:p>
        </w:tc>
        <w:tc>
          <w:tcPr>
            <w:tcW w:w="220" w:type="dxa"/>
            <w:vAlign w:val="bottom"/>
            <w:tcBorders>
              <w:top w:val="single" w:sz="8" w:color="0000FF"/>
              <w:right w:val="single" w:sz="8" w:color="D2DCE5"/>
            </w:tcBorders>
            <w:shd w:val="clear" w:color="auto" w:fill="D2DCE5"/>
          </w:tcPr>
          <w:p>
            <w:pPr>
              <w:spacing w:after="0"/>
              <w:rPr>
                <w:sz w:val="17"/>
                <w:szCs w:val="17"/>
                <w:color w:val="auto"/>
              </w:rPr>
            </w:pPr>
          </w:p>
        </w:tc>
        <w:tc>
          <w:tcPr>
            <w:tcW w:w="60" w:type="dxa"/>
            <w:vAlign w:val="bottom"/>
            <w:tcBorders>
              <w:top w:val="single" w:sz="8" w:color="D2DCE5"/>
            </w:tcBorders>
            <w:shd w:val="clear" w:color="auto" w:fill="D2DCE5"/>
          </w:tcPr>
          <w:p>
            <w:pPr>
              <w:spacing w:after="0"/>
              <w:rPr>
                <w:sz w:val="17"/>
                <w:szCs w:val="17"/>
                <w:color w:val="auto"/>
              </w:rPr>
            </w:pPr>
          </w:p>
        </w:tc>
        <w:tc>
          <w:tcPr>
            <w:tcW w:w="80" w:type="dxa"/>
            <w:vAlign w:val="bottom"/>
            <w:tcBorders>
              <w:top w:val="single" w:sz="8" w:color="D2DCE5"/>
            </w:tcBorders>
            <w:shd w:val="clear" w:color="auto" w:fill="D2DCE5"/>
          </w:tcPr>
          <w:p>
            <w:pPr>
              <w:spacing w:after="0"/>
              <w:rPr>
                <w:sz w:val="17"/>
                <w:szCs w:val="17"/>
                <w:color w:val="auto"/>
              </w:rPr>
            </w:pPr>
          </w:p>
        </w:tc>
        <w:tc>
          <w:tcPr>
            <w:tcW w:w="760" w:type="dxa"/>
            <w:vAlign w:val="bottom"/>
            <w:tcBorders>
              <w:top w:val="single" w:sz="8" w:color="D2DCE5"/>
            </w:tcBorders>
            <w:shd w:val="clear" w:color="auto" w:fill="D2DCE5"/>
          </w:tcPr>
          <w:p>
            <w:pPr>
              <w:spacing w:after="0"/>
              <w:rPr>
                <w:sz w:val="17"/>
                <w:szCs w:val="17"/>
                <w:color w:val="auto"/>
              </w:rPr>
            </w:pPr>
          </w:p>
        </w:tc>
        <w:tc>
          <w:tcPr>
            <w:tcW w:w="1240" w:type="dxa"/>
            <w:vAlign w:val="bottom"/>
            <w:tcBorders>
              <w:top w:val="single" w:sz="8" w:color="D2DCE5"/>
            </w:tcBorders>
            <w:shd w:val="clear" w:color="auto" w:fill="D2DCE5"/>
          </w:tcPr>
          <w:p>
            <w:pPr>
              <w:spacing w:after="0"/>
              <w:rPr>
                <w:sz w:val="17"/>
                <w:szCs w:val="17"/>
                <w:color w:val="auto"/>
              </w:rPr>
            </w:pPr>
          </w:p>
        </w:tc>
        <w:tc>
          <w:tcPr>
            <w:tcW w:w="820" w:type="dxa"/>
            <w:vAlign w:val="bottom"/>
            <w:tcBorders>
              <w:top w:val="single" w:sz="8" w:color="D2DCE5"/>
            </w:tcBorders>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1560" w:type="dxa"/>
            <w:vAlign w:val="bottom"/>
            <w:tcBorders>
              <w:top w:val="single" w:sz="8" w:color="D2DCE5"/>
            </w:tcBorders>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960" w:type="dxa"/>
            <w:vAlign w:val="bottom"/>
            <w:tcBorders>
              <w:top w:val="single" w:sz="8" w:color="D2DCE5"/>
            </w:tcBorders>
            <w:vMerge w:val="continue"/>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131E29"/>
              </w:rPr>
              <w:t>101.INS</w:t>
            </w:r>
          </w:p>
        </w:tc>
        <w:tc>
          <w:tcPr>
            <w:tcW w:w="4520" w:type="dxa"/>
            <w:vAlign w:val="bottom"/>
            <w:gridSpan w:val="12"/>
          </w:tcPr>
          <w:p>
            <w:pPr>
              <w:spacing w:after="0"/>
              <w:rPr>
                <w:sz w:val="20"/>
                <w:szCs w:val="20"/>
                <w:color w:val="auto"/>
              </w:rPr>
            </w:pPr>
            <w:r>
              <w:rPr>
                <w:rFonts w:ascii="Arial" w:cs="Arial" w:eastAsia="Arial" w:hAnsi="Arial"/>
                <w:sz w:val="16"/>
                <w:szCs w:val="16"/>
                <w:color w:val="131E29"/>
              </w:rPr>
              <w:t>XBRL Instance Document</w:t>
            </w: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53"/>
        </w:trPr>
        <w:tc>
          <w:tcPr>
            <w:tcW w:w="1180" w:type="dxa"/>
            <w:vAlign w:val="bottom"/>
            <w:tcBorders>
              <w:right w:val="single" w:sz="8" w:color="D2DCE5"/>
            </w:tcBorders>
            <w:gridSpan w:val="2"/>
            <w:shd w:val="clear" w:color="auto" w:fill="D2DCE5"/>
          </w:tcPr>
          <w:p>
            <w:pPr>
              <w:jc w:val="center"/>
              <w:ind w:right="100"/>
              <w:spacing w:after="0"/>
              <w:rPr>
                <w:sz w:val="20"/>
                <w:szCs w:val="20"/>
                <w:color w:val="auto"/>
              </w:rPr>
            </w:pPr>
            <w:r>
              <w:rPr>
                <w:rFonts w:ascii="Arial" w:cs="Arial" w:eastAsia="Arial" w:hAnsi="Arial"/>
                <w:sz w:val="16"/>
                <w:szCs w:val="16"/>
                <w:color w:val="131E29"/>
                <w:w w:val="98"/>
              </w:rPr>
              <w:t>101.SCH</w:t>
            </w:r>
          </w:p>
        </w:tc>
        <w:tc>
          <w:tcPr>
            <w:tcW w:w="4520" w:type="dxa"/>
            <w:vAlign w:val="bottom"/>
            <w:gridSpan w:val="12"/>
            <w:shd w:val="clear" w:color="auto" w:fill="D2DCE5"/>
          </w:tcPr>
          <w:p>
            <w:pPr>
              <w:spacing w:after="0"/>
              <w:rPr>
                <w:sz w:val="20"/>
                <w:szCs w:val="20"/>
                <w:color w:val="auto"/>
              </w:rPr>
            </w:pPr>
            <w:r>
              <w:rPr>
                <w:rFonts w:ascii="Arial" w:cs="Arial" w:eastAsia="Arial" w:hAnsi="Arial"/>
                <w:sz w:val="16"/>
                <w:szCs w:val="16"/>
                <w:color w:val="131E29"/>
              </w:rPr>
              <w:t>XBRL Taxonomy Extension Schema Document</w:t>
            </w:r>
          </w:p>
        </w:tc>
        <w:tc>
          <w:tcPr>
            <w:tcW w:w="76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8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5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33"/>
        </w:trPr>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131E29"/>
              </w:rPr>
              <w:t>101.CAL</w:t>
            </w:r>
          </w:p>
        </w:tc>
        <w:tc>
          <w:tcPr>
            <w:tcW w:w="4520" w:type="dxa"/>
            <w:vAlign w:val="bottom"/>
            <w:gridSpan w:val="12"/>
          </w:tcPr>
          <w:p>
            <w:pPr>
              <w:spacing w:after="0"/>
              <w:rPr>
                <w:sz w:val="20"/>
                <w:szCs w:val="20"/>
                <w:color w:val="auto"/>
              </w:rPr>
            </w:pPr>
            <w:r>
              <w:rPr>
                <w:rFonts w:ascii="Arial" w:cs="Arial" w:eastAsia="Arial" w:hAnsi="Arial"/>
                <w:sz w:val="16"/>
                <w:szCs w:val="16"/>
                <w:color w:val="131E29"/>
              </w:rPr>
              <w:t>XBRL Taxonomy Extension Calculation Linkbase Document</w:t>
            </w: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53"/>
        </w:trPr>
        <w:tc>
          <w:tcPr>
            <w:tcW w:w="1180" w:type="dxa"/>
            <w:vAlign w:val="bottom"/>
            <w:tcBorders>
              <w:right w:val="single" w:sz="8" w:color="D2DCE5"/>
            </w:tcBorders>
            <w:gridSpan w:val="2"/>
            <w:shd w:val="clear" w:color="auto" w:fill="D2DCE5"/>
          </w:tcPr>
          <w:p>
            <w:pPr>
              <w:jc w:val="center"/>
              <w:ind w:right="100"/>
              <w:spacing w:after="0"/>
              <w:rPr>
                <w:sz w:val="20"/>
                <w:szCs w:val="20"/>
                <w:color w:val="auto"/>
              </w:rPr>
            </w:pPr>
            <w:r>
              <w:rPr>
                <w:rFonts w:ascii="Arial" w:cs="Arial" w:eastAsia="Arial" w:hAnsi="Arial"/>
                <w:sz w:val="16"/>
                <w:szCs w:val="16"/>
                <w:color w:val="131E29"/>
              </w:rPr>
              <w:t>101.DEF</w:t>
            </w:r>
          </w:p>
        </w:tc>
        <w:tc>
          <w:tcPr>
            <w:tcW w:w="4520" w:type="dxa"/>
            <w:vAlign w:val="bottom"/>
            <w:gridSpan w:val="12"/>
            <w:shd w:val="clear" w:color="auto" w:fill="D2DCE5"/>
          </w:tcPr>
          <w:p>
            <w:pPr>
              <w:spacing w:after="0"/>
              <w:rPr>
                <w:sz w:val="20"/>
                <w:szCs w:val="20"/>
                <w:color w:val="auto"/>
              </w:rPr>
            </w:pPr>
            <w:r>
              <w:rPr>
                <w:rFonts w:ascii="Arial" w:cs="Arial" w:eastAsia="Arial" w:hAnsi="Arial"/>
                <w:sz w:val="16"/>
                <w:szCs w:val="16"/>
                <w:color w:val="131E29"/>
              </w:rPr>
              <w:t>XBRL Taxonomy Extension Definition Linkbase Document</w:t>
            </w:r>
          </w:p>
        </w:tc>
        <w:tc>
          <w:tcPr>
            <w:tcW w:w="76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8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5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33"/>
        </w:trPr>
        <w:tc>
          <w:tcPr>
            <w:tcW w:w="1180" w:type="dxa"/>
            <w:vAlign w:val="bottom"/>
            <w:gridSpan w:val="2"/>
          </w:tcPr>
          <w:p>
            <w:pPr>
              <w:jc w:val="center"/>
              <w:ind w:right="80"/>
              <w:spacing w:after="0"/>
              <w:rPr>
                <w:sz w:val="20"/>
                <w:szCs w:val="20"/>
                <w:color w:val="auto"/>
              </w:rPr>
            </w:pPr>
            <w:r>
              <w:rPr>
                <w:rFonts w:ascii="Arial" w:cs="Arial" w:eastAsia="Arial" w:hAnsi="Arial"/>
                <w:sz w:val="16"/>
                <w:szCs w:val="16"/>
                <w:color w:val="131E29"/>
              </w:rPr>
              <w:t>101.LAB</w:t>
            </w:r>
          </w:p>
        </w:tc>
        <w:tc>
          <w:tcPr>
            <w:tcW w:w="4520" w:type="dxa"/>
            <w:vAlign w:val="bottom"/>
            <w:gridSpan w:val="12"/>
          </w:tcPr>
          <w:p>
            <w:pPr>
              <w:spacing w:after="0"/>
              <w:rPr>
                <w:sz w:val="20"/>
                <w:szCs w:val="20"/>
                <w:color w:val="auto"/>
              </w:rPr>
            </w:pPr>
            <w:r>
              <w:rPr>
                <w:rFonts w:ascii="Arial" w:cs="Arial" w:eastAsia="Arial" w:hAnsi="Arial"/>
                <w:sz w:val="16"/>
                <w:szCs w:val="16"/>
                <w:color w:val="131E29"/>
              </w:rPr>
              <w:t>XBRL Taxonomy Extension Label Linkbase Document</w:t>
            </w: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53"/>
        </w:trPr>
        <w:tc>
          <w:tcPr>
            <w:tcW w:w="1180" w:type="dxa"/>
            <w:vAlign w:val="bottom"/>
            <w:tcBorders>
              <w:right w:val="single" w:sz="8" w:color="D2DCE5"/>
            </w:tcBorders>
            <w:gridSpan w:val="2"/>
            <w:shd w:val="clear" w:color="auto" w:fill="D2DCE5"/>
          </w:tcPr>
          <w:p>
            <w:pPr>
              <w:jc w:val="center"/>
              <w:ind w:right="100"/>
              <w:spacing w:after="0"/>
              <w:rPr>
                <w:sz w:val="20"/>
                <w:szCs w:val="20"/>
                <w:color w:val="auto"/>
              </w:rPr>
            </w:pPr>
            <w:r>
              <w:rPr>
                <w:rFonts w:ascii="Arial" w:cs="Arial" w:eastAsia="Arial" w:hAnsi="Arial"/>
                <w:sz w:val="16"/>
                <w:szCs w:val="16"/>
                <w:color w:val="131E29"/>
                <w:w w:val="99"/>
              </w:rPr>
              <w:t>101.PRE</w:t>
            </w:r>
          </w:p>
        </w:tc>
        <w:tc>
          <w:tcPr>
            <w:tcW w:w="4520" w:type="dxa"/>
            <w:vAlign w:val="bottom"/>
            <w:gridSpan w:val="12"/>
            <w:shd w:val="clear" w:color="auto" w:fill="D2DCE5"/>
          </w:tcPr>
          <w:p>
            <w:pPr>
              <w:spacing w:after="0"/>
              <w:rPr>
                <w:sz w:val="20"/>
                <w:szCs w:val="20"/>
                <w:color w:val="auto"/>
              </w:rPr>
            </w:pPr>
            <w:r>
              <w:rPr>
                <w:rFonts w:ascii="Arial" w:cs="Arial" w:eastAsia="Arial" w:hAnsi="Arial"/>
                <w:sz w:val="16"/>
                <w:szCs w:val="16"/>
                <w:color w:val="131E29"/>
              </w:rPr>
              <w:t>XBRL Taxonomy Extension Presentation Linkbase Document</w:t>
            </w:r>
          </w:p>
        </w:tc>
        <w:tc>
          <w:tcPr>
            <w:tcW w:w="76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8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5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04"/>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gridSpan w:val="12"/>
          </w:tcPr>
          <w:p>
            <w:pPr>
              <w:spacing w:after="0"/>
              <w:rPr>
                <w:sz w:val="20"/>
                <w:szCs w:val="20"/>
                <w:color w:val="auto"/>
              </w:rPr>
            </w:pPr>
            <w:r>
              <w:rPr>
                <w:rFonts w:ascii="Arial" w:cs="Arial" w:eastAsia="Arial" w:hAnsi="Arial"/>
                <w:sz w:val="16"/>
                <w:szCs w:val="16"/>
                <w:color w:val="131E29"/>
              </w:rPr>
              <w:t>Cover Page with Interactive Data File (formatted as Inline</w:t>
            </w: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20" w:type="dxa"/>
            <w:vAlign w:val="bottom"/>
            <w:gridSpan w:val="12"/>
          </w:tcPr>
          <w:p>
            <w:pPr>
              <w:spacing w:after="0" w:line="175" w:lineRule="exact"/>
              <w:rPr>
                <w:sz w:val="20"/>
                <w:szCs w:val="20"/>
                <w:color w:val="auto"/>
              </w:rPr>
            </w:pPr>
            <w:r>
              <w:rPr>
                <w:rFonts w:ascii="Arial" w:cs="Arial" w:eastAsia="Arial" w:hAnsi="Arial"/>
                <w:sz w:val="16"/>
                <w:szCs w:val="16"/>
                <w:color w:val="131E29"/>
              </w:rPr>
              <w:t>XBRL with applicable taxonomy extension information</w:t>
            </w: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80" w:type="dxa"/>
            <w:vAlign w:val="bottom"/>
          </w:tcPr>
          <w:p>
            <w:pPr>
              <w:jc w:val="center"/>
              <w:spacing w:after="0"/>
              <w:rPr>
                <w:sz w:val="20"/>
                <w:szCs w:val="20"/>
                <w:color w:val="auto"/>
              </w:rPr>
            </w:pPr>
            <w:r>
              <w:rPr>
                <w:rFonts w:ascii="Arial" w:cs="Arial" w:eastAsia="Arial" w:hAnsi="Arial"/>
                <w:sz w:val="16"/>
                <w:szCs w:val="16"/>
                <w:color w:val="131E29"/>
              </w:rPr>
              <w:t>104</w:t>
            </w:r>
          </w:p>
        </w:tc>
        <w:tc>
          <w:tcPr>
            <w:tcW w:w="100" w:type="dxa"/>
            <w:vAlign w:val="bottom"/>
          </w:tcPr>
          <w:p>
            <w:pPr>
              <w:spacing w:after="0"/>
              <w:rPr>
                <w:sz w:val="16"/>
                <w:szCs w:val="16"/>
                <w:color w:val="auto"/>
              </w:rPr>
            </w:pPr>
          </w:p>
        </w:tc>
        <w:tc>
          <w:tcPr>
            <w:tcW w:w="4520" w:type="dxa"/>
            <w:vAlign w:val="bottom"/>
            <w:gridSpan w:val="12"/>
          </w:tcPr>
          <w:p>
            <w:pPr>
              <w:spacing w:after="0"/>
              <w:rPr>
                <w:sz w:val="20"/>
                <w:szCs w:val="20"/>
                <w:color w:val="auto"/>
              </w:rPr>
            </w:pPr>
            <w:r>
              <w:rPr>
                <w:rFonts w:ascii="Arial" w:cs="Arial" w:eastAsia="Arial" w:hAnsi="Arial"/>
                <w:sz w:val="16"/>
                <w:szCs w:val="16"/>
                <w:color w:val="131E29"/>
              </w:rPr>
              <w:t>contained in Exhibits 101)</w:t>
            </w: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_______________________</w:t>
      </w:r>
    </w:p>
    <w:p>
      <w:pPr>
        <w:spacing w:after="0" w:line="177" w:lineRule="exact"/>
        <w:rPr>
          <w:sz w:val="20"/>
          <w:szCs w:val="20"/>
          <w:color w:val="auto"/>
        </w:rPr>
      </w:pPr>
    </w:p>
    <w:p>
      <w:pPr>
        <w:ind w:left="180" w:hanging="172"/>
        <w:spacing w:after="0" w:line="278" w:lineRule="auto"/>
        <w:tabs>
          <w:tab w:leader="none" w:pos="238"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098"/>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028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5200" w:type="dxa"/>
        <w:tblCellMar>
          <w:top w:w="0" w:type="dxa"/>
          <w:left w:w="0" w:type="dxa"/>
          <w:bottom w:w="0" w:type="dxa"/>
          <w:right w:w="0" w:type="dxa"/>
        </w:tblCellMar>
      </w:tblPr>
      <w:tr>
        <w:trPr>
          <w:trHeight w:val="239"/>
        </w:trPr>
        <w:tc>
          <w:tcPr>
            <w:tcW w:w="1420" w:type="dxa"/>
            <w:vAlign w:val="bottom"/>
          </w:tcPr>
          <w:p>
            <w:pPr>
              <w:spacing w:after="0"/>
              <w:rPr>
                <w:sz w:val="20"/>
                <w:szCs w:val="20"/>
                <w:color w:val="auto"/>
              </w:rPr>
            </w:pPr>
          </w:p>
        </w:tc>
        <w:tc>
          <w:tcPr>
            <w:tcW w:w="4620" w:type="dxa"/>
            <w:vAlign w:val="bottom"/>
            <w:gridSpan w:val="2"/>
          </w:tcPr>
          <w:p>
            <w:pPr>
              <w:ind w:left="1760"/>
              <w:spacing w:after="0"/>
              <w:rPr>
                <w:sz w:val="20"/>
                <w:szCs w:val="20"/>
                <w:color w:val="auto"/>
              </w:rPr>
            </w:pPr>
            <w:r>
              <w:rPr>
                <w:rFonts w:ascii="Arial" w:cs="Arial" w:eastAsia="Arial" w:hAnsi="Arial"/>
                <w:sz w:val="18"/>
                <w:szCs w:val="18"/>
                <w:b w:val="1"/>
                <w:bCs w:val="1"/>
                <w:color w:val="131E29"/>
              </w:rPr>
              <w:t>DUTCH BROS INC.</w:t>
            </w:r>
          </w:p>
        </w:tc>
      </w:tr>
      <w:tr>
        <w:trPr>
          <w:trHeight w:val="270"/>
        </w:trPr>
        <w:tc>
          <w:tcPr>
            <w:tcW w:w="1420" w:type="dxa"/>
            <w:vAlign w:val="bottom"/>
          </w:tcPr>
          <w:p>
            <w:pPr>
              <w:spacing w:after="0"/>
              <w:rPr>
                <w:sz w:val="23"/>
                <w:szCs w:val="23"/>
                <w:color w:val="auto"/>
              </w:rPr>
            </w:pPr>
          </w:p>
        </w:tc>
        <w:tc>
          <w:tcPr>
            <w:tcW w:w="4620" w:type="dxa"/>
            <w:vAlign w:val="bottom"/>
            <w:gridSpan w:val="2"/>
          </w:tcPr>
          <w:p>
            <w:pPr>
              <w:ind w:left="1760"/>
              <w:spacing w:after="0"/>
              <w:rPr>
                <w:sz w:val="20"/>
                <w:szCs w:val="20"/>
                <w:color w:val="auto"/>
              </w:rPr>
            </w:pPr>
            <w:r>
              <w:rPr>
                <w:rFonts w:ascii="Arial" w:cs="Arial" w:eastAsia="Arial" w:hAnsi="Arial"/>
                <w:sz w:val="18"/>
                <w:szCs w:val="18"/>
                <w:color w:val="131E29"/>
              </w:rPr>
              <w:t>(Registrant)</w:t>
            </w:r>
          </w:p>
        </w:tc>
      </w:tr>
      <w:tr>
        <w:trPr>
          <w:trHeight w:val="558"/>
        </w:trPr>
        <w:tc>
          <w:tcPr>
            <w:tcW w:w="1420" w:type="dxa"/>
            <w:vAlign w:val="bottom"/>
          </w:tcPr>
          <w:p>
            <w:pPr>
              <w:ind w:left="20"/>
              <w:spacing w:after="0"/>
              <w:rPr>
                <w:sz w:val="20"/>
                <w:szCs w:val="20"/>
                <w:color w:val="auto"/>
              </w:rPr>
            </w:pPr>
            <w:r>
              <w:rPr>
                <w:rFonts w:ascii="Arial" w:cs="Arial" w:eastAsia="Arial" w:hAnsi="Arial"/>
                <w:sz w:val="18"/>
                <w:szCs w:val="18"/>
                <w:color w:val="131E29"/>
              </w:rPr>
              <w:t>November 10,</w:t>
            </w:r>
          </w:p>
        </w:tc>
        <w:tc>
          <w:tcPr>
            <w:tcW w:w="4620" w:type="dxa"/>
            <w:vAlign w:val="bottom"/>
            <w:gridSpan w:val="2"/>
          </w:tcPr>
          <w:p>
            <w:pPr>
              <w:ind w:left="1760"/>
              <w:spacing w:after="0"/>
              <w:rPr>
                <w:sz w:val="20"/>
                <w:szCs w:val="20"/>
                <w:color w:val="auto"/>
              </w:rPr>
            </w:pPr>
            <w:r>
              <w:rPr>
                <w:rFonts w:ascii="Arial" w:cs="Arial" w:eastAsia="Arial" w:hAnsi="Arial"/>
                <w:sz w:val="18"/>
                <w:szCs w:val="18"/>
                <w:color w:val="131E29"/>
              </w:rPr>
              <w:t>By:</w:t>
            </w:r>
          </w:p>
        </w:tc>
      </w:tr>
      <w:tr>
        <w:trPr>
          <w:trHeight w:val="239"/>
        </w:trPr>
        <w:tc>
          <w:tcPr>
            <w:tcW w:w="1420" w:type="dxa"/>
            <w:vAlign w:val="bottom"/>
          </w:tcPr>
          <w:p>
            <w:pPr>
              <w:ind w:left="20"/>
              <w:spacing w:after="0"/>
              <w:rPr>
                <w:sz w:val="20"/>
                <w:szCs w:val="20"/>
                <w:color w:val="auto"/>
              </w:rPr>
            </w:pPr>
            <w:r>
              <w:rPr>
                <w:rFonts w:ascii="Arial" w:cs="Arial" w:eastAsia="Arial" w:hAnsi="Arial"/>
                <w:sz w:val="18"/>
                <w:szCs w:val="18"/>
                <w:color w:val="131E29"/>
              </w:rPr>
              <w:t>2022</w:t>
            </w:r>
          </w:p>
        </w:tc>
        <w:tc>
          <w:tcPr>
            <w:tcW w:w="206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b w:val="1"/>
                <w:bCs w:val="1"/>
                <w:color w:val="131E29"/>
                <w:w w:val="99"/>
              </w:rPr>
              <w:t>/s/ Jonathan Ricci</w:t>
            </w:r>
          </w:p>
        </w:tc>
      </w:tr>
      <w:tr>
        <w:trPr>
          <w:trHeight w:val="27"/>
        </w:trPr>
        <w:tc>
          <w:tcPr>
            <w:tcW w:w="14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37"/>
        </w:trPr>
        <w:tc>
          <w:tcPr>
            <w:tcW w:w="1420" w:type="dxa"/>
            <w:vAlign w:val="bottom"/>
          </w:tcPr>
          <w:p>
            <w:pPr>
              <w:ind w:left="20"/>
              <w:spacing w:after="0"/>
              <w:rPr>
                <w:sz w:val="20"/>
                <w:szCs w:val="20"/>
                <w:color w:val="auto"/>
              </w:rPr>
            </w:pPr>
            <w:r>
              <w:rPr>
                <w:rFonts w:ascii="Arial" w:cs="Arial" w:eastAsia="Arial" w:hAnsi="Arial"/>
                <w:sz w:val="18"/>
                <w:szCs w:val="18"/>
                <w:color w:val="131E29"/>
              </w:rPr>
              <w:t>Date</w:t>
            </w:r>
          </w:p>
        </w:tc>
        <w:tc>
          <w:tcPr>
            <w:tcW w:w="206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131E29"/>
                <w:w w:val="99"/>
              </w:rPr>
              <w:t>Jonathan Ricci</w:t>
            </w:r>
          </w:p>
        </w:tc>
      </w:tr>
      <w:tr>
        <w:trPr>
          <w:trHeight w:val="269"/>
        </w:trPr>
        <w:tc>
          <w:tcPr>
            <w:tcW w:w="14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131E29"/>
                <w:w w:val="99"/>
              </w:rPr>
              <w:t>Chief Executive Officer and</w:t>
            </w:r>
          </w:p>
        </w:tc>
      </w:tr>
      <w:tr>
        <w:trPr>
          <w:trHeight w:val="217"/>
        </w:trPr>
        <w:tc>
          <w:tcPr>
            <w:tcW w:w="1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131E29"/>
                <w:w w:val="99"/>
              </w:rPr>
              <w:t>President</w:t>
            </w:r>
          </w:p>
        </w:tc>
      </w:tr>
      <w:tr>
        <w:trPr>
          <w:trHeight w:val="270"/>
        </w:trPr>
        <w:tc>
          <w:tcPr>
            <w:tcW w:w="14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560" w:type="dxa"/>
            <w:vAlign w:val="bottom"/>
          </w:tcPr>
          <w:p>
            <w:pPr>
              <w:jc w:val="center"/>
              <w:spacing w:after="0"/>
              <w:rPr>
                <w:sz w:val="20"/>
                <w:szCs w:val="20"/>
                <w:color w:val="auto"/>
              </w:rPr>
            </w:pPr>
            <w:r>
              <w:rPr>
                <w:rFonts w:ascii="Arial" w:cs="Arial" w:eastAsia="Arial" w:hAnsi="Arial"/>
                <w:sz w:val="18"/>
                <w:szCs w:val="18"/>
                <w:i w:val="1"/>
                <w:iCs w:val="1"/>
                <w:color w:val="131E29"/>
                <w:w w:val="99"/>
              </w:rPr>
              <w:t>(Principal Executive Officer)</w:t>
            </w:r>
          </w:p>
        </w:tc>
      </w:tr>
      <w:tr>
        <w:trPr>
          <w:trHeight w:val="760"/>
        </w:trPr>
        <w:tc>
          <w:tcPr>
            <w:tcW w:w="1420" w:type="dxa"/>
            <w:vAlign w:val="bottom"/>
          </w:tcPr>
          <w:p>
            <w:pPr>
              <w:ind w:left="20"/>
              <w:spacing w:after="0"/>
              <w:rPr>
                <w:sz w:val="20"/>
                <w:szCs w:val="20"/>
                <w:color w:val="auto"/>
              </w:rPr>
            </w:pPr>
            <w:r>
              <w:rPr>
                <w:rFonts w:ascii="Arial" w:cs="Arial" w:eastAsia="Arial" w:hAnsi="Arial"/>
                <w:sz w:val="18"/>
                <w:szCs w:val="18"/>
                <w:color w:val="131E29"/>
              </w:rPr>
              <w:t>November 10,</w:t>
            </w:r>
          </w:p>
        </w:tc>
        <w:tc>
          <w:tcPr>
            <w:tcW w:w="4620" w:type="dxa"/>
            <w:vAlign w:val="bottom"/>
            <w:gridSpan w:val="2"/>
          </w:tcPr>
          <w:p>
            <w:pPr>
              <w:ind w:left="1760"/>
              <w:spacing w:after="0"/>
              <w:rPr>
                <w:sz w:val="20"/>
                <w:szCs w:val="20"/>
                <w:color w:val="auto"/>
              </w:rPr>
            </w:pPr>
            <w:r>
              <w:rPr>
                <w:rFonts w:ascii="Arial" w:cs="Arial" w:eastAsia="Arial" w:hAnsi="Arial"/>
                <w:sz w:val="18"/>
                <w:szCs w:val="18"/>
                <w:color w:val="131E29"/>
              </w:rPr>
              <w:t>By:</w:t>
            </w:r>
          </w:p>
        </w:tc>
      </w:tr>
      <w:tr>
        <w:trPr>
          <w:trHeight w:val="239"/>
        </w:trPr>
        <w:tc>
          <w:tcPr>
            <w:tcW w:w="1420" w:type="dxa"/>
            <w:vAlign w:val="bottom"/>
          </w:tcPr>
          <w:p>
            <w:pPr>
              <w:ind w:left="20"/>
              <w:spacing w:after="0"/>
              <w:rPr>
                <w:sz w:val="20"/>
                <w:szCs w:val="20"/>
                <w:color w:val="auto"/>
              </w:rPr>
            </w:pPr>
            <w:r>
              <w:rPr>
                <w:rFonts w:ascii="Arial" w:cs="Arial" w:eastAsia="Arial" w:hAnsi="Arial"/>
                <w:sz w:val="18"/>
                <w:szCs w:val="18"/>
                <w:color w:val="131E29"/>
              </w:rPr>
              <w:t>2022</w:t>
            </w:r>
          </w:p>
        </w:tc>
        <w:tc>
          <w:tcPr>
            <w:tcW w:w="206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b w:val="1"/>
                <w:bCs w:val="1"/>
                <w:color w:val="131E29"/>
                <w:w w:val="99"/>
              </w:rPr>
              <w:t>/s/ Charles L. Jemley</w:t>
            </w:r>
          </w:p>
        </w:tc>
      </w:tr>
      <w:tr>
        <w:trPr>
          <w:trHeight w:val="27"/>
        </w:trPr>
        <w:tc>
          <w:tcPr>
            <w:tcW w:w="14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37"/>
        </w:trPr>
        <w:tc>
          <w:tcPr>
            <w:tcW w:w="1420" w:type="dxa"/>
            <w:vAlign w:val="bottom"/>
          </w:tcPr>
          <w:p>
            <w:pPr>
              <w:ind w:left="20"/>
              <w:spacing w:after="0"/>
              <w:rPr>
                <w:sz w:val="20"/>
                <w:szCs w:val="20"/>
                <w:color w:val="auto"/>
              </w:rPr>
            </w:pPr>
            <w:r>
              <w:rPr>
                <w:rFonts w:ascii="Arial" w:cs="Arial" w:eastAsia="Arial" w:hAnsi="Arial"/>
                <w:sz w:val="18"/>
                <w:szCs w:val="18"/>
                <w:color w:val="131E29"/>
              </w:rPr>
              <w:t>Date</w:t>
            </w:r>
          </w:p>
        </w:tc>
        <w:tc>
          <w:tcPr>
            <w:tcW w:w="206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131E29"/>
                <w:w w:val="99"/>
              </w:rPr>
              <w:t>Charles L. Jemley</w:t>
            </w:r>
          </w:p>
        </w:tc>
      </w:tr>
      <w:tr>
        <w:trPr>
          <w:trHeight w:val="270"/>
        </w:trPr>
        <w:tc>
          <w:tcPr>
            <w:tcW w:w="14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131E29"/>
                <w:w w:val="99"/>
              </w:rPr>
              <w:t>Chief Financial Officer</w:t>
            </w:r>
          </w:p>
        </w:tc>
      </w:tr>
      <w:tr>
        <w:trPr>
          <w:trHeight w:val="251"/>
        </w:trPr>
        <w:tc>
          <w:tcPr>
            <w:tcW w:w="14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560" w:type="dxa"/>
            <w:vAlign w:val="bottom"/>
          </w:tcPr>
          <w:p>
            <w:pPr>
              <w:jc w:val="center"/>
              <w:spacing w:after="0"/>
              <w:rPr>
                <w:sz w:val="20"/>
                <w:szCs w:val="20"/>
                <w:color w:val="auto"/>
              </w:rPr>
            </w:pPr>
            <w:r>
              <w:rPr>
                <w:rFonts w:ascii="Arial" w:cs="Arial" w:eastAsia="Arial" w:hAnsi="Arial"/>
                <w:sz w:val="18"/>
                <w:szCs w:val="18"/>
                <w:i w:val="1"/>
                <w:iCs w:val="1"/>
                <w:color w:val="131E29"/>
              </w:rPr>
              <w:t>(Principal Financial and</w:t>
            </w:r>
          </w:p>
        </w:tc>
      </w:tr>
      <w:tr>
        <w:trPr>
          <w:trHeight w:val="235"/>
        </w:trPr>
        <w:tc>
          <w:tcPr>
            <w:tcW w:w="14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i w:val="1"/>
                <w:iCs w:val="1"/>
                <w:color w:val="131E29"/>
                <w:w w:val="99"/>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114</w:t>
      </w:r>
    </w:p>
    <w:p>
      <w:pPr>
        <w:sectPr>
          <w:pgSz w:w="11900" w:h="16838" w:orient="portrait"/>
          <w:cols w:equalWidth="0" w:num="1">
            <w:col w:w="11240"/>
          </w:cols>
          <w:pgMar w:left="320" w:top="144"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6"/>
          <w:szCs w:val="16"/>
          <w:b w:val="1"/>
          <w:bCs w:val="1"/>
          <w:color w:val="131E29"/>
        </w:rPr>
        <w:t>Exhibit 31.1</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PURSUANT TO RULE 13a-14(a) AND RULE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131E29"/>
        </w:rPr>
        <w:t>I, Jonathan Ricci, certify that:</w:t>
      </w:r>
    </w:p>
    <w:p>
      <w:pPr>
        <w:spacing w:after="0" w:line="171" w:lineRule="exact"/>
        <w:rPr>
          <w:sz w:val="20"/>
          <w:szCs w:val="20"/>
          <w:color w:val="auto"/>
        </w:rPr>
      </w:pPr>
    </w:p>
    <w:p>
      <w:pPr>
        <w:ind w:left="640" w:hanging="308"/>
        <w:spacing w:after="0"/>
        <w:tabs>
          <w:tab w:leader="none" w:pos="640" w:val="left"/>
        </w:tabs>
        <w:numPr>
          <w:ilvl w:val="0"/>
          <w:numId w:val="68"/>
        </w:numPr>
        <w:rPr>
          <w:rFonts w:ascii="Arial" w:cs="Arial" w:eastAsia="Arial" w:hAnsi="Arial"/>
          <w:sz w:val="18"/>
          <w:szCs w:val="18"/>
          <w:color w:val="131E29"/>
        </w:rPr>
      </w:pPr>
      <w:r>
        <w:rPr>
          <w:rFonts w:ascii="Arial" w:cs="Arial" w:eastAsia="Arial" w:hAnsi="Arial"/>
          <w:sz w:val="18"/>
          <w:szCs w:val="18"/>
          <w:color w:val="131E29"/>
        </w:rPr>
        <w:t>I have reviewed this Quarterly Report on Form 10-Q for the period ended September 30, 2022 of Dutch Bros Inc.;</w:t>
      </w:r>
    </w:p>
    <w:p>
      <w:pPr>
        <w:spacing w:after="0" w:line="171" w:lineRule="exact"/>
        <w:rPr>
          <w:rFonts w:ascii="Arial" w:cs="Arial" w:eastAsia="Arial" w:hAnsi="Arial"/>
          <w:sz w:val="18"/>
          <w:szCs w:val="18"/>
          <w:color w:val="131E29"/>
        </w:rPr>
      </w:pPr>
    </w:p>
    <w:p>
      <w:pPr>
        <w:jc w:val="both"/>
        <w:ind w:left="660" w:hanging="328"/>
        <w:spacing w:after="0" w:line="256" w:lineRule="auto"/>
        <w:tabs>
          <w:tab w:leader="none" w:pos="648" w:val="left"/>
        </w:tabs>
        <w:numPr>
          <w:ilvl w:val="0"/>
          <w:numId w:val="68"/>
        </w:numPr>
        <w:rPr>
          <w:rFonts w:ascii="Arial" w:cs="Arial" w:eastAsia="Arial" w:hAnsi="Arial"/>
          <w:sz w:val="18"/>
          <w:szCs w:val="18"/>
          <w:color w:val="131E29"/>
        </w:rPr>
      </w:pPr>
      <w:r>
        <w:rPr>
          <w:rFonts w:ascii="Arial" w:cs="Arial" w:eastAsia="Arial" w:hAnsi="Arial"/>
          <w:sz w:val="18"/>
          <w:szCs w:val="18"/>
          <w:color w:val="131E2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131E29"/>
        </w:rPr>
      </w:pPr>
    </w:p>
    <w:p>
      <w:pPr>
        <w:jc w:val="both"/>
        <w:ind w:left="660" w:hanging="328"/>
        <w:spacing w:after="0" w:line="256" w:lineRule="auto"/>
        <w:tabs>
          <w:tab w:leader="none" w:pos="648" w:val="left"/>
        </w:tabs>
        <w:numPr>
          <w:ilvl w:val="0"/>
          <w:numId w:val="68"/>
        </w:numPr>
        <w:rPr>
          <w:rFonts w:ascii="Arial" w:cs="Arial" w:eastAsia="Arial" w:hAnsi="Arial"/>
          <w:sz w:val="18"/>
          <w:szCs w:val="18"/>
          <w:color w:val="131E29"/>
        </w:rPr>
      </w:pPr>
      <w:r>
        <w:rPr>
          <w:rFonts w:ascii="Arial" w:cs="Arial" w:eastAsia="Arial" w:hAnsi="Arial"/>
          <w:sz w:val="18"/>
          <w:szCs w:val="18"/>
          <w:color w:val="131E2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131E29"/>
        </w:rPr>
      </w:pPr>
    </w:p>
    <w:p>
      <w:pPr>
        <w:ind w:left="660" w:hanging="328"/>
        <w:spacing w:after="0" w:line="261" w:lineRule="auto"/>
        <w:tabs>
          <w:tab w:leader="none" w:pos="648" w:val="left"/>
        </w:tabs>
        <w:numPr>
          <w:ilvl w:val="0"/>
          <w:numId w:val="68"/>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131E29"/>
        </w:rPr>
      </w:pPr>
    </w:p>
    <w:p>
      <w:pPr>
        <w:jc w:val="both"/>
        <w:ind w:left="660" w:hanging="4"/>
        <w:spacing w:after="0" w:line="256" w:lineRule="auto"/>
        <w:tabs>
          <w:tab w:leader="none" w:pos="934" w:val="left"/>
        </w:tabs>
        <w:numPr>
          <w:ilvl w:val="1"/>
          <w:numId w:val="68"/>
        </w:numPr>
        <w:rPr>
          <w:rFonts w:ascii="Arial" w:cs="Arial" w:eastAsia="Arial" w:hAnsi="Arial"/>
          <w:sz w:val="18"/>
          <w:szCs w:val="18"/>
          <w:color w:val="131E29"/>
        </w:rPr>
      </w:pPr>
      <w:r>
        <w:rPr>
          <w:rFonts w:ascii="Arial" w:cs="Arial" w:eastAsia="Arial" w:hAnsi="Arial"/>
          <w:sz w:val="18"/>
          <w:szCs w:val="18"/>
          <w:color w:val="131E2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131E29"/>
        </w:rPr>
      </w:pPr>
    </w:p>
    <w:p>
      <w:pPr>
        <w:jc w:val="both"/>
        <w:ind w:left="660" w:hanging="4"/>
        <w:spacing w:after="0" w:line="256" w:lineRule="auto"/>
        <w:tabs>
          <w:tab w:leader="none" w:pos="947" w:val="left"/>
        </w:tabs>
        <w:numPr>
          <w:ilvl w:val="1"/>
          <w:numId w:val="68"/>
        </w:numPr>
        <w:rPr>
          <w:rFonts w:ascii="Arial" w:cs="Arial" w:eastAsia="Arial" w:hAnsi="Arial"/>
          <w:sz w:val="18"/>
          <w:szCs w:val="18"/>
          <w:color w:val="131E29"/>
        </w:rPr>
      </w:pPr>
      <w:r>
        <w:rPr>
          <w:rFonts w:ascii="Arial" w:cs="Arial" w:eastAsia="Arial" w:hAnsi="Arial"/>
          <w:sz w:val="18"/>
          <w:szCs w:val="18"/>
          <w:color w:val="131E2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131E29"/>
        </w:rPr>
      </w:pPr>
    </w:p>
    <w:p>
      <w:pPr>
        <w:jc w:val="both"/>
        <w:ind w:left="660" w:hanging="4"/>
        <w:spacing w:after="0" w:line="256" w:lineRule="auto"/>
        <w:tabs>
          <w:tab w:leader="none" w:pos="926" w:val="left"/>
        </w:tabs>
        <w:numPr>
          <w:ilvl w:val="1"/>
          <w:numId w:val="68"/>
        </w:numPr>
        <w:rPr>
          <w:rFonts w:ascii="Arial" w:cs="Arial" w:eastAsia="Arial" w:hAnsi="Arial"/>
          <w:sz w:val="18"/>
          <w:szCs w:val="18"/>
          <w:color w:val="131E29"/>
        </w:rPr>
      </w:pPr>
      <w:r>
        <w:rPr>
          <w:rFonts w:ascii="Arial" w:cs="Arial" w:eastAsia="Arial" w:hAnsi="Arial"/>
          <w:sz w:val="18"/>
          <w:szCs w:val="18"/>
          <w:color w:val="131E2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131E29"/>
        </w:rPr>
      </w:pPr>
    </w:p>
    <w:p>
      <w:pPr>
        <w:jc w:val="both"/>
        <w:ind w:left="660" w:hanging="328"/>
        <w:spacing w:after="0" w:line="256" w:lineRule="auto"/>
        <w:tabs>
          <w:tab w:leader="none" w:pos="648" w:val="left"/>
        </w:tabs>
        <w:numPr>
          <w:ilvl w:val="0"/>
          <w:numId w:val="68"/>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131E29"/>
        </w:rPr>
      </w:pPr>
    </w:p>
    <w:p>
      <w:pPr>
        <w:ind w:left="660" w:hanging="4"/>
        <w:spacing w:after="0" w:line="261" w:lineRule="auto"/>
        <w:tabs>
          <w:tab w:leader="none" w:pos="946" w:val="left"/>
        </w:tabs>
        <w:numPr>
          <w:ilvl w:val="1"/>
          <w:numId w:val="68"/>
        </w:numPr>
        <w:rPr>
          <w:rFonts w:ascii="Arial" w:cs="Arial" w:eastAsia="Arial" w:hAnsi="Arial"/>
          <w:sz w:val="18"/>
          <w:szCs w:val="18"/>
          <w:color w:val="131E29"/>
        </w:rPr>
      </w:pPr>
      <w:r>
        <w:rPr>
          <w:rFonts w:ascii="Arial" w:cs="Arial" w:eastAsia="Arial" w:hAnsi="Arial"/>
          <w:sz w:val="18"/>
          <w:szCs w:val="18"/>
          <w:color w:val="131E2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131E29"/>
        </w:rPr>
      </w:pPr>
    </w:p>
    <w:p>
      <w:pPr>
        <w:ind w:left="660" w:hanging="4"/>
        <w:spacing w:after="0" w:line="261" w:lineRule="auto"/>
        <w:tabs>
          <w:tab w:leader="none" w:pos="941" w:val="left"/>
        </w:tabs>
        <w:numPr>
          <w:ilvl w:val="1"/>
          <w:numId w:val="68"/>
        </w:numPr>
        <w:rPr>
          <w:rFonts w:ascii="Arial" w:cs="Arial" w:eastAsia="Arial" w:hAnsi="Arial"/>
          <w:sz w:val="18"/>
          <w:szCs w:val="18"/>
          <w:color w:val="131E29"/>
        </w:rPr>
      </w:pPr>
      <w:r>
        <w:rPr>
          <w:rFonts w:ascii="Arial" w:cs="Arial" w:eastAsia="Arial" w:hAnsi="Arial"/>
          <w:sz w:val="18"/>
          <w:szCs w:val="18"/>
          <w:color w:val="131E29"/>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10, 2022</w:t>
            </w:r>
          </w:p>
        </w:tc>
        <w:tc>
          <w:tcPr>
            <w:tcW w:w="3460" w:type="dxa"/>
            <w:vAlign w:val="bottom"/>
          </w:tcPr>
          <w:p>
            <w:pPr>
              <w:spacing w:after="0"/>
              <w:rPr>
                <w:sz w:val="20"/>
                <w:szCs w:val="20"/>
                <w:color w:val="auto"/>
              </w:rPr>
            </w:pP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 Jonathan Ricci</w:t>
            </w:r>
          </w:p>
        </w:tc>
      </w:tr>
      <w:tr>
        <w:trPr>
          <w:trHeight w:val="223"/>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Date</w:t>
            </w:r>
          </w:p>
        </w:tc>
        <w:tc>
          <w:tcPr>
            <w:tcW w:w="4900" w:type="dxa"/>
            <w:vAlign w:val="bottom"/>
          </w:tcPr>
          <w:p>
            <w:pPr>
              <w:jc w:val="center"/>
              <w:spacing w:after="0"/>
              <w:rPr>
                <w:sz w:val="20"/>
                <w:szCs w:val="20"/>
                <w:color w:val="auto"/>
              </w:rPr>
            </w:pPr>
            <w:r>
              <w:rPr>
                <w:rFonts w:ascii="Arial" w:cs="Arial" w:eastAsia="Arial" w:hAnsi="Arial"/>
                <w:sz w:val="18"/>
                <w:szCs w:val="18"/>
                <w:color w:val="auto"/>
                <w:w w:val="99"/>
              </w:rPr>
              <w:t>Jonathan Ricci</w:t>
            </w:r>
          </w:p>
        </w:tc>
      </w:tr>
      <w:tr>
        <w:trPr>
          <w:trHeight w:val="224"/>
        </w:trPr>
        <w:tc>
          <w:tcPr>
            <w:tcW w:w="28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President</w:t>
            </w:r>
          </w:p>
        </w:tc>
      </w:tr>
      <w:tr>
        <w:trPr>
          <w:trHeight w:val="235"/>
        </w:trPr>
        <w:tc>
          <w:tcPr>
            <w:tcW w:w="28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700"/>
        <w:spacing w:after="0"/>
        <w:rPr>
          <w:sz w:val="20"/>
          <w:szCs w:val="20"/>
          <w:color w:val="auto"/>
        </w:rPr>
      </w:pPr>
      <w:r>
        <w:rPr>
          <w:sz w:val="1"/>
          <w:szCs w:val="1"/>
          <w:color w:val="auto"/>
        </w:rPr>
        <w:drawing>
          <wp:inline distT="0" distB="0" distL="0" distR="0">
            <wp:extent cx="171450" cy="24003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7"/>
          <w:szCs w:val="17"/>
          <w:color w:val="131E29"/>
        </w:rPr>
        <w:t>Dutch Bros Inc.</w:t>
      </w:r>
      <w:r>
        <w:rPr>
          <w:rFonts w:ascii="Arial" w:cs="Arial" w:eastAsia="Arial" w:hAnsi="Arial"/>
          <w:sz w:val="17"/>
          <w:szCs w:val="17"/>
          <w:b w:val="1"/>
          <w:bCs w:val="1"/>
          <w:color w:val="006098"/>
        </w:rPr>
        <w:t>|</w:t>
      </w:r>
      <w:r>
        <w:rPr>
          <w:rFonts w:ascii="Arial" w:cs="Arial" w:eastAsia="Arial" w:hAnsi="Arial"/>
          <w:sz w:val="17"/>
          <w:szCs w:val="17"/>
          <w:color w:val="131E29"/>
        </w:rPr>
        <w:t xml:space="preserve"> Exhibit 31.1</w:t>
      </w:r>
    </w:p>
    <w:p>
      <w:pPr>
        <w:sectPr>
          <w:pgSz w:w="11900" w:h="16838" w:orient="portrait"/>
          <w:cols w:equalWidth="0" w:num="1">
            <w:col w:w="11240"/>
          </w:cols>
          <w:pgMar w:left="320" w:top="12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6"/>
          <w:szCs w:val="16"/>
          <w:b w:val="1"/>
          <w:bCs w:val="1"/>
          <w:color w:val="131E29"/>
        </w:rPr>
        <w:t>Exhibit 31.2</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PURSUANT TO RULE 13a-14(a) AND RULE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131E29"/>
        </w:rPr>
        <w:t>I, Charles L. Jemley, certify that:</w:t>
      </w:r>
    </w:p>
    <w:p>
      <w:pPr>
        <w:spacing w:after="0" w:line="252" w:lineRule="exact"/>
        <w:rPr>
          <w:sz w:val="20"/>
          <w:szCs w:val="20"/>
          <w:color w:val="auto"/>
        </w:rPr>
      </w:pPr>
    </w:p>
    <w:p>
      <w:pPr>
        <w:ind w:left="640" w:hanging="308"/>
        <w:spacing w:after="0"/>
        <w:tabs>
          <w:tab w:leader="none" w:pos="640" w:val="left"/>
        </w:tabs>
        <w:numPr>
          <w:ilvl w:val="0"/>
          <w:numId w:val="69"/>
        </w:numPr>
        <w:rPr>
          <w:rFonts w:ascii="Arial" w:cs="Arial" w:eastAsia="Arial" w:hAnsi="Arial"/>
          <w:sz w:val="18"/>
          <w:szCs w:val="18"/>
          <w:color w:val="131E29"/>
        </w:rPr>
      </w:pPr>
      <w:r>
        <w:rPr>
          <w:rFonts w:ascii="Arial" w:cs="Arial" w:eastAsia="Arial" w:hAnsi="Arial"/>
          <w:sz w:val="18"/>
          <w:szCs w:val="18"/>
          <w:color w:val="131E29"/>
        </w:rPr>
        <w:t>I have reviewed this Quarterly Report on Form 10-Q for the period ended September 30, 2022 of Dutch Bros Inc.;</w:t>
      </w:r>
    </w:p>
    <w:p>
      <w:pPr>
        <w:spacing w:after="0" w:line="171" w:lineRule="exact"/>
        <w:rPr>
          <w:rFonts w:ascii="Arial" w:cs="Arial" w:eastAsia="Arial" w:hAnsi="Arial"/>
          <w:sz w:val="18"/>
          <w:szCs w:val="18"/>
          <w:color w:val="131E29"/>
        </w:rPr>
      </w:pPr>
    </w:p>
    <w:p>
      <w:pPr>
        <w:jc w:val="both"/>
        <w:ind w:left="660" w:hanging="328"/>
        <w:spacing w:after="0" w:line="256" w:lineRule="auto"/>
        <w:tabs>
          <w:tab w:leader="none" w:pos="648" w:val="left"/>
        </w:tabs>
        <w:numPr>
          <w:ilvl w:val="0"/>
          <w:numId w:val="69"/>
        </w:numPr>
        <w:rPr>
          <w:rFonts w:ascii="Arial" w:cs="Arial" w:eastAsia="Arial" w:hAnsi="Arial"/>
          <w:sz w:val="18"/>
          <w:szCs w:val="18"/>
          <w:color w:val="131E29"/>
        </w:rPr>
      </w:pPr>
      <w:r>
        <w:rPr>
          <w:rFonts w:ascii="Arial" w:cs="Arial" w:eastAsia="Arial" w:hAnsi="Arial"/>
          <w:sz w:val="18"/>
          <w:szCs w:val="18"/>
          <w:color w:val="131E2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131E29"/>
        </w:rPr>
      </w:pPr>
    </w:p>
    <w:p>
      <w:pPr>
        <w:jc w:val="both"/>
        <w:ind w:left="660" w:hanging="328"/>
        <w:spacing w:after="0" w:line="256" w:lineRule="auto"/>
        <w:tabs>
          <w:tab w:leader="none" w:pos="648" w:val="left"/>
        </w:tabs>
        <w:numPr>
          <w:ilvl w:val="0"/>
          <w:numId w:val="69"/>
        </w:numPr>
        <w:rPr>
          <w:rFonts w:ascii="Arial" w:cs="Arial" w:eastAsia="Arial" w:hAnsi="Arial"/>
          <w:sz w:val="18"/>
          <w:szCs w:val="18"/>
          <w:color w:val="131E29"/>
        </w:rPr>
      </w:pPr>
      <w:r>
        <w:rPr>
          <w:rFonts w:ascii="Arial" w:cs="Arial" w:eastAsia="Arial" w:hAnsi="Arial"/>
          <w:sz w:val="18"/>
          <w:szCs w:val="18"/>
          <w:color w:val="131E2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131E29"/>
        </w:rPr>
      </w:pPr>
    </w:p>
    <w:p>
      <w:pPr>
        <w:ind w:left="660" w:hanging="328"/>
        <w:spacing w:after="0" w:line="261" w:lineRule="auto"/>
        <w:tabs>
          <w:tab w:leader="none" w:pos="648" w:val="left"/>
        </w:tabs>
        <w:numPr>
          <w:ilvl w:val="0"/>
          <w:numId w:val="69"/>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131E29"/>
        </w:rPr>
      </w:pPr>
    </w:p>
    <w:p>
      <w:pPr>
        <w:jc w:val="both"/>
        <w:ind w:left="660" w:hanging="4"/>
        <w:spacing w:after="0" w:line="256" w:lineRule="auto"/>
        <w:tabs>
          <w:tab w:leader="none" w:pos="934" w:val="left"/>
        </w:tabs>
        <w:numPr>
          <w:ilvl w:val="1"/>
          <w:numId w:val="69"/>
        </w:numPr>
        <w:rPr>
          <w:rFonts w:ascii="Arial" w:cs="Arial" w:eastAsia="Arial" w:hAnsi="Arial"/>
          <w:sz w:val="18"/>
          <w:szCs w:val="18"/>
          <w:color w:val="131E29"/>
        </w:rPr>
      </w:pPr>
      <w:r>
        <w:rPr>
          <w:rFonts w:ascii="Arial" w:cs="Arial" w:eastAsia="Arial" w:hAnsi="Arial"/>
          <w:sz w:val="18"/>
          <w:szCs w:val="18"/>
          <w:color w:val="131E2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131E29"/>
        </w:rPr>
      </w:pPr>
    </w:p>
    <w:p>
      <w:pPr>
        <w:jc w:val="both"/>
        <w:ind w:left="660" w:hanging="4"/>
        <w:spacing w:after="0" w:line="256" w:lineRule="auto"/>
        <w:tabs>
          <w:tab w:leader="none" w:pos="947" w:val="left"/>
        </w:tabs>
        <w:numPr>
          <w:ilvl w:val="1"/>
          <w:numId w:val="69"/>
        </w:numPr>
        <w:rPr>
          <w:rFonts w:ascii="Arial" w:cs="Arial" w:eastAsia="Arial" w:hAnsi="Arial"/>
          <w:sz w:val="18"/>
          <w:szCs w:val="18"/>
          <w:color w:val="131E29"/>
        </w:rPr>
      </w:pPr>
      <w:r>
        <w:rPr>
          <w:rFonts w:ascii="Arial" w:cs="Arial" w:eastAsia="Arial" w:hAnsi="Arial"/>
          <w:sz w:val="18"/>
          <w:szCs w:val="18"/>
          <w:color w:val="131E2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131E29"/>
        </w:rPr>
      </w:pPr>
    </w:p>
    <w:p>
      <w:pPr>
        <w:jc w:val="both"/>
        <w:ind w:left="660" w:hanging="4"/>
        <w:spacing w:after="0" w:line="256" w:lineRule="auto"/>
        <w:tabs>
          <w:tab w:leader="none" w:pos="926" w:val="left"/>
        </w:tabs>
        <w:numPr>
          <w:ilvl w:val="1"/>
          <w:numId w:val="69"/>
        </w:numPr>
        <w:rPr>
          <w:rFonts w:ascii="Arial" w:cs="Arial" w:eastAsia="Arial" w:hAnsi="Arial"/>
          <w:sz w:val="18"/>
          <w:szCs w:val="18"/>
          <w:color w:val="131E29"/>
        </w:rPr>
      </w:pPr>
      <w:r>
        <w:rPr>
          <w:rFonts w:ascii="Arial" w:cs="Arial" w:eastAsia="Arial" w:hAnsi="Arial"/>
          <w:sz w:val="18"/>
          <w:szCs w:val="18"/>
          <w:color w:val="131E2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131E29"/>
        </w:rPr>
      </w:pPr>
    </w:p>
    <w:p>
      <w:pPr>
        <w:jc w:val="both"/>
        <w:ind w:left="660" w:hanging="328"/>
        <w:spacing w:after="0" w:line="256" w:lineRule="auto"/>
        <w:tabs>
          <w:tab w:leader="none" w:pos="648" w:val="left"/>
        </w:tabs>
        <w:numPr>
          <w:ilvl w:val="0"/>
          <w:numId w:val="69"/>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131E29"/>
        </w:rPr>
      </w:pPr>
    </w:p>
    <w:p>
      <w:pPr>
        <w:ind w:left="660" w:hanging="4"/>
        <w:spacing w:after="0" w:line="261" w:lineRule="auto"/>
        <w:tabs>
          <w:tab w:leader="none" w:pos="946" w:val="left"/>
        </w:tabs>
        <w:numPr>
          <w:ilvl w:val="1"/>
          <w:numId w:val="69"/>
        </w:numPr>
        <w:rPr>
          <w:rFonts w:ascii="Arial" w:cs="Arial" w:eastAsia="Arial" w:hAnsi="Arial"/>
          <w:sz w:val="18"/>
          <w:szCs w:val="18"/>
          <w:color w:val="131E29"/>
        </w:rPr>
      </w:pPr>
      <w:r>
        <w:rPr>
          <w:rFonts w:ascii="Arial" w:cs="Arial" w:eastAsia="Arial" w:hAnsi="Arial"/>
          <w:sz w:val="18"/>
          <w:szCs w:val="18"/>
          <w:color w:val="131E2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131E29"/>
        </w:rPr>
      </w:pPr>
    </w:p>
    <w:p>
      <w:pPr>
        <w:ind w:left="660" w:hanging="4"/>
        <w:spacing w:after="0" w:line="261" w:lineRule="auto"/>
        <w:tabs>
          <w:tab w:leader="none" w:pos="941" w:val="left"/>
        </w:tabs>
        <w:numPr>
          <w:ilvl w:val="1"/>
          <w:numId w:val="69"/>
        </w:numPr>
        <w:rPr>
          <w:rFonts w:ascii="Arial" w:cs="Arial" w:eastAsia="Arial" w:hAnsi="Arial"/>
          <w:sz w:val="18"/>
          <w:szCs w:val="18"/>
          <w:color w:val="131E29"/>
        </w:rPr>
      </w:pPr>
      <w:r>
        <w:rPr>
          <w:rFonts w:ascii="Arial" w:cs="Arial" w:eastAsia="Arial" w:hAnsi="Arial"/>
          <w:sz w:val="18"/>
          <w:szCs w:val="18"/>
          <w:color w:val="131E29"/>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10, 2022</w:t>
            </w:r>
          </w:p>
        </w:tc>
        <w:tc>
          <w:tcPr>
            <w:tcW w:w="2740" w:type="dxa"/>
            <w:vAlign w:val="bottom"/>
          </w:tcPr>
          <w:p>
            <w:pPr>
              <w:spacing w:after="0"/>
              <w:rPr>
                <w:sz w:val="20"/>
                <w:szCs w:val="20"/>
                <w:color w:val="auto"/>
              </w:rPr>
            </w:pPr>
          </w:p>
        </w:tc>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 Charles L. Jemley</w:t>
            </w:r>
          </w:p>
        </w:tc>
      </w:tr>
      <w:tr>
        <w:trPr>
          <w:trHeight w:val="22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Date</w:t>
            </w:r>
          </w:p>
        </w:tc>
        <w:tc>
          <w:tcPr>
            <w:tcW w:w="5660" w:type="dxa"/>
            <w:vAlign w:val="bottom"/>
          </w:tcPr>
          <w:p>
            <w:pPr>
              <w:jc w:val="center"/>
              <w:spacing w:after="0"/>
              <w:rPr>
                <w:sz w:val="20"/>
                <w:szCs w:val="20"/>
                <w:color w:val="auto"/>
              </w:rPr>
            </w:pPr>
            <w:r>
              <w:rPr>
                <w:rFonts w:ascii="Arial" w:cs="Arial" w:eastAsia="Arial" w:hAnsi="Arial"/>
                <w:sz w:val="18"/>
                <w:szCs w:val="18"/>
                <w:color w:val="auto"/>
                <w:w w:val="99"/>
              </w:rPr>
              <w:t>Charles L. Jemley</w:t>
            </w:r>
          </w:p>
        </w:tc>
      </w:tr>
      <w:tr>
        <w:trPr>
          <w:trHeight w:val="224"/>
        </w:trPr>
        <w:tc>
          <w:tcPr>
            <w:tcW w:w="27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660" w:type="dxa"/>
            <w:vAlign w:val="bottom"/>
          </w:tcPr>
          <w:p>
            <w:pPr>
              <w:jc w:val="center"/>
              <w:spacing w:after="0"/>
              <w:rPr>
                <w:sz w:val="20"/>
                <w:szCs w:val="20"/>
                <w:color w:val="auto"/>
              </w:rPr>
            </w:pPr>
            <w:r>
              <w:rPr>
                <w:rFonts w:ascii="Arial" w:cs="Arial" w:eastAsia="Arial" w:hAnsi="Arial"/>
                <w:sz w:val="18"/>
                <w:szCs w:val="18"/>
                <w:color w:val="auto"/>
              </w:rPr>
              <w:t>Chief Financial Officer</w:t>
            </w:r>
          </w:p>
        </w:tc>
      </w:tr>
      <w:tr>
        <w:trPr>
          <w:trHeight w:val="235"/>
        </w:trPr>
        <w:tc>
          <w:tcPr>
            <w:tcW w:w="27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660" w:type="dxa"/>
            <w:vAlign w:val="bottom"/>
          </w:tcPr>
          <w:p>
            <w:pPr>
              <w:jc w:val="center"/>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700"/>
        <w:spacing w:after="0"/>
        <w:rPr>
          <w:sz w:val="20"/>
          <w:szCs w:val="20"/>
          <w:color w:val="auto"/>
        </w:rPr>
      </w:pPr>
      <w:r>
        <w:rPr>
          <w:sz w:val="1"/>
          <w:szCs w:val="1"/>
          <w:color w:val="auto"/>
        </w:rPr>
        <w:drawing>
          <wp:inline distT="0" distB="0" distL="0" distR="0">
            <wp:extent cx="171450" cy="24003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7"/>
          <w:szCs w:val="17"/>
          <w:color w:val="131E29"/>
        </w:rPr>
        <w:t>Dutch Bros Inc.</w:t>
      </w:r>
      <w:r>
        <w:rPr>
          <w:rFonts w:ascii="Arial" w:cs="Arial" w:eastAsia="Arial" w:hAnsi="Arial"/>
          <w:sz w:val="17"/>
          <w:szCs w:val="17"/>
          <w:b w:val="1"/>
          <w:bCs w:val="1"/>
          <w:color w:val="006098"/>
        </w:rPr>
        <w:t>|</w:t>
      </w:r>
      <w:r>
        <w:rPr>
          <w:rFonts w:ascii="Arial" w:cs="Arial" w:eastAsia="Arial" w:hAnsi="Arial"/>
          <w:sz w:val="17"/>
          <w:szCs w:val="17"/>
          <w:color w:val="131E29"/>
        </w:rPr>
        <w:t xml:space="preserve"> Exhibit 31.2</w:t>
      </w:r>
    </w:p>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6"/>
          <w:szCs w:val="16"/>
          <w:b w:val="1"/>
          <w:bCs w:val="1"/>
          <w:color w:val="131E29"/>
        </w:rPr>
        <w:t>Exhibit 32.1</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CERTIFICATIONS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SARBANES-OXLEY ACT OF 2002</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In connection with the Quarterly Report of Dutch Bros Inc. (the Company) on Form 10-Q for the period ended September 30, 2022, as filed with the Securities and Exchange Commission on the date of the signatures below (the Report), Jonathan Ricci, Chief Executive Officer and President of the Company, and Charles L. Jemley, Chief Financial Officer of the Company, each hereby certifies, pursuant to 18 U.S.C. Section 1350, as adopted pursuant to Section 906 of the Sarbanes-Oxley Act of 2002, that, to the best of their respective knowledge:</w:t>
      </w:r>
    </w:p>
    <w:p>
      <w:pPr>
        <w:spacing w:after="0" w:line="231" w:lineRule="exact"/>
        <w:rPr>
          <w:sz w:val="20"/>
          <w:szCs w:val="20"/>
          <w:color w:val="auto"/>
        </w:rPr>
      </w:pPr>
    </w:p>
    <w:p>
      <w:pPr>
        <w:ind w:left="640" w:hanging="308"/>
        <w:spacing w:after="0"/>
        <w:tabs>
          <w:tab w:leader="none" w:pos="640" w:val="left"/>
        </w:tabs>
        <w:numPr>
          <w:ilvl w:val="0"/>
          <w:numId w:val="70"/>
        </w:numPr>
        <w:rPr>
          <w:rFonts w:ascii="Arial" w:cs="Arial" w:eastAsia="Arial" w:hAnsi="Arial"/>
          <w:sz w:val="18"/>
          <w:szCs w:val="18"/>
          <w:color w:val="131E29"/>
        </w:rPr>
      </w:pPr>
      <w:r>
        <w:rPr>
          <w:rFonts w:ascii="Arial" w:cs="Arial" w:eastAsia="Arial" w:hAnsi="Arial"/>
          <w:sz w:val="18"/>
          <w:szCs w:val="18"/>
          <w:color w:val="131E29"/>
        </w:rPr>
        <w:t>the Report fully complies with the requirements of Section 13(a) or Section 15(d) of the Securities Exchange Act of 1934; and</w:t>
      </w:r>
    </w:p>
    <w:p>
      <w:pPr>
        <w:spacing w:after="0" w:line="9" w:lineRule="exact"/>
        <w:rPr>
          <w:rFonts w:ascii="Arial" w:cs="Arial" w:eastAsia="Arial" w:hAnsi="Arial"/>
          <w:sz w:val="18"/>
          <w:szCs w:val="18"/>
          <w:color w:val="131E29"/>
        </w:rPr>
      </w:pPr>
    </w:p>
    <w:p>
      <w:pPr>
        <w:ind w:left="660" w:hanging="328"/>
        <w:spacing w:after="0" w:line="261" w:lineRule="auto"/>
        <w:tabs>
          <w:tab w:leader="none" w:pos="648" w:val="left"/>
        </w:tabs>
        <w:numPr>
          <w:ilvl w:val="0"/>
          <w:numId w:val="70"/>
        </w:numPr>
        <w:rPr>
          <w:rFonts w:ascii="Arial" w:cs="Arial" w:eastAsia="Arial" w:hAnsi="Arial"/>
          <w:sz w:val="18"/>
          <w:szCs w:val="18"/>
          <w:color w:val="131E29"/>
        </w:rPr>
      </w:pPr>
      <w:r>
        <w:rPr>
          <w:rFonts w:ascii="Arial" w:cs="Arial" w:eastAsia="Arial" w:hAnsi="Arial"/>
          <w:sz w:val="18"/>
          <w:szCs w:val="18"/>
          <w:color w:val="131E29"/>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10, 2022</w:t>
            </w:r>
          </w:p>
        </w:tc>
        <w:tc>
          <w:tcPr>
            <w:tcW w:w="2700" w:type="dxa"/>
            <w:vAlign w:val="bottom"/>
          </w:tcPr>
          <w:p>
            <w:pPr>
              <w:spacing w:after="0"/>
              <w:rPr>
                <w:sz w:val="20"/>
                <w:szCs w:val="20"/>
                <w:color w:val="auto"/>
              </w:rPr>
            </w:pPr>
          </w:p>
        </w:tc>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 Jonathan Ricci</w:t>
            </w:r>
          </w:p>
        </w:tc>
      </w:tr>
      <w:tr>
        <w:trPr>
          <w:trHeight w:val="22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Date</w:t>
            </w:r>
          </w:p>
        </w:tc>
        <w:tc>
          <w:tcPr>
            <w:tcW w:w="5660" w:type="dxa"/>
            <w:vAlign w:val="bottom"/>
          </w:tcPr>
          <w:p>
            <w:pPr>
              <w:jc w:val="center"/>
              <w:spacing w:after="0"/>
              <w:rPr>
                <w:sz w:val="20"/>
                <w:szCs w:val="20"/>
                <w:color w:val="auto"/>
              </w:rPr>
            </w:pPr>
            <w:r>
              <w:rPr>
                <w:rFonts w:ascii="Arial" w:cs="Arial" w:eastAsia="Arial" w:hAnsi="Arial"/>
                <w:sz w:val="18"/>
                <w:szCs w:val="18"/>
                <w:color w:val="auto"/>
                <w:w w:val="99"/>
              </w:rPr>
              <w:t>Jonathan Ricci</w:t>
            </w:r>
          </w:p>
        </w:tc>
      </w:tr>
      <w:tr>
        <w:trPr>
          <w:trHeight w:val="224"/>
        </w:trPr>
        <w:tc>
          <w:tcPr>
            <w:tcW w:w="28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66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President</w:t>
            </w:r>
          </w:p>
        </w:tc>
      </w:tr>
      <w:tr>
        <w:trPr>
          <w:trHeight w:val="235"/>
        </w:trPr>
        <w:tc>
          <w:tcPr>
            <w:tcW w:w="28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6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10, 2022</w:t>
            </w:r>
          </w:p>
        </w:tc>
        <w:tc>
          <w:tcPr>
            <w:tcW w:w="2700" w:type="dxa"/>
            <w:vAlign w:val="bottom"/>
          </w:tcPr>
          <w:p>
            <w:pPr>
              <w:spacing w:after="0"/>
              <w:rPr>
                <w:sz w:val="20"/>
                <w:szCs w:val="20"/>
                <w:color w:val="auto"/>
              </w:rPr>
            </w:pPr>
          </w:p>
        </w:tc>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 Charles L. Jemley</w:t>
            </w:r>
          </w:p>
        </w:tc>
      </w:tr>
      <w:tr>
        <w:trPr>
          <w:trHeight w:val="22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Date</w:t>
            </w:r>
          </w:p>
        </w:tc>
        <w:tc>
          <w:tcPr>
            <w:tcW w:w="5660" w:type="dxa"/>
            <w:vAlign w:val="bottom"/>
          </w:tcPr>
          <w:p>
            <w:pPr>
              <w:jc w:val="center"/>
              <w:spacing w:after="0"/>
              <w:rPr>
                <w:sz w:val="20"/>
                <w:szCs w:val="20"/>
                <w:color w:val="auto"/>
              </w:rPr>
            </w:pPr>
            <w:r>
              <w:rPr>
                <w:rFonts w:ascii="Arial" w:cs="Arial" w:eastAsia="Arial" w:hAnsi="Arial"/>
                <w:sz w:val="18"/>
                <w:szCs w:val="18"/>
                <w:color w:val="auto"/>
                <w:w w:val="99"/>
              </w:rPr>
              <w:t>Charles L. Jemley</w:t>
            </w:r>
          </w:p>
        </w:tc>
      </w:tr>
      <w:tr>
        <w:trPr>
          <w:trHeight w:val="224"/>
        </w:trPr>
        <w:tc>
          <w:tcPr>
            <w:tcW w:w="28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660" w:type="dxa"/>
            <w:vAlign w:val="bottom"/>
          </w:tcPr>
          <w:p>
            <w:pPr>
              <w:jc w:val="center"/>
              <w:spacing w:after="0"/>
              <w:rPr>
                <w:sz w:val="20"/>
                <w:szCs w:val="20"/>
                <w:color w:val="auto"/>
              </w:rPr>
            </w:pPr>
            <w:r>
              <w:rPr>
                <w:rFonts w:ascii="Arial" w:cs="Arial" w:eastAsia="Arial" w:hAnsi="Arial"/>
                <w:sz w:val="18"/>
                <w:szCs w:val="18"/>
                <w:color w:val="auto"/>
              </w:rPr>
              <w:t>Chief Financial Officer</w:t>
            </w:r>
          </w:p>
        </w:tc>
      </w:tr>
      <w:tr>
        <w:trPr>
          <w:trHeight w:val="235"/>
        </w:trPr>
        <w:tc>
          <w:tcPr>
            <w:tcW w:w="28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60" w:type="dxa"/>
            <w:vAlign w:val="bottom"/>
          </w:tcPr>
          <w:p>
            <w:pPr>
              <w:jc w:val="center"/>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This certification accompanies the Report to which it relates, is not deemed filed with the Securities and Exchange Commission and is not to be incorporated by reference into any filing of Dutch Bros Inc. under the Securities Act of 1933, as amended, or the Securities Exchange Act of 1934, as amended (whether made before or after the date of the Report),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700"/>
        <w:spacing w:after="0"/>
        <w:rPr>
          <w:sz w:val="20"/>
          <w:szCs w:val="20"/>
          <w:color w:val="auto"/>
        </w:rPr>
      </w:pPr>
      <w:r>
        <w:rPr>
          <w:sz w:val="1"/>
          <w:szCs w:val="1"/>
          <w:color w:val="auto"/>
        </w:rPr>
        <w:drawing>
          <wp:inline distT="0" distB="0" distL="0" distR="0">
            <wp:extent cx="171450" cy="24003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7"/>
          <w:szCs w:val="17"/>
          <w:color w:val="131E29"/>
        </w:rPr>
        <w:t>Dutch Bros Inc.</w:t>
      </w:r>
      <w:r>
        <w:rPr>
          <w:rFonts w:ascii="Arial" w:cs="Arial" w:eastAsia="Arial" w:hAnsi="Arial"/>
          <w:sz w:val="17"/>
          <w:szCs w:val="17"/>
          <w:b w:val="1"/>
          <w:bCs w:val="1"/>
          <w:color w:val="006098"/>
        </w:rPr>
        <w:t>|</w:t>
      </w:r>
      <w:r>
        <w:rPr>
          <w:rFonts w:ascii="Arial" w:cs="Arial" w:eastAsia="Arial" w:hAnsi="Arial"/>
          <w:sz w:val="17"/>
          <w:szCs w:val="17"/>
          <w:color w:val="131E29"/>
        </w:rPr>
        <w:t xml:space="preserve"> Exhibit 32.1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1"/>
      <w:numFmt w:val="bullet"/>
      <w:start w:val="1"/>
    </w:lvl>
  </w:abstractNum>
  <w:abstractNum w:abstractNumId="4">
    <w:nsid w:val="7724C67E"/>
    <w:multiLevelType w:val="hybridMultilevel"/>
    <w:lvl w:ilvl="0">
      <w:lvlJc w:val="left"/>
      <w:lvlText w:val="2"/>
      <w:numFmt w:val="bullet"/>
      <w:start w:val="1"/>
    </w:lvl>
  </w:abstractNum>
  <w:abstractNum w:abstractNumId="5">
    <w:nsid w:val="5C482A97"/>
    <w:multiLevelType w:val="hybridMultilevel"/>
    <w:lvl w:ilvl="0">
      <w:lvlJc w:val="left"/>
      <w:lvlText w:val="1"/>
      <w:numFmt w:val="bullet"/>
      <w:start w:val="1"/>
    </w:lvl>
  </w:abstractNum>
  <w:abstractNum w:abstractNumId="6">
    <w:nsid w:val="2463B9EA"/>
    <w:multiLevelType w:val="hybridMultilevel"/>
    <w:lvl w:ilvl="0">
      <w:lvlJc w:val="left"/>
      <w:lvlText w:val="1"/>
      <w:numFmt w:val="bullet"/>
      <w:start w:val="1"/>
    </w:lvl>
  </w:abstractNum>
  <w:abstractNum w:abstractNumId="7">
    <w:nsid w:val="5E884ADC"/>
    <w:multiLevelType w:val="hybridMultilevel"/>
    <w:lvl w:ilvl="0">
      <w:lvlJc w:val="left"/>
      <w:lvlText w:val="1"/>
      <w:numFmt w:val="bullet"/>
      <w:start w:val="1"/>
    </w:lvl>
  </w:abstractNum>
  <w:abstractNum w:abstractNumId="8">
    <w:nsid w:val="51EAD36B"/>
    <w:multiLevelType w:val="hybridMultilevel"/>
    <w:lvl w:ilvl="0">
      <w:lvlJc w:val="left"/>
      <w:lvlText w:val="1"/>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1"/>
      <w:numFmt w:val="bullet"/>
      <w:start w:val="1"/>
    </w:lvl>
  </w:abstractNum>
  <w:abstractNum w:abstractNumId="12">
    <w:nsid w:val="3855585C"/>
    <w:multiLevelType w:val="hybridMultilevel"/>
    <w:lvl w:ilvl="0">
      <w:lvlJc w:val="left"/>
      <w:lvlText w:val="1"/>
      <w:numFmt w:val="bullet"/>
      <w:start w:val="1"/>
    </w:lvl>
  </w:abstractNum>
  <w:abstractNum w:abstractNumId="13">
    <w:nsid w:val="70A64E2A"/>
    <w:multiLevelType w:val="hybridMultilevel"/>
    <w:lvl w:ilvl="0">
      <w:lvlJc w:val="left"/>
      <w:lvlText w:val="1"/>
      <w:numFmt w:val="bullet"/>
      <w:start w:val="1"/>
    </w:lvl>
  </w:abstractNum>
  <w:abstractNum w:abstractNumId="14">
    <w:nsid w:val="6A2342EC"/>
    <w:multiLevelType w:val="hybridMultilevel"/>
    <w:lvl w:ilvl="0">
      <w:lvlJc w:val="left"/>
      <w:lvlText w:val="1"/>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1)"/>
      <w:numFmt w:val="decimal"/>
      <w:start w:val="1"/>
    </w:lvl>
  </w:abstractNum>
  <w:abstractNum w:abstractNumId="17">
    <w:nsid w:val="725A06FB"/>
    <w:multiLevelType w:val="hybridMultilevel"/>
    <w:lvl w:ilvl="0">
      <w:lvlJc w:val="left"/>
      <w:lvlText w:val="1"/>
      <w:numFmt w:val="bullet"/>
      <w:start w:val="1"/>
    </w:lvl>
  </w:abstractNum>
  <w:abstractNum w:abstractNumId="18">
    <w:nsid w:val="2CD89A32"/>
    <w:multiLevelType w:val="hybridMultilevel"/>
    <w:lvl w:ilvl="0">
      <w:lvlJc w:val="left"/>
      <w:lvlText w:val="2"/>
      <w:numFmt w:val="bullet"/>
      <w:start w:val="1"/>
    </w:lvl>
  </w:abstractNum>
  <w:abstractNum w:abstractNumId="19">
    <w:nsid w:val="57E4CCAF"/>
    <w:multiLevelType w:val="hybridMultilevel"/>
    <w:lvl w:ilvl="0">
      <w:lvlJc w:val="left"/>
      <w:lvlText w:val="1"/>
      <w:numFmt w:val="bullet"/>
      <w:start w:val="1"/>
    </w:lvl>
  </w:abstractNum>
  <w:abstractNum w:abstractNumId="20">
    <w:nsid w:val="7A6D8D3C"/>
    <w:multiLevelType w:val="hybridMultilevel"/>
    <w:lvl w:ilvl="0">
      <w:lvlJc w:val="left"/>
      <w:lvlText w:val="1"/>
      <w:numFmt w:val="bullet"/>
      <w:start w:val="1"/>
    </w:lvl>
  </w:abstractNum>
  <w:abstractNum w:abstractNumId="21">
    <w:nsid w:val="4B588F54"/>
    <w:multiLevelType w:val="hybridMultilevel"/>
    <w:lvl w:ilvl="0">
      <w:lvlJc w:val="left"/>
      <w:lvlText w:val="1"/>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1"/>
      <w:numFmt w:val="bullet"/>
      <w:start w:val="1"/>
    </w:lvl>
    <w:lvl w:ilvl="1">
      <w:lvlJc w:val="left"/>
      <w:lvlText w:val="•"/>
      <w:numFmt w:val="bullet"/>
      <w:start w:val="1"/>
    </w:lvl>
  </w:abstractNum>
  <w:abstractNum w:abstractNumId="24">
    <w:nsid w:val="38437FDB"/>
    <w:multiLevelType w:val="hybridMultilevel"/>
    <w:lvl w:ilvl="0">
      <w:lvlJc w:val="left"/>
      <w:lvlText w:val="1"/>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1"/>
      <w:numFmt w:val="bullet"/>
      <w:start w:val="1"/>
    </w:lvl>
  </w:abstractNum>
  <w:abstractNum w:abstractNumId="27">
    <w:nsid w:val="684A481A"/>
    <w:multiLevelType w:val="hybridMultilevel"/>
    <w:lvl w:ilvl="0">
      <w:lvlJc w:val="left"/>
      <w:lvlText w:val="2"/>
      <w:numFmt w:val="bullet"/>
      <w:start w:val="1"/>
    </w:lvl>
  </w:abstractNum>
  <w:abstractNum w:abstractNumId="28">
    <w:nsid w:val="579478FE"/>
    <w:multiLevelType w:val="hybridMultilevel"/>
    <w:lvl w:ilvl="0">
      <w:lvlJc w:val="left"/>
      <w:lvlText w:val="3"/>
      <w:numFmt w:val="bullet"/>
      <w:start w:val="1"/>
    </w:lvl>
  </w:abstractNum>
  <w:abstractNum w:abstractNumId="29">
    <w:nsid w:val="749ABB43"/>
    <w:multiLevelType w:val="hybridMultilevel"/>
    <w:lvl w:ilvl="0">
      <w:lvlJc w:val="left"/>
      <w:lvlText w:val="4"/>
      <w:numFmt w:val="bullet"/>
      <w:start w:val="1"/>
    </w:lvl>
  </w:abstractNum>
  <w:abstractNum w:abstractNumId="30">
    <w:nsid w:val="3DC240FB"/>
    <w:multiLevelType w:val="hybridMultilevel"/>
    <w:lvl w:ilvl="0">
      <w:lvlJc w:val="left"/>
      <w:lvlText w:val="5"/>
      <w:numFmt w:val="bullet"/>
      <w:start w:val="1"/>
    </w:lvl>
  </w:abstractNum>
  <w:abstractNum w:abstractNumId="31">
    <w:nsid w:val="1BA026FA"/>
    <w:multiLevelType w:val="hybridMultilevel"/>
    <w:lvl w:ilvl="0">
      <w:lvlJc w:val="left"/>
      <w:lvlText w:val="1"/>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1"/>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1"/>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1"/>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1"/>
      <w:numFmt w:val="bullet"/>
      <w:start w:val="1"/>
    </w:lvl>
    <w:lvl w:ilvl="1">
      <w:lvlJc w:val="left"/>
      <w:lvlText w:val="•"/>
      <w:numFmt w:val="bullet"/>
      <w:start w:val="1"/>
    </w:lvl>
  </w:abstractNum>
  <w:abstractNum w:abstractNumId="46">
    <w:nsid w:val="47398C89"/>
    <w:multiLevelType w:val="hybridMultilevel"/>
    <w:lvl w:ilvl="0">
      <w:lvlJc w:val="left"/>
      <w:lvlText w:val="2"/>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4" Type="http://schemas.openxmlformats.org/officeDocument/2006/relationships/image" Target="media/image253.jpe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jpeg"/><Relationship Id="rId268" Type="http://schemas.openxmlformats.org/officeDocument/2006/relationships/image" Target="media/image257.jpeg"/><Relationship Id="rId269" Type="http://schemas.openxmlformats.org/officeDocument/2006/relationships/image" Target="media/image258.jpeg"/><Relationship Id="rId270" Type="http://schemas.openxmlformats.org/officeDocument/2006/relationships/image" Target="media/image259.jpeg"/><Relationship Id="rId260" Type="http://schemas.openxmlformats.org/officeDocument/2006/relationships/hyperlink" Target="https://www.sec.gov/Archives/edgar/data/0001866581/000162828021018861/exhibit31-8xk.htm" TargetMode="External"/><Relationship Id="rId261" Type="http://schemas.openxmlformats.org/officeDocument/2006/relationships/hyperlink" Target="https://www.sec.gov/Archives/edgar/data/1866581/000162828021017441/exhibit34-sx1.htm" TargetMode="External"/><Relationship Id="rId262" Type="http://schemas.openxmlformats.org/officeDocument/2006/relationships/hyperlink" Target="http://www.sec.gov/Archives/edgar/data/0001866581/000162828021018116/exhibit41.htm" TargetMode="External"/><Relationship Id="rId263" Type="http://schemas.openxmlformats.org/officeDocument/2006/relationships/hyperlink" Target="https://www.sec.gov/Archives/edgar/data/1866581/000186658122000103/a2022-08x12serviceonbo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2022-11-10T15:49:40Z</dcterms:created>
  <dcterms:modified xsi:type="dcterms:W3CDTF">2022-11-10T15:49:40Z</dcterms:modified>
</cp:coreProperties>
</file>