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29107.xml.htm"/>
      <w:bookmarkStart w:id="1" w:name="kswkform4_17873291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Maw Scott Harlan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DUTCH BROS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1930 W RIO SALADO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Dutch Bros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received an award of restricted stock units, 25% of which will vest on each of August 20, 2026, November 20, 2026, February 20, 2027, and the remaining 25% will vest on the earlier of (i) May 20, 2027, and (ii) the date of the Issuer's 2027 annual stockholder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Dappen, Attorney-in-Fact for Scott Harlan Maw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3625" TargetMode="External"/><Relationship Id="rId5" Type="http://schemas.openxmlformats.org/officeDocument/2006/relationships/hyperlink" Target="http://www.sec.gov/cgi-bin/browse-edgar?action=getcompany&amp;CIK=000186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3489</Characters>
  <CharactersWithSpaces>4070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