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0"/>
        <w:jc w:val="left"/>
        <w:rPr>
          <w:rFonts w:ascii="Arial;sans-serif" w:hAnsi="Arial;sans-serif"/>
          <w:b/>
          <w:color w:val="131E29"/>
          <w:sz w:val="20"/>
        </w:rPr>
      </w:pPr>
      <w:r>
        <w:rPr>
          <w:rFonts w:ascii="Arial;sans-serif" w:hAnsi="Arial;sans-serif"/>
          <w:b/>
          <w:color w:val="131E29"/>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September 30, 2023</w:t>
      </w:r>
    </w:p>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center"/>
        <w:rPr/>
      </w:pPr>
      <w:r>
        <w:rP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p>
    <w:p>
      <w:pPr>
        <w:pStyle w:val="TextBody"/>
        <w:bidi w:val="0"/>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7" w:type="dxa"/>
        <w:jc w:val="center"/>
        <w:tblInd w:w="0" w:type="dxa"/>
        <w:tblLayout w:type="fixed"/>
        <w:tblCellMar>
          <w:top w:w="28" w:type="dxa"/>
          <w:left w:w="28" w:type="dxa"/>
          <w:bottom w:w="28" w:type="dxa"/>
          <w:right w:w="28" w:type="dxa"/>
        </w:tblCellMar>
      </w:tblPr>
      <w:tblGrid>
        <w:gridCol w:w="289"/>
        <w:gridCol w:w="253"/>
        <w:gridCol w:w="253"/>
        <w:gridCol w:w="468"/>
        <w:gridCol w:w="468"/>
        <w:gridCol w:w="468"/>
        <w:gridCol w:w="270"/>
        <w:gridCol w:w="270"/>
        <w:gridCol w:w="287"/>
        <w:gridCol w:w="109"/>
        <w:gridCol w:w="109"/>
        <w:gridCol w:w="109"/>
        <w:gridCol w:w="775"/>
        <w:gridCol w:w="775"/>
        <w:gridCol w:w="1104"/>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87-1041305</w:t>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110 SW 4th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131E29"/>
                <w:sz w:val="20"/>
              </w:rPr>
            </w:pPr>
            <w:r>
              <w:rPr>
                <w:rFonts w:ascii="Arial;sans-serif" w:hAnsi="Arial;sans-serif"/>
                <w:b/>
                <w:color w:val="131E29"/>
                <w:sz w:val="20"/>
              </w:rPr>
              <w:t xml:space="preserve">Grants Pass, </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Oregon</w:t>
            </w:r>
          </w:p>
        </w:tc>
        <w:tc>
          <w:tcPr>
            <w:tcW w:w="327"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97526</w:t>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(541) 955-4700</w:t>
      </w:r>
    </w:p>
    <w:p>
      <w:pPr>
        <w:pStyle w:val="TextBody"/>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Layout w:type="fixed"/>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Class A Common Stock, </w:t>
              <w:br/>
              <w:t>par value $0.00001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bidi w:val="0"/>
        <w:spacing w:before="0" w:after="0"/>
        <w:jc w:val="center"/>
        <w:rPr/>
      </w:pPr>
      <w:r>
        <w:rPr/>
      </w:r>
    </w:p>
    <w:p>
      <w:pPr>
        <w:pStyle w:val="TextBody"/>
        <w:bidi w:val="0"/>
        <w:spacing w:lineRule="auto" w:line="288" w:before="0" w:after="18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bl>
    <w:p>
      <w:pPr>
        <w:pStyle w:val="TextBody"/>
        <w:bidi w:val="0"/>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As of November 2, 2023, the registrant’s outstanding shares of common stock were as follows:</w:t>
      </w:r>
    </w:p>
    <w:p>
      <w:pPr>
        <w:pStyle w:val="TextBody"/>
        <w:bidi w:val="0"/>
        <w:spacing w:before="0" w:after="0"/>
        <w:jc w:val="center"/>
        <w:rPr/>
      </w:pPr>
      <w:r>
        <w:rPr/>
      </w:r>
    </w:p>
    <w:tbl>
      <w:tblPr>
        <w:tblW w:w="3271" w:type="dxa"/>
        <w:jc w:val="center"/>
        <w:tblInd w:w="0" w:type="dxa"/>
        <w:tblLayout w:type="fixed"/>
        <w:tblCellMar>
          <w:top w:w="28" w:type="dxa"/>
          <w:left w:w="28" w:type="dxa"/>
          <w:bottom w:w="28" w:type="dxa"/>
          <w:right w:w="28" w:type="dxa"/>
        </w:tblCellMar>
      </w:tblPr>
      <w:tblGrid>
        <w:gridCol w:w="781"/>
        <w:gridCol w:w="687"/>
        <w:gridCol w:w="692"/>
        <w:gridCol w:w="325"/>
        <w:gridCol w:w="325"/>
        <w:gridCol w:w="461"/>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r>
          </w:p>
        </w:tc>
        <w:tc>
          <w:tcPr>
            <w:tcW w:w="11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63,018,400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B common stock</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60,629,136</w:t>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C common stock</w:t>
            </w:r>
          </w:p>
        </w:tc>
        <w:tc>
          <w:tcPr>
            <w:tcW w:w="11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41,056,429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D common stock</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12,411,419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8213" w:type="dxa"/>
        <w:jc w:val="left"/>
        <w:tblInd w:w="0" w:type="dxa"/>
        <w:tblLayout w:type="fixed"/>
        <w:tblCellMar>
          <w:top w:w="28" w:type="dxa"/>
          <w:left w:w="28" w:type="dxa"/>
          <w:bottom w:w="28" w:type="dxa"/>
          <w:right w:w="28" w:type="dxa"/>
        </w:tblCellMar>
      </w:tblPr>
      <w:tblGrid>
        <w:gridCol w:w="483"/>
        <w:gridCol w:w="422"/>
        <w:gridCol w:w="422"/>
        <w:gridCol w:w="2060"/>
        <w:gridCol w:w="2060"/>
        <w:gridCol w:w="2150"/>
        <w:gridCol w:w="180"/>
        <w:gridCol w:w="180"/>
        <w:gridCol w:w="256"/>
      </w:tblGrid>
      <w:tr>
        <w:trP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7" w:type="dxa"/>
            <w:gridSpan w:val="6"/>
            <w:tcBorders>
              <w:bottom w:val="single" w:sz="8" w:space="0" w:color="D2DCE5"/>
            </w:tcBorders>
            <w:tcMar>
              <w:top w:w="0" w:type="dxa"/>
              <w:left w:w="0" w:type="dxa"/>
              <w:bottom w:w="30" w:type="dxa"/>
              <w:right w:w="0" w:type="dxa"/>
            </w:tcMar>
            <w:vAlign w:val="center"/>
          </w:tcPr>
          <w:p>
            <w:pPr>
              <w:pStyle w:val="TableContents"/>
              <w:bidi w:val="0"/>
              <w:spacing w:lineRule="auto" w:line="288" w:before="0" w:after="180"/>
              <w:jc w:val="left"/>
              <w:rPr/>
            </w:pPr>
            <w:hyperlink w:anchor="idd3840a2c137407b91ae21c7e1036bfa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dd3840a2c137407b91ae21c7e1036bfa_22">
              <w:r>
                <w:rPr>
                  <w:rStyle w:val="InternetLink"/>
                  <w:rFonts w:ascii="Arial;sans-serif" w:hAnsi="Arial;sans-serif"/>
                  <w:b w:val="false"/>
                  <w:strike w:val="false"/>
                  <w:dstrike w:val="false"/>
                  <w:color w:val="131E29"/>
                  <w:sz w:val="20"/>
                  <w:u w:val="none"/>
                  <w:effect w:val="none"/>
                </w:rPr>
                <w:t>1</w:t>
              </w:r>
            </w:hyperlink>
          </w:p>
        </w:tc>
      </w:tr>
      <w:tr>
        <w:trPr/>
        <w:tc>
          <w:tcPr>
            <w:tcW w:w="7597" w:type="dxa"/>
            <w:gridSpan w:val="6"/>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28">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28">
              <w:r>
                <w:rPr>
                  <w:rStyle w:val="InternetLink"/>
                  <w:rFonts w:ascii="Arial;sans-serif" w:hAnsi="Arial;sans-serif"/>
                  <w:b w:val="false"/>
                  <w:strike w:val="false"/>
                  <w:dstrike w:val="false"/>
                  <w:color w:val="131E29"/>
                  <w:sz w:val="20"/>
                  <w:u w:val="none"/>
                  <w:effect w:val="none"/>
                </w:rPr>
                <w:t>2</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d3840a2c137407b91ae21c7e1036bfa_34">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dd3840a2c137407b91ae21c7e1036bfa_34">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d3840a2c137407b91ae21c7e1036bfa_37">
              <w:r>
                <w:rPr>
                  <w:rStyle w:val="InternetLink"/>
                  <w:rFonts w:ascii="Arial;sans-serif" w:hAnsi="Arial;sans-serif"/>
                  <w:b w:val="false"/>
                  <w:strike w:val="false"/>
                  <w:dstrike w:val="false"/>
                  <w:color w:val="131E29"/>
                  <w:sz w:val="20"/>
                  <w:u w:val="none"/>
                  <w:effect w:val="none"/>
                </w:rPr>
                <w:t>Financial Statements</w:t>
              </w:r>
            </w:hyperlink>
            <w:r>
              <w:rPr>
                <w:rFonts w:ascii="Arial;sans-serif" w:hAnsi="Arial;sans-serif"/>
                <w:b w:val="false"/>
                <w:color w:val="131E29"/>
                <w:sz w:val="20"/>
              </w:rPr>
              <w:t xml:space="preserve"> (Unaudited)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dd3840a2c137407b91ae21c7e1036bfa_37">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46">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46">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52">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52">
              <w:r>
                <w:rPr>
                  <w:rStyle w:val="InternetLink"/>
                  <w:rFonts w:ascii="Arial;sans-serif" w:hAnsi="Arial;sans-serif"/>
                  <w:b w:val="false"/>
                  <w:strike w:val="false"/>
                  <w:dstrike w:val="false"/>
                  <w:color w:val="131E29"/>
                  <w:sz w:val="20"/>
                  <w:u w:val="none"/>
                  <w:effect w:val="none"/>
                </w:rPr>
                <w:t>5</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55">
              <w:r>
                <w:rPr>
                  <w:rStyle w:val="InternetLink"/>
                  <w:rFonts w:ascii="Arial;sans-serif" w:hAnsi="Arial;sans-serif"/>
                  <w:b w:val="false"/>
                  <w:strike w:val="false"/>
                  <w:dstrike w:val="false"/>
                  <w:color w:val="131E29"/>
                  <w:sz w:val="20"/>
                  <w:u w:val="none"/>
                  <w:effect w:val="none"/>
                </w:rPr>
                <w:t>Condensed Consolidated Statements of Comprehensive Income (Loss)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55">
              <w:r>
                <w:rPr>
                  <w:rStyle w:val="InternetLink"/>
                  <w:rFonts w:ascii="Arial;sans-serif" w:hAnsi="Arial;sans-serif"/>
                  <w:b w:val="false"/>
                  <w:strike w:val="false"/>
                  <w:dstrike w:val="false"/>
                  <w:color w:val="131E29"/>
                  <w:sz w:val="20"/>
                  <w:u w:val="none"/>
                  <w:effect w:val="none"/>
                </w:rPr>
                <w:t>6</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58">
              <w:r>
                <w:rPr>
                  <w:rStyle w:val="InternetLink"/>
                  <w:rFonts w:ascii="Arial;sans-serif" w:hAnsi="Arial;sans-serif"/>
                  <w:b w:val="false"/>
                  <w:strike w:val="false"/>
                  <w:dstrike w:val="false"/>
                  <w:color w:val="131E29"/>
                  <w:sz w:val="20"/>
                  <w:u w:val="none"/>
                  <w:effect w:val="none"/>
                </w:rPr>
                <w:t>Condensed Consolidated Statements of Stockholders’ Equity</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58">
              <w:r>
                <w:rPr>
                  <w:rStyle w:val="InternetLink"/>
                  <w:rFonts w:ascii="Arial;sans-serif" w:hAnsi="Arial;sans-serif"/>
                  <w:b w:val="false"/>
                  <w:strike w:val="false"/>
                  <w:dstrike w:val="false"/>
                  <w:color w:val="131E29"/>
                  <w:sz w:val="20"/>
                  <w:u w:val="none"/>
                  <w:effect w:val="none"/>
                </w:rPr>
                <w:t>7</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85">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85">
              <w:r>
                <w:rPr>
                  <w:rStyle w:val="InternetLink"/>
                  <w:rFonts w:ascii="Arial;sans-serif" w:hAnsi="Arial;sans-serif"/>
                  <w:b w:val="false"/>
                  <w:strike w:val="false"/>
                  <w:dstrike w:val="false"/>
                  <w:color w:val="131E29"/>
                  <w:sz w:val="20"/>
                  <w:u w:val="none"/>
                  <w:effect w:val="none"/>
                </w:rPr>
                <w:t>11</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91">
              <w:r>
                <w:rPr>
                  <w:rStyle w:val="InternetLink"/>
                  <w:rFonts w:ascii="Arial;sans-serif" w:hAnsi="Arial;sans-serif"/>
                  <w:b w:val="false"/>
                  <w:strike w:val="false"/>
                  <w:dstrike w:val="false"/>
                  <w:color w:val="131E29"/>
                  <w:sz w:val="20"/>
                  <w:u w:val="none"/>
                  <w:effect w:val="none"/>
                </w:rPr>
                <w:t>Notes to Condensed Consolidated Financial Statements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91">
              <w:r>
                <w:rPr>
                  <w:rStyle w:val="InternetLink"/>
                  <w:rFonts w:ascii="Arial;sans-serif" w:hAnsi="Arial;sans-serif"/>
                  <w:b w:val="false"/>
                  <w:strike w:val="false"/>
                  <w:dstrike w:val="false"/>
                  <w:color w:val="131E29"/>
                  <w:sz w:val="20"/>
                  <w:u w:val="none"/>
                  <w:effect w:val="none"/>
                </w:rPr>
                <w:t>13</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d3840a2c137407b91ae21c7e1036bfa_457">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bidi w:val="0"/>
              <w:spacing w:lineRule="auto" w:line="288" w:before="0" w:after="0"/>
              <w:jc w:val="left"/>
              <w:rPr/>
            </w:pPr>
            <w:hyperlink w:anchor="idd3840a2c137407b91ae21c7e1036bfa_457">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457">
              <w:r>
                <w:rPr>
                  <w:rStyle w:val="InternetLink"/>
                  <w:rFonts w:ascii="Arial;sans-serif" w:hAnsi="Arial;sans-serif"/>
                  <w:b w:val="false"/>
                  <w:strike w:val="false"/>
                  <w:dstrike w:val="false"/>
                  <w:color w:val="131E29"/>
                  <w:sz w:val="20"/>
                  <w:u w:val="none"/>
                  <w:effect w:val="none"/>
                </w:rPr>
                <w:t>34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3.</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697">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697">
              <w:r>
                <w:rPr>
                  <w:rStyle w:val="InternetLink"/>
                  <w:rFonts w:ascii="Arial;sans-serif" w:hAnsi="Arial;sans-serif"/>
                  <w:b w:val="false"/>
                  <w:strike w:val="false"/>
                  <w:dstrike w:val="false"/>
                  <w:color w:val="131E29"/>
                  <w:sz w:val="20"/>
                  <w:u w:val="none"/>
                  <w:effect w:val="none"/>
                </w:rPr>
                <w:t>54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4.</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706">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706">
              <w:r>
                <w:rPr>
                  <w:rStyle w:val="InternetLink"/>
                  <w:rFonts w:ascii="Arial;sans-serif" w:hAnsi="Arial;sans-serif"/>
                  <w:b w:val="false"/>
                  <w:strike w:val="false"/>
                  <w:dstrike w:val="false"/>
                  <w:color w:val="131E29"/>
                  <w:sz w:val="20"/>
                  <w:u w:val="none"/>
                  <w:effect w:val="none"/>
                </w:rPr>
                <w:t>55</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II</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d3840a2c137407b91ae21c7e1036bfa_721">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721">
              <w:r>
                <w:rPr>
                  <w:rStyle w:val="InternetLink"/>
                  <w:rFonts w:ascii="Arial;sans-serif" w:hAnsi="Arial;sans-serif"/>
                  <w:b w:val="false"/>
                  <w:strike w:val="false"/>
                  <w:dstrike w:val="false"/>
                  <w:color w:val="000000"/>
                  <w:sz w:val="20"/>
                  <w:u w:val="none"/>
                  <w:effect w:val="none"/>
                </w:rPr>
                <w:t>57</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d3840a2c137407b91ae21c7e1036bfa_724">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dd3840a2c137407b91ae21c7e1036bfa_724">
              <w:r>
                <w:rPr>
                  <w:rStyle w:val="InternetLink"/>
                  <w:rFonts w:ascii="Arial;sans-serif" w:hAnsi="Arial;sans-serif"/>
                  <w:b w:val="false"/>
                  <w:strike w:val="false"/>
                  <w:dstrike w:val="false"/>
                  <w:color w:val="131E29"/>
                  <w:sz w:val="20"/>
                  <w:u w:val="none"/>
                  <w:effect w:val="none"/>
                </w:rPr>
                <w:t>57</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1A.</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736">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736">
              <w:r>
                <w:rPr>
                  <w:rStyle w:val="InternetLink"/>
                  <w:rFonts w:ascii="Arial;sans-serif" w:hAnsi="Arial;sans-serif"/>
                  <w:b w:val="false"/>
                  <w:strike w:val="false"/>
                  <w:dstrike w:val="false"/>
                  <w:color w:val="131E29"/>
                  <w:sz w:val="20"/>
                  <w:u w:val="none"/>
                  <w:effect w:val="none"/>
                </w:rPr>
                <w:t>57</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775">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775">
              <w:r>
                <w:rPr>
                  <w:rStyle w:val="InternetLink"/>
                  <w:rFonts w:ascii="Arial;sans-serif" w:hAnsi="Arial;sans-serif"/>
                  <w:b w:val="false"/>
                  <w:strike w:val="false"/>
                  <w:dstrike w:val="false"/>
                  <w:color w:val="131E29"/>
                  <w:sz w:val="20"/>
                  <w:u w:val="none"/>
                  <w:effect w:val="none"/>
                </w:rPr>
                <w:t>100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3.</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802">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802">
              <w:r>
                <w:rPr>
                  <w:rStyle w:val="InternetLink"/>
                  <w:rFonts w:ascii="Arial;sans-serif" w:hAnsi="Arial;sans-serif"/>
                  <w:b w:val="false"/>
                  <w:strike w:val="false"/>
                  <w:dstrike w:val="false"/>
                  <w:color w:val="131E29"/>
                  <w:sz w:val="20"/>
                  <w:u w:val="none"/>
                  <w:effect w:val="none"/>
                </w:rPr>
                <w:t>101</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4.</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805">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805">
              <w:r>
                <w:rPr>
                  <w:rStyle w:val="InternetLink"/>
                  <w:rFonts w:ascii="Arial;sans-serif" w:hAnsi="Arial;sans-serif"/>
                  <w:b w:val="false"/>
                  <w:strike w:val="false"/>
                  <w:dstrike w:val="false"/>
                  <w:color w:val="131E29"/>
                  <w:sz w:val="20"/>
                  <w:u w:val="none"/>
                  <w:effect w:val="none"/>
                </w:rPr>
                <w:t>101</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5.</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808">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808">
              <w:r>
                <w:rPr>
                  <w:rStyle w:val="InternetLink"/>
                  <w:rFonts w:ascii="Arial;sans-serif" w:hAnsi="Arial;sans-serif"/>
                  <w:b w:val="false"/>
                  <w:strike w:val="false"/>
                  <w:dstrike w:val="false"/>
                  <w:color w:val="131E29"/>
                  <w:sz w:val="20"/>
                  <w:u w:val="none"/>
                  <w:effect w:val="none"/>
                </w:rPr>
                <w:t>101</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6.</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dd3840a2c137407b91ae21c7e1036bfa_907">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dd3840a2c137407b91ae21c7e1036bfa_817">
              <w:r>
                <w:rPr>
                  <w:rStyle w:val="InternetLink"/>
                  <w:rFonts w:ascii="Arial;sans-serif" w:hAnsi="Arial;sans-serif"/>
                  <w:b w:val="false"/>
                  <w:strike w:val="false"/>
                  <w:dstrike w:val="false"/>
                  <w:color w:val="131E29"/>
                  <w:sz w:val="20"/>
                  <w:u w:val="none"/>
                  <w:effect w:val="none"/>
                </w:rPr>
                <w:t>102</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7" w:type="dxa"/>
            <w:gridSpan w:val="6"/>
            <w:tcBorders/>
            <w:tcMar>
              <w:top w:w="0" w:type="dxa"/>
              <w:left w:w="0" w:type="dxa"/>
              <w:bottom w:w="0" w:type="dxa"/>
              <w:right w:w="0" w:type="dxa"/>
            </w:tcMar>
            <w:vAlign w:val="center"/>
          </w:tcPr>
          <w:p>
            <w:pPr>
              <w:pStyle w:val="TableContents"/>
              <w:bidi w:val="0"/>
              <w:spacing w:lineRule="auto" w:line="288" w:before="0" w:after="180"/>
              <w:jc w:val="left"/>
              <w:rPr/>
            </w:pPr>
            <w:hyperlink w:anchor="idd3840a2c137407b91ae21c7e1036bfa_820">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dd3840a2c137407b91ae21c7e1036bfa_820">
              <w:r>
                <w:rPr>
                  <w:rStyle w:val="InternetLink"/>
                  <w:rFonts w:ascii="Arial;sans-serif" w:hAnsi="Arial;sans-serif"/>
                  <w:b w:val="false"/>
                  <w:strike w:val="false"/>
                  <w:dstrike w:val="false"/>
                  <w:color w:val="131E29"/>
                  <w:sz w:val="20"/>
                  <w:u w:val="none"/>
                  <w:effect w:val="none"/>
                </w:rPr>
                <w:t>103</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GLOSSARY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tbl>
      <w:tblPr>
        <w:tblW w:w="10205" w:type="dxa"/>
        <w:jc w:val="left"/>
        <w:tblInd w:w="0" w:type="dxa"/>
        <w:tblLayout w:type="fixed"/>
        <w:tblCellMar>
          <w:top w:w="28" w:type="dxa"/>
          <w:left w:w="28" w:type="dxa"/>
          <w:bottom w:w="28" w:type="dxa"/>
          <w:right w:w="28" w:type="dxa"/>
        </w:tblCellMar>
      </w:tblPr>
      <w:tblGrid>
        <w:gridCol w:w="913"/>
        <w:gridCol w:w="556"/>
        <w:gridCol w:w="554"/>
        <w:gridCol w:w="109"/>
        <w:gridCol w:w="109"/>
        <w:gridCol w:w="109"/>
        <w:gridCol w:w="2440"/>
        <w:gridCol w:w="2239"/>
        <w:gridCol w:w="3176"/>
      </w:tblGrid>
      <w:tr>
        <w:trPr/>
        <w:tc>
          <w:tcPr>
            <w:tcW w:w="91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both"/>
              <w:rPr>
                <w:rFonts w:ascii="Arial;sans-serif" w:hAnsi="Arial;sans-serif"/>
                <w:b/>
                <w:color w:val="006098"/>
                <w:sz w:val="20"/>
              </w:rPr>
            </w:pPr>
            <w:r>
              <w:rPr>
                <w:rFonts w:ascii="Arial;sans-serif" w:hAnsi="Arial;sans-serif"/>
                <w:b/>
                <w:color w:val="006098"/>
                <w:sz w:val="20"/>
              </w:rPr>
              <w:t>DEFINITION</w:t>
            </w:r>
          </w:p>
        </w:tc>
      </w:tr>
      <w:tr>
        <w:trPr/>
        <w:tc>
          <w:tcPr>
            <w:tcW w:w="202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2022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Has the meaning set forth in NOTE 9 — Debt to the condensed consolidated financial statements, included elsewhere in this Form 10-Q</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AUV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Average Unit Volume</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Blocker Companies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TSG7 A AIV VI Holdings, LLC and DG Coinvestor Blocker, LLC</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BPS or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Basis points, which is used to express differences in rates. One basis point is the equivalent of 1/100 of one percent.</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Co-Founder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Travis Boersma and affiliated entities over which he maintains voting control.</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5"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Continuing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The Co-Founder and the Sponsor</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OpCo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Dutch Mafia, LLC, a Delaware limited liability company and direct subsidiary of Dutch Bros Inc.</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 Delaware corporation, the Class A common stock of which is publicly traded on the New York Stock Exchange under the symbol “BROS”.</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5"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Follow-On Offering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Has the meaning set forth in NOTE 13 — Equity and Equity-Based Compensation</w:t>
            </w:r>
            <w:r>
              <w:rPr>
                <w:color w:val="00416B"/>
              </w:rPr>
              <w:t xml:space="preserve"> </w:t>
            </w:r>
            <w:r>
              <w:rPr>
                <w:rFonts w:ascii="Arial;sans-serif" w:hAnsi="Arial;sans-serif"/>
                <w:b w:val="false"/>
                <w:color w:val="131E29"/>
                <w:sz w:val="20"/>
              </w:rPr>
              <w:t>to the condensed consolidated financial statements, included elsewhere in this Form 10-Q</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U.S. Generally Accepted Accounting Principles</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IPO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Initial Public Offering</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5"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A not meaningful percentage.</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OpCo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Class A common units, Class B voting units and Class C voting units of Dutch Bros OpCo, each as further defined in the Third Amended and Restated Limited Liability Company Agreement of Dutch Bros OpCo, collectively.</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Pre-IPO Blocker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TSG7 A AIV VI Holdings-A, L.P. and DG Coinvestor Blocker Aggregator, L.P. or their assignees or successors pursuant to the terms of the certain Reorganization Tax Receivable Agreement.</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QSR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Quick Service Restaurant</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5"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Restricted Stock Awards</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Restricted Stock Units</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5"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Securities and Exchange Commission</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SOFR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Secured Overnight Financing Rate</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TSG Consumer Partners, L.P. and certain of its affiliates.</w:t>
            </w:r>
          </w:p>
        </w:tc>
      </w:tr>
      <w:tr>
        <w:trPr/>
        <w:tc>
          <w:tcPr>
            <w:tcW w:w="20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Tax Receivable Agreements and TRAs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Tax Receivable Agreement (Exchanges) and the Tax Receivable Agreement (Reorganization) that Dutch Bros Inc. entered into with the Continuing Members and the Pre-IPO Blocker Holders, respectively, in connection with the IPO.</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Western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The collection of states including Arizona, California, Colorado, Idaho, Nevada, New Mexico, Oregon, Utah and Washington.</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rial;sans-serif" w:hAnsi="Arial;sans-serif"/>
          <w:b w:val="false"/>
          <w:i/>
          <w:color w:val="131E29"/>
          <w:sz w:val="16"/>
        </w:rPr>
        <w:t>Dutch Bros</w:t>
      </w:r>
      <w:r>
        <w:rPr>
          <w:rFonts w:ascii="Arial;sans-serif" w:hAnsi="Arial;sans-serif"/>
          <w:b w:val="false"/>
          <w:color w:val="131E29"/>
          <w:sz w:val="16"/>
        </w:rPr>
        <w:t>, our Windmill logo (</w:t>
      </w:r>
      <w:r>
        <w:rPr/>
        <w:drawing>
          <wp:inline distT="0" distB="0" distL="0" distR="0">
            <wp:extent cx="190500"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 xml:space="preserve">), </w:t>
      </w:r>
      <w:r>
        <w:rPr>
          <w:rFonts w:ascii="Arial;sans-serif" w:hAnsi="Arial;sans-serif"/>
          <w:b w:val="false"/>
          <w:i/>
          <w:color w:val="131E29"/>
          <w:sz w:val="16"/>
        </w:rPr>
        <w:t>Dutch Bros Blue Rebel</w:t>
      </w:r>
      <w:r>
        <w:rPr>
          <w:rFonts w:ascii="Arial;sans-serif" w:hAnsi="Arial;sans-serif"/>
          <w:b w:val="false"/>
          <w:color w:val="131E29"/>
          <w:sz w:val="16"/>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3220"/>
                <wp:effectExtent l="0" t="0" r="0" b="0"/>
                <wp:wrapNone/>
                <wp:docPr id="5" name="Frame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FORWARD-LOOKING STATEMENTS</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10-Q that are not historical facts, including those regarding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2022, filed with the Securities and Exchange Commission on February 27, 2023.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Website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63220"/>
                <wp:effectExtent l="0" t="0" r="0" b="0"/>
                <wp:wrapNone/>
                <wp:docPr id="8" name="Frame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8557" w:type="dxa"/>
        <w:jc w:val="center"/>
        <w:tblInd w:w="0" w:type="dxa"/>
        <w:tblLayout w:type="fixed"/>
        <w:tblCellMar>
          <w:top w:w="28" w:type="dxa"/>
          <w:left w:w="28" w:type="dxa"/>
          <w:bottom w:w="28" w:type="dxa"/>
          <w:right w:w="28" w:type="dxa"/>
        </w:tblCellMar>
      </w:tblPr>
      <w:tblGrid>
        <w:gridCol w:w="1830"/>
        <w:gridCol w:w="1607"/>
        <w:gridCol w:w="1617"/>
        <w:gridCol w:w="109"/>
        <w:gridCol w:w="109"/>
        <w:gridCol w:w="109"/>
        <w:gridCol w:w="226"/>
        <w:gridCol w:w="1097"/>
        <w:gridCol w:w="117"/>
        <w:gridCol w:w="109"/>
        <w:gridCol w:w="109"/>
        <w:gridCol w:w="109"/>
        <w:gridCol w:w="214"/>
        <w:gridCol w:w="1039"/>
        <w:gridCol w:w="156"/>
      </w:tblGrid>
      <w:tr>
        <w:trPr/>
        <w:tc>
          <w:tcPr>
            <w:tcW w:w="18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505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149,786 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20,178 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50,296 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39,229 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221,406 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82,322 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498,705 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365,468 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364,757 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247,943 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190,864 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6,215 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8,804 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income tax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330,278 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288,765 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1,639,030 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1,186,360 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27,703 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Accrued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40,309 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27,452 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22,414 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25,335 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7,971 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120,811 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5,524 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6,119 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Tax receivable agreements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219,183 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347,961 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237,130 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92,704 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96,297 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968,392 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934,384 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Commitments and contingencies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63220"/>
                <wp:effectExtent l="0" t="0" r="0" b="0"/>
                <wp:wrapNone/>
                <wp:docPr id="11" name="Frame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 (continued)</w:t>
      </w:r>
    </w:p>
    <w:tbl>
      <w:tblPr>
        <w:tblW w:w="10205" w:type="dxa"/>
        <w:jc w:val="left"/>
        <w:tblInd w:w="0" w:type="dxa"/>
        <w:tblLayout w:type="fixed"/>
        <w:tblCellMar>
          <w:top w:w="28" w:type="dxa"/>
          <w:left w:w="28" w:type="dxa"/>
          <w:bottom w:w="28" w:type="dxa"/>
          <w:right w:w="28" w:type="dxa"/>
        </w:tblCellMar>
      </w:tblPr>
      <w:tblGrid>
        <w:gridCol w:w="2671"/>
        <w:gridCol w:w="2048"/>
        <w:gridCol w:w="2062"/>
        <w:gridCol w:w="109"/>
        <w:gridCol w:w="109"/>
        <w:gridCol w:w="109"/>
        <w:gridCol w:w="216"/>
        <w:gridCol w:w="1046"/>
        <w:gridCol w:w="111"/>
        <w:gridCol w:w="109"/>
        <w:gridCol w:w="109"/>
        <w:gridCol w:w="109"/>
        <w:gridCol w:w="212"/>
        <w:gridCol w:w="1027"/>
        <w:gridCol w:w="158"/>
      </w:tblGrid>
      <w:tr>
        <w:trPr/>
        <w:tc>
          <w:tcPr>
            <w:tcW w:w="267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724" w:type="dxa"/>
            <w:gridSpan w:val="6"/>
            <w:tcBorders/>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678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Preferred stock, $0.00001 par value per share - 20,000 shares authorized; zero shares issued and outstanding as of September 30, 2023 and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A common stock, $0.00001 par value per share - 400,000 shares authorized; 58,948 and 45,544 shares issued and outstanding as of September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B common stock, $0.00001 par value per share - 144,000 shares authorized; 64,699 shares issued and outstanding as of September 30, 2023 and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C common stock, $0.00001 par value per share - 105,000 shares authorized; 41,056 shares issued and outstanding as of September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D common stock, $0.00001 par value per share - 42,000 shares authorized; 12,411 shares issued and outstanding as of September 30, 2023 and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344,771 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other comprehensive income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1,093 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813 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stockholders'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331,676 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129,118 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338,962 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122,858 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670,638 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251,976 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1,639,030 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1,186,360 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63220"/>
                <wp:effectExtent l="0" t="0" r="0" b="0"/>
                <wp:wrapNone/>
                <wp:docPr id="14" name="Frame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606"/>
        <w:gridCol w:w="926"/>
        <w:gridCol w:w="932"/>
        <w:gridCol w:w="109"/>
        <w:gridCol w:w="109"/>
        <w:gridCol w:w="109"/>
        <w:gridCol w:w="230"/>
        <w:gridCol w:w="936"/>
        <w:gridCol w:w="118"/>
        <w:gridCol w:w="118"/>
        <w:gridCol w:w="118"/>
        <w:gridCol w:w="118"/>
        <w:gridCol w:w="230"/>
        <w:gridCol w:w="936"/>
        <w:gridCol w:w="118"/>
        <w:gridCol w:w="109"/>
        <w:gridCol w:w="109"/>
        <w:gridCol w:w="109"/>
        <w:gridCol w:w="227"/>
        <w:gridCol w:w="925"/>
        <w:gridCol w:w="117"/>
        <w:gridCol w:w="117"/>
        <w:gridCol w:w="117"/>
        <w:gridCol w:w="117"/>
        <w:gridCol w:w="227"/>
        <w:gridCol w:w="925"/>
        <w:gridCol w:w="117"/>
        <w:gridCol w:w="109"/>
        <w:gridCol w:w="167"/>
      </w:tblGrid>
      <w:tr>
        <w:trPr/>
        <w:tc>
          <w:tcPr>
            <w:tcW w:w="160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236,472 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630,588 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28,035 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25,147 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81,065 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72,985 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264,507 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198,648 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711,653 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537,185 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189,323 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148,092 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519,482 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410,629 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239,813 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193,470 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667,610 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543,563 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(LOSS)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24,694 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5,178 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44,043 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(6,378)</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(11,096)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(1,662)</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(9,465)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(24,063)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(12,758)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(3,371)</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6,259 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(2,700)</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income (loss) attributable to non-controlling interests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9,191 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10,601 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(12,346)</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NET INCOME (LOSS) ATTRIBUTABLE TO DUTCH BROS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(loss) per share of Class A and Class D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0.07 </w:t>
            </w:r>
          </w:p>
        </w:tc>
        <w:tc>
          <w:tcPr>
            <w:tcW w:w="118"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6"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0.03 </w:t>
            </w:r>
          </w:p>
        </w:tc>
        <w:tc>
          <w:tcPr>
            <w:tcW w:w="118"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17"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5"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(0.08)</w:t>
            </w:r>
          </w:p>
        </w:tc>
        <w:tc>
          <w:tcPr>
            <w:tcW w:w="117"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shares of Class A and Class D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59,366 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53,118 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57,598 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50,719 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54,418 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50,719 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63220"/>
                <wp:effectExtent l="0" t="0" r="0" b="0"/>
                <wp:wrapNone/>
                <wp:docPr id="17" name="Frame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Condensed Consolidated Statements of Comprehensive Income (Loss)</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589"/>
        <w:gridCol w:w="1233"/>
        <w:gridCol w:w="1139"/>
        <w:gridCol w:w="109"/>
        <w:gridCol w:w="109"/>
        <w:gridCol w:w="109"/>
        <w:gridCol w:w="235"/>
        <w:gridCol w:w="837"/>
        <w:gridCol w:w="121"/>
        <w:gridCol w:w="121"/>
        <w:gridCol w:w="121"/>
        <w:gridCol w:w="121"/>
        <w:gridCol w:w="235"/>
        <w:gridCol w:w="720"/>
        <w:gridCol w:w="121"/>
        <w:gridCol w:w="109"/>
        <w:gridCol w:w="109"/>
        <w:gridCol w:w="109"/>
        <w:gridCol w:w="227"/>
        <w:gridCol w:w="811"/>
        <w:gridCol w:w="117"/>
        <w:gridCol w:w="117"/>
        <w:gridCol w:w="117"/>
        <w:gridCol w:w="117"/>
        <w:gridCol w:w="227"/>
        <w:gridCol w:w="832"/>
        <w:gridCol w:w="117"/>
        <w:gridCol w:w="109"/>
        <w:gridCol w:w="167"/>
      </w:tblGrid>
      <w:tr>
        <w:trPr/>
        <w:tc>
          <w:tcPr>
            <w:tcW w:w="158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13,401 </w:t>
            </w:r>
          </w:p>
        </w:tc>
        <w:tc>
          <w:tcPr>
            <w:tcW w:w="1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1,594 </w:t>
            </w:r>
          </w:p>
        </w:tc>
        <w:tc>
          <w:tcPr>
            <w:tcW w:w="1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13,721 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(16,436)</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gain on derivative securities, effective portion, net of income tax expense of $112, $244, $137 and $294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385 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2,484 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(13,386)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income (loss)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9,388 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1,612 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10,980 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(10,144)</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4,398 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(3,242)</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63220"/>
                <wp:effectExtent l="0" t="0" r="0" b="0"/>
                <wp:wrapNone/>
                <wp:docPr id="20" name="Frame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tbl>
      <w:tblPr>
        <w:tblW w:w="17567" w:type="dxa"/>
        <w:jc w:val="center"/>
        <w:tblInd w:w="0" w:type="dxa"/>
        <w:tblLayout w:type="fixed"/>
        <w:tblCellMar>
          <w:top w:w="28" w:type="dxa"/>
          <w:left w:w="28" w:type="dxa"/>
          <w:bottom w:w="28" w:type="dxa"/>
          <w:right w:w="28" w:type="dxa"/>
        </w:tblCellMar>
      </w:tblPr>
      <w:tblGrid>
        <w:gridCol w:w="547"/>
        <w:gridCol w:w="296"/>
        <w:gridCol w:w="298"/>
        <w:gridCol w:w="109"/>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287"/>
        <w:gridCol w:w="814"/>
        <w:gridCol w:w="160"/>
        <w:gridCol w:w="327"/>
        <w:gridCol w:w="213"/>
        <w:gridCol w:w="719"/>
        <w:gridCol w:w="11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154" w:type="dxa"/>
            <w:gridSpan w:val="7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45,674 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152,900 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905 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(18,400)</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134,668 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270,075 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9,191 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$112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(168)</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188 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197 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5,834 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and 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sold pursuant to follow-on offering,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13,269 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330,098 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330,098 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acquisition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(189,072)</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189,072 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follow-on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46,594 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other equity-related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555 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555 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58,948 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344,771 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(14,190)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338,962 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670,638 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63220"/>
                <wp:effectExtent l="0" t="0" r="0" b="0"/>
                <wp:wrapNone/>
                <wp:docPr id="23" name="Frame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180"/>
        <w:jc w:val="center"/>
        <w:rPr/>
      </w:pPr>
      <w:r>
        <w:rPr/>
      </w:r>
    </w:p>
    <w:p>
      <w:pPr>
        <w:pStyle w:val="TextBody"/>
        <w:bidi w:val="0"/>
        <w:spacing w:before="0" w:after="0"/>
        <w:jc w:val="center"/>
        <w:rPr/>
      </w:pPr>
      <w:r>
        <w:rPr/>
      </w:r>
    </w:p>
    <w:tbl>
      <w:tblPr>
        <w:tblW w:w="17567" w:type="dxa"/>
        <w:jc w:val="left"/>
        <w:tblInd w:w="0" w:type="dxa"/>
        <w:tblLayout w:type="fixed"/>
        <w:tblCellMar>
          <w:top w:w="28" w:type="dxa"/>
          <w:left w:w="28" w:type="dxa"/>
          <w:bottom w:w="28" w:type="dxa"/>
          <w:right w:w="28" w:type="dxa"/>
        </w:tblCellMar>
      </w:tblPr>
      <w:tblGrid>
        <w:gridCol w:w="547"/>
        <w:gridCol w:w="296"/>
        <w:gridCol w:w="298"/>
        <w:gridCol w:w="109"/>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287"/>
        <w:gridCol w:w="814"/>
        <w:gridCol w:w="160"/>
        <w:gridCol w:w="327"/>
        <w:gridCol w:w="213"/>
        <w:gridCol w:w="719"/>
        <w:gridCol w:w="11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154" w:type="dxa"/>
            <w:gridSpan w:val="7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45,544 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145,613 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813 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(17,310)</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122,858 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251,976 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$137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(187)</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280 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379 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472 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18,408 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29,017 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and 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135 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(661)</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(1,234)</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sold pursuant to follow-on offering,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13,269 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330,098 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330,098 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acquisition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(187,950)</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187,950 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follow-on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46,594 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other equity-related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655 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58,948 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344,771 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(14,190)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338,962 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670,638 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180"/>
        <w:jc w:val="center"/>
        <w:rPr/>
      </w:pPr>
      <w:r>
        <w:rPr/>
      </w:r>
    </w:p>
    <w:p>
      <w:pPr>
        <w:pStyle w:val="TextBody"/>
        <w:bidi w:val="0"/>
        <w:spacing w:before="0" w:after="0"/>
        <w:jc w:val="left"/>
        <w:rPr/>
      </w:pPr>
      <w:r>
        <w:rPr/>
      </w:r>
    </w:p>
    <w:tbl>
      <w:tblPr>
        <w:tblW w:w="17399" w:type="dxa"/>
        <w:jc w:val="left"/>
        <w:tblInd w:w="0" w:type="dxa"/>
        <w:tblLayout w:type="fixed"/>
        <w:tblCellMar>
          <w:top w:w="28" w:type="dxa"/>
          <w:left w:w="28" w:type="dxa"/>
          <w:bottom w:w="28" w:type="dxa"/>
          <w:right w:w="28" w:type="dxa"/>
        </w:tblCellMar>
      </w:tblPr>
      <w:tblGrid>
        <w:gridCol w:w="547"/>
        <w:gridCol w:w="296"/>
        <w:gridCol w:w="298"/>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340"/>
        <w:gridCol w:w="731"/>
        <w:gridCol w:w="190"/>
        <w:gridCol w:w="327"/>
        <w:gridCol w:w="213"/>
        <w:gridCol w:w="719"/>
        <w:gridCol w:w="11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399" w:type="dxa"/>
            <w:gridSpan w:val="8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 2022</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Deficit ¹</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 ¹</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39,558 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45,386 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14,062 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126,538 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145 </w:t>
            </w:r>
          </w:p>
        </w:tc>
        <w:tc>
          <w:tcPr>
            <w:tcW w:w="1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(18,410)</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114,042 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222,317 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$244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703 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1,781 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2,467 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3,656 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 of Tax Receivable Agreements and other equity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4,528 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(4,528)</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Surrender and cancellation of Class C &amp; 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5,980 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45,541 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141,480 </w:t>
            </w:r>
          </w:p>
        </w:tc>
        <w:tc>
          <w:tcPr>
            <w:tcW w:w="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848 </w:t>
            </w:r>
          </w:p>
        </w:tc>
        <w:tc>
          <w:tcPr>
            <w:tcW w:w="19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(16,647)</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118,119 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243,802 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Arial;sans-serif" w:hAnsi="Arial;sans-serif"/>
          <w:b w:val="false"/>
          <w:color w:val="131E29"/>
          <w:sz w:val="9"/>
        </w:rPr>
        <w:t>1</w:t>
      </w:r>
      <w:r>
        <w:rPr>
          <w:color w:val="131E29"/>
        </w:rPr>
        <w:t>    </w:t>
      </w:r>
      <w:r>
        <w:rPr>
          <w:rFonts w:ascii="Arial;sans-serif" w:hAnsi="Arial;sans-serif"/>
          <w:b w:val="false"/>
          <w:color w:val="131E29"/>
          <w:sz w:val="14"/>
        </w:rPr>
        <w:t>Subsequent to the Company’s January 1, 2022 adoption of the lease standard, the Company continued to review relevant lease contract elements and improve business processes, which resulted in adjustments to the Company’s adoption entries.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3220"/>
                <wp:effectExtent l="0" t="0" r="0" b="0"/>
                <wp:wrapNone/>
                <wp:docPr id="29" name="Frame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180"/>
        <w:jc w:val="center"/>
        <w:rPr/>
      </w:pPr>
      <w:r>
        <w:rPr/>
      </w:r>
    </w:p>
    <w:p>
      <w:pPr>
        <w:pStyle w:val="TextBody"/>
        <w:bidi w:val="0"/>
        <w:spacing w:before="0" w:after="0"/>
        <w:jc w:val="left"/>
        <w:rPr/>
      </w:pPr>
      <w:r>
        <w:rPr/>
      </w:r>
    </w:p>
    <w:tbl>
      <w:tblPr>
        <w:tblW w:w="17414" w:type="dxa"/>
        <w:jc w:val="left"/>
        <w:tblInd w:w="0" w:type="dxa"/>
        <w:tblLayout w:type="fixed"/>
        <w:tblCellMar>
          <w:top w:w="28" w:type="dxa"/>
          <w:left w:w="28" w:type="dxa"/>
          <w:bottom w:w="28" w:type="dxa"/>
          <w:right w:w="28" w:type="dxa"/>
        </w:tblCellMar>
      </w:tblPr>
      <w:tblGrid>
        <w:gridCol w:w="547"/>
        <w:gridCol w:w="296"/>
        <w:gridCol w:w="298"/>
        <w:gridCol w:w="109"/>
        <w:gridCol w:w="109"/>
        <w:gridCol w:w="109"/>
        <w:gridCol w:w="323"/>
        <w:gridCol w:w="323"/>
        <w:gridCol w:w="211"/>
        <w:gridCol w:w="109"/>
        <w:gridCol w:w="109"/>
        <w:gridCol w:w="109"/>
        <w:gridCol w:w="211"/>
        <w:gridCol w:w="406"/>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340"/>
        <w:gridCol w:w="731"/>
        <w:gridCol w:w="190"/>
        <w:gridCol w:w="327"/>
        <w:gridCol w:w="213"/>
        <w:gridCol w:w="719"/>
        <w:gridCol w:w="11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414" w:type="dxa"/>
            <w:gridSpan w:val="8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2022</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Deficit ¹</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 ¹</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34,433 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49,006 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15,441 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107,193 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(12,679)</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119,213 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213,729 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Adoption of ASU 2016-02, as amended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loss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(4,090)</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(12,346)</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(16,436)</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10,083 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20,912 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30,995 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 of Tax Receivable Agreements and other equity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15,958 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15,958 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Dutch Bros OpCo Class A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9,408 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(9,408)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Surrender and cancellation of Class C &amp; D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10,980 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(7,950)</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(3,030)</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45,541 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141,480 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(16,647)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118,119 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243,802 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Arial;sans-serif" w:hAnsi="Arial;sans-serif"/>
          <w:b w:val="false"/>
          <w:color w:val="000000"/>
          <w:sz w:val="9"/>
        </w:rPr>
        <w:t>1</w:t>
      </w:r>
      <w:r>
        <w:rPr>
          <w:color w:val="000000"/>
        </w:rPr>
        <w:t>    </w:t>
      </w:r>
      <w:r>
        <w:rPr>
          <w:rFonts w:ascii="Arial;sans-serif" w:hAnsi="Arial;sans-serif"/>
          <w:b w:val="false"/>
          <w:color w:val="000000"/>
          <w:sz w:val="14"/>
        </w:rPr>
        <w:t>Subsequent to the Company’s January 1, 2022 adoption of the lease standard, the Company continued to review relevant lease contract elements and improve business processes, which resulted in adjustments to the Company’s adoption entries.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3220"/>
                <wp:effectExtent l="0" t="0" r="0" b="0"/>
                <wp:wrapNone/>
                <wp:docPr id="32" name="Frame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425"/>
        <w:gridCol w:w="2088"/>
        <w:gridCol w:w="2102"/>
        <w:gridCol w:w="109"/>
        <w:gridCol w:w="109"/>
        <w:gridCol w:w="109"/>
        <w:gridCol w:w="244"/>
        <w:gridCol w:w="958"/>
        <w:gridCol w:w="126"/>
        <w:gridCol w:w="126"/>
        <w:gridCol w:w="126"/>
        <w:gridCol w:w="126"/>
        <w:gridCol w:w="244"/>
        <w:gridCol w:w="918"/>
        <w:gridCol w:w="126"/>
        <w:gridCol w:w="109"/>
        <w:gridCol w:w="160"/>
      </w:tblGrid>
      <w:tr>
        <w:trPr/>
        <w:tc>
          <w:tcPr>
            <w:tcW w:w="2425"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13,721 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(16,436)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Adjustments to reconcile net income (loss) to 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49,411 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31,531 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609 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509 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Gain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29,017 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30,995 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(3,757)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18"/>
              </w:rPr>
            </w:pPr>
            <w:r>
              <w:rPr>
                <w:rFonts w:ascii="Arial;sans-serif" w:hAnsi="Arial;sans-serif"/>
                <w:b w:val="false"/>
                <w:color w:val="131E29"/>
                <w:sz w:val="18"/>
              </w:rPr>
              <w:t>Remeasurement loss (gain) on TRAs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(1,740)</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1,910 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8,363 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7,299 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Changes in operating assets and liabilities, net of acquisitions: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(3,771)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(11,067)</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(10,301)</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(544)</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1,161 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Accrued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7,863 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2,208 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(3,516)</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5,860 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(7,643)</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(6,800)</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94,906 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42,768 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(167,732)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(134,634)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fixed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271 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1,274 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Acquisition of shops from franchisees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(167,461)</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(139,411)</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line of credit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90,000 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122,705 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(202,705)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(10,556)</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(3,144)</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(1,951)</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(1,333)</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18"/>
              </w:rPr>
            </w:pPr>
            <w:r>
              <w:rPr>
                <w:rFonts w:ascii="Arial;sans-serif" w:hAnsi="Arial;sans-serif"/>
                <w:b w:val="false"/>
                <w:color w:val="131E29"/>
                <w:sz w:val="18"/>
              </w:rPr>
              <w:t>Proceeds from equity offering, net of underwriting discounts and commissions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331,200 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Payment of deferred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(1,896)</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(3,900)</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202,163 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112,704 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increase in 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129,608 </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16,061 </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20,178 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18,506 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149,786 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34,567 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3220"/>
                <wp:effectExtent l="0" t="0" r="0" b="0"/>
                <wp:wrapNone/>
                <wp:docPr id="35" name="Frame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p>
      <w:pPr>
        <w:pStyle w:val="TextBody"/>
        <w:bidi w:val="0"/>
        <w:spacing w:before="0" w:after="60"/>
        <w:jc w:val="center"/>
        <w:rPr/>
      </w:pPr>
      <w:r>
        <w:rPr/>
      </w:r>
    </w:p>
    <w:tbl>
      <w:tblPr>
        <w:tblW w:w="9688" w:type="dxa"/>
        <w:jc w:val="left"/>
        <w:tblInd w:w="0" w:type="dxa"/>
        <w:tblLayout w:type="fixed"/>
        <w:tblCellMar>
          <w:top w:w="28" w:type="dxa"/>
          <w:left w:w="28" w:type="dxa"/>
          <w:bottom w:w="28" w:type="dxa"/>
          <w:right w:w="28" w:type="dxa"/>
        </w:tblCellMar>
      </w:tblPr>
      <w:tblGrid>
        <w:gridCol w:w="2192"/>
        <w:gridCol w:w="1927"/>
        <w:gridCol w:w="1940"/>
        <w:gridCol w:w="109"/>
        <w:gridCol w:w="109"/>
        <w:gridCol w:w="109"/>
        <w:gridCol w:w="266"/>
        <w:gridCol w:w="911"/>
        <w:gridCol w:w="137"/>
        <w:gridCol w:w="137"/>
        <w:gridCol w:w="137"/>
        <w:gridCol w:w="137"/>
        <w:gridCol w:w="266"/>
        <w:gridCol w:w="911"/>
        <w:gridCol w:w="137"/>
        <w:gridCol w:w="109"/>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paid for interest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27,663 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10,134 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accrued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14,207 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8,864 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offering costs accrued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523 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Transfer between line of credit and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3220"/>
                <wp:effectExtent l="0" t="0" r="0" b="0"/>
                <wp:wrapNone/>
                <wp:docPr id="38" name="Frame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tbl>
      <w:tblPr>
        <w:tblW w:w="8217" w:type="dxa"/>
        <w:jc w:val="left"/>
        <w:tblInd w:w="0" w:type="dxa"/>
        <w:tblLayout w:type="fixed"/>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7274"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dd3840a2c137407b91ae21c7e1036bfa_94">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100">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241">
              <w:r>
                <w:rPr>
                  <w:rStyle w:val="InternetLink"/>
                  <w:rFonts w:ascii="Arial;sans-serif" w:hAnsi="Arial;sans-serif"/>
                  <w:b w:val="false"/>
                  <w:strike w:val="false"/>
                  <w:dstrike w:val="false"/>
                  <w:color w:val="131E29"/>
                  <w:sz w:val="20"/>
                  <w:u w:val="none"/>
                  <w:effect w:val="none"/>
                </w:rPr>
                <w:t>16</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Shop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265">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268">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271">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Intangible Assets and Goodwill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274">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277">
              <w:r>
                <w:rPr>
                  <w:rStyle w:val="InternetLink"/>
                  <w:rFonts w:ascii="Arial;sans-serif" w:hAnsi="Arial;sans-serif"/>
                  <w:b w:val="false"/>
                  <w:strike w:val="false"/>
                  <w:dstrike w:val="false"/>
                  <w:color w:val="131E29"/>
                  <w:sz w:val="20"/>
                  <w:u w:val="none"/>
                  <w:effect w:val="none"/>
                </w:rPr>
                <w:t>19</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310">
              <w:r>
                <w:rPr>
                  <w:rStyle w:val="InternetLink"/>
                  <w:rFonts w:ascii="Arial;sans-serif" w:hAnsi="Arial;sans-serif"/>
                  <w:b w:val="false"/>
                  <w:strike w:val="false"/>
                  <w:dstrike w:val="false"/>
                  <w:color w:val="131E29"/>
                  <w:sz w:val="20"/>
                  <w:u w:val="none"/>
                  <w:effect w:val="none"/>
                </w:rPr>
                <w:t>22</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Fair Value Measurements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331">
              <w:r>
                <w:rPr>
                  <w:rStyle w:val="InternetLink"/>
                  <w:rFonts w:ascii="Arial;sans-serif" w:hAnsi="Arial;sans-serif"/>
                  <w:b w:val="false"/>
                  <w:strike w:val="false"/>
                  <w:dstrike w:val="false"/>
                  <w:color w:val="131E29"/>
                  <w:sz w:val="20"/>
                  <w:u w:val="none"/>
                  <w:effect w:val="none"/>
                </w:rPr>
                <w:t>23</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Derivative Financial Instruments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337">
              <w:r>
                <w:rPr>
                  <w:rStyle w:val="InternetLink"/>
                  <w:rFonts w:ascii="Arial;sans-serif" w:hAnsi="Arial;sans-serif"/>
                  <w:b w:val="false"/>
                  <w:strike w:val="false"/>
                  <w:dstrike w:val="false"/>
                  <w:color w:val="131E29"/>
                  <w:sz w:val="20"/>
                  <w:u w:val="none"/>
                  <w:effect w:val="none"/>
                </w:rPr>
                <w:t>24</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343">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Equity and 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379">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397">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Income (Loss) Per Share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412">
              <w:r>
                <w:rPr>
                  <w:rStyle w:val="InternetLink"/>
                  <w:rFonts w:ascii="Arial;sans-serif" w:hAnsi="Arial;sans-serif"/>
                  <w:b w:val="false"/>
                  <w:strike w:val="false"/>
                  <w:dstrike w:val="false"/>
                  <w:color w:val="131E29"/>
                  <w:sz w:val="20"/>
                  <w:u w:val="none"/>
                  <w:effect w:val="none"/>
                </w:rPr>
                <w:t>28</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427">
              <w:r>
                <w:rPr>
                  <w:rStyle w:val="InternetLink"/>
                  <w:rFonts w:ascii="Arial;sans-serif" w:hAnsi="Arial;sans-serif"/>
                  <w:b w:val="false"/>
                  <w:strike w:val="false"/>
                  <w:dstrike w:val="false"/>
                  <w:color w:val="131E29"/>
                  <w:sz w:val="20"/>
                  <w:u w:val="none"/>
                  <w:effect w:val="none"/>
                </w:rPr>
                <w:t>30</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Related Party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439">
              <w:r>
                <w:rPr>
                  <w:rStyle w:val="InternetLink"/>
                  <w:rFonts w:ascii="Arial;sans-serif" w:hAnsi="Arial;sans-serif"/>
                  <w:b w:val="false"/>
                  <w:strike w:val="false"/>
                  <w:dstrike w:val="false"/>
                  <w:color w:val="131E29"/>
                  <w:sz w:val="20"/>
                  <w:u w:val="none"/>
                  <w:effect w:val="none"/>
                </w:rPr>
                <w:t>32</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18 — Segment Reporting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d3840a2c137407b91ae21c7e1036bfa_445">
              <w:r>
                <w:rPr>
                  <w:rStyle w:val="InternetLink"/>
                  <w:rFonts w:ascii="Arial;sans-serif" w:hAnsi="Arial;sans-serif"/>
                  <w:b w:val="false"/>
                  <w:strike w:val="false"/>
                  <w:dstrike w:val="false"/>
                  <w:color w:val="131E29"/>
                  <w:sz w:val="20"/>
                  <w:u w:val="none"/>
                  <w:effect w:val="none"/>
                </w:rPr>
                <w:t>32</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3220"/>
                <wp:effectExtent l="0" t="0" r="0" b="0"/>
                <wp:wrapNone/>
                <wp:docPr id="41" name="Frame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 — Organization and Background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is in the business of operating and franchising drive-thru coffee shops as well as the wholesale and distribution of coffee, coffee-related products, and accessories. As of September 30, 2023, there were 794 shops in operation in 16 U.S. states, of which 510 were company-operated and 284 were franchised.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Organization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was formed on June 4, 2021 as a Delaware corporation for the purpose of facilitating an IPO and other related transactions in order to carry on the business of Dutch Bros OpCo. 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Dutch Bros Inc. held 100.0% of the voting interest and 40.3% of the economic interest of Dutch Bros OpCo. The Continuing Members held none of the voting interest and the remaining 59.7% of the economic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condensed consolidated financial statements as of September 30, 2023 and for the three and nine months ended September 30, 2023 and 2022 have been prepared in accordance with GAAP and pursuant to the rules and regulations of the SEC, consistent in all material respects with those applied in the Company’s 2022 Form 10-K and as updated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Company’s 2022 Form 10-K that includes additional information on accounting estimates, policies, and the methods and assumptions used in its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opinion of management, the accompanying condensed consolidated financial statements reflect all adjustments, consisting of normal recurring adjustments, necessary to present fairly the Company’s consolidated financial statements for the periods presented. Operating results for the three and nine months ended September 30, 2023 are not necessarily indicative of the results that may be expected for the fiscal year ending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3220"/>
                <wp:effectExtent l="0" t="0" r="0" b="0"/>
                <wp:wrapNone/>
                <wp:docPr id="44" name="Frame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Significant Accounting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6098"/>
          <w:sz w:val="20"/>
          <w:u w:val="single"/>
        </w:rPr>
      </w:pPr>
      <w:r>
        <w:rPr>
          <w:rFonts w:ascii="Arial;sans-serif" w:hAnsi="Arial;sans-serif"/>
          <w:b w:val="false"/>
          <w:color w:val="006098"/>
          <w:sz w:val="20"/>
          <w:u w:val="single"/>
        </w:rPr>
        <w:t>Advertising Expense</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Advertising expense was as follows for the periods presented:</w:t>
      </w:r>
    </w:p>
    <w:tbl>
      <w:tblPr>
        <w:tblW w:w="9565"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320"/>
        <w:gridCol w:w="982"/>
        <w:gridCol w:w="165"/>
        <w:gridCol w:w="165"/>
        <w:gridCol w:w="165"/>
        <w:gridCol w:w="165"/>
        <w:gridCol w:w="320"/>
        <w:gridCol w:w="982"/>
        <w:gridCol w:w="165"/>
        <w:gridCol w:w="109"/>
        <w:gridCol w:w="109"/>
        <w:gridCol w:w="109"/>
        <w:gridCol w:w="284"/>
        <w:gridCol w:w="1013"/>
        <w:gridCol w:w="147"/>
        <w:gridCol w:w="147"/>
        <w:gridCol w:w="147"/>
        <w:gridCol w:w="147"/>
        <w:gridCol w:w="284"/>
        <w:gridCol w:w="1013"/>
        <w:gridCol w:w="147"/>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Advertising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7,903 </w:t>
            </w:r>
          </w:p>
        </w:tc>
        <w:tc>
          <w:tcPr>
            <w:tcW w:w="16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8,158 </w:t>
            </w:r>
          </w:p>
        </w:tc>
        <w:tc>
          <w:tcPr>
            <w:tcW w:w="16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20,940 </w:t>
            </w:r>
          </w:p>
        </w:tc>
        <w:tc>
          <w:tcPr>
            <w:tcW w:w="14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22,840 </w:t>
            </w:r>
          </w:p>
        </w:tc>
        <w:tc>
          <w:tcPr>
            <w:tcW w:w="14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Recently Adopted Accounting Standards</w:t>
      </w:r>
    </w:p>
    <w:p>
      <w:pPr>
        <w:pStyle w:val="TextBody"/>
        <w:bidi w:val="0"/>
        <w:spacing w:lineRule="auto" w:line="288" w:before="0" w:after="180"/>
        <w:jc w:val="both"/>
        <w:rPr/>
      </w:pPr>
      <w:r>
        <w:rPr>
          <w:rFonts w:ascii="Arial;sans-serif" w:hAnsi="Arial;sans-serif"/>
          <w:b w:val="false"/>
          <w:color w:val="131E29"/>
          <w:sz w:val="20"/>
        </w:rPr>
        <w:t xml:space="preserve">In October 2021, the Financial Accounting Standards Board (FASB) issued Accounting Standards Update (ASU) No. 2021-08, </w:t>
      </w:r>
      <w:r>
        <w:rPr>
          <w:rFonts w:ascii="Arial;sans-serif" w:hAnsi="Arial;sans-serif"/>
          <w:b w:val="false"/>
          <w:i/>
          <w:color w:val="131E29"/>
          <w:sz w:val="20"/>
        </w:rPr>
        <w:t>Business Combinations (Topic 805): Accounting for Contract Assets and Contract Liabilities from Contracts with Customers</w:t>
      </w:r>
      <w:r>
        <w:rPr>
          <w:rFonts w:ascii="Arial;sans-serif" w:hAnsi="Arial;sans-serif"/>
          <w:b w:val="false"/>
          <w:color w:val="131E29"/>
          <w:sz w:val="20"/>
        </w:rPr>
        <w:t>. The amendments in this update provide specific guidance to address diversity in practice related to (1) recognition of an acquired contract liability, and (2) payment terms and their effect on subsequent revenue recognized by the acquirer. The amendments in ASU 2021-08 are applied on a prospective basis, and are effective for fiscal years beginning after December 15, 2022, including interim periods within those fiscal years. Early adoption is permitted. The Company’s adoption of this standard effective January 1, 2023 did not have a material impact on its condensed consolidated financial statements.</w:t>
      </w:r>
    </w:p>
    <w:p>
      <w:pPr>
        <w:pStyle w:val="TextBody"/>
        <w:bidi w:val="0"/>
        <w:spacing w:lineRule="auto" w:line="288" w:before="0" w:after="180"/>
        <w:jc w:val="both"/>
        <w:rPr/>
      </w:pPr>
      <w:r>
        <w:rPr>
          <w:rFonts w:ascii="Arial;sans-serif" w:hAnsi="Arial;sans-serif"/>
          <w:b w:val="false"/>
          <w:color w:val="131E29"/>
          <w:sz w:val="20"/>
        </w:rPr>
        <w:t xml:space="preserve">In July 2023, the FASB issued ASU No. 2023-03, </w:t>
      </w:r>
      <w:r>
        <w:rPr>
          <w:rFonts w:ascii="Arial;sans-serif" w:hAnsi="Arial;sans-serif"/>
          <w:b w:val="false"/>
          <w:i/>
          <w:color w:val="131E29"/>
          <w:sz w:val="20"/>
        </w:rPr>
        <w:t xml:space="preserve">Presentation of Financial Statements (Topic 205), Income Statement—Reporting Comprehensive Income (Topic 220), Distinguishing Liabilities from Equity (Topic 480), Equity (Topic 505), and Compensation—Stock Compensation (Topic 718): Amendments to SEC Paragraphs Pursuant to SEC Staff Accounting Bulletin No. 120, SEC Staff Announcement at the March 24, 2022 EITF Meeting, and Staff Accounting Bulletin Topic 6.B, Accounting Series Release 280—General Revision of Regulation S-X: Income or Loss Applicable to Common Stock. </w:t>
      </w:r>
      <w:r>
        <w:rPr>
          <w:rFonts w:ascii="Arial;sans-serif" w:hAnsi="Arial;sans-serif"/>
          <w:b w:val="false"/>
          <w:color w:val="131E29"/>
          <w:sz w:val="20"/>
        </w:rPr>
        <w:t>The ASU amends and supersedes various SEC paragraphs pursuant to SEC staff guidance and was effective upon issuance. The new standard has had no material impact on the Company's condensed consolidated financial statements.</w:t>
      </w:r>
    </w:p>
    <w:p>
      <w:pPr>
        <w:pStyle w:val="TextBody"/>
        <w:bidi w:val="0"/>
        <w:spacing w:lineRule="auto" w:line="288" w:before="0" w:after="180"/>
        <w:jc w:val="both"/>
        <w:rPr/>
      </w:pPr>
      <w:r>
        <w:rPr>
          <w:rFonts w:ascii="Arial;sans-serif" w:hAnsi="Arial;sans-serif"/>
          <w:b w:val="false"/>
          <w:color w:val="131E29"/>
          <w:sz w:val="20"/>
        </w:rPr>
        <w:t xml:space="preserve">In August 2023, the FASB issued ASU No. 2023-04, </w:t>
      </w:r>
      <w:r>
        <w:rPr>
          <w:rFonts w:ascii="Arial;sans-serif" w:hAnsi="Arial;sans-serif"/>
          <w:b w:val="false"/>
          <w:i/>
          <w:color w:val="131E29"/>
          <w:sz w:val="20"/>
        </w:rPr>
        <w:t>Liabilities (Topic 405): Amendments to SEC Paragraphs Pursuant to SEC Staff Accounting Bulletin No. 121.</w:t>
      </w:r>
      <w:r>
        <w:rPr>
          <w:color w:val="131E29"/>
        </w:rPr>
        <w:t xml:space="preserve"> </w:t>
      </w:r>
      <w:r>
        <w:rPr>
          <w:rFonts w:ascii="Arial;sans-serif" w:hAnsi="Arial;sans-serif"/>
          <w:b w:val="false"/>
          <w:color w:val="131E29"/>
          <w:sz w:val="20"/>
        </w:rPr>
        <w:t>The ASU amends and supersedes various SEC paragraphs pursuant to SEC staff guidance and was effective upon issuance. The new standard has had no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bidi w:val="0"/>
        <w:spacing w:lineRule="auto" w:line="288" w:before="0" w:after="180"/>
        <w:jc w:val="both"/>
        <w:rPr/>
      </w:pPr>
      <w:r>
        <w:rPr>
          <w:rFonts w:ascii="Arial;sans-serif" w:hAnsi="Arial;sans-serif"/>
          <w:b w:val="false"/>
          <w:color w:val="131E29"/>
          <w:sz w:val="20"/>
        </w:rPr>
        <w:t xml:space="preserve">In October 2023, the FASB issued ASU No. 2023-06, </w:t>
      </w:r>
      <w:r>
        <w:rPr>
          <w:rFonts w:ascii="Arial;sans-serif" w:hAnsi="Arial;sans-serif"/>
          <w:b w:val="false"/>
          <w:i/>
          <w:color w:val="131E29"/>
          <w:sz w:val="20"/>
        </w:rPr>
        <w:t>Disclosure Improvements: Codification Amendments in Response to the SEC’s Disclosure Update and Simplification Initiative.</w:t>
      </w:r>
      <w:r>
        <w:rPr>
          <w:color w:val="131E29"/>
        </w:rPr>
        <w:t xml:space="preserve"> </w:t>
      </w:r>
      <w:r>
        <w:rPr>
          <w:rFonts w:ascii="Arial;sans-serif" w:hAnsi="Arial;sans-serif"/>
          <w:b w:val="false"/>
          <w:color w:val="131E29"/>
          <w:sz w:val="20"/>
        </w:rPr>
        <w:t xml:space="preserve">The amendments in this update modify the disclosure or presentation requirements of a variety of Topics in the Accounting Standards Codification (ASC) in response to the SEC’s Release No. 33-10532, </w:t>
      </w:r>
      <w:r>
        <w:rPr>
          <w:rFonts w:ascii="Arial;sans-serif" w:hAnsi="Arial;sans-serif"/>
          <w:b w:val="false"/>
          <w:i/>
          <w:color w:val="131E29"/>
          <w:sz w:val="20"/>
        </w:rPr>
        <w:t>Disclosure Update and Simplification</w:t>
      </w:r>
      <w:r>
        <w:rPr>
          <w:color w:val="131E29"/>
        </w:rPr>
        <w:t xml:space="preserve"> </w:t>
      </w:r>
      <w:r>
        <w:rPr>
          <w:rFonts w:ascii="Arial;sans-serif" w:hAnsi="Arial;sans-serif"/>
          <w:b w:val="false"/>
          <w:color w:val="131E29"/>
          <w:sz w:val="20"/>
        </w:rPr>
        <w:t xml:space="preserve">initiative, and align the ASC’s requirements with the SEC’s regulations. For entities subject to the SEC's existing disclosure requirements, the effective date for each amendment will be the date on which the SEC's removal of that related disclosure from Regulation S-X or Regulation S-K becomes effective. Early adoption is prohibited, and amendments should be applied prospectively. For all entities, if by June 30, 2027, the SEC has not removed the applicable requirement from Regulation S-X or Regulation S-K, the pending content of the related amendment will be removed from the ASC and will not become effective for any entity. The Company does not expect this standard to have a material impact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3220"/>
                <wp:effectExtent l="0" t="0" r="0" b="0"/>
                <wp:wrapNone/>
                <wp:docPr id="47" name="Frame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3 — Revenue Recognition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Revenue</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 following table disaggregates revenue by major component:</w:t>
      </w:r>
    </w:p>
    <w:tbl>
      <w:tblPr>
        <w:tblW w:w="10012"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270"/>
        <w:gridCol w:w="1097"/>
        <w:gridCol w:w="139"/>
        <w:gridCol w:w="139"/>
        <w:gridCol w:w="139"/>
        <w:gridCol w:w="139"/>
        <w:gridCol w:w="270"/>
        <w:gridCol w:w="1097"/>
        <w:gridCol w:w="139"/>
        <w:gridCol w:w="109"/>
        <w:gridCol w:w="109"/>
        <w:gridCol w:w="109"/>
        <w:gridCol w:w="262"/>
        <w:gridCol w:w="1064"/>
        <w:gridCol w:w="135"/>
        <w:gridCol w:w="135"/>
        <w:gridCol w:w="135"/>
        <w:gridCol w:w="135"/>
        <w:gridCol w:w="262"/>
        <w:gridCol w:w="1064"/>
        <w:gridCol w:w="135"/>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236,472 </w:t>
            </w:r>
          </w:p>
        </w:tc>
        <w:tc>
          <w:tcPr>
            <w:tcW w:w="1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173,501 </w:t>
            </w:r>
          </w:p>
        </w:tc>
        <w:tc>
          <w:tcPr>
            <w:tcW w:w="1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630,588 </w:t>
            </w:r>
          </w:p>
        </w:tc>
        <w:tc>
          <w:tcPr>
            <w:tcW w:w="13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464,200 </w:t>
            </w:r>
          </w:p>
        </w:tc>
        <w:tc>
          <w:tcPr>
            <w:tcW w:w="13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26,691 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76,860 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69,028 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1,344 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1,345 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4,205 </w:t>
            </w:r>
          </w:p>
        </w:tc>
        <w:tc>
          <w:tcPr>
            <w:tcW w:w="13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3,957 </w:t>
            </w:r>
          </w:p>
        </w:tc>
        <w:tc>
          <w:tcPr>
            <w:tcW w:w="13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264,507 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198,648 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711,653 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537,185 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Deferred Revenue</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Deferred revenue activity related to the Company’s gift card and loyalty programs was as follows:</w:t>
      </w:r>
    </w:p>
    <w:tbl>
      <w:tblPr>
        <w:tblW w:w="10205" w:type="dxa"/>
        <w:jc w:val="left"/>
        <w:tblInd w:w="0" w:type="dxa"/>
        <w:tblLayout w:type="fixed"/>
        <w:tblCellMar>
          <w:top w:w="28" w:type="dxa"/>
          <w:left w:w="28" w:type="dxa"/>
          <w:bottom w:w="28" w:type="dxa"/>
          <w:right w:w="28" w:type="dxa"/>
        </w:tblCellMar>
      </w:tblPr>
      <w:tblGrid>
        <w:gridCol w:w="2470"/>
        <w:gridCol w:w="2130"/>
        <w:gridCol w:w="2119"/>
        <w:gridCol w:w="109"/>
        <w:gridCol w:w="109"/>
        <w:gridCol w:w="109"/>
        <w:gridCol w:w="265"/>
        <w:gridCol w:w="944"/>
        <w:gridCol w:w="136"/>
        <w:gridCol w:w="136"/>
        <w:gridCol w:w="136"/>
        <w:gridCol w:w="136"/>
        <w:gridCol w:w="265"/>
        <w:gridCol w:w="944"/>
        <w:gridCol w:w="197"/>
      </w:tblGrid>
      <w:tr>
        <w:trPr/>
        <w:tc>
          <w:tcPr>
            <w:tcW w:w="247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r>
      <w:tr>
        <w:trPr/>
        <w:tc>
          <w:tcPr>
            <w:tcW w:w="671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26,904 </w:t>
            </w:r>
          </w:p>
        </w:tc>
        <w:tc>
          <w:tcPr>
            <w:tcW w:w="13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22,765 </w:t>
            </w:r>
          </w:p>
        </w:tc>
        <w:tc>
          <w:tcPr>
            <w:tcW w:w="19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 deferred - gift card activations, loyalty app loads, and loyalty points and rewards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255,782 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186,303 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Revenue recognized - gift card, loyalty app, loyalty rewards redemptions, and breakage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(257,144)</w:t>
            </w:r>
          </w:p>
        </w:tc>
        <w:tc>
          <w:tcPr>
            <w:tcW w:w="13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(180,538)</w:t>
            </w:r>
          </w:p>
        </w:tc>
        <w:tc>
          <w:tcPr>
            <w:tcW w:w="1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25,542 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28,530 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(21,999)</w:t>
            </w:r>
          </w:p>
        </w:tc>
        <w:tc>
          <w:tcPr>
            <w:tcW w:w="13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(25,371)</w:t>
            </w:r>
          </w:p>
        </w:tc>
        <w:tc>
          <w:tcPr>
            <w:tcW w:w="1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gift card and loyalty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Deferred revenue also includes sales to distributors where the performance obligation has not been satisfied and control has not been transferred to the customer as of the reporting date, as well as initial unearned franchise fees from franchise partners. These deferred revenues reported in the Company’s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2187"/>
        <w:gridCol w:w="1918"/>
        <w:gridCol w:w="1929"/>
        <w:gridCol w:w="109"/>
        <w:gridCol w:w="109"/>
        <w:gridCol w:w="109"/>
        <w:gridCol w:w="386"/>
        <w:gridCol w:w="1183"/>
        <w:gridCol w:w="202"/>
        <w:gridCol w:w="109"/>
        <w:gridCol w:w="109"/>
        <w:gridCol w:w="109"/>
        <w:gridCol w:w="362"/>
        <w:gridCol w:w="1113"/>
        <w:gridCol w:w="271"/>
      </w:tblGrid>
      <w:tr>
        <w:trPr/>
        <w:tc>
          <w:tcPr>
            <w:tcW w:w="2187"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2073" w:type="dxa"/>
            <w:gridSpan w:val="6"/>
            <w:tcBorders/>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603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Outstanding performance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83"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0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2,152 </w:t>
            </w:r>
          </w:p>
        </w:tc>
        <w:tc>
          <w:tcPr>
            <w:tcW w:w="2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Initial unearned franchise fees from franchise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deferred revenue,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2,396 </w:t>
            </w:r>
          </w:p>
        </w:tc>
        <w:tc>
          <w:tcPr>
            <w:tcW w:w="20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4,550 </w:t>
            </w:r>
          </w:p>
        </w:tc>
        <w:tc>
          <w:tcPr>
            <w:tcW w:w="2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1,981 </w:t>
            </w:r>
          </w:p>
        </w:tc>
        <w:tc>
          <w:tcPr>
            <w:tcW w:w="20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1,963 </w:t>
            </w:r>
          </w:p>
        </w:tc>
        <w:tc>
          <w:tcPr>
            <w:tcW w:w="2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during the three and nine months ended September 30, 2023 and 2022 that was included in the respective deferred revenue liability balances at the beginning of the period are shown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3220"/>
                <wp:effectExtent l="0" t="0" r="0" b="0"/>
                <wp:wrapNone/>
                <wp:docPr id="50" name="Frame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tbl>
      <w:tblPr>
        <w:tblW w:w="9804"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375"/>
        <w:gridCol w:w="856"/>
        <w:gridCol w:w="194"/>
        <w:gridCol w:w="194"/>
        <w:gridCol w:w="194"/>
        <w:gridCol w:w="194"/>
        <w:gridCol w:w="375"/>
        <w:gridCol w:w="856"/>
        <w:gridCol w:w="194"/>
        <w:gridCol w:w="109"/>
        <w:gridCol w:w="109"/>
        <w:gridCol w:w="109"/>
        <w:gridCol w:w="311"/>
        <w:gridCol w:w="952"/>
        <w:gridCol w:w="160"/>
        <w:gridCol w:w="160"/>
        <w:gridCol w:w="160"/>
        <w:gridCol w:w="160"/>
        <w:gridCol w:w="311"/>
        <w:gridCol w:w="952"/>
        <w:gridCol w:w="160"/>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Gift card redemptions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553 </w:t>
            </w:r>
          </w:p>
        </w:tc>
        <w:tc>
          <w:tcPr>
            <w:tcW w:w="1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473 </w:t>
            </w:r>
          </w:p>
        </w:tc>
        <w:tc>
          <w:tcPr>
            <w:tcW w:w="1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4,742 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3,621 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Earned franchise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16"/>
        </w:rPr>
      </w:pPr>
      <w:r>
        <w:rPr>
          <w:rFonts w:ascii="Arial;sans-serif" w:hAnsi="Arial;sans-serif"/>
          <w:b w:val="false"/>
          <w:color w:val="131E29"/>
          <w:sz w:val="16"/>
        </w:rPr>
        <w:t>_____________________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color w:val="131E29"/>
        </w:rPr>
        <w:t xml:space="preserve"> </w:t>
      </w:r>
      <w:r>
        <w:rPr>
          <w:rFonts w:ascii="Arial;sans-serif" w:hAnsi="Arial;sans-serif"/>
          <w:b w:val="false"/>
          <w:color w:val="131E29"/>
          <w:sz w:val="16"/>
        </w:rPr>
        <w:t>Amounts exclude cash loads and transactions related to the Company’s loyalty rewards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recognition of initial unearned franchise fees as of September 30, 2023 is as follows:</w:t>
      </w:r>
    </w:p>
    <w:tbl>
      <w:tblPr>
        <w:tblW w:w="309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2,396 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4 — Shop Acquisitions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During the three and nine months ended September 30, 2023, the Company did not repurchase the franchise rights and assets of any shops from franchise partners.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5 — Inventories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Inventories, net consist of the following:</w:t>
      </w:r>
    </w:p>
    <w:tbl>
      <w:tblPr>
        <w:tblW w:w="6021" w:type="dxa"/>
        <w:jc w:val="left"/>
        <w:tblInd w:w="0" w:type="dxa"/>
        <w:tblLayout w:type="fixed"/>
        <w:tblCellMar>
          <w:top w:w="28" w:type="dxa"/>
          <w:left w:w="28" w:type="dxa"/>
          <w:bottom w:w="28" w:type="dxa"/>
          <w:right w:w="28" w:type="dxa"/>
        </w:tblCellMar>
      </w:tblPr>
      <w:tblGrid>
        <w:gridCol w:w="565"/>
        <w:gridCol w:w="496"/>
        <w:gridCol w:w="498"/>
        <w:gridCol w:w="109"/>
        <w:gridCol w:w="109"/>
        <w:gridCol w:w="109"/>
        <w:gridCol w:w="376"/>
        <w:gridCol w:w="1346"/>
        <w:gridCol w:w="197"/>
        <w:gridCol w:w="109"/>
        <w:gridCol w:w="109"/>
        <w:gridCol w:w="109"/>
        <w:gridCol w:w="357"/>
        <w:gridCol w:w="1272"/>
        <w:gridCol w:w="260"/>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155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31,361 </w:t>
            </w:r>
          </w:p>
        </w:tc>
        <w:tc>
          <w:tcPr>
            <w:tcW w:w="19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21,335 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17,894 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50,296 </w:t>
            </w:r>
          </w:p>
        </w:tc>
        <w:tc>
          <w:tcPr>
            <w:tcW w:w="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39,229 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September 30, 2023, there was no reserve for inventories. As of December 31, 2022, reserves for inventories were $0.1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63220"/>
                <wp:effectExtent l="0" t="0" r="0" b="0"/>
                <wp:wrapNone/>
                <wp:docPr id="53" name="Frame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6 — Property and Equipment</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Property and equipment, net consists of the following:</w:t>
      </w:r>
    </w:p>
    <w:tbl>
      <w:tblPr>
        <w:tblW w:w="9380" w:type="dxa"/>
        <w:jc w:val="left"/>
        <w:tblInd w:w="0" w:type="dxa"/>
        <w:tblLayout w:type="fixed"/>
        <w:tblCellMar>
          <w:top w:w="28" w:type="dxa"/>
          <w:left w:w="28" w:type="dxa"/>
          <w:bottom w:w="28" w:type="dxa"/>
          <w:right w:w="28" w:type="dxa"/>
        </w:tblCellMar>
      </w:tblPr>
      <w:tblGrid>
        <w:gridCol w:w="1044"/>
        <w:gridCol w:w="915"/>
        <w:gridCol w:w="921"/>
        <w:gridCol w:w="109"/>
        <w:gridCol w:w="109"/>
        <w:gridCol w:w="109"/>
        <w:gridCol w:w="190"/>
        <w:gridCol w:w="190"/>
        <w:gridCol w:w="190"/>
        <w:gridCol w:w="190"/>
        <w:gridCol w:w="190"/>
        <w:gridCol w:w="190"/>
        <w:gridCol w:w="190"/>
        <w:gridCol w:w="190"/>
        <w:gridCol w:w="190"/>
        <w:gridCol w:w="109"/>
        <w:gridCol w:w="109"/>
        <w:gridCol w:w="109"/>
        <w:gridCol w:w="344"/>
        <w:gridCol w:w="1398"/>
        <w:gridCol w:w="178"/>
        <w:gridCol w:w="109"/>
        <w:gridCol w:w="109"/>
        <w:gridCol w:w="109"/>
        <w:gridCol w:w="326"/>
        <w:gridCol w:w="1325"/>
        <w:gridCol w:w="238"/>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pPr>
            <w:r>
              <w:rPr>
                <w:rFonts w:ascii="Arial;sans-serif" w:hAnsi="Arial;sans-serif"/>
                <w:b/>
                <w:color w:val="131E29"/>
                <w:sz w:val="20"/>
              </w:rPr>
              <w:t xml:space="preserve">Useful Life </w:t>
            </w:r>
            <w:r>
              <w:rPr>
                <w:rFonts w:ascii="Arial;sans-serif" w:hAnsi="Arial;sans-serif"/>
                <w:b w:val="false"/>
                <w:color w:val="131E29"/>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288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9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7,430 </w:t>
            </w:r>
          </w:p>
        </w:tc>
        <w:tc>
          <w:tcPr>
            <w:tcW w:w="17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7,430 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145,686 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39,301 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29,985 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235,433 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158,250 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7,715 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7,956 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Aircraft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157,782 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131,240 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602,542 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437,964 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(103,837)</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(72,496)</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498,705 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365,468 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Aircraft is depreciated under the consumption method.</w:t>
      </w:r>
    </w:p>
    <w:p>
      <w:pPr>
        <w:pStyle w:val="TextBody"/>
        <w:bidi w:val="0"/>
        <w:spacing w:lineRule="auto" w:line="288" w:before="0" w:after="180"/>
        <w:ind w:left="0" w:right="0" w:hanging="180"/>
        <w:jc w:val="left"/>
        <w:rPr/>
      </w:pPr>
      <w:r>
        <w:rPr>
          <w:rFonts w:ascii="Arial;sans-serif" w:hAnsi="Arial;sans-serif"/>
          <w:b w:val="false"/>
          <w:color w:val="131E29"/>
          <w:sz w:val="10"/>
        </w:rPr>
        <w:t>2    </w:t>
      </w:r>
      <w:r>
        <w:rPr>
          <w:rFonts w:ascii="Arial;sans-serif" w:hAnsi="Arial;sans-serif"/>
          <w:b w:val="false"/>
          <w:color w:val="131E29"/>
          <w:sz w:val="16"/>
        </w:rPr>
        <w:t>Construction-in-progress primarily consists of construction and equipment costs for new and existing shops, as well as our new roasting facility in Texas.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Depreciation expense included in the Company’s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1140"/>
        <w:gridCol w:w="1001"/>
        <w:gridCol w:w="1005"/>
        <w:gridCol w:w="109"/>
        <w:gridCol w:w="109"/>
        <w:gridCol w:w="109"/>
        <w:gridCol w:w="275"/>
        <w:gridCol w:w="981"/>
        <w:gridCol w:w="142"/>
        <w:gridCol w:w="142"/>
        <w:gridCol w:w="142"/>
        <w:gridCol w:w="142"/>
        <w:gridCol w:w="275"/>
        <w:gridCol w:w="844"/>
        <w:gridCol w:w="142"/>
        <w:gridCol w:w="109"/>
        <w:gridCol w:w="109"/>
        <w:gridCol w:w="109"/>
        <w:gridCol w:w="260"/>
        <w:gridCol w:w="928"/>
        <w:gridCol w:w="134"/>
        <w:gridCol w:w="134"/>
        <w:gridCol w:w="134"/>
        <w:gridCol w:w="134"/>
        <w:gridCol w:w="260"/>
        <w:gridCol w:w="928"/>
        <w:gridCol w:w="134"/>
        <w:gridCol w:w="109"/>
        <w:gridCol w:w="165"/>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11,157 </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6,932 </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30,403 </w:t>
            </w:r>
          </w:p>
        </w:tc>
        <w:tc>
          <w:tcPr>
            <w:tcW w:w="13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18,486 </w:t>
            </w:r>
          </w:p>
        </w:tc>
        <w:tc>
          <w:tcPr>
            <w:tcW w:w="13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11,565 </w:t>
            </w:r>
          </w:p>
        </w:tc>
        <w:tc>
          <w:tcPr>
            <w:tcW w:w="1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7,634 </w:t>
            </w:r>
          </w:p>
        </w:tc>
        <w:tc>
          <w:tcPr>
            <w:tcW w:w="1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31,638 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20,600 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 impairment charges were recognized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7 — Intangible Assets and Goodwill</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Intangible Assets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details of the intangible assets are as follows:</w:t>
      </w:r>
    </w:p>
    <w:tbl>
      <w:tblPr>
        <w:tblW w:w="10205" w:type="dxa"/>
        <w:jc w:val="left"/>
        <w:tblInd w:w="0" w:type="dxa"/>
        <w:tblLayout w:type="fixed"/>
        <w:tblCellMar>
          <w:top w:w="28" w:type="dxa"/>
          <w:left w:w="28" w:type="dxa"/>
          <w:bottom w:w="28" w:type="dxa"/>
          <w:right w:w="28" w:type="dxa"/>
        </w:tblCellMar>
      </w:tblPr>
      <w:tblGrid>
        <w:gridCol w:w="859"/>
        <w:gridCol w:w="726"/>
        <w:gridCol w:w="703"/>
        <w:gridCol w:w="109"/>
        <w:gridCol w:w="109"/>
        <w:gridCol w:w="109"/>
        <w:gridCol w:w="109"/>
        <w:gridCol w:w="109"/>
        <w:gridCol w:w="1155"/>
        <w:gridCol w:w="1155"/>
        <w:gridCol w:w="1157"/>
        <w:gridCol w:w="109"/>
        <w:gridCol w:w="109"/>
        <w:gridCol w:w="109"/>
        <w:gridCol w:w="319"/>
        <w:gridCol w:w="1145"/>
        <w:gridCol w:w="167"/>
        <w:gridCol w:w="109"/>
        <w:gridCol w:w="109"/>
        <w:gridCol w:w="109"/>
        <w:gridCol w:w="305"/>
        <w:gridCol w:w="1087"/>
        <w:gridCol w:w="228"/>
      </w:tblGrid>
      <w:tr>
        <w:trPr/>
        <w:tc>
          <w:tcPr>
            <w:tcW w:w="85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947" w:type="dxa"/>
            <w:gridSpan w:val="6"/>
            <w:tcBorders/>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Weighted-average amortization period </w:t>
            </w:r>
            <w:r>
              <w:rPr>
                <w:rFonts w:ascii="Arial;sans-serif" w:hAnsi="Arial;sans-serif"/>
                <w:b w:val="false"/>
                <w:color w:val="131E29"/>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228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3.17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45"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167"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7"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28"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(18,245)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4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6,215 </w:t>
            </w:r>
          </w:p>
        </w:tc>
        <w:tc>
          <w:tcPr>
            <w:tcW w:w="1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8,804 </w:t>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63220"/>
                <wp:effectExtent l="0" t="0" r="0" b="0"/>
                <wp:wrapNone/>
                <wp:docPr id="56" name="Frame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Amortization expense included in the Company’s condensed consolidated statements of operations was as follows:</w:t>
      </w:r>
    </w:p>
    <w:tbl>
      <w:tblPr>
        <w:tblW w:w="8948"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346"/>
        <w:gridCol w:w="789"/>
        <w:gridCol w:w="178"/>
        <w:gridCol w:w="178"/>
        <w:gridCol w:w="178"/>
        <w:gridCol w:w="178"/>
        <w:gridCol w:w="346"/>
        <w:gridCol w:w="1060"/>
        <w:gridCol w:w="178"/>
        <w:gridCol w:w="109"/>
        <w:gridCol w:w="109"/>
        <w:gridCol w:w="109"/>
        <w:gridCol w:w="311"/>
        <w:gridCol w:w="952"/>
        <w:gridCol w:w="160"/>
        <w:gridCol w:w="160"/>
        <w:gridCol w:w="160"/>
        <w:gridCol w:w="160"/>
        <w:gridCol w:w="311"/>
        <w:gridCol w:w="952"/>
        <w:gridCol w:w="160"/>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820 </w:t>
            </w:r>
          </w:p>
        </w:tc>
        <w:tc>
          <w:tcPr>
            <w:tcW w:w="1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1,055 </w:t>
            </w:r>
          </w:p>
        </w:tc>
        <w:tc>
          <w:tcPr>
            <w:tcW w:w="1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2,589 </w:t>
            </w:r>
          </w:p>
        </w:tc>
        <w:tc>
          <w:tcPr>
            <w:tcW w:w="1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3,012 </w:t>
            </w:r>
          </w:p>
        </w:tc>
        <w:tc>
          <w:tcPr>
            <w:tcW w:w="1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estimated future amortization expense of the reacquired franchise rights as of September 30, 2023 is as follows:</w:t>
      </w:r>
    </w:p>
    <w:tbl>
      <w:tblPr>
        <w:tblW w:w="309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800 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Total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6,215 </w:t>
            </w:r>
          </w:p>
        </w:tc>
        <w:tc>
          <w:tcPr>
            <w:tcW w:w="15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rial;sans-serif" w:hAnsi="Arial;sans-serif"/>
          <w:b/>
          <w:i/>
          <w:color w:val="006098"/>
          <w:sz w:val="20"/>
        </w:rPr>
        <w:t>Goodwill</w:t>
      </w:r>
      <w:r>
        <w:rPr>
          <w:color w:val="131E29"/>
        </w:rPr>
        <w:t xml:space="preserve">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Goodwill is allocated entirely to the Company-operated shops segment. The carrying amount and activity of goodwill was as follows:</w:t>
      </w:r>
    </w:p>
    <w:tbl>
      <w:tblPr>
        <w:tblW w:w="4669" w:type="dxa"/>
        <w:jc w:val="left"/>
        <w:tblInd w:w="0" w:type="dxa"/>
        <w:tblLayout w:type="fixed"/>
        <w:tblCellMar>
          <w:top w:w="28" w:type="dxa"/>
          <w:left w:w="28" w:type="dxa"/>
          <w:bottom w:w="28" w:type="dxa"/>
          <w:right w:w="28" w:type="dxa"/>
        </w:tblCellMar>
      </w:tblPr>
      <w:tblGrid>
        <w:gridCol w:w="1011"/>
        <w:gridCol w:w="887"/>
        <w:gridCol w:w="892"/>
        <w:gridCol w:w="109"/>
        <w:gridCol w:w="109"/>
        <w:gridCol w:w="109"/>
        <w:gridCol w:w="109"/>
        <w:gridCol w:w="109"/>
        <w:gridCol w:w="109"/>
        <w:gridCol w:w="109"/>
        <w:gridCol w:w="211"/>
        <w:gridCol w:w="75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impairment charges were recognized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416B"/>
          <w:sz w:val="24"/>
        </w:rPr>
        <w:t>NOTE 8 — Leases</w:t>
      </w:r>
      <w:r>
        <w:rPr>
          <w:color w:val="EE27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Nature of Leases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leases all of its domestic company-operated shops, warehouse facilities, most headquarters buildings, and certain equipment under various non-cancelable lease agreements that expire on various dates through 2043.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real estate leases consist of commercial ground leases (land only) and build-to-suit leases (land and building). Generally, the Company’s real estate leases have an initial term of 15 years and typically include two to three renewal options of five years each. These renewal options are included in the lease term when it is reasonably certain that the option will be exercised. For commercial ground leases, one five-year renewal is included in the Company’s initial lease term calculations. For operating leases, the Company recognizes straight-line lease expense over the lease term from the date the Company takes possession of the leased property. For finance leases, lease expense follows an accelerated expense recognition over the lease term from the date the Company takes possession of the leased property. Variable lease costs generally include payments for additional rent such as real estate taxes, insurance, and common area maintenance, and are excluded from the measurement of the lease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63220"/>
                <wp:effectExtent l="0" t="0" r="0" b="0"/>
                <wp:wrapNone/>
                <wp:docPr id="59" name="Frame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calculates right-of-use assets and lease liabilities based on the present value of the fixed lease payments, including any estimated lease incentives, at lease commencement using its incremental borrowing rate, which is established by a third party. The discount rate is equal to the rate the Company would pay on a collateralized basis to borrow an amount equal to the lease payments under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September 30, 2023 is as follows:</w:t>
      </w:r>
    </w:p>
    <w:tbl>
      <w:tblPr>
        <w:tblW w:w="10205" w:type="dxa"/>
        <w:jc w:val="left"/>
        <w:tblInd w:w="0" w:type="dxa"/>
        <w:tblLayout w:type="fixed"/>
        <w:tblCellMar>
          <w:top w:w="28" w:type="dxa"/>
          <w:left w:w="28" w:type="dxa"/>
          <w:bottom w:w="28" w:type="dxa"/>
          <w:right w:w="28" w:type="dxa"/>
        </w:tblCellMar>
      </w:tblPr>
      <w:tblGrid>
        <w:gridCol w:w="836"/>
        <w:gridCol w:w="733"/>
        <w:gridCol w:w="739"/>
        <w:gridCol w:w="109"/>
        <w:gridCol w:w="109"/>
        <w:gridCol w:w="109"/>
        <w:gridCol w:w="1360"/>
        <w:gridCol w:w="1360"/>
        <w:gridCol w:w="1362"/>
        <w:gridCol w:w="109"/>
        <w:gridCol w:w="109"/>
        <w:gridCol w:w="109"/>
        <w:gridCol w:w="256"/>
        <w:gridCol w:w="1040"/>
        <w:gridCol w:w="132"/>
        <w:gridCol w:w="109"/>
        <w:gridCol w:w="109"/>
        <w:gridCol w:w="109"/>
        <w:gridCol w:w="241"/>
        <w:gridCol w:w="983"/>
        <w:gridCol w:w="182"/>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230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364,757 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190,864 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169,302 </w:t>
            </w:r>
          </w:p>
        </w:tc>
        <w:tc>
          <w:tcPr>
            <w:tcW w:w="18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555,621 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417,245 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0"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9,574 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3"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7,971 </w:t>
            </w:r>
          </w:p>
        </w:tc>
        <w:tc>
          <w:tcPr>
            <w:tcW w:w="18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347,961 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237,130 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182,201 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161,228 </w:t>
            </w:r>
          </w:p>
        </w:tc>
        <w:tc>
          <w:tcPr>
            <w:tcW w:w="18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549,062 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415,646 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components of lease cost were as follows for the periods presented:</w:t>
      </w:r>
    </w:p>
    <w:tbl>
      <w:tblPr>
        <w:tblW w:w="10205" w:type="dxa"/>
        <w:jc w:val="left"/>
        <w:tblInd w:w="0" w:type="dxa"/>
        <w:tblLayout w:type="fixed"/>
        <w:tblCellMar>
          <w:top w:w="28" w:type="dxa"/>
          <w:left w:w="28" w:type="dxa"/>
          <w:bottom w:w="28" w:type="dxa"/>
          <w:right w:w="28" w:type="dxa"/>
        </w:tblCellMar>
      </w:tblPr>
      <w:tblGrid>
        <w:gridCol w:w="757"/>
        <w:gridCol w:w="459"/>
        <w:gridCol w:w="453"/>
        <w:gridCol w:w="109"/>
        <w:gridCol w:w="109"/>
        <w:gridCol w:w="109"/>
        <w:gridCol w:w="638"/>
        <w:gridCol w:w="638"/>
        <w:gridCol w:w="640"/>
        <w:gridCol w:w="109"/>
        <w:gridCol w:w="109"/>
        <w:gridCol w:w="109"/>
        <w:gridCol w:w="230"/>
        <w:gridCol w:w="821"/>
        <w:gridCol w:w="119"/>
        <w:gridCol w:w="119"/>
        <w:gridCol w:w="119"/>
        <w:gridCol w:w="119"/>
        <w:gridCol w:w="230"/>
        <w:gridCol w:w="821"/>
        <w:gridCol w:w="119"/>
        <w:gridCol w:w="109"/>
        <w:gridCol w:w="109"/>
        <w:gridCol w:w="109"/>
        <w:gridCol w:w="228"/>
        <w:gridCol w:w="813"/>
        <w:gridCol w:w="118"/>
        <w:gridCol w:w="118"/>
        <w:gridCol w:w="118"/>
        <w:gridCol w:w="118"/>
        <w:gridCol w:w="228"/>
        <w:gridCol w:w="813"/>
        <w:gridCol w:w="118"/>
        <w:gridCol w:w="109"/>
        <w:gridCol w:w="161"/>
      </w:tblGrid>
      <w:tr>
        <w:trPr/>
        <w:tc>
          <w:tcPr>
            <w:tcW w:w="7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cost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4,755 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2,482 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12,344 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6,261 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14,180 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cost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16,375 </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10,397 </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45,059 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27,914 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63220"/>
                <wp:effectExtent l="0" t="0" r="0" b="0"/>
                <wp:wrapNone/>
                <wp:docPr id="62" name="Frame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minimum lease payments for finance and operating lease liabilities as of September 30, 2023 are as follows:</w:t>
      </w:r>
    </w:p>
    <w:tbl>
      <w:tblPr>
        <w:tblW w:w="6890" w:type="dxa"/>
        <w:jc w:val="left"/>
        <w:tblInd w:w="0" w:type="dxa"/>
        <w:tblLayout w:type="fixed"/>
        <w:tblCellMar>
          <w:top w:w="28" w:type="dxa"/>
          <w:left w:w="28" w:type="dxa"/>
          <w:bottom w:w="28" w:type="dxa"/>
          <w:right w:w="28" w:type="dxa"/>
        </w:tblCellMar>
      </w:tblPr>
      <w:tblGrid>
        <w:gridCol w:w="1392"/>
        <w:gridCol w:w="1220"/>
        <w:gridCol w:w="1227"/>
        <w:gridCol w:w="109"/>
        <w:gridCol w:w="109"/>
        <w:gridCol w:w="109"/>
        <w:gridCol w:w="211"/>
        <w:gridCol w:w="856"/>
        <w:gridCol w:w="109"/>
        <w:gridCol w:w="109"/>
        <w:gridCol w:w="109"/>
        <w:gridCol w:w="109"/>
        <w:gridCol w:w="211"/>
        <w:gridCol w:w="85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Operating</w:t>
            </w:r>
          </w:p>
        </w:tc>
      </w:tr>
      <w:tr>
        <w:trPr/>
        <w:tc>
          <w:tcPr>
            <w:tcW w:w="383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6,879 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4,042 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18,347 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32,340 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17,856 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560,808 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270,200 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(203,273)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(78,673)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Present value of minimum lease payments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357,535 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191,527 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347,961 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182,201 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lease terms and discount rates for finance and operating leases is as follows:</w:t>
      </w:r>
    </w:p>
    <w:tbl>
      <w:tblPr>
        <w:tblW w:w="6281" w:type="dxa"/>
        <w:jc w:val="left"/>
        <w:tblInd w:w="0" w:type="dxa"/>
        <w:tblLayout w:type="fixed"/>
        <w:tblCellMar>
          <w:top w:w="28" w:type="dxa"/>
          <w:left w:w="28" w:type="dxa"/>
          <w:bottom w:w="28" w:type="dxa"/>
          <w:right w:w="28" w:type="dxa"/>
        </w:tblCellMar>
      </w:tblPr>
      <w:tblGrid>
        <w:gridCol w:w="1620"/>
        <w:gridCol w:w="1423"/>
        <w:gridCol w:w="1426"/>
        <w:gridCol w:w="109"/>
        <w:gridCol w:w="109"/>
        <w:gridCol w:w="109"/>
        <w:gridCol w:w="434"/>
        <w:gridCol w:w="434"/>
        <w:gridCol w:w="617"/>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2023</w:t>
            </w:r>
          </w:p>
        </w:tc>
      </w:tr>
      <w:tr>
        <w:trPr/>
        <w:tc>
          <w:tcPr>
            <w:tcW w:w="4469"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Weighted-average remaining lease term (years)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16.3</w:t>
            </w:r>
          </w:p>
        </w:tc>
      </w:tr>
      <w:tr>
        <w:trPr/>
        <w:tc>
          <w:tcPr>
            <w:tcW w:w="44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14.8</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r>
      <w:tr>
        <w:trPr/>
        <w:tc>
          <w:tcPr>
            <w:tcW w:w="44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Weighted-average discount rate (percentages)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5.7%</w:t>
            </w:r>
          </w:p>
        </w:tc>
      </w:tr>
      <w:tr>
        <w:trPr/>
        <w:tc>
          <w:tcPr>
            <w:tcW w:w="44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as of September 30, 2023 is as follows for the periods presented:</w:t>
      </w:r>
    </w:p>
    <w:tbl>
      <w:tblPr>
        <w:tblW w:w="10205" w:type="dxa"/>
        <w:jc w:val="left"/>
        <w:tblInd w:w="0" w:type="dxa"/>
        <w:tblLayout w:type="fixed"/>
        <w:tblCellMar>
          <w:top w:w="28" w:type="dxa"/>
          <w:left w:w="28" w:type="dxa"/>
          <w:bottom w:w="28" w:type="dxa"/>
          <w:right w:w="28" w:type="dxa"/>
        </w:tblCellMar>
      </w:tblPr>
      <w:tblGrid>
        <w:gridCol w:w="2302"/>
        <w:gridCol w:w="2021"/>
        <w:gridCol w:w="2035"/>
        <w:gridCol w:w="109"/>
        <w:gridCol w:w="109"/>
        <w:gridCol w:w="109"/>
        <w:gridCol w:w="290"/>
        <w:gridCol w:w="1034"/>
        <w:gridCol w:w="149"/>
        <w:gridCol w:w="149"/>
        <w:gridCol w:w="149"/>
        <w:gridCol w:w="149"/>
        <w:gridCol w:w="290"/>
        <w:gridCol w:w="890"/>
        <w:gridCol w:w="149"/>
        <w:gridCol w:w="109"/>
        <w:gridCol w:w="162"/>
      </w:tblGrid>
      <w:tr>
        <w:trPr/>
        <w:tc>
          <w:tcPr>
            <w:tcW w:w="2302"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13,378 </w:t>
            </w:r>
          </w:p>
        </w:tc>
        <w:tc>
          <w:tcPr>
            <w:tcW w:w="14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11,611 </w:t>
            </w:r>
          </w:p>
        </w:tc>
        <w:tc>
          <w:tcPr>
            <w:tcW w:w="14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Right-of-use assets obtained in exchange for lease obligations</w:t>
            </w:r>
            <w:r>
              <w:rPr>
                <w:rFonts w:ascii="Arial;sans-serif" w:hAnsi="Arial;sans-serif"/>
                <w:b/>
                <w:color w:val="131E29"/>
                <w:sz w:val="13"/>
              </w:rPr>
              <w:t>1</w:t>
            </w:r>
            <w:r>
              <w:rPr>
                <w:rFonts w:ascii="Arial;sans-serif" w:hAnsi="Arial;sans-serif"/>
                <w:b/>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122,990 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135,987 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28,626 </w:t>
            </w:r>
          </w:p>
        </w:tc>
        <w:tc>
          <w:tcPr>
            <w:tcW w:w="14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171,437 </w:t>
            </w:r>
          </w:p>
        </w:tc>
        <w:tc>
          <w:tcPr>
            <w:tcW w:w="14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w:t>
      </w:r>
    </w:p>
    <w:p>
      <w:pPr>
        <w:pStyle w:val="TextBody"/>
        <w:bidi w:val="0"/>
        <w:spacing w:lineRule="auto" w:line="288" w:before="0" w:after="180"/>
        <w:jc w:val="left"/>
        <w:rPr/>
      </w:pPr>
      <w:r>
        <w:rPr>
          <w:rFonts w:ascii="Arial;sans-serif" w:hAnsi="Arial;sans-serif"/>
          <w:b w:val="false"/>
          <w:color w:val="131E29"/>
          <w:sz w:val="13"/>
        </w:rPr>
        <w:t>1</w:t>
      </w:r>
      <w:r>
        <w:rPr>
          <w:color w:val="131E29"/>
        </w:rPr>
        <w:t xml:space="preserve"> </w:t>
      </w:r>
      <w:r>
        <w:rPr>
          <w:rFonts w:ascii="Arial;sans-serif" w:hAnsi="Arial;sans-serif"/>
          <w:b w:val="false"/>
          <w:color w:val="131E29"/>
          <w:sz w:val="16"/>
        </w:rPr>
        <w:t>The 2022 amounts include the transition adjustment for the adoption of ASU 2016-02,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63220"/>
                <wp:effectExtent l="0" t="0" r="0" b="0"/>
                <wp:wrapNone/>
                <wp:docPr id="65" name="Frame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August 4, 2023, certain subsidiaries of the Company entered into an amendment to its existing $500 million senior secured credit facility, dated February 28, 2022, with JPMorgan Chase Bank, N.A. as administrative agent and other financial institutions as the lenders party thereto (as amended, the 2022 Credit Facility) to increase borrowing capacity by a total of $150 million. The 2022 Credit Facility has a total capacity of $650 million, consisting of a $350 million revolving credit facility (increased from $250 million), a term loan facility of up to $100 million (no change), and a delayed draw term loan facility of up to $200 million (increased from $150 million). The 2022 Credit Facility also includes sublimits for letters of credit and swingline loans of up to $50 million and $15 million, respectively. The 2022 Credit Facility expires on February 28, 2027 (the Maturity Date), and portions of the delayed draw term loan facility expire if they remain undrawn on certain dates prior to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condensed consolidated statements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further detailed in NOTE 13 — Equity and Equity-Based Compensation, Dutch Bros OpCo used the proceeds it received from the sale of 13.3 million Class A common units in connection with the Follow-On Offering (as defined in NOTE 13 — Equity and Equity-Based Compensation) to repay approximately $202.7 million of the 2022 Credit Facility, representing the balance of the Company’s revolving loans as of the repayment date. As of September 30, 2023, the full $350 million was available for borrowing on the revolving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approximately $96.3 million of principal was outstanding on the term loan. The term loan bears interest at 7.67% as of September 30, 2023. The Company was in compliance with its financial covenants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3220"/>
                <wp:effectExtent l="0" t="0" r="0" b="0"/>
                <wp:wrapNone/>
                <wp:docPr id="68" name="Frame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Long-Term Debt</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 Company’s long-term debt consisted of the following for the periods presented:</w:t>
      </w:r>
    </w:p>
    <w:tbl>
      <w:tblPr>
        <w:tblW w:w="8241" w:type="dxa"/>
        <w:jc w:val="left"/>
        <w:tblInd w:w="0" w:type="dxa"/>
        <w:tblLayout w:type="fixed"/>
        <w:tblCellMar>
          <w:top w:w="28" w:type="dxa"/>
          <w:left w:w="28" w:type="dxa"/>
          <w:bottom w:w="28" w:type="dxa"/>
          <w:right w:w="28" w:type="dxa"/>
        </w:tblCellMar>
      </w:tblPr>
      <w:tblGrid>
        <w:gridCol w:w="1370"/>
        <w:gridCol w:w="1201"/>
        <w:gridCol w:w="1208"/>
        <w:gridCol w:w="109"/>
        <w:gridCol w:w="109"/>
        <w:gridCol w:w="109"/>
        <w:gridCol w:w="376"/>
        <w:gridCol w:w="1346"/>
        <w:gridCol w:w="197"/>
        <w:gridCol w:w="109"/>
        <w:gridCol w:w="109"/>
        <w:gridCol w:w="109"/>
        <w:gridCol w:w="357"/>
        <w:gridCol w:w="1272"/>
        <w:gridCol w:w="260"/>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377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Term loan under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96,250 </w:t>
            </w:r>
          </w:p>
        </w:tc>
        <w:tc>
          <w:tcPr>
            <w:tcW w:w="197"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98,125 </w:t>
            </w:r>
          </w:p>
        </w:tc>
        <w:tc>
          <w:tcPr>
            <w:tcW w:w="260"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Finance obligation</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443 </w:t>
            </w:r>
          </w:p>
        </w:tc>
        <w:tc>
          <w:tcPr>
            <w:tcW w:w="1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524 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98,078 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100,028 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(1,510)</w:t>
            </w:r>
          </w:p>
        </w:tc>
        <w:tc>
          <w:tcPr>
            <w:tcW w:w="1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(1,122)</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92,704 </w:t>
            </w:r>
          </w:p>
        </w:tc>
        <w:tc>
          <w:tcPr>
            <w:tcW w:w="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96,297 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 xml:space="preserve">Represents failed sale-leaseback arrangements under ASC 842.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September 30, 2023 are as follows: </w:t>
      </w:r>
    </w:p>
    <w:tbl>
      <w:tblPr>
        <w:tblW w:w="3198"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75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653 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6,998 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71,295 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98,078 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10 — Fair Value 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Company’s condensed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term loan and revolving loans approximate their carrying amounts; these debt instruments are designated as Level 2 within the fair value hierarchy. The Company’s cost of borrowing is variable and approximates current market rates.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an interest rate swap, which is required to be measured at fair value on a recurring basis. Designated as a Level 2 instrument within the fair value hierarchy, the interest rate swap as of September 30, 2023 had a fair value of $3.8 million, and is recorded as an asset on the Company’s condensed consolidated balance sheet.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fair value of the Company’s interest rate swap was determined based on the present value of expected future cash flows considering the risks involved, including nonperformance risk, and using discount rates appropriate for the duration based on observable inputs.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See NOTE 11 — Derivative Financial Instruments for additional details related to the interest rate swap.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3220"/>
                <wp:effectExtent l="0" t="0" r="0" b="0"/>
                <wp:wrapNone/>
                <wp:docPr id="71" name="Frame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11 — Derivative Financial Instruments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From time to time, the Company may enter into interest rate swaps to fix a portion of interest expense. The Company does not enter into derivative instruments for any other purpose other than to manage its risks related to fluctuations in interest rates and does not engage in interest rate speculation using derivative instruments.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2022, the Company entered into a receive-variable (Receive Leg), pay-fixed (Pay Leg) interest rate swap with JPMorgan Chase Bank, N.A with respect to $70 million of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September 30, 2023, the one-month adjusted term SOFR was 5.32%.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September 30, 2023, the Company expects to reclassify a gain of approximately $1.8 million from AOCI to earnings within the next twelve months.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fair value and effect of the derivative instrument included in the Company’s condensed consolidated financial statements was as follows:</w:t>
      </w:r>
    </w:p>
    <w:tbl>
      <w:tblPr>
        <w:tblW w:w="10205" w:type="dxa"/>
        <w:jc w:val="left"/>
        <w:tblInd w:w="0" w:type="dxa"/>
        <w:tblLayout w:type="fixed"/>
        <w:tblCellMar>
          <w:top w:w="28" w:type="dxa"/>
          <w:left w:w="28" w:type="dxa"/>
          <w:bottom w:w="28" w:type="dxa"/>
          <w:right w:w="28" w:type="dxa"/>
        </w:tblCellMar>
      </w:tblPr>
      <w:tblGrid>
        <w:gridCol w:w="1404"/>
        <w:gridCol w:w="1201"/>
        <w:gridCol w:w="1177"/>
        <w:gridCol w:w="109"/>
        <w:gridCol w:w="109"/>
        <w:gridCol w:w="109"/>
        <w:gridCol w:w="950"/>
        <w:gridCol w:w="950"/>
        <w:gridCol w:w="952"/>
        <w:gridCol w:w="109"/>
        <w:gridCol w:w="109"/>
        <w:gridCol w:w="109"/>
        <w:gridCol w:w="284"/>
        <w:gridCol w:w="874"/>
        <w:gridCol w:w="149"/>
        <w:gridCol w:w="109"/>
        <w:gridCol w:w="109"/>
        <w:gridCol w:w="109"/>
        <w:gridCol w:w="265"/>
        <w:gridCol w:w="816"/>
        <w:gridCol w:w="202"/>
      </w:tblGrid>
      <w:tr>
        <w:trPr/>
        <w:tc>
          <w:tcPr>
            <w:tcW w:w="140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3782"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2,018 </w:t>
            </w:r>
          </w:p>
        </w:tc>
        <w:tc>
          <w:tcPr>
            <w:tcW w:w="14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1,706 </w:t>
            </w:r>
          </w:p>
        </w:tc>
        <w:tc>
          <w:tcPr>
            <w:tcW w:w="20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3,772 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3,163 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7"/>
        <w:gridCol w:w="675"/>
        <w:gridCol w:w="611"/>
        <w:gridCol w:w="109"/>
        <w:gridCol w:w="109"/>
        <w:gridCol w:w="109"/>
        <w:gridCol w:w="658"/>
        <w:gridCol w:w="580"/>
        <w:gridCol w:w="581"/>
        <w:gridCol w:w="109"/>
        <w:gridCol w:w="109"/>
        <w:gridCol w:w="109"/>
        <w:gridCol w:w="228"/>
        <w:gridCol w:w="521"/>
        <w:gridCol w:w="117"/>
        <w:gridCol w:w="117"/>
        <w:gridCol w:w="117"/>
        <w:gridCol w:w="117"/>
        <w:gridCol w:w="228"/>
        <w:gridCol w:w="699"/>
        <w:gridCol w:w="117"/>
        <w:gridCol w:w="109"/>
        <w:gridCol w:w="109"/>
        <w:gridCol w:w="109"/>
        <w:gridCol w:w="222"/>
        <w:gridCol w:w="693"/>
        <w:gridCol w:w="115"/>
        <w:gridCol w:w="115"/>
        <w:gridCol w:w="115"/>
        <w:gridCol w:w="115"/>
        <w:gridCol w:w="222"/>
        <w:gridCol w:w="682"/>
        <w:gridCol w:w="115"/>
        <w:gridCol w:w="109"/>
        <w:gridCol w:w="168"/>
      </w:tblGrid>
      <w:tr>
        <w:trPr/>
        <w:tc>
          <w:tcPr>
            <w:tcW w:w="118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recognized in 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Operations - 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(465)</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3"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(1,216)</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Operations -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3220"/>
                <wp:effectExtent l="0" t="0" r="0" b="0"/>
                <wp:wrapNone/>
                <wp:docPr id="74" name="Frame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additional information related to the Company’s derivative instrument, see NOTE 10 —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12 — Income Taxes</w:t>
      </w:r>
    </w:p>
    <w:tbl>
      <w:tblPr>
        <w:tblW w:w="10205" w:type="dxa"/>
        <w:jc w:val="left"/>
        <w:tblInd w:w="0" w:type="dxa"/>
        <w:tblLayout w:type="fixed"/>
        <w:tblCellMar>
          <w:top w:w="28" w:type="dxa"/>
          <w:left w:w="28" w:type="dxa"/>
          <w:bottom w:w="28" w:type="dxa"/>
          <w:right w:w="28" w:type="dxa"/>
        </w:tblCellMar>
      </w:tblPr>
      <w:tblGrid>
        <w:gridCol w:w="726"/>
        <w:gridCol w:w="632"/>
        <w:gridCol w:w="635"/>
        <w:gridCol w:w="109"/>
        <w:gridCol w:w="109"/>
        <w:gridCol w:w="109"/>
        <w:gridCol w:w="260"/>
        <w:gridCol w:w="797"/>
        <w:gridCol w:w="352"/>
        <w:gridCol w:w="134"/>
        <w:gridCol w:w="134"/>
        <w:gridCol w:w="134"/>
        <w:gridCol w:w="260"/>
        <w:gridCol w:w="848"/>
        <w:gridCol w:w="134"/>
        <w:gridCol w:w="109"/>
        <w:gridCol w:w="109"/>
        <w:gridCol w:w="109"/>
        <w:gridCol w:w="109"/>
        <w:gridCol w:w="109"/>
        <w:gridCol w:w="526"/>
        <w:gridCol w:w="109"/>
        <w:gridCol w:w="242"/>
        <w:gridCol w:w="745"/>
        <w:gridCol w:w="329"/>
        <w:gridCol w:w="125"/>
        <w:gridCol w:w="125"/>
        <w:gridCol w:w="125"/>
        <w:gridCol w:w="242"/>
        <w:gridCol w:w="791"/>
        <w:gridCol w:w="329"/>
        <w:gridCol w:w="109"/>
        <w:gridCol w:w="109"/>
        <w:gridCol w:w="109"/>
        <w:gridCol w:w="109"/>
        <w:gridCol w:w="163"/>
      </w:tblGrid>
      <w:tr>
        <w:trPr/>
        <w:tc>
          <w:tcPr>
            <w:tcW w:w="7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599" w:type="dxa"/>
            <w:gridSpan w:val="5"/>
            <w:tcBorders/>
          </w:tcPr>
          <w:p>
            <w:pPr>
              <w:pStyle w:val="TableContents"/>
              <w:bidi w:val="0"/>
              <w:spacing w:before="0" w:after="283"/>
              <w:jc w:val="left"/>
              <w:rPr>
                <w:sz w:val="4"/>
                <w:szCs w:val="4"/>
              </w:rPr>
            </w:pPr>
            <w:r>
              <w:rPr>
                <w:sz w:val="4"/>
                <w:szCs w:val="4"/>
              </w:rPr>
            </w:r>
          </w:p>
        </w:tc>
      </w:tr>
      <w:tr>
        <w:trPr/>
        <w:tc>
          <w:tcPr>
            <w:tcW w:w="1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99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1,828 </w:t>
            </w:r>
          </w:p>
        </w:tc>
        <w:tc>
          <w:tcPr>
            <w:tcW w:w="35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8"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(3,371)</w:t>
            </w:r>
          </w:p>
        </w:tc>
        <w:tc>
          <w:tcPr>
            <w:tcW w:w="134"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5"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6,259 </w:t>
            </w:r>
          </w:p>
        </w:tc>
        <w:tc>
          <w:tcPr>
            <w:tcW w:w="32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(2,700)</w:t>
            </w:r>
          </w:p>
        </w:tc>
        <w:tc>
          <w:tcPr>
            <w:tcW w:w="32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12.0 </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31.3 </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14.1 </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tax expense was primarily driven by increased current year pre-tax income, changes in state earnings mix, and impact on outside basis differences as a result of prior year tax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13 — Equity and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Follow-On Offering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September 12, 2023, Dutch Bros Inc. completed a follow-on offering of approximately 13.3 million shares of Class A common stock at a public offering price of $26.00 per share, which included approximately 1.7 million shares issued pursuant to the exercise in full of the underwriters’ option to purchase additional shares (the Follow-On Offering). This resulted in proceeds of approximately $331.2 million, net of underwriting discounts and commissions. The proceeds were used to purchase an equal number of Class A common units of Dutch Bros OpCo. Dutch Bros OpCo used the proceeds for working capital and general corporate purposes, including principal repayment of the Company’s revolving credit facility, and for payment of offering costs of approximately $1.1 million. The offering costs were charged to additional paid-in capital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Equity Awards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the Company had equity-based compensation awards outstanding consisting of RSAs and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Awards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RSAs was as follows:</w:t>
      </w:r>
    </w:p>
    <w:tbl>
      <w:tblPr>
        <w:tblW w:w="10205" w:type="dxa"/>
        <w:jc w:val="left"/>
        <w:tblInd w:w="0" w:type="dxa"/>
        <w:tblLayout w:type="fixed"/>
        <w:tblCellMar>
          <w:top w:w="28" w:type="dxa"/>
          <w:left w:w="28" w:type="dxa"/>
          <w:bottom w:w="28" w:type="dxa"/>
          <w:right w:w="28" w:type="dxa"/>
        </w:tblCellMar>
      </w:tblPr>
      <w:tblGrid>
        <w:gridCol w:w="1081"/>
        <w:gridCol w:w="939"/>
        <w:gridCol w:w="945"/>
        <w:gridCol w:w="109"/>
        <w:gridCol w:w="109"/>
        <w:gridCol w:w="109"/>
        <w:gridCol w:w="744"/>
        <w:gridCol w:w="744"/>
        <w:gridCol w:w="746"/>
        <w:gridCol w:w="109"/>
        <w:gridCol w:w="109"/>
        <w:gridCol w:w="109"/>
        <w:gridCol w:w="905"/>
        <w:gridCol w:w="2778"/>
        <w:gridCol w:w="669"/>
      </w:tblGrid>
      <w:tr>
        <w:trPr/>
        <w:tc>
          <w:tcPr>
            <w:tcW w:w="108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2" w:type="dxa"/>
            <w:gridSpan w:val="3"/>
            <w:tcBorders/>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2" w:type="dxa"/>
            <w:gridSpan w:val="3"/>
            <w:tcBorders/>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2" w:type="dxa"/>
            <w:gridSpan w:val="3"/>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48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2,667 </w:t>
            </w:r>
          </w:p>
        </w:tc>
        <w:tc>
          <w:tcPr>
            <w:tcW w:w="7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77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6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2" w:type="dxa"/>
            <w:gridSpan w:val="3"/>
            <w:tcBorders/>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2" w:type="dxa"/>
            <w:gridSpan w:val="3"/>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(1,333)</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48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w:t>
            </w:r>
          </w:p>
        </w:tc>
        <w:tc>
          <w:tcPr>
            <w:tcW w:w="74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6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1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1,316 </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3220"/>
                <wp:effectExtent l="0" t="0" r="0" b="0"/>
                <wp:wrapNone/>
                <wp:docPr id="77" name="Frame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Units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RSUs was as follows:</w:t>
      </w:r>
    </w:p>
    <w:tbl>
      <w:tblPr>
        <w:tblW w:w="10205" w:type="dxa"/>
        <w:jc w:val="left"/>
        <w:tblInd w:w="0" w:type="dxa"/>
        <w:tblLayout w:type="fixed"/>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rPr/>
        <w:tc>
          <w:tcPr>
            <w:tcW w:w="1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8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583 </w:t>
            </w:r>
          </w:p>
        </w:tc>
        <w:tc>
          <w:tcPr>
            <w:tcW w:w="6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44.34 </w:t>
            </w:r>
          </w:p>
        </w:tc>
        <w:tc>
          <w:tcPr>
            <w:tcW w:w="68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458 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31.25 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w:t>
            </w:r>
          </w:p>
        </w:tc>
        <w:tc>
          <w:tcPr>
            <w:tcW w:w="6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41.90 </w:t>
            </w:r>
          </w:p>
        </w:tc>
        <w:tc>
          <w:tcPr>
            <w:tcW w:w="68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43.29 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643 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36.13 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restricted stock awards and units for the nine months ended September 30, 2023 and 2022 are presented below. </w:t>
      </w:r>
    </w:p>
    <w:tbl>
      <w:tblPr>
        <w:tblW w:w="10205" w:type="dxa"/>
        <w:jc w:val="left"/>
        <w:tblInd w:w="0" w:type="dxa"/>
        <w:tblLayout w:type="fixed"/>
        <w:tblCellMar>
          <w:top w:w="28" w:type="dxa"/>
          <w:left w:w="28" w:type="dxa"/>
          <w:bottom w:w="28" w:type="dxa"/>
          <w:right w:w="28" w:type="dxa"/>
        </w:tblCellMar>
      </w:tblPr>
      <w:tblGrid>
        <w:gridCol w:w="531"/>
        <w:gridCol w:w="411"/>
        <w:gridCol w:w="414"/>
        <w:gridCol w:w="109"/>
        <w:gridCol w:w="109"/>
        <w:gridCol w:w="109"/>
        <w:gridCol w:w="109"/>
        <w:gridCol w:w="109"/>
        <w:gridCol w:w="109"/>
        <w:gridCol w:w="109"/>
        <w:gridCol w:w="303"/>
        <w:gridCol w:w="1085"/>
        <w:gridCol w:w="158"/>
        <w:gridCol w:w="109"/>
        <w:gridCol w:w="109"/>
        <w:gridCol w:w="109"/>
        <w:gridCol w:w="479"/>
        <w:gridCol w:w="1469"/>
        <w:gridCol w:w="249"/>
        <w:gridCol w:w="303"/>
        <w:gridCol w:w="1085"/>
        <w:gridCol w:w="158"/>
        <w:gridCol w:w="479"/>
        <w:gridCol w:w="1469"/>
        <w:gridCol w:w="249"/>
        <w:gridCol w:w="109"/>
        <w:gridCol w:w="164"/>
      </w:tblGrid>
      <w:tr>
        <w:trPr/>
        <w:tc>
          <w:tcPr>
            <w:tcW w:w="5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vest date fair value per share</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2022</w:t>
            </w:r>
          </w:p>
        </w:tc>
        <w:tc>
          <w:tcPr>
            <w:tcW w:w="2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vest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36,451 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6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27.34 </w:t>
            </w:r>
          </w:p>
        </w:tc>
        <w:tc>
          <w:tcPr>
            <w:tcW w:w="2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69,604 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6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52.21 </w:t>
            </w:r>
          </w:p>
        </w:tc>
        <w:tc>
          <w:tcPr>
            <w:tcW w:w="2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51.99 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the Company’s condensed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1146"/>
        <w:gridCol w:w="1006"/>
        <w:gridCol w:w="1011"/>
        <w:gridCol w:w="109"/>
        <w:gridCol w:w="109"/>
        <w:gridCol w:w="109"/>
        <w:gridCol w:w="274"/>
        <w:gridCol w:w="841"/>
        <w:gridCol w:w="141"/>
        <w:gridCol w:w="141"/>
        <w:gridCol w:w="141"/>
        <w:gridCol w:w="141"/>
        <w:gridCol w:w="274"/>
        <w:gridCol w:w="978"/>
        <w:gridCol w:w="141"/>
        <w:gridCol w:w="109"/>
        <w:gridCol w:w="109"/>
        <w:gridCol w:w="109"/>
        <w:gridCol w:w="259"/>
        <w:gridCol w:w="926"/>
        <w:gridCol w:w="134"/>
        <w:gridCol w:w="134"/>
        <w:gridCol w:w="134"/>
        <w:gridCol w:w="134"/>
        <w:gridCol w:w="259"/>
        <w:gridCol w:w="926"/>
        <w:gridCol w:w="134"/>
        <w:gridCol w:w="109"/>
        <w:gridCol w:w="167"/>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9,698 </w:t>
            </w:r>
          </w:p>
        </w:tc>
        <w:tc>
          <w:tcPr>
            <w:tcW w:w="1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10,649 </w:t>
            </w:r>
          </w:p>
        </w:tc>
        <w:tc>
          <w:tcPr>
            <w:tcW w:w="1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29,017 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30,995 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total unrecognized stock-based compensation related to unvested stock awards was $23.8 million, which will be recognized as follows:</w:t>
      </w:r>
    </w:p>
    <w:tbl>
      <w:tblPr>
        <w:tblW w:w="5613" w:type="dxa"/>
        <w:jc w:val="left"/>
        <w:tblInd w:w="0" w:type="dxa"/>
        <w:tblLayout w:type="fixed"/>
        <w:tblCellMar>
          <w:top w:w="28" w:type="dxa"/>
          <w:left w:w="28" w:type="dxa"/>
          <w:bottom w:w="28" w:type="dxa"/>
          <w:right w:w="28" w:type="dxa"/>
        </w:tblCellMar>
      </w:tblPr>
      <w:tblGrid>
        <w:gridCol w:w="1511"/>
        <w:gridCol w:w="1326"/>
        <w:gridCol w:w="1333"/>
        <w:gridCol w:w="109"/>
        <w:gridCol w:w="109"/>
        <w:gridCol w:w="109"/>
        <w:gridCol w:w="211"/>
        <w:gridCol w:w="75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9,986 </w:t>
            </w:r>
          </w:p>
        </w:tc>
        <w:tc>
          <w:tcPr>
            <w:tcW w:w="154"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5,054 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unrecognized stock-based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23,784 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3220"/>
                <wp:effectExtent l="0" t="0" r="0" b="0"/>
                <wp:wrapNone/>
                <wp:docPr id="80" name="Frame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14 — Non-Controlling Interests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as a result, consolidates the financial results of Dutch Bros OpCo. The Company reports a non-controlling interest representing the economic interest in the Dutch Bros OpCo held by the other members of Dutch Bros OpCo. The Third Amended and Restated Limited Liability Company Agreement of Dutch Bros OpCo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w:t>
      </w:r>
    </w:p>
    <w:tbl>
      <w:tblPr>
        <w:tblW w:w="10205" w:type="dxa"/>
        <w:jc w:val="left"/>
        <w:tblInd w:w="0" w:type="dxa"/>
        <w:tblLayout w:type="fixed"/>
        <w:tblCellMar>
          <w:top w:w="28" w:type="dxa"/>
          <w:left w:w="28" w:type="dxa"/>
          <w:bottom w:w="28" w:type="dxa"/>
          <w:right w:w="28" w:type="dxa"/>
        </w:tblCellMar>
      </w:tblPr>
      <w:tblGrid>
        <w:gridCol w:w="2435"/>
        <w:gridCol w:w="2101"/>
        <w:gridCol w:w="2112"/>
        <w:gridCol w:w="109"/>
        <w:gridCol w:w="109"/>
        <w:gridCol w:w="109"/>
        <w:gridCol w:w="443"/>
        <w:gridCol w:w="413"/>
        <w:gridCol w:w="377"/>
        <w:gridCol w:w="172"/>
        <w:gridCol w:w="172"/>
        <w:gridCol w:w="172"/>
        <w:gridCol w:w="329"/>
        <w:gridCol w:w="317"/>
        <w:gridCol w:w="835"/>
      </w:tblGrid>
      <w:tr>
        <w:trPr/>
        <w:tc>
          <w:tcPr>
            <w:tcW w:w="243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2023</w:t>
            </w:r>
          </w:p>
        </w:tc>
      </w:tr>
      <w:tr>
        <w:trPr/>
        <w:tc>
          <w:tcPr>
            <w:tcW w:w="6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664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Dutch Bros OpCo Class A common units held by Dutch Bros Inc.</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71,360 </w:t>
            </w:r>
          </w:p>
        </w:tc>
        <w:tc>
          <w:tcPr>
            <w:tcW w:w="37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40.3 </w:t>
            </w:r>
          </w:p>
        </w:tc>
        <w:tc>
          <w:tcPr>
            <w:tcW w:w="83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6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Dutch Bros OpCo Class A common units held by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105,755 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59.7 </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66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177,115 </w:t>
            </w:r>
          </w:p>
        </w:tc>
        <w:tc>
          <w:tcPr>
            <w:tcW w:w="37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8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Includes approximately 1.3 million Dutch Bros OpCo Class A common units related to unvested restricted stock awards held by former Profits Interest Units holders. These Dutch Bros OpCo Class A common units are excluded from non-controlling interest calculations.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tbl>
      <w:tblPr>
        <w:tblW w:w="10205" w:type="dxa"/>
        <w:jc w:val="left"/>
        <w:tblInd w:w="0" w:type="dxa"/>
        <w:tblLayout w:type="fixed"/>
        <w:tblCellMar>
          <w:top w:w="28" w:type="dxa"/>
          <w:left w:w="28" w:type="dxa"/>
          <w:bottom w:w="28" w:type="dxa"/>
          <w:right w:w="28" w:type="dxa"/>
        </w:tblCellMar>
      </w:tblPr>
      <w:tblGrid>
        <w:gridCol w:w="1169"/>
        <w:gridCol w:w="1027"/>
        <w:gridCol w:w="1031"/>
        <w:gridCol w:w="109"/>
        <w:gridCol w:w="109"/>
        <w:gridCol w:w="109"/>
        <w:gridCol w:w="323"/>
        <w:gridCol w:w="301"/>
        <w:gridCol w:w="732"/>
        <w:gridCol w:w="279"/>
        <w:gridCol w:w="279"/>
        <w:gridCol w:w="279"/>
        <w:gridCol w:w="319"/>
        <w:gridCol w:w="279"/>
        <w:gridCol w:w="279"/>
        <w:gridCol w:w="109"/>
        <w:gridCol w:w="109"/>
        <w:gridCol w:w="109"/>
        <w:gridCol w:w="313"/>
        <w:gridCol w:w="295"/>
        <w:gridCol w:w="711"/>
        <w:gridCol w:w="271"/>
        <w:gridCol w:w="271"/>
        <w:gridCol w:w="271"/>
        <w:gridCol w:w="311"/>
        <w:gridCol w:w="271"/>
        <w:gridCol w:w="271"/>
        <w:gridCol w:w="109"/>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ownership percentage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64.1 </w:t>
            </w:r>
          </w:p>
        </w:tc>
        <w:tc>
          <w:tcPr>
            <w:tcW w:w="73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83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64.8 </w:t>
            </w:r>
          </w:p>
        </w:tc>
        <w:tc>
          <w:tcPr>
            <w:tcW w:w="7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8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68.5%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3220"/>
                <wp:effectExtent l="0" t="0" r="0" b="0"/>
                <wp:wrapNone/>
                <wp:docPr id="83" name="Frame2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the Company’s equity for the periods presented:</w:t>
      </w:r>
    </w:p>
    <w:tbl>
      <w:tblPr>
        <w:tblW w:w="10205" w:type="dxa"/>
        <w:jc w:val="left"/>
        <w:tblInd w:w="0" w:type="dxa"/>
        <w:tblLayout w:type="fixed"/>
        <w:tblCellMar>
          <w:top w:w="28" w:type="dxa"/>
          <w:left w:w="28" w:type="dxa"/>
          <w:bottom w:w="28" w:type="dxa"/>
          <w:right w:w="28" w:type="dxa"/>
        </w:tblCellMar>
      </w:tblPr>
      <w:tblGrid>
        <w:gridCol w:w="1655"/>
        <w:gridCol w:w="1068"/>
        <w:gridCol w:w="1074"/>
        <w:gridCol w:w="109"/>
        <w:gridCol w:w="109"/>
        <w:gridCol w:w="109"/>
        <w:gridCol w:w="224"/>
        <w:gridCol w:w="927"/>
        <w:gridCol w:w="116"/>
        <w:gridCol w:w="116"/>
        <w:gridCol w:w="116"/>
        <w:gridCol w:w="116"/>
        <w:gridCol w:w="224"/>
        <w:gridCol w:w="799"/>
        <w:gridCol w:w="116"/>
        <w:gridCol w:w="109"/>
        <w:gridCol w:w="109"/>
        <w:gridCol w:w="109"/>
        <w:gridCol w:w="222"/>
        <w:gridCol w:w="920"/>
        <w:gridCol w:w="114"/>
        <w:gridCol w:w="114"/>
        <w:gridCol w:w="114"/>
        <w:gridCol w:w="114"/>
        <w:gridCol w:w="222"/>
        <w:gridCol w:w="793"/>
        <w:gridCol w:w="114"/>
        <w:gridCol w:w="109"/>
        <w:gridCol w:w="164"/>
      </w:tblGrid>
      <w:tr>
        <w:trPr/>
        <w:tc>
          <w:tcPr>
            <w:tcW w:w="165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4,210 </w:t>
            </w:r>
          </w:p>
        </w:tc>
        <w:tc>
          <w:tcPr>
            <w:tcW w:w="11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1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Unrealized gain on derivative securities, effective portion, net of 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703 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848 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Transfers from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Decrease in accumulated deficit as a result of the adoption of ASC 842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Decrease in additional paid-in capital as a result of common stock issuances pursuant to vesting of equity awards, net of stock withheld for tax</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(661)</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(1,145)</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(decrease) in additional paid-in capital as a result of the acquisition of Dutch Bros OpCo Class A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(189,072)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(187,950)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effect of changes in ownership interest on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(180,810)</w:t>
            </w:r>
          </w:p>
        </w:tc>
        <w:tc>
          <w:tcPr>
            <w:tcW w:w="1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10,650 </w:t>
            </w:r>
          </w:p>
        </w:tc>
        <w:tc>
          <w:tcPr>
            <w:tcW w:w="1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(174,602)</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15,226 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416B"/>
          <w:sz w:val="24"/>
        </w:rPr>
        <w:t>NOTE 15 — Income (Loss) Per Share</w:t>
      </w:r>
      <w:r>
        <w:rPr>
          <w:color w:val="EE2724"/>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Basic net income (loss) per share of Class A and Class D common stock is computed by dividing net income (loss) attributable to Dutch Bros Inc. by the weighted-average number of shares of Class A and Class D common stock outstanding during the period.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Diluted net income (loss) per share of Class A and Class D common stock is computed by dividing net income (loss) attributable to the Company, adjusted for the assumed exchange of all potentially dilutive instruments for Class A common stock, by the weighted-average number of shares of Class A and Class D common stock outstanding, adjusted to give effect to potentially dilutive elements. Share counts used in the diluted net income (loss) per share calculations are adjusted for the deemed repurchases provided for in the treasury stock method for restricted stock awards and restricted stock units, and under the if-converted method for the outstanding convertible Class B and Class C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tables set forth the numerators and denominators used to compute basic and diluted net income (loss) per share of Class A and Class D common stock for the periods presented. </w:t>
      </w:r>
    </w:p>
    <w:tbl>
      <w:tblPr>
        <w:tblW w:w="10205" w:type="dxa"/>
        <w:jc w:val="left"/>
        <w:tblInd w:w="0" w:type="dxa"/>
        <w:tblLayout w:type="fixed"/>
        <w:tblCellMar>
          <w:top w:w="28" w:type="dxa"/>
          <w:left w:w="28" w:type="dxa"/>
          <w:bottom w:w="28" w:type="dxa"/>
          <w:right w:w="28" w:type="dxa"/>
        </w:tblCellMar>
      </w:tblPr>
      <w:tblGrid>
        <w:gridCol w:w="1312"/>
        <w:gridCol w:w="1129"/>
        <w:gridCol w:w="1043"/>
        <w:gridCol w:w="109"/>
        <w:gridCol w:w="109"/>
        <w:gridCol w:w="109"/>
        <w:gridCol w:w="258"/>
        <w:gridCol w:w="922"/>
        <w:gridCol w:w="133"/>
        <w:gridCol w:w="133"/>
        <w:gridCol w:w="133"/>
        <w:gridCol w:w="133"/>
        <w:gridCol w:w="258"/>
        <w:gridCol w:w="792"/>
        <w:gridCol w:w="133"/>
        <w:gridCol w:w="109"/>
        <w:gridCol w:w="109"/>
        <w:gridCol w:w="109"/>
        <w:gridCol w:w="244"/>
        <w:gridCol w:w="870"/>
        <w:gridCol w:w="126"/>
        <w:gridCol w:w="126"/>
        <w:gridCol w:w="126"/>
        <w:gridCol w:w="126"/>
        <w:gridCol w:w="244"/>
        <w:gridCol w:w="910"/>
        <w:gridCol w:w="126"/>
        <w:gridCol w:w="109"/>
        <w:gridCol w:w="165"/>
      </w:tblGrid>
      <w:tr>
        <w:trPr/>
        <w:tc>
          <w:tcPr>
            <w:tcW w:w="131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income (loss)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9,191 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10,601 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(12,346)</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4,210 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63220"/>
                <wp:effectExtent l="0" t="0" r="0" b="0"/>
                <wp:wrapNone/>
                <wp:docPr id="86" name="Frame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61"/>
        <w:gridCol w:w="1115"/>
        <w:gridCol w:w="1122"/>
        <w:gridCol w:w="109"/>
        <w:gridCol w:w="109"/>
        <w:gridCol w:w="109"/>
        <w:gridCol w:w="248"/>
        <w:gridCol w:w="761"/>
        <w:gridCol w:w="128"/>
        <w:gridCol w:w="128"/>
        <w:gridCol w:w="128"/>
        <w:gridCol w:w="128"/>
        <w:gridCol w:w="248"/>
        <w:gridCol w:w="761"/>
        <w:gridCol w:w="128"/>
        <w:gridCol w:w="109"/>
        <w:gridCol w:w="109"/>
        <w:gridCol w:w="109"/>
        <w:gridCol w:w="242"/>
        <w:gridCol w:w="742"/>
        <w:gridCol w:w="125"/>
        <w:gridCol w:w="125"/>
        <w:gridCol w:w="125"/>
        <w:gridCol w:w="125"/>
        <w:gridCol w:w="242"/>
        <w:gridCol w:w="772"/>
        <w:gridCol w:w="125"/>
        <w:gridCol w:w="109"/>
        <w:gridCol w:w="163"/>
      </w:tblGrid>
      <w:tr>
        <w:trPr/>
        <w:tc>
          <w:tcPr>
            <w:tcW w:w="176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 </w:t>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 net income (loss)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4,210 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 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59,366 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53,118 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57,598 </w:t>
            </w:r>
          </w:p>
        </w:tc>
        <w:tc>
          <w:tcPr>
            <w:tcW w:w="1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50,719 </w:t>
            </w:r>
          </w:p>
        </w:tc>
        <w:tc>
          <w:tcPr>
            <w:tcW w:w="1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 net income (loss)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1"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0.07 </w:t>
            </w:r>
          </w:p>
        </w:tc>
        <w:tc>
          <w:tcPr>
            <w:tcW w:w="128"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1"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0.03 </w:t>
            </w:r>
          </w:p>
        </w:tc>
        <w:tc>
          <w:tcPr>
            <w:tcW w:w="128"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2"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25"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2"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(0.08)</w:t>
            </w:r>
          </w:p>
        </w:tc>
        <w:tc>
          <w:tcPr>
            <w:tcW w:w="125"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76"/>
        <w:gridCol w:w="1157"/>
        <w:gridCol w:w="1165"/>
        <w:gridCol w:w="109"/>
        <w:gridCol w:w="109"/>
        <w:gridCol w:w="109"/>
        <w:gridCol w:w="238"/>
        <w:gridCol w:w="731"/>
        <w:gridCol w:w="123"/>
        <w:gridCol w:w="123"/>
        <w:gridCol w:w="123"/>
        <w:gridCol w:w="123"/>
        <w:gridCol w:w="238"/>
        <w:gridCol w:w="731"/>
        <w:gridCol w:w="123"/>
        <w:gridCol w:w="109"/>
        <w:gridCol w:w="109"/>
        <w:gridCol w:w="109"/>
        <w:gridCol w:w="234"/>
        <w:gridCol w:w="717"/>
        <w:gridCol w:w="120"/>
        <w:gridCol w:w="120"/>
        <w:gridCol w:w="120"/>
        <w:gridCol w:w="120"/>
        <w:gridCol w:w="234"/>
        <w:gridCol w:w="739"/>
        <w:gridCol w:w="120"/>
        <w:gridCol w:w="109"/>
        <w:gridCol w:w="167"/>
      </w:tblGrid>
      <w:tr>
        <w:trPr/>
        <w:tc>
          <w:tcPr>
            <w:tcW w:w="187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6" w:type="dxa"/>
            <w:gridSpan w:val="2"/>
            <w:tcBorders/>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 net income (loss)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Undistributed net income (loss) for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4,210 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9"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(decrease) in net income (loss) attributable to common stockholders upon conversion of potentially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Allocation of undistributed net income (loss)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4,254 </w:t>
            </w:r>
          </w:p>
        </w:tc>
        <w:tc>
          <w:tcPr>
            <w:tcW w:w="12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1,762 </w:t>
            </w:r>
          </w:p>
        </w:tc>
        <w:tc>
          <w:tcPr>
            <w:tcW w:w="12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Denominator: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Number of shares used in basic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59,366 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50,719 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 weighted-average effect of 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used to calculate diluted net loss per share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60,214 </w:t>
            </w:r>
          </w:p>
        </w:tc>
        <w:tc>
          <w:tcPr>
            <w:tcW w:w="12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54,418 </w:t>
            </w:r>
          </w:p>
        </w:tc>
        <w:tc>
          <w:tcPr>
            <w:tcW w:w="12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57,598 </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50,719 </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Shares of the Company’s Class B and Class C common stock do not participate in the earnings or losses of the Company and are therefore not participating securities. As such, separate presentation of basic and diluted income (loss) per share of Class B and Class C common stock under the two-class method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3220"/>
                <wp:effectExtent l="0" t="0" r="0" b="0"/>
                <wp:wrapNone/>
                <wp:docPr id="89" name="Frame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Class A common stock equivalents were excluded from diluted net income (loss) per share in the periods presented because they were anti-dilutive:</w:t>
      </w:r>
    </w:p>
    <w:tbl>
      <w:tblPr>
        <w:tblW w:w="10177" w:type="dxa"/>
        <w:jc w:val="left"/>
        <w:tblInd w:w="0" w:type="dxa"/>
        <w:tblLayout w:type="fixed"/>
        <w:tblCellMar>
          <w:top w:w="28" w:type="dxa"/>
          <w:left w:w="28" w:type="dxa"/>
          <w:bottom w:w="28" w:type="dxa"/>
          <w:right w:w="28" w:type="dxa"/>
        </w:tblCellMar>
      </w:tblPr>
      <w:tblGrid>
        <w:gridCol w:w="907"/>
        <w:gridCol w:w="797"/>
        <w:gridCol w:w="800"/>
        <w:gridCol w:w="109"/>
        <w:gridCol w:w="109"/>
        <w:gridCol w:w="109"/>
        <w:gridCol w:w="380"/>
        <w:gridCol w:w="380"/>
        <w:gridCol w:w="380"/>
        <w:gridCol w:w="380"/>
        <w:gridCol w:w="380"/>
        <w:gridCol w:w="380"/>
        <w:gridCol w:w="380"/>
        <w:gridCol w:w="380"/>
        <w:gridCol w:w="392"/>
        <w:gridCol w:w="109"/>
        <w:gridCol w:w="109"/>
        <w:gridCol w:w="109"/>
        <w:gridCol w:w="368"/>
        <w:gridCol w:w="368"/>
        <w:gridCol w:w="368"/>
        <w:gridCol w:w="368"/>
        <w:gridCol w:w="368"/>
        <w:gridCol w:w="368"/>
        <w:gridCol w:w="368"/>
        <w:gridCol w:w="368"/>
        <w:gridCol w:w="380"/>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awards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8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9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1,315 </w:t>
            </w:r>
          </w:p>
        </w:tc>
        <w:tc>
          <w:tcPr>
            <w:tcW w:w="36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2,667 </w:t>
            </w:r>
          </w:p>
        </w:tc>
        <w:tc>
          <w:tcPr>
            <w:tcW w:w="38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anti-dilutive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643 </w:t>
            </w:r>
          </w:p>
        </w:tc>
        <w:tc>
          <w:tcPr>
            <w:tcW w:w="3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555 </w:t>
            </w:r>
          </w:p>
        </w:tc>
        <w:tc>
          <w:tcPr>
            <w:tcW w:w="3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1,958 </w:t>
            </w:r>
          </w:p>
        </w:tc>
        <w:tc>
          <w:tcPr>
            <w:tcW w:w="36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3,222 </w:t>
            </w:r>
          </w:p>
        </w:tc>
        <w:tc>
          <w:tcPr>
            <w:tcW w:w="3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16 — Commitments and Contingencies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Purchase Obligations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Guarantees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periodically provides guarantees to franchise partners for lease payments. Annually, the Company determines if a liability needs to be recorded related to these guarantees. As of September 30, 2023 and December 31, 2022, the Company had guaranteed approximately $1.5 million and $1.6 million, respectively, in franchise partners’ lease payments and has not established a liability for these guarantees as any liability arising from the guarantees is not material to the condensed consolidated financial statements.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regard to estimated expense related to such alleged legal disputes, the Company had previously accrued a liability of approximately $2.0 million, which is included within accrued liabilities on the Company’s condensed consolidated balance sheet as of September 30, 2023. The related expense is reflected in selling, general and administrative expense for the nine months ended September 30,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63220"/>
                <wp:effectExtent l="0" t="0" r="0" b="0"/>
                <wp:wrapNone/>
                <wp:docPr id="92" name="Frame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claim, proceeding or litigation has an element of uncertainty, and an unfavorable outcome may have a material adverse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Litigation Related to Securities Claims</w:t>
      </w:r>
    </w:p>
    <w:p>
      <w:pPr>
        <w:pStyle w:val="TextBody"/>
        <w:bidi w:val="0"/>
        <w:spacing w:lineRule="auto" w:line="288" w:before="0" w:after="180"/>
        <w:jc w:val="both"/>
        <w:rPr/>
      </w:pPr>
      <w:r>
        <w:rPr>
          <w:rFonts w:ascii="Arial;sans-serif" w:hAnsi="Arial;sans-serif"/>
          <w:b w:val="false"/>
          <w:color w:val="131E29"/>
          <w:sz w:val="20"/>
        </w:rPr>
        <w:t xml:space="preserve">On March 1, 2023, plaintiff Jerry Peacock filed a putative class action lawsuit in U.S. District Court for the Southern District of New York against Dutch Bros Inc. and certain of its executive officers for alleged violations of U.S. federal securities laws. On August 3, 2023, the court appointed a lead plaintiff and re-captioned the case </w:t>
      </w:r>
      <w:r>
        <w:rPr>
          <w:rFonts w:ascii="Arial;sans-serif" w:hAnsi="Arial;sans-serif"/>
          <w:b w:val="false"/>
          <w:i/>
          <w:color w:val="131E29"/>
          <w:sz w:val="20"/>
        </w:rPr>
        <w:t>Douglas Rein, Individually and On Behalf of All Others Similarly Situated v. Dutch Bros, Inc. et al</w:t>
      </w:r>
      <w:r>
        <w:rPr>
          <w:rFonts w:ascii="Arial;sans-serif" w:hAnsi="Arial;sans-serif"/>
          <w:b w:val="false"/>
          <w:color w:val="131E29"/>
          <w:sz w:val="20"/>
        </w:rPr>
        <w:t>. On August 31, 2023 an amended complaint was filed (the Amended Complaint) which asserts claims under Sections 10(b) and 20(a) of the Securities Exchange Act of 1934, as amended (the Exchange Act), on behalf of a proposed class consisting of those who acquired Dutch Bros Inc.’s securities between November 10, 2021 and May 11, 2022. The Amended Complaint generally alleges that the defendants made false or misleading statements about the impact of commodity inflation on the Company’s financial results for the first quarter of 2022. The Amended Complaint primarily seeks compensatory damages for all affected members of the purported class. On September 28, 2023, the defendants filed a motion to dismiss the Amended Complaint, and the lead plaintiff filed a response on October 26, 2023. The Company has until November 9, 2023 to file a reply.</w:t>
      </w:r>
    </w:p>
    <w:p>
      <w:pPr>
        <w:pStyle w:val="TextBody"/>
        <w:bidi w:val="0"/>
        <w:spacing w:lineRule="auto" w:line="288" w:before="0" w:after="180"/>
        <w:jc w:val="both"/>
        <w:rPr/>
      </w:pPr>
      <w:r>
        <w:rPr>
          <w:rFonts w:ascii="Arial;sans-serif" w:hAnsi="Arial;sans-serif"/>
          <w:b w:val="false"/>
          <w:color w:val="131E29"/>
          <w:sz w:val="20"/>
        </w:rPr>
        <w:t xml:space="preserve">In addition, on June 14, 2023, June 30, 2023, and July 18, 2023, respectively, plaintiffs Brennan Hudson, Darren Wakefield, and Amanda Boster each filed a putative stockholder derivative lawsuit in U.S. District Court for the Southern District of New York. The complaints name Dutch Bros Inc. as a nominal defendant and purport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complaints each primarily seek to recover for Dutch Bros Inc. compensatory damages for losses allegedly sustained by Dutch Bros Inc. related to the facts alleged, restitution, and equitable relief in the form of revisions to Dutch Bros Inc.’s governing documents. On July 27, 2023, the three actions were consolidated, and the consolidated action is now captioned </w:t>
      </w:r>
      <w:r>
        <w:rPr>
          <w:rFonts w:ascii="Arial;sans-serif" w:hAnsi="Arial;sans-serif"/>
          <w:b w:val="false"/>
          <w:i/>
          <w:color w:val="131E29"/>
          <w:sz w:val="20"/>
        </w:rPr>
        <w:t>In re Dutch Bros Inc. Derivative Litigation</w:t>
      </w:r>
      <w:r>
        <w:rPr>
          <w:rFonts w:ascii="Arial;sans-serif" w:hAnsi="Arial;sans-serif"/>
          <w:b w:val="false"/>
          <w:color w:val="131E29"/>
          <w:sz w:val="20"/>
        </w:rPr>
        <w:t>. On September 14, 2023, the court entered an order staying the consolidated action pending the resolution of the motion to dismiss in the above-described putative class action lawsuit and entry of a scheduling order in the consolidated action.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November 3, 2023, plaintiff David Briggs filed a putative stockholder derivative lawsuit in the Delaware Court of Chancery. The complaint names Dutch Bros Inc. as a nominal defendant and purports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 primarily seeks to recover for Dutch Bros Inc. compensatory damages for losses allegedly sustained by Dutch Bros Inc. related to the facts alleged, restitution, and equitable relief in the form of revisions to Dutch Bros Inc.’s governing documents.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intends to vigorously defend these lawsuits. Given the nature of these cases, including that the proceedings are in their early stages, the Company is unable to predict the ultimate outcome of these cases or estimate the range of potential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Dutch Bros Inc. is contractually committed to pay the non-controlling interest holders 85% of the amount of any tax benefits that Dutch Bros Inc. actually realizes, or in some cases is deemed to realize, as a result of certain transactions. As of September 30, 2023, Dutch Bros Inc. recognized $219.2 million of liabilities related to its obligations under the TRAs.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63220"/>
                <wp:effectExtent l="0" t="0" r="0" b="0"/>
                <wp:wrapNone/>
                <wp:docPr id="95" name="Frame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17 — Related Party Transactions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donations to the Dutch Bros Foundation (the Foundation), a not-for-profit founded by the Company that provides philanthropy to coffee farmers and local communities and for which the Company’s Chief Executive Officer (CEO) and Chief Operating Officer (COO) serve on the board of directors, were as follows:</w:t>
      </w:r>
    </w:p>
    <w:tbl>
      <w:tblPr>
        <w:tblW w:w="10205" w:type="dxa"/>
        <w:jc w:val="left"/>
        <w:tblInd w:w="0" w:type="dxa"/>
        <w:tblLayout w:type="fixed"/>
        <w:tblCellMar>
          <w:top w:w="28" w:type="dxa"/>
          <w:left w:w="28" w:type="dxa"/>
          <w:bottom w:w="28" w:type="dxa"/>
          <w:right w:w="28" w:type="dxa"/>
        </w:tblCellMar>
      </w:tblPr>
      <w:tblGrid>
        <w:gridCol w:w="1069"/>
        <w:gridCol w:w="938"/>
        <w:gridCol w:w="929"/>
        <w:gridCol w:w="109"/>
        <w:gridCol w:w="109"/>
        <w:gridCol w:w="109"/>
        <w:gridCol w:w="340"/>
        <w:gridCol w:w="607"/>
        <w:gridCol w:w="175"/>
        <w:gridCol w:w="175"/>
        <w:gridCol w:w="175"/>
        <w:gridCol w:w="175"/>
        <w:gridCol w:w="340"/>
        <w:gridCol w:w="1043"/>
        <w:gridCol w:w="175"/>
        <w:gridCol w:w="109"/>
        <w:gridCol w:w="109"/>
        <w:gridCol w:w="109"/>
        <w:gridCol w:w="316"/>
        <w:gridCol w:w="721"/>
        <w:gridCol w:w="163"/>
        <w:gridCol w:w="163"/>
        <w:gridCol w:w="163"/>
        <w:gridCol w:w="163"/>
        <w:gridCol w:w="316"/>
        <w:gridCol w:w="968"/>
        <w:gridCol w:w="163"/>
        <w:gridCol w:w="109"/>
        <w:gridCol w:w="165"/>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0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1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1,866 </w:t>
            </w:r>
          </w:p>
        </w:tc>
        <w:tc>
          <w:tcPr>
            <w:tcW w:w="1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189 </w:t>
            </w:r>
          </w:p>
        </w:tc>
        <w:tc>
          <w:tcPr>
            <w:tcW w:w="1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5,086 </w:t>
            </w:r>
          </w:p>
        </w:tc>
        <w:tc>
          <w:tcPr>
            <w:tcW w:w="1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For the three and nine months ended September 30, 2023, the Company and the Foundation focused on local community givebacks.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18 — Segment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the Company’s CEO, who is the chief operating decision maker (the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CODM reviews segment performance and allocates resources based upon segment contribution, which is defined as segment gross profit before depreciation and amortization.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and there are no intersegment revenues. The CODM does not evaluate operating segments using discrete asset information, and we do not identify or allocate assets by operating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 changes have been made to the Company’s segments during the three and nine months ended September 30, 2023. In addition, no customer represented 10% or more of total revenue for the three and nine months ended September 30,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3220"/>
                <wp:effectExtent l="0" t="0" r="0" b="0"/>
                <wp:wrapNone/>
                <wp:docPr id="98" name="Frame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Financial information for the Company’s reportable segments was as follows for the periods presented:</w:t>
      </w:r>
    </w:p>
    <w:tbl>
      <w:tblPr>
        <w:tblW w:w="10205" w:type="dxa"/>
        <w:jc w:val="left"/>
        <w:tblInd w:w="0" w:type="dxa"/>
        <w:tblLayout w:type="fixed"/>
        <w:tblCellMar>
          <w:top w:w="28" w:type="dxa"/>
          <w:left w:w="28" w:type="dxa"/>
          <w:bottom w:w="28" w:type="dxa"/>
          <w:right w:w="28" w:type="dxa"/>
        </w:tblCellMar>
      </w:tblPr>
      <w:tblGrid>
        <w:gridCol w:w="1218"/>
        <w:gridCol w:w="815"/>
        <w:gridCol w:w="814"/>
        <w:gridCol w:w="109"/>
        <w:gridCol w:w="109"/>
        <w:gridCol w:w="109"/>
        <w:gridCol w:w="256"/>
        <w:gridCol w:w="1042"/>
        <w:gridCol w:w="132"/>
        <w:gridCol w:w="132"/>
        <w:gridCol w:w="132"/>
        <w:gridCol w:w="132"/>
        <w:gridCol w:w="256"/>
        <w:gridCol w:w="1042"/>
        <w:gridCol w:w="132"/>
        <w:gridCol w:w="109"/>
        <w:gridCol w:w="109"/>
        <w:gridCol w:w="109"/>
        <w:gridCol w:w="250"/>
        <w:gridCol w:w="1017"/>
        <w:gridCol w:w="129"/>
        <w:gridCol w:w="129"/>
        <w:gridCol w:w="129"/>
        <w:gridCol w:w="129"/>
        <w:gridCol w:w="250"/>
        <w:gridCol w:w="1017"/>
        <w:gridCol w:w="129"/>
        <w:gridCol w:w="109"/>
        <w:gridCol w:w="160"/>
      </w:tblGrid>
      <w:tr>
        <w:trPr/>
        <w:tc>
          <w:tcPr>
            <w:tcW w:w="121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236,472 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630,588 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28,035 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25,147 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81,065 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72,985 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264,507 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198,648 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711,653 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537,185 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179,480 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138,781 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492,645 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381,623 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9,843 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9,311 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26,837 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29,006 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189,323 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148,092 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519,482 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410,629 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73,324 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182,075 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107,648 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19,563 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17,314 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58,257 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48,319 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92,887 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61,658 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240,332 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155,967 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44,132 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1,371 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1,478 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4,029 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4,340 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11,102 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48,161 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29,411 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(50,490)</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(45,378)</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(148,128)</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(132,934)</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2,206 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(1,662)</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15,229 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19,980 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(19,136)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3220"/>
                <wp:effectExtent l="0" t="0" r="0" b="0"/>
                <wp:wrapNone/>
                <wp:docPr id="101" name="Frame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You should read the following discussion and analysis of our financial condition and results of operations together with our condensed consolidated financial statements and the related notes included elsewhere in this Form 10-Q.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 xml:space="preserve">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Overview and Highlights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 service and restaurant industry in the United States by location count.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we had 794 company-operated and franchised shops in 16 states, an increase of approximately 23.9% from the same period in the prior year. For the three months ended September 30, 2023, we generated $264.5 million of revenue, $13.4 million net income, and $0.07 earnings per diluted share. We have two reportable operating segments: Company-operated shops and Franchising and other.</w:t>
      </w:r>
    </w:p>
    <w:p>
      <w:pPr>
        <w:pStyle w:val="TextBody"/>
        <w:bidi w:val="0"/>
        <w:spacing w:before="0" w:after="540"/>
        <w:jc w:val="left"/>
        <w:rPr/>
      </w:pPr>
      <w:r>
        <w:rPr/>
        <w:drawing>
          <wp:inline distT="0" distB="0" distL="0" distR="0">
            <wp:extent cx="1905000" cy="2476500"/>
            <wp:effectExtent l="0" t="0" r="0" b="0"/>
            <wp:docPr id="10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6" descr=""/>
                    <pic:cNvPicPr>
                      <a:picLocks noChangeAspect="1" noChangeArrowheads="1"/>
                    </pic:cNvPicPr>
                  </pic:nvPicPr>
                  <pic:blipFill>
                    <a:blip r:embed="rId70"/>
                    <a:stretch>
                      <a:fillRect/>
                    </a:stretch>
                  </pic:blipFill>
                  <pic:spPr bwMode="auto">
                    <a:xfrm>
                      <a:off x="0" y="0"/>
                      <a:ext cx="1905000" cy="2476500"/>
                    </a:xfrm>
                    <a:prstGeom prst="rect">
                      <a:avLst/>
                    </a:prstGeom>
                  </pic:spPr>
                </pic:pic>
              </a:graphicData>
            </a:graphic>
          </wp:inline>
        </w:drawing>
      </w:r>
      <w:r>
        <w:rPr/>
        <w:drawing>
          <wp:inline distT="0" distB="0" distL="0" distR="0">
            <wp:extent cx="1905000" cy="2476500"/>
            <wp:effectExtent l="0" t="0" r="0" b="0"/>
            <wp:docPr id="10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7" descr=""/>
                    <pic:cNvPicPr>
                      <a:picLocks noChangeAspect="1" noChangeArrowheads="1"/>
                    </pic:cNvPicPr>
                  </pic:nvPicPr>
                  <pic:blipFill>
                    <a:blip r:embed="rId71"/>
                    <a:stretch>
                      <a:fillRect/>
                    </a:stretch>
                  </pic:blipFill>
                  <pic:spPr bwMode="auto">
                    <a:xfrm>
                      <a:off x="0" y="0"/>
                      <a:ext cx="1905000" cy="2476500"/>
                    </a:xfrm>
                    <a:prstGeom prst="rect">
                      <a:avLst/>
                    </a:prstGeom>
                  </pic:spPr>
                </pic:pic>
              </a:graphicData>
            </a:graphic>
          </wp:inline>
        </w:drawing>
      </w:r>
      <w:r>
        <w:rPr/>
        <w:drawing>
          <wp:inline distT="0" distB="0" distL="0" distR="0">
            <wp:extent cx="2085975" cy="2476500"/>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72"/>
                    <a:stretch>
                      <a:fillRect/>
                    </a:stretch>
                  </pic:blipFill>
                  <pic:spPr bwMode="auto">
                    <a:xfrm>
                      <a:off x="0" y="0"/>
                      <a:ext cx="2085975" cy="2476500"/>
                    </a:xfrm>
                    <a:prstGeom prst="rect">
                      <a:avLst/>
                    </a:prstGeom>
                  </pic:spPr>
                </pic:pic>
              </a:graphicData>
            </a:graphic>
          </wp:inline>
        </w:drawing>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63220"/>
                <wp:effectExtent l="0" t="0" r="0" b="0"/>
                <wp:wrapNone/>
                <wp:docPr id="107" name="Frame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Key Highlights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Completed our Follow-On Offering on September 12, 2023.</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Opened 37 company-operated shops across multiple new operating areas in the three months ended September 30, 2023. Company-operated shop count increased 37.8% over the same period in 2022, bringing total company-operated shops to 64.2% of our total shops.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Raised more than $0.9 million for various youth organizations through our Buck for Kids day.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Impact of Global Events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Inflation and Minimum Wage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Similar to many of our peers in our industry, we continued to experience the effects of current commodities inflation, including in dairy, coffee, fuel, packaging, and continuing legislated minimum wage increases that took effect this year in certain states. We expect these inflationary pressures to continue to affect our operating results in the foreseeable future. While these pressures have impacted our operating results, we have taken measures over the past year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A continued economic downturn may have a material adverse effect on our business, financial condition or results of operations. Our customers may have or in the future have less money available for discretionary purchases and may stop or reduce their purchases of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bank failures and other events affecting financial institutions, rising interest rates, the ongoing impact of COVID-19, and the impacts of the Russia-Ukraine and Israel-Hamas wars) have created significant uncertainty in the global economy. While we are not able to fully predict the potential impacts of these conditions, we do not currently believe any potential impacts of these macroeconomic conditions would be material to our business.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3220"/>
                <wp:effectExtent l="0" t="0" r="0" b="0"/>
                <wp:wrapNone/>
                <wp:docPr id="110" name="Frame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0"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0"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tables provide our operating results and explanation of changes for the periods presented.</w:t>
      </w:r>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261"/>
        <w:gridCol w:w="1108"/>
        <w:gridCol w:w="991"/>
        <w:gridCol w:w="109"/>
        <w:gridCol w:w="109"/>
        <w:gridCol w:w="109"/>
        <w:gridCol w:w="235"/>
        <w:gridCol w:w="954"/>
        <w:gridCol w:w="121"/>
        <w:gridCol w:w="121"/>
        <w:gridCol w:w="121"/>
        <w:gridCol w:w="121"/>
        <w:gridCol w:w="235"/>
        <w:gridCol w:w="954"/>
        <w:gridCol w:w="121"/>
        <w:gridCol w:w="109"/>
        <w:gridCol w:w="109"/>
        <w:gridCol w:w="109"/>
        <w:gridCol w:w="231"/>
        <w:gridCol w:w="940"/>
        <w:gridCol w:w="119"/>
        <w:gridCol w:w="119"/>
        <w:gridCol w:w="119"/>
        <w:gridCol w:w="119"/>
        <w:gridCol w:w="231"/>
        <w:gridCol w:w="940"/>
        <w:gridCol w:w="119"/>
        <w:gridCol w:w="109"/>
        <w:gridCol w:w="162"/>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236,472 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630,588 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28,035 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25,147 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81,065 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72,985 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264,507 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198,648 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711,653 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537,185 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189,323 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148,092 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519,482 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410,629 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239,813 </w:t>
            </w:r>
          </w:p>
        </w:tc>
        <w:tc>
          <w:tcPr>
            <w:tcW w:w="1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193,470 </w:t>
            </w:r>
          </w:p>
        </w:tc>
        <w:tc>
          <w:tcPr>
            <w:tcW w:w="1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667,610 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543,563 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(LOSS)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24,694 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5,178 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44,043 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(6,378)</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2,206 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(1,662)</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(9,465)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(24,063)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(12,758)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1,828 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(3,371)</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6,259 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(2,700)</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13,401 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Net income (loss)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9,191 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10,601 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(12,346)</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4,210 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3220"/>
                <wp:effectExtent l="0" t="0" r="0" b="0"/>
                <wp:wrapNone/>
                <wp:docPr id="113" name="Frame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1"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Segment Financials</w:t>
      </w:r>
    </w:p>
    <w:tbl>
      <w:tblPr>
        <w:tblW w:w="10205" w:type="dxa"/>
        <w:jc w:val="left"/>
        <w:tblInd w:w="0" w:type="dxa"/>
        <w:tblLayout w:type="fixed"/>
        <w:tblCellMar>
          <w:top w:w="28" w:type="dxa"/>
          <w:left w:w="28" w:type="dxa"/>
          <w:bottom w:w="28" w:type="dxa"/>
          <w:right w:w="28" w:type="dxa"/>
        </w:tblCellMar>
      </w:tblPr>
      <w:tblGrid>
        <w:gridCol w:w="1047"/>
        <w:gridCol w:w="920"/>
        <w:gridCol w:w="879"/>
        <w:gridCol w:w="109"/>
        <w:gridCol w:w="109"/>
        <w:gridCol w:w="109"/>
        <w:gridCol w:w="256"/>
        <w:gridCol w:w="1042"/>
        <w:gridCol w:w="132"/>
        <w:gridCol w:w="132"/>
        <w:gridCol w:w="132"/>
        <w:gridCol w:w="132"/>
        <w:gridCol w:w="256"/>
        <w:gridCol w:w="1042"/>
        <w:gridCol w:w="132"/>
        <w:gridCol w:w="109"/>
        <w:gridCol w:w="109"/>
        <w:gridCol w:w="109"/>
        <w:gridCol w:w="250"/>
        <w:gridCol w:w="1017"/>
        <w:gridCol w:w="129"/>
        <w:gridCol w:w="129"/>
        <w:gridCol w:w="129"/>
        <w:gridCol w:w="129"/>
        <w:gridCol w:w="250"/>
        <w:gridCol w:w="1017"/>
        <w:gridCol w:w="129"/>
        <w:gridCol w:w="109"/>
        <w:gridCol w:w="161"/>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8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236,472 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630,588 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28,035 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25,147 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81,065 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72,985 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264,507 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198,648 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711,653 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537,185 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179,480 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138,781 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492,645 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381,623 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9,843 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9,311 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26,837 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29,006 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189,323 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148,092 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519,482 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410,629 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56,992 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18,192 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15,836 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54,228 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43,979 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75,184 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50,556 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192,171 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126,556 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44,132 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1,371 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1,478 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4,029 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4,340 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All other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18,116 </w:t>
            </w:r>
          </w:p>
        </w:tc>
        <w:tc>
          <w:tcPr>
            <w:tcW w:w="1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11,810 </w:t>
            </w:r>
          </w:p>
        </w:tc>
        <w:tc>
          <w:tcPr>
            <w:tcW w:w="1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49,411 </w:t>
            </w:r>
          </w:p>
        </w:tc>
        <w:tc>
          <w:tcPr>
            <w:tcW w:w="12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31,531 </w:t>
            </w:r>
          </w:p>
        </w:tc>
        <w:tc>
          <w:tcPr>
            <w:tcW w:w="12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73,324 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44,344 </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182,075 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107,648 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58,257 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48,319 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92,887 </w:t>
            </w:r>
          </w:p>
        </w:tc>
        <w:tc>
          <w:tcPr>
            <w:tcW w:w="1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61,658 </w:t>
            </w:r>
          </w:p>
        </w:tc>
        <w:tc>
          <w:tcPr>
            <w:tcW w:w="1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240,332 </w:t>
            </w:r>
          </w:p>
        </w:tc>
        <w:tc>
          <w:tcPr>
            <w:tcW w:w="12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155,967 </w:t>
            </w:r>
          </w:p>
        </w:tc>
        <w:tc>
          <w:tcPr>
            <w:tcW w:w="12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(50,490)</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(45,378)</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(148,128)</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(132,934)</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(9,325)</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(5,011)</w:t>
            </w:r>
          </w:p>
        </w:tc>
        <w:tc>
          <w:tcPr>
            <w:tcW w:w="1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(26,269)</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(11,096)</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(loss) before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15,229 </w:t>
            </w:r>
          </w:p>
        </w:tc>
        <w:tc>
          <w:tcPr>
            <w:tcW w:w="13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(1,777)</w:t>
            </w:r>
          </w:p>
        </w:tc>
        <w:tc>
          <w:tcPr>
            <w:tcW w:w="13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19,980 </w:t>
            </w:r>
          </w:p>
        </w:tc>
        <w:tc>
          <w:tcPr>
            <w:tcW w:w="12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(19,136)</w:t>
            </w:r>
          </w:p>
        </w:tc>
        <w:tc>
          <w:tcPr>
            <w:tcW w:w="12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I</w:t>
      </w:r>
      <w:r>
        <w:rPr>
          <w:rFonts w:ascii="Arial;sans-serif" w:hAnsi="Arial;sans-serif"/>
          <w:b w:val="false"/>
          <w:color w:val="131E29"/>
          <w:sz w:val="16"/>
        </w:rPr>
        <w:t xml:space="preserve">ncluded in selling, general and administrative expenses and not part of segment contribution calculation.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3220"/>
                <wp:effectExtent l="0" t="0" r="0" b="0"/>
                <wp:wrapNone/>
                <wp:docPr id="116" name="Frame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2"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2"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 xml:space="preserve">Key Performance Indicators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(KPIs) that we use to effectively manage and evaluate our business are as follows:</w:t>
      </w:r>
    </w:p>
    <w:tbl>
      <w:tblPr>
        <w:tblW w:w="10205" w:type="dxa"/>
        <w:jc w:val="left"/>
        <w:tblInd w:w="0" w:type="dxa"/>
        <w:tblLayout w:type="fixed"/>
        <w:tblCellMar>
          <w:top w:w="28" w:type="dxa"/>
          <w:left w:w="28" w:type="dxa"/>
          <w:bottom w:w="28" w:type="dxa"/>
          <w:right w:w="28" w:type="dxa"/>
        </w:tblCellMar>
      </w:tblPr>
      <w:tblGrid>
        <w:gridCol w:w="1290"/>
        <w:gridCol w:w="871"/>
        <w:gridCol w:w="877"/>
        <w:gridCol w:w="109"/>
        <w:gridCol w:w="109"/>
        <w:gridCol w:w="109"/>
        <w:gridCol w:w="419"/>
        <w:gridCol w:w="243"/>
        <w:gridCol w:w="607"/>
        <w:gridCol w:w="194"/>
        <w:gridCol w:w="194"/>
        <w:gridCol w:w="194"/>
        <w:gridCol w:w="419"/>
        <w:gridCol w:w="243"/>
        <w:gridCol w:w="607"/>
        <w:gridCol w:w="109"/>
        <w:gridCol w:w="109"/>
        <w:gridCol w:w="109"/>
        <w:gridCol w:w="367"/>
        <w:gridCol w:w="385"/>
        <w:gridCol w:w="603"/>
        <w:gridCol w:w="189"/>
        <w:gridCol w:w="189"/>
        <w:gridCol w:w="189"/>
        <w:gridCol w:w="367"/>
        <w:gridCol w:w="235"/>
        <w:gridCol w:w="598"/>
        <w:gridCol w:w="109"/>
        <w:gridCol w:w="162"/>
      </w:tblGrid>
      <w:tr>
        <w:trPr/>
        <w:tc>
          <w:tcPr>
            <w:tcW w:w="12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count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281</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754</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 of franchise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Re-openings </w:t>
            </w:r>
            <w:r>
              <w:rPr>
                <w:rFonts w:ascii="Arial;sans-serif" w:hAnsi="Arial;sans-serif"/>
                <w:b w:val="false"/>
                <w:color w:val="131E29"/>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284</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284</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794</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794</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Systemwide AUV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Company-operated shops AUV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1,901</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Systemwide same shop sales </w:t>
            </w:r>
            <w:r>
              <w:rPr>
                <w:rFonts w:ascii="Arial;sans-serif" w:hAnsi="Arial;sans-serif"/>
                <w:b w:val="false"/>
                <w:color w:val="131E29"/>
                <w:sz w:val="13"/>
              </w:rPr>
              <w:t>2, 3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60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1.7 </w:t>
            </w:r>
          </w:p>
        </w:tc>
        <w:tc>
          <w:tcPr>
            <w:tcW w:w="60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2.1 </w:t>
            </w:r>
          </w:p>
        </w:tc>
        <w:tc>
          <w:tcPr>
            <w:tcW w:w="603"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598"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Company-operated same shop sales </w:t>
            </w:r>
            <w:r>
              <w:rPr>
                <w:rFonts w:ascii="Arial;sans-serif" w:hAnsi="Arial;sans-serif"/>
                <w:b w:val="false"/>
                <w:color w:val="131E29"/>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Systemwide sales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391,286</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1,069,284</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864,929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Company-operated operating weeks </w:t>
            </w:r>
            <w:r>
              <w:rPr>
                <w:rFonts w:ascii="Arial;sans-serif" w:hAnsi="Arial;sans-serif"/>
                <w:b w:val="false"/>
                <w:color w:val="131E29"/>
                <w:sz w:val="13"/>
              </w:rPr>
              <w:t>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6,400</w:t>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4,614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17,576</w:t>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Franchising and other operating weeks </w:t>
            </w:r>
            <w:r>
              <w:rPr>
                <w:rFonts w:ascii="Arial;sans-serif" w:hAnsi="Arial;sans-serif"/>
                <w:b w:val="false"/>
                <w:color w:val="131E29"/>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10,881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10,291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20"/>
              </w:rPr>
              <w:t xml:space="preserve">Dutch Rewards member registrations </w:t>
            </w:r>
            <w:r>
              <w:rPr>
                <w:rFonts w:ascii="Arial;sans-serif" w:hAnsi="Arial;sans-serif"/>
                <w:b w:val="false"/>
                <w:color w:val="131E29"/>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1688" w:type="dxa"/>
        <w:jc w:val="left"/>
        <w:tblInd w:w="0" w:type="dxa"/>
        <w:tblLayout w:type="fixed"/>
        <w:tblCellMar>
          <w:top w:w="28" w:type="dxa"/>
          <w:left w:w="28" w:type="dxa"/>
          <w:bottom w:w="28" w:type="dxa"/>
          <w:right w:w="28" w:type="dxa"/>
        </w:tblCellMar>
      </w:tblPr>
      <w:tblGrid>
        <w:gridCol w:w="711"/>
        <w:gridCol w:w="625"/>
        <w:gridCol w:w="375"/>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236,472 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173,501 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630,588 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464,200 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18"/>
              </w:rPr>
              <w:t xml:space="preserve">Company-operated shop contribution </w:t>
            </w:r>
            <w:r>
              <w:rPr>
                <w:rFonts w:ascii="Arial;sans-serif" w:hAnsi="Arial;sans-serif"/>
                <w:b w:val="false"/>
                <w:color w:val="131E29"/>
                <w:sz w:val="12"/>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73,324 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44,344 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182,075 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107,648 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18"/>
              </w:rPr>
              <w:t xml:space="preserve">Adjusted selling, general, and administrative expenses </w:t>
            </w:r>
            <w:r>
              <w:rPr>
                <w:rFonts w:ascii="Arial;sans-serif" w:hAnsi="Arial;sans-serif"/>
                <w:b w:val="false"/>
                <w:color w:val="131E29"/>
                <w:sz w:val="12"/>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40,567 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34,729 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116,561 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98,305 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18"/>
              </w:rPr>
              <w:t xml:space="preserve">Adjusted EBITDA </w:t>
            </w:r>
            <w:r>
              <w:rPr>
                <w:rFonts w:ascii="Arial;sans-serif" w:hAnsi="Arial;sans-serif"/>
                <w:b w:val="false"/>
                <w:color w:val="131E29"/>
                <w:sz w:val="12"/>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53,008 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125,487 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61,431 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3220"/>
                <wp:effectExtent l="0" t="0" r="0" b="0"/>
                <wp:wrapNone/>
                <wp:docPr id="119" name="Frame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3"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3"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 xml:space="preserve">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 </w:t>
      </w:r>
    </w:p>
    <w:p>
      <w:pPr>
        <w:pStyle w:val="TextBody"/>
        <w:bidi w:val="0"/>
        <w:spacing w:lineRule="auto" w:line="288" w:before="0" w:after="0"/>
        <w:ind w:left="0" w:right="0" w:hanging="180"/>
        <w:jc w:val="both"/>
        <w:rPr/>
      </w:pPr>
      <w:r>
        <w:rPr>
          <w:rFonts w:ascii="Arial;sans-serif" w:hAnsi="Arial;sans-serif"/>
          <w:b w:val="false"/>
          <w:color w:val="131E29"/>
          <w:sz w:val="10"/>
        </w:rPr>
        <w:t>2    </w:t>
      </w:r>
      <w:r>
        <w:rPr>
          <w:rFonts w:ascii="Arial;sans-serif" w:hAnsi="Arial;sans-serif"/>
          <w:b w:val="false"/>
          <w:color w:val="131E29"/>
          <w:sz w:val="16"/>
        </w:rPr>
        <w:t xml:space="preserve">Same shop sales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 </w:t>
      </w:r>
    </w:p>
    <w:tbl>
      <w:tblPr>
        <w:tblW w:w="9017" w:type="dxa"/>
        <w:jc w:val="left"/>
        <w:tblInd w:w="0" w:type="dxa"/>
        <w:tblLayout w:type="fixed"/>
        <w:tblCellMar>
          <w:top w:w="28" w:type="dxa"/>
          <w:left w:w="28" w:type="dxa"/>
          <w:bottom w:w="28" w:type="dxa"/>
          <w:right w:w="28" w:type="dxa"/>
        </w:tblCellMar>
      </w:tblPr>
      <w:tblGrid>
        <w:gridCol w:w="847"/>
        <w:gridCol w:w="744"/>
        <w:gridCol w:w="749"/>
        <w:gridCol w:w="109"/>
        <w:gridCol w:w="109"/>
        <w:gridCol w:w="109"/>
        <w:gridCol w:w="325"/>
        <w:gridCol w:w="325"/>
        <w:gridCol w:w="325"/>
        <w:gridCol w:w="325"/>
        <w:gridCol w:w="325"/>
        <w:gridCol w:w="325"/>
        <w:gridCol w:w="325"/>
        <w:gridCol w:w="325"/>
        <w:gridCol w:w="325"/>
        <w:gridCol w:w="109"/>
        <w:gridCol w:w="109"/>
        <w:gridCol w:w="109"/>
        <w:gridCol w:w="315"/>
        <w:gridCol w:w="315"/>
        <w:gridCol w:w="315"/>
        <w:gridCol w:w="315"/>
        <w:gridCol w:w="315"/>
        <w:gridCol w:w="315"/>
        <w:gridCol w:w="315"/>
        <w:gridCol w:w="315"/>
        <w:gridCol w:w="315"/>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2023</w:t>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2023</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572</w:t>
            </w:r>
          </w:p>
        </w:tc>
        <w:tc>
          <w:tcPr>
            <w:tcW w:w="9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503</w:t>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310</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246</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Arial;sans-serif" w:hAnsi="Arial;sans-serif"/>
          <w:b w:val="false"/>
          <w:color w:val="131E29"/>
          <w:sz w:val="10"/>
        </w:rPr>
        <w:t>3    </w:t>
      </w:r>
      <w:r>
        <w:rPr>
          <w:rFonts w:ascii="Arial;sans-serif" w:hAnsi="Arial;sans-serif"/>
          <w:b w:val="false"/>
          <w:color w:val="131E29"/>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bidi w:val="0"/>
        <w:spacing w:lineRule="auto" w:line="288" w:before="0" w:after="180"/>
        <w:ind w:left="0" w:right="0" w:hanging="180"/>
        <w:jc w:val="both"/>
        <w:rPr/>
      </w:pPr>
      <w:r>
        <w:rPr>
          <w:rFonts w:ascii="Arial;sans-serif" w:hAnsi="Arial;sans-serif"/>
          <w:b w:val="false"/>
          <w:color w:val="131E29"/>
          <w:sz w:val="10"/>
        </w:rPr>
        <w:t>4</w:t>
      </w:r>
      <w:r>
        <w:rPr>
          <w:color w:val="131E29"/>
        </w:rPr>
        <w:t>    </w:t>
      </w:r>
      <w:r>
        <w:rPr>
          <w:rFonts w:ascii="Arial;sans-serif" w:hAnsi="Arial;sans-serif"/>
          <w:b w:val="false"/>
          <w:color w:val="131E29"/>
          <w:sz w:val="16"/>
        </w:rPr>
        <w:t>Company-operated and franchise shops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pStyle w:val="TextBody"/>
        <w:bidi w:val="0"/>
        <w:spacing w:lineRule="auto" w:line="288" w:before="0" w:after="180"/>
        <w:ind w:left="0" w:right="0" w:hanging="180"/>
        <w:jc w:val="both"/>
        <w:rPr/>
      </w:pPr>
      <w:r>
        <w:rPr>
          <w:rFonts w:ascii="Arial;sans-serif" w:hAnsi="Arial;sans-serif"/>
          <w:b w:val="false"/>
          <w:color w:val="131E29"/>
          <w:sz w:val="10"/>
        </w:rPr>
        <w:t>5    </w:t>
      </w:r>
      <w:r>
        <w:rPr>
          <w:rFonts w:ascii="Arial;sans-serif" w:hAnsi="Arial;sans-serif"/>
          <w:b w:val="false"/>
          <w:color w:val="131E29"/>
          <w:sz w:val="16"/>
        </w:rPr>
        <w:t>Dutch Rewards, a digitally-based rewards program available exclusively through the Dutch Rewards mobile app, was launched February 2021.</w:t>
      </w:r>
      <w:r>
        <w:rPr>
          <w:color w:val="131E29"/>
        </w:rPr>
        <w:t xml:space="preserve"> </w:t>
      </w:r>
      <w:r>
        <w:rPr>
          <w:rFonts w:ascii="Arial;sans-serif" w:hAnsi="Arial;sans-serif"/>
          <w:b w:val="false"/>
          <w:color w:val="131E29"/>
          <w:sz w:val="16"/>
        </w:rPr>
        <w:t xml:space="preserve">Management uses this metric as an indicator of customer loyalty adoption of our Dutch Rewards mobile app and future promotional plans. </w:t>
      </w:r>
    </w:p>
    <w:p>
      <w:pPr>
        <w:pStyle w:val="TextBody"/>
        <w:bidi w:val="0"/>
        <w:spacing w:lineRule="auto" w:line="288" w:before="0" w:after="180"/>
        <w:ind w:left="0" w:right="0" w:hanging="180"/>
        <w:jc w:val="both"/>
        <w:rPr/>
      </w:pPr>
      <w:r>
        <w:rPr>
          <w:rFonts w:ascii="Arial;sans-serif" w:hAnsi="Arial;sans-serif"/>
          <w:b w:val="false"/>
          <w:color w:val="131E29"/>
          <w:sz w:val="10"/>
        </w:rPr>
        <w:t>6    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pStyle w:val="TextBody"/>
        <w:bidi w:val="0"/>
        <w:spacing w:lineRule="auto" w:line="288" w:before="0" w:after="180"/>
        <w:ind w:left="0" w:right="0" w:hanging="180"/>
        <w:jc w:val="both"/>
        <w:rPr/>
      </w:pPr>
      <w:r>
        <w:rPr>
          <w:rFonts w:ascii="Arial;sans-serif" w:hAnsi="Arial;sans-serif"/>
          <w:b w:val="false"/>
          <w:color w:val="131E29"/>
          <w:sz w:val="10"/>
        </w:rPr>
        <w:t>7    </w:t>
      </w:r>
      <w:r>
        <w:rPr>
          <w:rFonts w:ascii="Arial;sans-serif" w:hAnsi="Arial;sans-serif"/>
          <w:b w:val="false"/>
          <w:color w:val="131E29"/>
          <w:sz w:val="16"/>
        </w:rPr>
        <w:t xml:space="preserve">Re-opening of a shop that was temporarily closed in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3220"/>
                <wp:effectExtent l="0" t="0" r="0" b="0"/>
                <wp:wrapNone/>
                <wp:docPr id="122" name="Frame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4"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Company-operated Shop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results for our company-operated shops segment were as follows:</w:t>
      </w:r>
    </w:p>
    <w:tbl>
      <w:tblPr>
        <w:tblW w:w="11448" w:type="dxa"/>
        <w:jc w:val="left"/>
        <w:tblInd w:w="0" w:type="dxa"/>
        <w:tblLayout w:type="fixed"/>
        <w:tblCellMar>
          <w:top w:w="28" w:type="dxa"/>
          <w:left w:w="28" w:type="dxa"/>
          <w:bottom w:w="28" w:type="dxa"/>
          <w:right w:w="28" w:type="dxa"/>
        </w:tblCellMar>
      </w:tblPr>
      <w:tblGrid>
        <w:gridCol w:w="711"/>
        <w:gridCol w:w="625"/>
        <w:gridCol w:w="375"/>
        <w:gridCol w:w="109"/>
        <w:gridCol w:w="109"/>
        <w:gridCol w:w="109"/>
        <w:gridCol w:w="413"/>
        <w:gridCol w:w="413"/>
        <w:gridCol w:w="109"/>
        <w:gridCol w:w="109"/>
        <w:gridCol w:w="109"/>
        <w:gridCol w:w="109"/>
        <w:gridCol w:w="308"/>
        <w:gridCol w:w="308"/>
        <w:gridCol w:w="109"/>
        <w:gridCol w:w="109"/>
        <w:gridCol w:w="109"/>
        <w:gridCol w:w="109"/>
        <w:gridCol w:w="413"/>
        <w:gridCol w:w="413"/>
        <w:gridCol w:w="109"/>
        <w:gridCol w:w="109"/>
        <w:gridCol w:w="109"/>
        <w:gridCol w:w="109"/>
        <w:gridCol w:w="308"/>
        <w:gridCol w:w="308"/>
        <w:gridCol w:w="109"/>
        <w:gridCol w:w="109"/>
        <w:gridCol w:w="109"/>
        <w:gridCol w:w="109"/>
        <w:gridCol w:w="413"/>
        <w:gridCol w:w="413"/>
        <w:gridCol w:w="109"/>
        <w:gridCol w:w="109"/>
        <w:gridCol w:w="109"/>
        <w:gridCol w:w="109"/>
        <w:gridCol w:w="308"/>
        <w:gridCol w:w="308"/>
        <w:gridCol w:w="109"/>
        <w:gridCol w:w="109"/>
        <w:gridCol w:w="109"/>
        <w:gridCol w:w="109"/>
        <w:gridCol w:w="413"/>
        <w:gridCol w:w="413"/>
        <w:gridCol w:w="109"/>
        <w:gridCol w:w="109"/>
        <w:gridCol w:w="109"/>
        <w:gridCol w:w="109"/>
        <w:gridCol w:w="308"/>
        <w:gridCol w:w="308"/>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236,472 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173,501 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630,588 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464,200 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61,317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47,092 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169,702 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126,262 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61,521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36,126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28,517 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99,327 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78,141 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16,332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9,624 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44,132 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25,071 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179,480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492,645 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381,623 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56,992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34,720 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137,943 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82,577 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 xml:space="preserve">Company-operated shop contribution </w:t>
            </w:r>
            <w:r>
              <w:rPr>
                <w:rFonts w:ascii="Arial;sans-serif" w:hAnsi="Arial;sans-serif"/>
                <w:b w:val="false"/>
                <w:color w:val="131E29"/>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73,324 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44,344 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182,075 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107,648 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Company-operated Shops Segment Performance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Revenues</w:t>
      </w:r>
    </w:p>
    <w:tbl>
      <w:tblPr>
        <w:tblW w:w="12515" w:type="dxa"/>
        <w:jc w:val="left"/>
        <w:tblInd w:w="0" w:type="dxa"/>
        <w:tblLayout w:type="fixed"/>
        <w:tblCellMar>
          <w:top w:w="28" w:type="dxa"/>
          <w:left w:w="28" w:type="dxa"/>
          <w:bottom w:w="28" w:type="dxa"/>
          <w:right w:w="28" w:type="dxa"/>
        </w:tblCellMar>
      </w:tblPr>
      <w:tblGrid>
        <w:gridCol w:w="711"/>
        <w:gridCol w:w="625"/>
        <w:gridCol w:w="375"/>
        <w:gridCol w:w="109"/>
        <w:gridCol w:w="109"/>
        <w:gridCol w:w="109"/>
        <w:gridCol w:w="258"/>
        <w:gridCol w:w="387"/>
        <w:gridCol w:w="394"/>
        <w:gridCol w:w="109"/>
        <w:gridCol w:w="109"/>
        <w:gridCol w:w="109"/>
        <w:gridCol w:w="258"/>
        <w:gridCol w:w="387"/>
        <w:gridCol w:w="394"/>
        <w:gridCol w:w="109"/>
        <w:gridCol w:w="109"/>
        <w:gridCol w:w="109"/>
        <w:gridCol w:w="211"/>
        <w:gridCol w:w="721"/>
        <w:gridCol w:w="109"/>
        <w:gridCol w:w="109"/>
        <w:gridCol w:w="109"/>
        <w:gridCol w:w="109"/>
        <w:gridCol w:w="155"/>
        <w:gridCol w:w="155"/>
        <w:gridCol w:w="15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155"/>
        <w:gridCol w:w="155"/>
        <w:gridCol w:w="15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8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236,472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8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173,501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62,971 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36.3%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630,588 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464,200 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166,388 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revenue increase was driven by the following:</w:t>
      </w:r>
    </w:p>
    <w:p>
      <w:pPr>
        <w:pStyle w:val="TextBody"/>
        <w:bidi w:val="0"/>
        <w:spacing w:lineRule="auto" w:line="288" w:before="0" w:after="120"/>
        <w:ind w:left="0" w:right="0" w:hanging="360"/>
        <w:jc w:val="both"/>
        <w:rPr/>
      </w:pPr>
      <w:r>
        <w:rPr>
          <w:rFonts w:ascii="Arial;sans-serif" w:hAnsi="Arial;sans-serif"/>
          <w:b/>
          <w:color w:val="006098"/>
          <w:sz w:val="20"/>
        </w:rPr>
        <w:t>+    </w:t>
      </w:r>
      <w:r>
        <w:rPr>
          <w:rFonts w:ascii="Arial;sans-serif" w:hAnsi="Arial;sans-serif"/>
          <w:b w:val="false"/>
          <w:color w:val="131E29"/>
          <w:sz w:val="20"/>
        </w:rPr>
        <w:t xml:space="preserve">$58.7 million from company-operated shops opened during 2023 and 2022. </w:t>
      </w:r>
    </w:p>
    <w:p>
      <w:pPr>
        <w:pStyle w:val="TextBody"/>
        <w:bidi w:val="0"/>
        <w:spacing w:lineRule="auto" w:line="288" w:before="0" w:after="12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$4.3 million from increase in same shop sales in the comparable shop base.</w:t>
      </w:r>
      <w:r>
        <w:rPr>
          <w:rFonts w:ascii="Arial;sans-serif" w:hAnsi="Arial;sans-serif"/>
          <w:b w:val="false"/>
          <w:color w:val="131E29"/>
          <w:sz w:val="13"/>
        </w:rPr>
        <w:t>1</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left"/>
        <w:rPr/>
      </w:pPr>
      <w:r>
        <w:rPr>
          <w:rFonts w:ascii="Arial;sans-serif" w:hAnsi="Arial;sans-serif"/>
          <w:b w:val="false"/>
          <w:color w:val="131E29"/>
          <w:sz w:val="10"/>
        </w:rPr>
        <w:t>1    </w:t>
      </w:r>
      <w:r>
        <w:rPr>
          <w:rFonts w:ascii="Arial;sans-serif" w:hAnsi="Arial;sans-serif"/>
          <w:b w:val="false"/>
          <w:color w:val="131E29"/>
          <w:sz w:val="16"/>
        </w:rPr>
        <w:t xml:space="preserve">For purposes of calculating company-operated same shop revenue, the revenue for 310 company-operated shops was included in the comparable shop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revenue increase was primarily driven by the following:</w:t>
      </w:r>
    </w:p>
    <w:p>
      <w:pPr>
        <w:pStyle w:val="TextBody"/>
        <w:bidi w:val="0"/>
        <w:spacing w:lineRule="auto" w:line="288" w:before="0" w:after="12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 xml:space="preserve">$163.7 million from company-operated shops opened during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3220"/>
                <wp:effectExtent l="0" t="0" r="0" b="0"/>
                <wp:wrapNone/>
                <wp:docPr id="125" name="Frame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5"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5"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2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$2.7 million from increase in same shop sales in the comparable shop base.</w:t>
      </w:r>
      <w:r>
        <w:rPr>
          <w:rFonts w:ascii="Arial;sans-serif" w:hAnsi="Arial;sans-serif"/>
          <w:b w:val="false"/>
          <w:color w:val="131E29"/>
          <w:sz w:val="13"/>
        </w:rPr>
        <w:t>1</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left"/>
        <w:rPr/>
      </w:pPr>
      <w:r>
        <w:rPr>
          <w:rFonts w:ascii="Arial;sans-serif" w:hAnsi="Arial;sans-serif"/>
          <w:b w:val="false"/>
          <w:color w:val="131E29"/>
          <w:sz w:val="10"/>
        </w:rPr>
        <w:t>1    </w:t>
      </w:r>
      <w:r>
        <w:rPr>
          <w:rFonts w:ascii="Arial;sans-serif" w:hAnsi="Arial;sans-serif"/>
          <w:b w:val="false"/>
          <w:color w:val="131E29"/>
          <w:sz w:val="16"/>
        </w:rPr>
        <w:t xml:space="preserve">For purposes of calculating company-operated same shop revenue, the revenue for 246 company-operated shops was included in the comparable shop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5943600" cy="1238250"/>
            <wp:effectExtent l="0" t="0" r="0" b="0"/>
            <wp:docPr id="12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6" descr=""/>
                    <pic:cNvPicPr>
                      <a:picLocks noChangeAspect="1" noChangeArrowheads="1"/>
                    </pic:cNvPicPr>
                  </pic:nvPicPr>
                  <pic:blipFill>
                    <a:blip r:embed="rId87"/>
                    <a:stretch>
                      <a:fillRect/>
                    </a:stretch>
                  </pic:blipFill>
                  <pic:spPr bwMode="auto">
                    <a:xfrm>
                      <a:off x="0" y="0"/>
                      <a:ext cx="5943600" cy="1238250"/>
                    </a:xfrm>
                    <a:prstGeom prst="rect">
                      <a:avLst/>
                    </a:prstGeom>
                  </pic:spPr>
                </pic:pic>
              </a:graphicData>
            </a:graphic>
          </wp:inline>
        </w:drawing>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left"/>
        <w:rPr/>
      </w:pPr>
      <w:r>
        <w:rPr>
          <w:rFonts w:ascii="Arial;sans-serif" w:hAnsi="Arial;sans-serif"/>
          <w:b w:val="false"/>
          <w:color w:val="131E29"/>
          <w:sz w:val="10"/>
        </w:rPr>
        <w:t>1    </w:t>
      </w:r>
      <w:r>
        <w:rPr>
          <w:rFonts w:ascii="Arial;sans-serif" w:hAnsi="Arial;sans-serif"/>
          <w:b w:val="false"/>
          <w:color w:val="131E29"/>
          <w:sz w:val="16"/>
        </w:rPr>
        <w:t xml:space="preserve">The comparable shop bases were 203 and 310 for the three months ended September 30, 2022, and 2023, respectively, and 173 and 246 for the nine months ended September 30, 2022, and 2023, respectively. The comparable shop base includes mature shops, which we define as open longer than 15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Beverage, Food, and Packaging Costs</w:t>
      </w:r>
    </w:p>
    <w:tbl>
      <w:tblPr>
        <w:tblW w:w="14369"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481"/>
        <w:gridCol w:w="109"/>
        <w:gridCol w:w="109"/>
        <w:gridCol w:w="109"/>
        <w:gridCol w:w="211"/>
        <w:gridCol w:w="856"/>
        <w:gridCol w:w="286"/>
        <w:gridCol w:w="109"/>
        <w:gridCol w:w="109"/>
        <w:gridCol w:w="109"/>
        <w:gridCol w:w="211"/>
        <w:gridCol w:w="856"/>
        <w:gridCol w:w="286"/>
        <w:gridCol w:w="109"/>
        <w:gridCol w:w="109"/>
        <w:gridCol w:w="109"/>
        <w:gridCol w:w="109"/>
        <w:gridCol w:w="109"/>
        <w:gridCol w:w="211"/>
        <w:gridCol w:w="751"/>
        <w:gridCol w:w="109"/>
        <w:gridCol w:w="109"/>
        <w:gridCol w:w="109"/>
        <w:gridCol w:w="109"/>
        <w:gridCol w:w="270"/>
        <w:gridCol w:w="271"/>
        <w:gridCol w:w="481"/>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61,317 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47,092 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14,225 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169,702 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126,262 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43,440 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34.4 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food and packaging costs impacts for the year-over-year comparison, in dollars and basis points,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8"/>
        <w:gridCol w:w="272"/>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12,237 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Ingredient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Discounts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14,225</w:t>
            </w:r>
            <w:r>
              <w:rPr>
                <w:color w:val="131E29"/>
              </w:rPr>
              <w:t> </w:t>
            </w:r>
          </w:p>
        </w:tc>
        <w:tc>
          <w:tcPr>
            <w:tcW w:w="109"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(120)</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3220"/>
                <wp:effectExtent l="0" t="0" r="0" b="0"/>
                <wp:wrapNone/>
                <wp:docPr id="129" name="Frame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7"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food and packaging costs impacts for the year-over-year comparison, in dollars and basis points,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8"/>
        <w:gridCol w:w="272"/>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35,195 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Ingredient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Discounts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43,440</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(40)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Labor Costs</w:t>
      </w:r>
    </w:p>
    <w:tbl>
      <w:tblPr>
        <w:tblW w:w="14369" w:type="dxa"/>
        <w:jc w:val="left"/>
        <w:tblInd w:w="0" w:type="dxa"/>
        <w:tblLayout w:type="fixed"/>
        <w:tblCellMar>
          <w:top w:w="28" w:type="dxa"/>
          <w:left w:w="28" w:type="dxa"/>
          <w:bottom w:w="28" w:type="dxa"/>
          <w:right w:w="28" w:type="dxa"/>
        </w:tblCellMar>
      </w:tblPr>
      <w:tblGrid>
        <w:gridCol w:w="711"/>
        <w:gridCol w:w="625"/>
        <w:gridCol w:w="330"/>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481"/>
        <w:gridCol w:w="109"/>
        <w:gridCol w:w="109"/>
        <w:gridCol w:w="109"/>
        <w:gridCol w:w="211"/>
        <w:gridCol w:w="856"/>
        <w:gridCol w:w="286"/>
        <w:gridCol w:w="109"/>
        <w:gridCol w:w="109"/>
        <w:gridCol w:w="109"/>
        <w:gridCol w:w="211"/>
        <w:gridCol w:w="856"/>
        <w:gridCol w:w="286"/>
        <w:gridCol w:w="109"/>
        <w:gridCol w:w="109"/>
        <w:gridCol w:w="109"/>
        <w:gridCol w:w="109"/>
        <w:gridCol w:w="109"/>
        <w:gridCol w:w="211"/>
        <w:gridCol w:w="751"/>
        <w:gridCol w:w="109"/>
        <w:gridCol w:w="109"/>
        <w:gridCol w:w="109"/>
        <w:gridCol w:w="109"/>
        <w:gridCol w:w="270"/>
        <w:gridCol w:w="271"/>
        <w:gridCol w:w="481"/>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Labor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61,521 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49,000 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12,521 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25.6 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168,805 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138,001 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30,804 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labor costs impacts for the year-over-year comparison, presented in dollars and basis points,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9"/>
        <w:gridCol w:w="271"/>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12,981 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Staffing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Discounts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12,521</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(230)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labor costs impacts for the year-over-year comparison, presented in dollars and basis points,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9"/>
        <w:gridCol w:w="271"/>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39,306 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Staffing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(838)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Discounts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30,804</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(300)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3220"/>
                <wp:effectExtent l="0" t="0" r="0" b="0"/>
                <wp:wrapNone/>
                <wp:docPr id="132" name="Frame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8"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8"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Occupancy and Other Costs</w:t>
      </w:r>
    </w:p>
    <w:tbl>
      <w:tblPr>
        <w:tblW w:w="14054" w:type="dxa"/>
        <w:jc w:val="left"/>
        <w:tblInd w:w="0" w:type="dxa"/>
        <w:tblLayout w:type="fixed"/>
        <w:tblCellMar>
          <w:top w:w="28" w:type="dxa"/>
          <w:left w:w="28" w:type="dxa"/>
          <w:bottom w:w="28" w:type="dxa"/>
          <w:right w:w="28" w:type="dxa"/>
        </w:tblCellMar>
      </w:tblPr>
      <w:tblGrid>
        <w:gridCol w:w="841"/>
        <w:gridCol w:w="527"/>
        <w:gridCol w:w="298"/>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481"/>
        <w:gridCol w:w="109"/>
        <w:gridCol w:w="109"/>
        <w:gridCol w:w="109"/>
        <w:gridCol w:w="211"/>
        <w:gridCol w:w="751"/>
        <w:gridCol w:w="286"/>
        <w:gridCol w:w="109"/>
        <w:gridCol w:w="109"/>
        <w:gridCol w:w="109"/>
        <w:gridCol w:w="211"/>
        <w:gridCol w:w="751"/>
        <w:gridCol w:w="286"/>
        <w:gridCol w:w="109"/>
        <w:gridCol w:w="109"/>
        <w:gridCol w:w="109"/>
        <w:gridCol w:w="109"/>
        <w:gridCol w:w="109"/>
        <w:gridCol w:w="211"/>
        <w:gridCol w:w="751"/>
        <w:gridCol w:w="109"/>
        <w:gridCol w:w="109"/>
        <w:gridCol w:w="109"/>
        <w:gridCol w:w="109"/>
        <w:gridCol w:w="270"/>
        <w:gridCol w:w="271"/>
        <w:gridCol w:w="481"/>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bottom w:val="single" w:sz="8" w:space="0" w:color="131E2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36,126 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28,517 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7,609 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99,327 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78,141 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21,186 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occupancy and other costs impacts for the year-over-year comparison, presented in dollars and basis points, were driven by the following:</w:t>
      </w:r>
    </w:p>
    <w:tbl>
      <w:tblPr>
        <w:tblW w:w="5286"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631"/>
        <w:gridCol w:w="109"/>
        <w:gridCol w:w="109"/>
        <w:gridCol w:w="109"/>
        <w:gridCol w:w="109"/>
        <w:gridCol w:w="290"/>
        <w:gridCol w:w="250"/>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7,482 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Leverage/deleverage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631"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7,609</w:t>
            </w:r>
            <w:r>
              <w:rPr>
                <w:color w:val="131E29"/>
              </w:rPr>
              <w:t> </w:t>
            </w:r>
          </w:p>
        </w:tc>
        <w:tc>
          <w:tcPr>
            <w:tcW w:w="109"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(110)</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occupancy and other costs impacts for the year-over-year comparison, presented in dollars and basis points,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9"/>
        <w:gridCol w:w="271"/>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22,253 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21,186</w:t>
            </w:r>
            <w:r>
              <w:rPr>
                <w:color w:val="131E29"/>
              </w:rPr>
              <w:t> </w:t>
            </w:r>
          </w:p>
        </w:tc>
        <w:tc>
          <w:tcPr>
            <w:tcW w:w="109"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(100)</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Pre-opening Costs</w:t>
      </w:r>
    </w:p>
    <w:tbl>
      <w:tblPr>
        <w:tblW w:w="13409"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211"/>
        <w:gridCol w:w="481"/>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481"/>
        <w:gridCol w:w="109"/>
        <w:gridCol w:w="109"/>
        <w:gridCol w:w="109"/>
        <w:gridCol w:w="211"/>
        <w:gridCol w:w="751"/>
        <w:gridCol w:w="286"/>
        <w:gridCol w:w="109"/>
        <w:gridCol w:w="109"/>
        <w:gridCol w:w="109"/>
        <w:gridCol w:w="211"/>
        <w:gridCol w:w="751"/>
        <w:gridCol w:w="286"/>
        <w:gridCol w:w="109"/>
        <w:gridCol w:w="109"/>
        <w:gridCol w:w="109"/>
        <w:gridCol w:w="109"/>
        <w:gridCol w:w="109"/>
        <w:gridCol w:w="211"/>
        <w:gridCol w:w="646"/>
        <w:gridCol w:w="109"/>
        <w:gridCol w:w="109"/>
        <w:gridCol w:w="109"/>
        <w:gridCol w:w="109"/>
        <w:gridCol w:w="270"/>
        <w:gridCol w:w="271"/>
        <w:gridCol w:w="481"/>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4,548 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10,679 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14,148 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(3,469)</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(24.5)</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8.8 </w:t>
            </w:r>
          </w:p>
        </w:tc>
        <w:tc>
          <w:tcPr>
            <w:tcW w:w="48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21.3 </w:t>
            </w:r>
          </w:p>
        </w:tc>
        <w:tc>
          <w:tcPr>
            <w:tcW w:w="48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(37.7)</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pre-opening costs was primarily driven by opening a higher proportion of shops in existing markets, which do not require as much support, in the three and nine months ended September 30, 2023 as compared to the same periods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3220"/>
                <wp:effectExtent l="0" t="0" r="0" b="0"/>
                <wp:wrapNone/>
                <wp:docPr id="135" name="Frame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9"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9"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Depreciation and Amortization</w:t>
      </w:r>
    </w:p>
    <w:tbl>
      <w:tblPr>
        <w:tblW w:w="13578" w:type="dxa"/>
        <w:jc w:val="left"/>
        <w:tblInd w:w="0" w:type="dxa"/>
        <w:tblLayout w:type="fixed"/>
        <w:tblCellMar>
          <w:top w:w="28" w:type="dxa"/>
          <w:left w:w="28" w:type="dxa"/>
          <w:bottom w:w="28" w:type="dxa"/>
          <w:right w:w="28" w:type="dxa"/>
        </w:tblCellMar>
      </w:tblPr>
      <w:tblGrid>
        <w:gridCol w:w="933"/>
        <w:gridCol w:w="435"/>
        <w:gridCol w:w="298"/>
        <w:gridCol w:w="109"/>
        <w:gridCol w:w="109"/>
        <w:gridCol w:w="109"/>
        <w:gridCol w:w="229"/>
        <w:gridCol w:w="207"/>
        <w:gridCol w:w="501"/>
        <w:gridCol w:w="109"/>
        <w:gridCol w:w="109"/>
        <w:gridCol w:w="109"/>
        <w:gridCol w:w="211"/>
        <w:gridCol w:w="646"/>
        <w:gridCol w:w="286"/>
        <w:gridCol w:w="109"/>
        <w:gridCol w:w="109"/>
        <w:gridCol w:w="109"/>
        <w:gridCol w:w="211"/>
        <w:gridCol w:w="646"/>
        <w:gridCol w:w="109"/>
        <w:gridCol w:w="109"/>
        <w:gridCol w:w="109"/>
        <w:gridCol w:w="109"/>
        <w:gridCol w:w="270"/>
        <w:gridCol w:w="271"/>
        <w:gridCol w:w="421"/>
        <w:gridCol w:w="109"/>
        <w:gridCol w:w="109"/>
        <w:gridCol w:w="109"/>
        <w:gridCol w:w="211"/>
        <w:gridCol w:w="751"/>
        <w:gridCol w:w="286"/>
        <w:gridCol w:w="109"/>
        <w:gridCol w:w="109"/>
        <w:gridCol w:w="109"/>
        <w:gridCol w:w="211"/>
        <w:gridCol w:w="751"/>
        <w:gridCol w:w="286"/>
        <w:gridCol w:w="109"/>
        <w:gridCol w:w="109"/>
        <w:gridCol w:w="109"/>
        <w:gridCol w:w="109"/>
        <w:gridCol w:w="109"/>
        <w:gridCol w:w="211"/>
        <w:gridCol w:w="751"/>
        <w:gridCol w:w="109"/>
        <w:gridCol w:w="109"/>
        <w:gridCol w:w="109"/>
        <w:gridCol w:w="109"/>
        <w:gridCol w:w="270"/>
        <w:gridCol w:w="271"/>
        <w:gridCol w:w="481"/>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9,624 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6,708 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69.7 </w:t>
            </w:r>
          </w:p>
        </w:tc>
        <w:tc>
          <w:tcPr>
            <w:tcW w:w="4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44,132 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25,071 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19,061 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76.0 </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increases in depreciation and amortization were primarily driven by the opening of new company-operated shops during both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rial;sans-serif" w:hAnsi="Arial;sans-serif"/>
          <w:b/>
          <w:i/>
          <w:color w:val="006098"/>
          <w:sz w:val="20"/>
        </w:rPr>
        <w:t>Company-operated Shop Gross Profit and Contribution</w:t>
      </w:r>
      <w:r>
        <w:rPr>
          <w:rFonts w:ascii="Arial;sans-serif" w:hAnsi="Arial;sans-serif"/>
          <w:b/>
          <w:i/>
          <w:color w:val="006098"/>
          <w:sz w:val="13"/>
        </w:rPr>
        <w:t>1</w:t>
      </w:r>
    </w:p>
    <w:tbl>
      <w:tblPr>
        <w:tblW w:w="13844" w:type="dxa"/>
        <w:jc w:val="left"/>
        <w:tblInd w:w="0" w:type="dxa"/>
        <w:tblLayout w:type="fixed"/>
        <w:tblCellMar>
          <w:top w:w="28" w:type="dxa"/>
          <w:left w:w="28" w:type="dxa"/>
          <w:bottom w:w="28" w:type="dxa"/>
          <w:right w:w="28" w:type="dxa"/>
        </w:tblCellMar>
      </w:tblPr>
      <w:tblGrid>
        <w:gridCol w:w="711"/>
        <w:gridCol w:w="522"/>
        <w:gridCol w:w="298"/>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406"/>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721"/>
        <w:gridCol w:w="109"/>
        <w:gridCol w:w="109"/>
        <w:gridCol w:w="109"/>
        <w:gridCol w:w="109"/>
        <w:gridCol w:w="255"/>
        <w:gridCol w:w="256"/>
        <w:gridCol w:w="46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785" w:type="dxa"/>
            <w:gridSpan w:val="10"/>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56,992 </w:t>
            </w:r>
          </w:p>
        </w:tc>
        <w:tc>
          <w:tcPr>
            <w:tcW w:w="2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34,720 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22,272 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64.1 </w:t>
            </w:r>
          </w:p>
        </w:tc>
        <w:tc>
          <w:tcPr>
            <w:tcW w:w="40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137,943 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82,577 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55,366 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67.0 </w:t>
            </w:r>
          </w:p>
        </w:tc>
        <w:tc>
          <w:tcPr>
            <w:tcW w:w="46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6"/>
              </w:rPr>
            </w:pPr>
            <w:r>
              <w:rPr>
                <w:rFonts w:ascii="Arial;sans-serif" w:hAnsi="Arial;sans-serif"/>
                <w:b w:val="false"/>
                <w:i/>
                <w:color w:val="131E29"/>
                <w:sz w:val="16"/>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410 </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410 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18"/>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131E29"/>
                <w:sz w:val="16"/>
              </w:rPr>
              <w:t xml:space="preserve">Company-operated shop contribution </w:t>
            </w:r>
            <w:r>
              <w:rPr>
                <w:rFonts w:ascii="Arial;sans-serif" w:hAnsi="Arial;sans-serif"/>
                <w:b w:val="false"/>
                <w:color w:val="131E29"/>
                <w:sz w:val="10"/>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73,324 </w:t>
            </w:r>
          </w:p>
        </w:tc>
        <w:tc>
          <w:tcPr>
            <w:tcW w:w="2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44,344 </w:t>
            </w:r>
          </w:p>
        </w:tc>
        <w:tc>
          <w:tcPr>
            <w:tcW w:w="2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28,980 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65.4 </w:t>
            </w:r>
          </w:p>
        </w:tc>
        <w:tc>
          <w:tcPr>
            <w:tcW w:w="40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182,075 </w:t>
            </w:r>
          </w:p>
        </w:tc>
        <w:tc>
          <w:tcPr>
            <w:tcW w:w="2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107,648 </w:t>
            </w:r>
          </w:p>
        </w:tc>
        <w:tc>
          <w:tcPr>
            <w:tcW w:w="2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74,427 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69.1 </w:t>
            </w:r>
          </w:p>
        </w:tc>
        <w:tc>
          <w:tcPr>
            <w:tcW w:w="4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6"/>
              </w:rPr>
            </w:pPr>
            <w:r>
              <w:rPr>
                <w:rFonts w:ascii="Arial;sans-serif" w:hAnsi="Arial;sans-serif"/>
                <w:b w:val="false"/>
                <w:i/>
                <w:color w:val="131E29"/>
                <w:sz w:val="16"/>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540 </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570 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18"/>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3220"/>
                <wp:effectExtent l="0" t="0" r="0" b="0"/>
                <wp:wrapNone/>
                <wp:docPr id="138" name="Frame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0"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0"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gross profit and contribution impacts for the year-over-year comparison, presented in basis points, were driven by the following:</w:t>
      </w:r>
    </w:p>
    <w:tbl>
      <w:tblPr>
        <w:tblW w:w="6552" w:type="dxa"/>
        <w:jc w:val="left"/>
        <w:tblInd w:w="0" w:type="dxa"/>
        <w:tblLayout w:type="fixed"/>
        <w:tblCellMar>
          <w:top w:w="28" w:type="dxa"/>
          <w:left w:w="28" w:type="dxa"/>
          <w:bottom w:w="28" w:type="dxa"/>
          <w:right w:w="28" w:type="dxa"/>
        </w:tblCellMar>
      </w:tblPr>
      <w:tblGrid>
        <w:gridCol w:w="1896"/>
        <w:gridCol w:w="1662"/>
        <w:gridCol w:w="1677"/>
        <w:gridCol w:w="109"/>
        <w:gridCol w:w="109"/>
        <w:gridCol w:w="109"/>
        <w:gridCol w:w="109"/>
        <w:gridCol w:w="109"/>
        <w:gridCol w:w="269"/>
        <w:gridCol w:w="271"/>
        <w:gridCol w:w="232"/>
      </w:tblGrid>
      <w:tr>
        <w:trPr/>
        <w:tc>
          <w:tcPr>
            <w:tcW w:w="189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523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Ingredient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Shop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increases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Menu prices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Pricing and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Pre-opening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shop 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Leverage (deleverage)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410</w:t>
            </w:r>
            <w:r>
              <w:rPr>
                <w:color w:val="131E29"/>
              </w:rPr>
              <w:t> </w:t>
            </w:r>
          </w:p>
        </w:tc>
        <w:tc>
          <w:tcPr>
            <w:tcW w:w="232"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131E29"/>
                <w:sz w:val="20"/>
              </w:rPr>
              <w:t xml:space="preserve">Total change in Company-operated shop contribution </w:t>
            </w:r>
            <w:r>
              <w:rPr>
                <w:rFonts w:ascii="Arial;sans-serif" w:hAnsi="Arial;sans-serif"/>
                <w:b/>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540</w:t>
            </w:r>
            <w:r>
              <w:rPr>
                <w:color w:val="131E29"/>
              </w:rPr>
              <w:t> </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gross profit and contribution impacts for the year-over-year comparison, presented in basis points, were driven by the following:</w:t>
      </w:r>
    </w:p>
    <w:tbl>
      <w:tblPr>
        <w:tblW w:w="6552" w:type="dxa"/>
        <w:jc w:val="left"/>
        <w:tblInd w:w="0" w:type="dxa"/>
        <w:tblLayout w:type="fixed"/>
        <w:tblCellMar>
          <w:top w:w="28" w:type="dxa"/>
          <w:left w:w="28" w:type="dxa"/>
          <w:bottom w:w="28" w:type="dxa"/>
          <w:right w:w="28" w:type="dxa"/>
        </w:tblCellMar>
      </w:tblPr>
      <w:tblGrid>
        <w:gridCol w:w="1896"/>
        <w:gridCol w:w="1662"/>
        <w:gridCol w:w="1677"/>
        <w:gridCol w:w="109"/>
        <w:gridCol w:w="109"/>
        <w:gridCol w:w="109"/>
        <w:gridCol w:w="109"/>
        <w:gridCol w:w="109"/>
        <w:gridCol w:w="269"/>
        <w:gridCol w:w="271"/>
        <w:gridCol w:w="232"/>
      </w:tblGrid>
      <w:tr>
        <w:trPr/>
        <w:tc>
          <w:tcPr>
            <w:tcW w:w="189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523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Ingredient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Shop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Costs decreases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Menu prices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Pricing and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Pre-opening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shop related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Leverage (deleverage)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410</w:t>
            </w:r>
            <w:r>
              <w:rPr>
                <w:color w:val="131E29"/>
              </w:rPr>
              <w:t> </w:t>
            </w:r>
          </w:p>
        </w:tc>
        <w:tc>
          <w:tcPr>
            <w:tcW w:w="232"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160</w:t>
            </w:r>
            <w:r>
              <w:rPr>
                <w:color w:val="131E29"/>
              </w:rPr>
              <w:t>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131E29"/>
                <w:sz w:val="20"/>
              </w:rPr>
              <w:t xml:space="preserve">Total change in Company-operated shop contribution </w:t>
            </w:r>
            <w:r>
              <w:rPr>
                <w:rFonts w:ascii="Arial;sans-serif" w:hAnsi="Arial;sans-serif"/>
                <w:b/>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570</w:t>
            </w:r>
            <w:r>
              <w:rPr>
                <w:color w:val="131E29"/>
              </w:rPr>
              <w:t> </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3220"/>
                <wp:effectExtent l="0" t="0" r="0" b="0"/>
                <wp:wrapNone/>
                <wp:docPr id="141" name="Frame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1"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1"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Franchising and Other Segment Performance</w:t>
      </w:r>
    </w:p>
    <w:tbl>
      <w:tblPr>
        <w:tblW w:w="13079" w:type="dxa"/>
        <w:jc w:val="left"/>
        <w:tblInd w:w="0" w:type="dxa"/>
        <w:tblLayout w:type="fixed"/>
        <w:tblCellMar>
          <w:top w:w="28" w:type="dxa"/>
          <w:left w:w="28" w:type="dxa"/>
          <w:bottom w:w="28" w:type="dxa"/>
          <w:right w:w="28" w:type="dxa"/>
        </w:tblCellMar>
      </w:tblPr>
      <w:tblGrid>
        <w:gridCol w:w="487"/>
        <w:gridCol w:w="296"/>
        <w:gridCol w:w="298"/>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406"/>
        <w:gridCol w:w="109"/>
        <w:gridCol w:w="109"/>
        <w:gridCol w:w="109"/>
        <w:gridCol w:w="211"/>
        <w:gridCol w:w="721"/>
        <w:gridCol w:w="271"/>
        <w:gridCol w:w="109"/>
        <w:gridCol w:w="109"/>
        <w:gridCol w:w="109"/>
        <w:gridCol w:w="211"/>
        <w:gridCol w:w="721"/>
        <w:gridCol w:w="271"/>
        <w:gridCol w:w="109"/>
        <w:gridCol w:w="109"/>
        <w:gridCol w:w="109"/>
        <w:gridCol w:w="109"/>
        <w:gridCol w:w="109"/>
        <w:gridCol w:w="211"/>
        <w:gridCol w:w="721"/>
        <w:gridCol w:w="109"/>
        <w:gridCol w:w="109"/>
        <w:gridCol w:w="109"/>
        <w:gridCol w:w="109"/>
        <w:gridCol w:w="255"/>
        <w:gridCol w:w="256"/>
        <w:gridCol w:w="466"/>
        <w:gridCol w:w="109"/>
        <w:gridCol w:w="109"/>
        <w:gridCol w:w="109"/>
        <w:gridCol w:w="154"/>
      </w:tblGrid>
      <w:tr>
        <w:trPr/>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785" w:type="dxa"/>
            <w:gridSpan w:val="10"/>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28,035 </w:t>
            </w:r>
          </w:p>
        </w:tc>
        <w:tc>
          <w:tcPr>
            <w:tcW w:w="2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25,147 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2,888 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11.5 </w:t>
            </w:r>
          </w:p>
        </w:tc>
        <w:tc>
          <w:tcPr>
            <w:tcW w:w="40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81,065 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72,985 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8,080 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11.1 </w:t>
            </w:r>
          </w:p>
        </w:tc>
        <w:tc>
          <w:tcPr>
            <w:tcW w:w="46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14.9 </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54,228 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43,979 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23.3 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64.9 </w:t>
            </w:r>
          </w:p>
        </w:tc>
        <w:tc>
          <w:tcPr>
            <w:tcW w:w="27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63.0 </w:t>
            </w:r>
          </w:p>
        </w:tc>
        <w:tc>
          <w:tcPr>
            <w:tcW w:w="27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190 </w:t>
            </w:r>
          </w:p>
        </w:tc>
        <w:tc>
          <w:tcPr>
            <w:tcW w:w="40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66.9 </w:t>
            </w:r>
          </w:p>
        </w:tc>
        <w:tc>
          <w:tcPr>
            <w:tcW w:w="27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60.3 </w:t>
            </w:r>
          </w:p>
        </w:tc>
        <w:tc>
          <w:tcPr>
            <w:tcW w:w="27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660 </w:t>
            </w:r>
          </w:p>
        </w:tc>
        <w:tc>
          <w:tcPr>
            <w:tcW w:w="4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r>
              <w:rPr>
                <w:rFonts w:ascii="Arial;sans-serif" w:hAnsi="Arial;sans-serif"/>
                <w:b w:val="false"/>
                <w:color w:val="131E29"/>
                <w:sz w:val="18"/>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revenue and gross profit impacts for the year-over-year comparison, presented in dollars, were driven by the following:</w:t>
      </w:r>
    </w:p>
    <w:p>
      <w:pPr>
        <w:pStyle w:val="TextBody"/>
        <w:bidi w:val="0"/>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$0.9 million</w:t>
      </w:r>
      <w:r>
        <w:rPr>
          <w:color w:val="000000"/>
        </w:rPr>
        <w:t xml:space="preserve"> </w:t>
      </w:r>
      <w:r>
        <w:rPr>
          <w:rFonts w:ascii="Arial;sans-serif" w:hAnsi="Arial;sans-serif"/>
          <w:b w:val="false"/>
          <w:color w:val="000000"/>
          <w:sz w:val="20"/>
        </w:rPr>
        <w:t>from shop weeks, driven by shop openings during the period.</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$0.9 million from same shop sales. </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$0.6 million primarily from products sold to franchisees, net of costs and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revenue and gross profit impacts for the year-over-year comparison, presented in dollars, were driven by the following:</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$6.9 million primarily from products sold to franchisees, net of costs and adjustments.</w:t>
      </w:r>
    </w:p>
    <w:p>
      <w:pPr>
        <w:pStyle w:val="TextBody"/>
        <w:bidi w:val="0"/>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$2.2 million</w:t>
      </w:r>
      <w:r>
        <w:rPr>
          <w:color w:val="000000"/>
        </w:rPr>
        <w:t xml:space="preserve"> </w:t>
      </w:r>
      <w:r>
        <w:rPr>
          <w:rFonts w:ascii="Arial;sans-serif" w:hAnsi="Arial;sans-serif"/>
          <w:b w:val="false"/>
          <w:color w:val="000000"/>
          <w:sz w:val="20"/>
        </w:rPr>
        <w:t>from shop weeks, driven by shop openings during the period.</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$1.1 million from same shop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Selling, General, and Administrative</w:t>
      </w:r>
    </w:p>
    <w:tbl>
      <w:tblPr>
        <w:tblW w:w="13154" w:type="dxa"/>
        <w:jc w:val="left"/>
        <w:tblInd w:w="0" w:type="dxa"/>
        <w:tblLayout w:type="fixed"/>
        <w:tblCellMar>
          <w:top w:w="28" w:type="dxa"/>
          <w:left w:w="28" w:type="dxa"/>
          <w:bottom w:w="28" w:type="dxa"/>
          <w:right w:w="28" w:type="dxa"/>
        </w:tblCellMar>
      </w:tblPr>
      <w:tblGrid>
        <w:gridCol w:w="682"/>
        <w:gridCol w:w="296"/>
        <w:gridCol w:w="298"/>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271"/>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721"/>
        <w:gridCol w:w="109"/>
        <w:gridCol w:w="109"/>
        <w:gridCol w:w="109"/>
        <w:gridCol w:w="109"/>
        <w:gridCol w:w="255"/>
        <w:gridCol w:w="256"/>
        <w:gridCol w:w="271"/>
        <w:gridCol w:w="109"/>
        <w:gridCol w:w="109"/>
        <w:gridCol w:w="109"/>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bottom w:val="single" w:sz="8" w:space="0" w:color="131E2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590" w:type="dxa"/>
            <w:gridSpan w:val="10"/>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50,490 </w:t>
            </w:r>
          </w:p>
        </w:tc>
        <w:tc>
          <w:tcPr>
            <w:tcW w:w="2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45,378 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5,112 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11.3 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148,128 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132,934 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15,194 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11.4 </w:t>
            </w:r>
          </w:p>
        </w:tc>
        <w:tc>
          <w:tcPr>
            <w:tcW w:w="27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impacts for the year-over-year comparison, presented in dollars and basis points, were driven by the following:</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$5.8 million from investments in human capital, processes, and systems to support our revenue growth.</w:t>
      </w:r>
    </w:p>
    <w:p>
      <w:pPr>
        <w:pStyle w:val="TextBody"/>
        <w:bidi w:val="0"/>
        <w:spacing w:lineRule="auto" w:line="288" w:before="0" w:after="12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$1.0 million or 40 bps from lower equity-based compensation charges.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summation of the impact of the specific items above would have decreased selling, general and administrative expenses by 40 bps to be 22.4% of revenue. However, leverage from revenue growth reduces that percentage by 330 bps to be 19.1%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3220"/>
                <wp:effectExtent l="0" t="0" r="0" b="0"/>
                <wp:wrapNone/>
                <wp:docPr id="144" name="Frame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2"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2"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impacts for the year-over-year comparison, presented in dollars and basis points, were driven by the following:</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$18.3 million from investments in human capital, processes, and systems to support our revenue growth. </w:t>
      </w:r>
    </w:p>
    <w:p>
      <w:pPr>
        <w:pStyle w:val="TextBody"/>
        <w:bidi w:val="0"/>
        <w:spacing w:lineRule="auto" w:line="288" w:before="0" w:after="180"/>
        <w:ind w:left="0" w:right="0" w:hanging="360"/>
        <w:jc w:val="left"/>
        <w:rPr/>
      </w:pPr>
      <w:r>
        <w:rPr>
          <w:rFonts w:ascii="Arial;sans-serif" w:hAnsi="Arial;sans-serif"/>
          <w:b/>
          <w:color w:val="006098"/>
          <w:sz w:val="24"/>
        </w:rPr>
        <w:t>+    </w:t>
      </w:r>
      <w:r>
        <w:rPr>
          <w:color w:val="131E29"/>
        </w:rPr>
        <w:t xml:space="preserve"> </w:t>
      </w:r>
      <w:r>
        <w:rPr>
          <w:rFonts w:ascii="Arial;sans-serif" w:hAnsi="Arial;sans-serif"/>
          <w:b w:val="false"/>
          <w:color w:val="131E29"/>
          <w:sz w:val="20"/>
        </w:rPr>
        <w:t xml:space="preserve">$2.0 million or 30 bps in estimated expense for certain legal disputes. </w:t>
      </w:r>
    </w:p>
    <w:p>
      <w:pPr>
        <w:pStyle w:val="TextBody"/>
        <w:bidi w:val="0"/>
        <w:spacing w:lineRule="auto" w:line="288" w:before="0" w:after="180"/>
        <w:ind w:left="0" w:right="0" w:hanging="360"/>
        <w:jc w:val="both"/>
        <w:rPr/>
      </w:pPr>
      <w:r>
        <w:rPr>
          <w:rFonts w:ascii="Arial;sans-serif" w:hAnsi="Arial;sans-serif"/>
          <w:b/>
          <w:color w:val="D7282F"/>
          <w:sz w:val="24"/>
        </w:rPr>
        <w:t>-    </w:t>
      </w:r>
      <w:r>
        <w:rPr>
          <w:rFonts w:ascii="Arial;sans-serif" w:hAnsi="Arial;sans-serif"/>
          <w:b w:val="false"/>
          <w:color w:val="131E29"/>
          <w:sz w:val="20"/>
        </w:rPr>
        <w:t>$2.4 million</w:t>
      </w:r>
      <w:r>
        <w:rPr>
          <w:color w:val="000000"/>
        </w:rPr>
        <w:t xml:space="preserve"> </w:t>
      </w:r>
      <w:r>
        <w:rPr>
          <w:rFonts w:ascii="Arial;sans-serif" w:hAnsi="Arial;sans-serif"/>
          <w:b w:val="false"/>
          <w:color w:val="000000"/>
          <w:sz w:val="20"/>
        </w:rPr>
        <w:t xml:space="preserve">or </w:t>
      </w:r>
      <w:r>
        <w:rPr>
          <w:rFonts w:ascii="Arial;sans-serif" w:hAnsi="Arial;sans-serif"/>
          <w:b w:val="false"/>
          <w:color w:val="131E29"/>
          <w:sz w:val="20"/>
        </w:rPr>
        <w:t>30 bps</w:t>
      </w:r>
      <w:r>
        <w:rPr>
          <w:color w:val="000000"/>
        </w:rPr>
        <w:t xml:space="preserve"> </w:t>
      </w:r>
      <w:r>
        <w:rPr>
          <w:rFonts w:ascii="Arial;sans-serif" w:hAnsi="Arial;sans-serif"/>
          <w:b w:val="false"/>
          <w:color w:val="000000"/>
          <w:sz w:val="20"/>
        </w:rPr>
        <w:t>from prior year company-wide event costs celebrating 30 years serving high QUALITY, hand-crafted beverages with unparalleled SPEED and superior SERVICE to our customers.</w:t>
      </w:r>
    </w:p>
    <w:p>
      <w:pPr>
        <w:pStyle w:val="TextBody"/>
        <w:bidi w:val="0"/>
        <w:spacing w:lineRule="auto" w:line="288" w:before="0" w:after="120"/>
        <w:ind w:left="0" w:right="0" w:hanging="360"/>
        <w:jc w:val="both"/>
        <w:rPr/>
      </w:pPr>
      <w:r>
        <w:rPr>
          <w:rFonts w:ascii="Arial;sans-serif" w:hAnsi="Arial;sans-serif"/>
          <w:b/>
          <w:color w:val="D7282F"/>
          <w:sz w:val="24"/>
        </w:rPr>
        <w:t>-    </w:t>
      </w:r>
      <w:r>
        <w:rPr>
          <w:rFonts w:ascii="Arial;sans-serif" w:hAnsi="Arial;sans-serif"/>
          <w:b w:val="false"/>
          <w:color w:val="131E29"/>
          <w:sz w:val="20"/>
        </w:rPr>
        <w:t>$2.0 million or 30 bps from lower equity-based compensation charges.</w:t>
      </w:r>
    </w:p>
    <w:p>
      <w:pPr>
        <w:pStyle w:val="TextBody"/>
        <w:bidi w:val="0"/>
        <w:spacing w:lineRule="auto" w:line="288" w:before="0" w:after="18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$1.2 million or 20 bps from prior year write-off of prepaid expense for our virtual corporate engagement platform built in response to COVID-19 pandemic as a substitute for in person engagement practices pre-pandemic. The platform was determined ineffective, particularly as we shifted back to in person engagement and easing of restrictions related to the COVID-19 pandemic.</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summation of the impact of the specific items above would have decreased selling, general and administrative expenses from prior year by 50 bps to be 24.2% of revenue. However, leverage from revenue growth reduces that percentage by 340 bps to be 20.8%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Other Expense</w:t>
      </w:r>
    </w:p>
    <w:tbl>
      <w:tblPr>
        <w:tblW w:w="11589" w:type="dxa"/>
        <w:jc w:val="left"/>
        <w:tblInd w:w="0" w:type="dxa"/>
        <w:tblLayout w:type="fixed"/>
        <w:tblCellMar>
          <w:top w:w="28" w:type="dxa"/>
          <w:left w:w="28" w:type="dxa"/>
          <w:bottom w:w="28" w:type="dxa"/>
          <w:right w:w="28" w:type="dxa"/>
        </w:tblCellMar>
      </w:tblPr>
      <w:tblGrid>
        <w:gridCol w:w="382"/>
        <w:gridCol w:w="296"/>
        <w:gridCol w:w="29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9"/>
        <w:gridCol w:w="161"/>
        <w:gridCol w:w="161"/>
        <w:gridCol w:w="109"/>
        <w:gridCol w:w="109"/>
        <w:gridCol w:w="109"/>
        <w:gridCol w:w="211"/>
        <w:gridCol w:w="751"/>
        <w:gridCol w:w="109"/>
        <w:gridCol w:w="109"/>
        <w:gridCol w:w="109"/>
        <w:gridCol w:w="109"/>
        <w:gridCol w:w="211"/>
        <w:gridCol w:w="751"/>
        <w:gridCol w:w="109"/>
        <w:gridCol w:w="109"/>
        <w:gridCol w:w="109"/>
        <w:gridCol w:w="109"/>
        <w:gridCol w:w="109"/>
        <w:gridCol w:w="109"/>
        <w:gridCol w:w="211"/>
        <w:gridCol w:w="751"/>
        <w:gridCol w:w="109"/>
        <w:gridCol w:w="109"/>
        <w:gridCol w:w="109"/>
        <w:gridCol w:w="109"/>
        <w:gridCol w:w="254"/>
        <w:gridCol w:w="231"/>
        <w:gridCol w:w="161"/>
        <w:gridCol w:w="109"/>
        <w:gridCol w:w="109"/>
        <w:gridCol w:w="109"/>
        <w:gridCol w:w="154"/>
      </w:tblGrid>
      <w:tr>
        <w:trPr/>
        <w:tc>
          <w:tcPr>
            <w:tcW w:w="3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bottom w:val="single" w:sz="8" w:space="0" w:color="131E2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on 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(4,755)</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(2,498)</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(2,257)</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90.4%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(12,344)</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(6,277)</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(6,067)</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(9,325)</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(5,011)</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(4,314)</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86.1%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(26,269)</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(11,096)</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(15,173)</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(232.7)%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(9,465)</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(6,955)</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(2,510)</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36.1%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(24,063)</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(12,758)</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(11,305)</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interest expense, net was primarily driven by increased borrowings and higher interest rates associated with our credit facility, and additional finance leases for new shop builds.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other income (expense), net was primarily driven by lower remeasurement losses in the current period related to the TRAs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interest expense, net was primarily driven by increased borrowings and higher interest rates associated with our credit facility, and additional finance leases for new shop builds.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other income (expense), net was primarily driven by remeasurement gains in the current period related to the TRAs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3220"/>
                <wp:effectExtent l="0" t="0" r="0" b="0"/>
                <wp:wrapNone/>
                <wp:docPr id="147" name="Frame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3"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3"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Income Tax Expense </w:t>
      </w:r>
    </w:p>
    <w:tbl>
      <w:tblPr>
        <w:tblW w:w="12437"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11"/>
        <w:gridCol w:w="646"/>
        <w:gridCol w:w="286"/>
        <w:gridCol w:w="109"/>
        <w:gridCol w:w="109"/>
        <w:gridCol w:w="109"/>
        <w:gridCol w:w="211"/>
        <w:gridCol w:w="646"/>
        <w:gridCol w:w="109"/>
        <w:gridCol w:w="109"/>
        <w:gridCol w:w="109"/>
        <w:gridCol w:w="109"/>
        <w:gridCol w:w="211"/>
        <w:gridCol w:w="646"/>
        <w:gridCol w:w="109"/>
        <w:gridCol w:w="109"/>
        <w:gridCol w:w="109"/>
        <w:gridCol w:w="109"/>
        <w:gridCol w:w="323"/>
        <w:gridCol w:w="323"/>
        <w:gridCol w:w="286"/>
        <w:gridCol w:w="109"/>
        <w:gridCol w:w="109"/>
        <w:gridCol w:w="109"/>
        <w:gridCol w:w="211"/>
        <w:gridCol w:w="646"/>
        <w:gridCol w:w="286"/>
        <w:gridCol w:w="109"/>
        <w:gridCol w:w="109"/>
        <w:gridCol w:w="109"/>
        <w:gridCol w:w="211"/>
        <w:gridCol w:w="646"/>
        <w:gridCol w:w="286"/>
        <w:gridCol w:w="109"/>
        <w:gridCol w:w="109"/>
        <w:gridCol w:w="109"/>
        <w:gridCol w:w="109"/>
        <w:gridCol w:w="109"/>
        <w:gridCol w:w="211"/>
        <w:gridCol w:w="646"/>
        <w:gridCol w:w="109"/>
        <w:gridCol w:w="109"/>
        <w:gridCol w:w="109"/>
        <w:gridCol w:w="109"/>
        <w:gridCol w:w="323"/>
        <w:gridCol w:w="323"/>
        <w:gridCol w:w="286"/>
        <w:gridCol w:w="109"/>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1,828 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(3,371)</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5,199 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(154.2)</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6,259 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(2,700)</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8,959 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(331.8)</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2023 v. 2022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tax expense was primarily driven by increased current year pre-tax income, changes in state earnings mix, and impact on outside basis differences as a result of prior year tax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Cash 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$149.8 million and $20.2 million as of September 30, 2023 and December 31, 2022, respectively.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nine months ended September 30, 2023, our principal sources of liquidity were cash flows from our Follow-On Offering in September 2023, our revolving credit facility, and operations. Our principal uses of liquidity for the nine months ended September 30, 2023 were the payoff of our revolving credit facility, and to fund our new shop builds and working capital needs.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additional information related to the Follow-On Offering, see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Cash Flows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205" w:type="dxa"/>
        <w:jc w:val="left"/>
        <w:tblInd w:w="0" w:type="dxa"/>
        <w:tblLayout w:type="fixed"/>
        <w:tblCellMar>
          <w:top w:w="28" w:type="dxa"/>
          <w:left w:w="28" w:type="dxa"/>
          <w:bottom w:w="28" w:type="dxa"/>
          <w:right w:w="28" w:type="dxa"/>
        </w:tblCellMar>
      </w:tblPr>
      <w:tblGrid>
        <w:gridCol w:w="1471"/>
        <w:gridCol w:w="1275"/>
        <w:gridCol w:w="1283"/>
        <w:gridCol w:w="109"/>
        <w:gridCol w:w="109"/>
        <w:gridCol w:w="109"/>
        <w:gridCol w:w="211"/>
        <w:gridCol w:w="856"/>
        <w:gridCol w:w="109"/>
        <w:gridCol w:w="109"/>
        <w:gridCol w:w="109"/>
        <w:gridCol w:w="109"/>
        <w:gridCol w:w="211"/>
        <w:gridCol w:w="751"/>
        <w:gridCol w:w="109"/>
        <w:gridCol w:w="109"/>
        <w:gridCol w:w="109"/>
        <w:gridCol w:w="109"/>
        <w:gridCol w:w="109"/>
        <w:gridCol w:w="109"/>
        <w:gridCol w:w="211"/>
        <w:gridCol w:w="856"/>
        <w:gridCol w:w="109"/>
        <w:gridCol w:w="109"/>
        <w:gridCol w:w="109"/>
        <w:gridCol w:w="109"/>
        <w:gridCol w:w="247"/>
        <w:gridCol w:w="247"/>
        <w:gridCol w:w="249"/>
        <w:gridCol w:w="109"/>
        <w:gridCol w:w="109"/>
        <w:gridCol w:w="109"/>
        <w:gridCol w:w="157"/>
      </w:tblGrid>
      <w:tr>
        <w:trPr/>
        <w:tc>
          <w:tcPr>
            <w:tcW w:w="14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554" w:type="dxa"/>
            <w:gridSpan w:val="10"/>
            <w:tcBorders/>
          </w:tcPr>
          <w:p>
            <w:pPr>
              <w:pStyle w:val="TableContents"/>
              <w:bidi w:val="0"/>
              <w:spacing w:before="0" w:after="283"/>
              <w:jc w:val="left"/>
              <w:rPr>
                <w:sz w:val="4"/>
                <w:szCs w:val="4"/>
              </w:rPr>
            </w:pPr>
            <w:r>
              <w:rPr>
                <w:sz w:val="4"/>
                <w:szCs w:val="4"/>
              </w:rPr>
            </w:r>
          </w:p>
        </w:tc>
      </w:tr>
      <w:tr>
        <w:trPr/>
        <w:tc>
          <w:tcPr>
            <w:tcW w:w="4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02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94,906 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42,768 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52,138 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202,163 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112,704 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89,459 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707.0%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operating activities cash flows was primarily driven by:</w:t>
      </w:r>
    </w:p>
    <w:p>
      <w:pPr>
        <w:pStyle w:val="TextBody"/>
        <w:bidi w:val="0"/>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Working capital management and efficiencies with new shop openings.</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investing activities cash outflows was primarily driven by:</w:t>
      </w:r>
    </w:p>
    <w:p>
      <w:pPr>
        <w:pStyle w:val="TextBody"/>
        <w:bidi w:val="0"/>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000000"/>
          <w:sz w:val="20"/>
        </w:rPr>
        <w:t>Investment in capital expenditures as a result of new company-operated shop openings.</w:t>
      </w:r>
      <w:r>
        <w:rPr>
          <w:color w:val="242424"/>
        </w:rPr>
        <w:t xml:space="preserve"> </w:t>
      </w:r>
    </w:p>
    <w:p>
      <w:pPr>
        <w:pStyle w:val="TextBody"/>
        <w:bidi w:val="0"/>
        <w:spacing w:lineRule="auto" w:line="288" w:before="0" w:after="180"/>
        <w:ind w:left="0" w:right="0" w:hanging="360"/>
        <w:jc w:val="both"/>
        <w:rPr/>
      </w:pPr>
      <w:r>
        <w:rPr>
          <w:rFonts w:ascii="Arial;sans-serif" w:hAnsi="Arial;sans-serif"/>
          <w:b/>
          <w:color w:val="D7282F"/>
          <w:sz w:val="24"/>
        </w:rPr>
        <w:t>-    </w:t>
      </w:r>
      <w:r>
        <w:rPr>
          <w:rFonts w:ascii="Arial;sans-serif" w:hAnsi="Arial;sans-serif"/>
          <w:b w:val="false"/>
          <w:color w:val="000000"/>
          <w:sz w:val="20"/>
        </w:rPr>
        <w:t>Shop acquisitions in the prior year compared to n</w:t>
      </w:r>
      <w:r>
        <w:rPr>
          <w:rFonts w:ascii="Arial;sans-serif" w:hAnsi="Arial;sans-serif"/>
          <w:b w:val="false"/>
          <w:color w:val="242424"/>
          <w:sz w:val="20"/>
        </w:rPr>
        <w:t>o acquisitions in the current year.</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financing activities cash flows was primarily driven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3220"/>
                <wp:effectExtent l="0" t="0" r="0" b="0"/>
                <wp:wrapNone/>
                <wp:docPr id="150" name="Frame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4"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4"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Proceeds from our Follow-On Offering in September 2023.</w:t>
      </w:r>
    </w:p>
    <w:p>
      <w:pPr>
        <w:pStyle w:val="TextBody"/>
        <w:bidi w:val="0"/>
        <w:spacing w:lineRule="auto" w:line="288" w:before="0" w:after="180"/>
        <w:ind w:left="0" w:right="0" w:hanging="360"/>
        <w:jc w:val="left"/>
        <w:rPr/>
      </w:pPr>
      <w:r>
        <w:rPr>
          <w:rFonts w:ascii="Arial;sans-serif" w:hAnsi="Arial;sans-serif"/>
          <w:b/>
          <w:color w:val="D7282F"/>
          <w:sz w:val="24"/>
        </w:rPr>
        <w:t>-    </w:t>
      </w:r>
      <w:r>
        <w:rPr>
          <w:rFonts w:ascii="Arial;sans-serif" w:hAnsi="Arial;sans-serif"/>
          <w:b w:val="false"/>
          <w:color w:val="242424"/>
          <w:sz w:val="20"/>
        </w:rPr>
        <w:t>Payoff of our revolving credit facility</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Cash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proceeds from our Follow-On Offering and 2022 Credit Facility, and cash provided by operating activities are adequate to fund our debt service requirements, lease obligations, and working capital obligations for at least the next 12 months.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future capital requirements may vary materially from period to period and will depend on many factors, primarily our expansion and growth by opening additional company-operated shops and/or reacquiring existing franchised shops. We currently expect to fund our material capital requirements in the long term with additional proceeds from our 2022 Credit Facility, but we may also seek additional debt or equity financing.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cash requirements for the following items have materially changed from our Annual Report on Form 10-K for the year ended December 31, 2022:</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Operating lease liabilities</w:t>
      </w:r>
      <w:r>
        <w:rPr>
          <w:color w:val="131E29"/>
        </w:rPr>
        <w:t xml:space="preserve"> — </w:t>
      </w:r>
      <w:r>
        <w:rPr>
          <w:rFonts w:ascii="Arial;sans-serif" w:hAnsi="Arial;sans-serif"/>
          <w:b w:val="false"/>
          <w:color w:val="131E29"/>
          <w:sz w:val="20"/>
        </w:rPr>
        <w:t>increased approximately $37 million from newly commenced leases.</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Finance lease liabilities</w:t>
      </w:r>
      <w:r>
        <w:rPr>
          <w:color w:val="131E29"/>
        </w:rPr>
        <w:t xml:space="preserve"> — </w:t>
      </w:r>
      <w:r>
        <w:rPr>
          <w:rFonts w:ascii="Arial;sans-serif" w:hAnsi="Arial;sans-serif"/>
          <w:b w:val="false"/>
          <w:color w:val="131E29"/>
          <w:sz w:val="20"/>
        </w:rPr>
        <w:t>increased approximately $191 million from newly commenced leases.</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Debt obligations</w:t>
      </w:r>
      <w:r>
        <w:rPr>
          <w:color w:val="131E29"/>
        </w:rPr>
        <w:t xml:space="preserve"> — </w:t>
      </w:r>
      <w:r>
        <w:rPr>
          <w:rFonts w:ascii="Arial;sans-serif" w:hAnsi="Arial;sans-serif"/>
          <w:b w:val="false"/>
          <w:color w:val="131E29"/>
          <w:sz w:val="20"/>
        </w:rPr>
        <w:t>decreased approximately $115 million on a net basis primarily due to the payoff of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Follow-On Offering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September 12, 2023, Dutch Bros Inc. completed a follow-on offering of approximately 13.3 million shares of Class A common stock at a public offering price of $26.00 per share, which included approximately 1.7 million shares issued pursuant to the exercise in full of the underwriters’ option to purchase additional shares. This resulted in proceeds of approximately $331.2 million, net of underwriting discounts and commissions. The proceeds were used to purchase an equal number of Class A common units of Dutch Bros OpCo. Dutch Bros OpCo used the proceeds for working capital and general corporate purposes, including principal repayment of $202.7 million of our revolving credit facility, and for payment of offering costs of approximately $1.1 million. The offering costs were charged to additional paid-in capital 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Credit Facility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JP Morgan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August 4, 2023, certain subsidiaries of Dutch Bros OpCo entered into an amendment to its existing $500 million senior secured credit facility, dated February 28, 2022 (the 2022 Credit Facility), with JP Morgan Chase Bank, N.A. as administrative agent and other financial institutions as the lenders party thereto, to increase borrowing capacity by a total of $150 million. The 2022 Credit Facility, as amended, has a total capacity of $650 million, consisting of a $350 million revolving credit facility (increased from $250 million), a term loan facility of up to $100 million (no change), and a delayed draw term loan facility of up to $200 million (increased from $150 million). The 2022 Credit Facility also includes sublimits for letters of credit and swingline loans of up to $50 million and $15 million, respectively. The 2022 Credit Facility expires on February 28, 2027 (the Maturity Date), and portions of the delayed draw term loan facility expire if they remain undrawn on certain dates prior to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3220"/>
                <wp:effectExtent l="0" t="0" r="0" b="0"/>
                <wp:wrapNone/>
                <wp:docPr id="153" name="Frame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5"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5"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under the 2022 Credit Facility are guaranteed by each of Dutch Bros Inc.’s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Approximately $202.7 million of proceeds from our Follow-On Offering were used to pay off the balance of the revolving credit facility as of the repayment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April 1, 2022, Dutch Bros Inc. entered into an interest rate swap transaction with JPMorgan Chase Bank, N.A. with respect to $70 million of the term loan under the 2022 Credit Facility. The purpose of the floating-to-fixed interest rate swap was to fix the interest base rate charged on the term loan at 2.67% for the $70 million notional amount. The interest rate swap matures on February 28, 2027. There were no changes to the interest rate swap contract resulting from the amendment to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rial;sans-serif" w:hAnsi="Arial;sans-serif"/>
          <w:b w:val="false"/>
          <w:color w:val="131E29"/>
          <w:sz w:val="20"/>
        </w:rPr>
        <w:t>See NOTE 9 — Debt and</w:t>
      </w:r>
      <w:r>
        <w:rPr>
          <w:color w:val="00416B"/>
        </w:rPr>
        <w:t xml:space="preserve"> </w:t>
      </w:r>
      <w:r>
        <w:rPr>
          <w:rFonts w:ascii="Arial;sans-serif" w:hAnsi="Arial;sans-serif"/>
          <w:b w:val="false"/>
          <w:color w:val="131E29"/>
          <w:sz w:val="20"/>
        </w:rPr>
        <w:t>NOTE 11 — Derivative Financial Instruments for additional details related to our 2022 Credit Facility and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Seasonality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company-operated shop gross profit margins. We typically experience higher nominal system sales in the summer months, which impacts revenue and company-operated shop gross profit margins in our second and third quarters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Critical Accounting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There have been no material changes to our critical accounting estimates from those disclosed in Part II, Item 7 of our Annual Report on Form 10-K for the year ended December 31, 2022, as filed with the SEC on February 27,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Non-GAAP Financial Measures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3220"/>
                <wp:effectExtent l="0" t="0" r="0" b="0"/>
                <wp:wrapNone/>
                <wp:docPr id="156" name="Frame5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6"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6"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contribution (in dollars and as a percentage of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Company-operated segment gross profit, before company-operated shop depreciation and amortization. Company-operated shop contribution in dollars (as defined), taken as a percentage of company-operated shop revenue.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EBITDA, Adjusted EBITDA (in dollars and as a percentage of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(loss) before interest expense (net of interest income), income taxes expense (benefit), and depreciation and amortization expense.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(as defined above), excluding equity-based compensation, COVID-19: “Thank You” pay and catastrophic leave expenses, COVID-19: prepaid costs not utilized, costs incurred for company-wide milestone events, executives transitions costs, (gain) loss on the remeasurement of the liability related to the TRAs, and estimated expense related to certain legal disputes.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Adjusted selling, general, and administrative (in dollars and as a percentage of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excluding equity-based compensation expense, COVID-19: prepaid costs not utilized, costs incurred for company-wide milestone events, executives transitions costs, and estimated expense related to certain legal disputes.</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Non-GAAP adjustments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restricted stock awards and restricted stock units in Dutch Bros Inc. and/or Profit Interest Units in Dutch Bros OpCo to certain eligible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3220"/>
                <wp:effectExtent l="0" t="0" r="0" b="0"/>
                <wp:wrapNone/>
                <wp:docPr id="159" name="Frame5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7"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7" descr=""/>
                                    <pic:cNvPicPr>
                                      <a:picLocks noChangeAspect="1" noChangeArrowheads="1"/>
                                    </pic:cNvPicPr>
                                  </pic:nvPicPr>
                                  <pic:blipFill>
                                    <a:blip r:embed="rId10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COVID-19: “Thank You” pay and catastrophic leave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The catastrophic leave program was retired in May 2023.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COVID-19: Prepaid costs not utilized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Milestone events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for company-wide events to celebrate 30 years of serving high QUALITY, hand-crafted beverages with unparalleled SPEED and superior SERVICE to our customers.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Executives transition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Employee severance and related benefit costs, as well as sign-on bonus(es) for several executive-level transitions occurring in 2022 and 2023.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on condensed consolidated statements of operations related to adjustments of our TRAs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Estimated loss accrual related to certain legal disputes.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Following are the reconciliations of the most comparable GAAP metric to non-GAAP metrics presented: </w:t>
      </w:r>
    </w:p>
    <w:tbl>
      <w:tblPr>
        <w:tblW w:w="11223" w:type="dxa"/>
        <w:jc w:val="left"/>
        <w:tblInd w:w="0" w:type="dxa"/>
        <w:tblLayout w:type="fixed"/>
        <w:tblCellMar>
          <w:top w:w="28" w:type="dxa"/>
          <w:left w:w="28" w:type="dxa"/>
          <w:bottom w:w="28" w:type="dxa"/>
          <w:right w:w="28" w:type="dxa"/>
        </w:tblCellMar>
      </w:tblPr>
      <w:tblGrid>
        <w:gridCol w:w="711"/>
        <w:gridCol w:w="625"/>
        <w:gridCol w:w="540"/>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56,992 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34,720 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137,943 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82,577 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73,324 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31.0 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44,344 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25.6 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182,075 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107,648 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3220"/>
                <wp:effectExtent l="0" t="0" r="0" b="0"/>
                <wp:wrapNone/>
                <wp:docPr id="162" name="Frame5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8" descr=""/>
                                          <pic:cNvPicPr>
                                            <a:picLocks noChangeAspect="1" noChangeArrowheads="1"/>
                                          </pic:cNvPicPr>
                                        </pic:nvPicPr>
                                        <pic:blipFill>
                                          <a:blip r:embed="rId1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8"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tbl>
      <w:tblPr>
        <w:tblW w:w="10713" w:type="dxa"/>
        <w:jc w:val="left"/>
        <w:tblInd w:w="0" w:type="dxa"/>
        <w:tblLayout w:type="fixed"/>
        <w:tblCellMar>
          <w:top w:w="28" w:type="dxa"/>
          <w:left w:w="28" w:type="dxa"/>
          <w:bottom w:w="28" w:type="dxa"/>
          <w:right w:w="28" w:type="dxa"/>
        </w:tblCellMar>
      </w:tblPr>
      <w:tblGrid>
        <w:gridCol w:w="877"/>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income (loss)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13,401 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13,721 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(16,436)</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9,325 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26,269 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42,670 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15,044 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95,660 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23,491 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Thank You pay and catastrophic leave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prepaid costs not utilized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Milestone events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Executives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Legal proceedings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53,008 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27,830 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125,487 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61,431 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788" w:type="dxa"/>
        <w:jc w:val="left"/>
        <w:tblInd w:w="0" w:type="dxa"/>
        <w:tblLayout w:type="fixed"/>
        <w:tblCellMar>
          <w:top w:w="28" w:type="dxa"/>
          <w:left w:w="28" w:type="dxa"/>
          <w:bottom w:w="28" w:type="dxa"/>
          <w:right w:w="28" w:type="dxa"/>
        </w:tblCellMar>
      </w:tblPr>
      <w:tblGrid>
        <w:gridCol w:w="711"/>
        <w:gridCol w:w="432"/>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color w:val="131E29"/>
                <w:sz w:val="20"/>
              </w:rPr>
              <w:t xml:space="preserve">Selling, general, and administrative </w:t>
            </w:r>
            <w:r>
              <w:rPr>
                <w:rFonts w:ascii="Arial;sans-serif" w:hAnsi="Arial;sans-serif"/>
                <w:b/>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50,490 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45,378 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132,934 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prepaid costs not utilized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Milestone events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Executives transition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Legal proceedings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40,567 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34,729 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116,561 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98,305 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131E29"/>
          <w:sz w:val="20"/>
        </w:rPr>
        <w:t>_________________</w:t>
      </w:r>
      <w:r>
        <w:rPr>
          <w:color w:val="000000"/>
        </w:rPr>
        <w:t xml:space="preserve"> </w:t>
      </w:r>
    </w:p>
    <w:p>
      <w:pPr>
        <w:pStyle w:val="TextBody"/>
        <w:bidi w:val="0"/>
        <w:spacing w:lineRule="auto" w:line="288" w:before="0" w:after="30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Selling, general, and administrative expenses include depreciation and amortization.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3220"/>
                <wp:effectExtent l="0" t="0" r="0" b="0"/>
                <wp:wrapNone/>
                <wp:docPr id="165" name="Frame5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9"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9"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QUANTITATIVE AND QUALITATIVE DISCLOSURES ABOUT MARKET RISK</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Commodity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and packaging commodities pricing, as we experienced during the nine months ended September 30, 2023,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Labor Costs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We have experienced minimum wage increases, which increases directly affect our labor costs, and other upward pressure on wage rates in several states. In the future, we may or may not be able to offset these cost increases with operational efficiencies, menu price increases, or other adjustments. As of September 30, 2023, we employed approximately 15,000 hourly workers in our company-operated shops.</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Interest Rate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September 30, 2023, our revolving loans were paid off and $96.3 million was outstanding on our term loan. A hypothetical increase of interest rates up to 1% on our outstanding term loan as of September 30, 2023 would result in an increase in our annual interest expense of approximately $1.0 million, excluding any potential impacts of interest rate swaps.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Impact of Inflation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supplies,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3220"/>
                <wp:effectExtent l="0" t="0" r="0" b="0"/>
                <wp:wrapNone/>
                <wp:docPr id="168" name="Frame5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0"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0"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the end of the period covered by this Form 10-Q, our Chief Executive Officer (principal executive officer) and Chief Financial Officer (principal financial officer), have conducted an evaluation of the effectiveness of the design and operation of our disclosure controls and procedures (as defined in Rules 13a-15(e) and 15d-15(e) under the Securities Exchange Act of 1934, as amended (the Exchange Act)). Our certifying officers concluded that, as a result of the material weaknesses in internal control over financial reporting as described below, our disclosure controls and procedures were not effective at the reasonable assurance level as of September 30, 2023. 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 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previously identified and disclosed in Part II, Item 9A of our Annual Report on Form 10-K for the year ended December 31, 2022, material weaknesses in our internal control over financial reporting related to: (1) IT system change management issues, including lack of approvals for system configurations within IT environments; and (2) our Dutch Rewards breakage estimates, including the completeness and accuracy of the accounting for breakage.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Notwithstanding the previously identified material weaknesses, management believes the condensed consolidated financial statements included in this Quarterly Report on Form 10-Q fairly present, in all material respects, our financial condition, results of operations and cash flows as of and for the periods presented in accordance with GAAP.</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Remediation Efforts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remedial actions have been taken as of September 30, 2023:</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Purchased and implemented a software tool designed to facilitate the logging of system changes.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Reviewed the organizational structure supporting systems administration and began implementing recommendations arising from this review to help ensure that we have the necessary expertise and experience to oversee system change management protocols and controls.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Launched a review of system change control design with the assistance of third-party consultants. Recommendations arising from this review will help ensure that all system changes to configurations within the IT environments are logged and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3220"/>
                <wp:effectExtent l="0" t="0" r="0" b="0"/>
                <wp:wrapNone/>
                <wp:docPr id="171" name="Frame5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1" descr=""/>
                                          <pic:cNvPicPr>
                                            <a:picLocks noChangeAspect="1" noChangeArrowheads="1"/>
                                          </pic:cNvPicPr>
                                        </pic:nvPicPr>
                                        <pic:blipFill>
                                          <a:blip r:embed="rId1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1" descr=""/>
                                    <pic:cNvPicPr>
                                      <a:picLocks noChangeAspect="1" noChangeArrowheads="1"/>
                                    </pic:cNvPicPr>
                                  </pic:nvPicPr>
                                  <pic:blipFill>
                                    <a:blip r:embed="rId1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Designed and implemented reconciliation and review controls to ensure that the accounting for breakage is complete and accurate.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significant progress has been made to enhance our internal control over financial reporting, we are still in the process of implementing and testing these remediated processes, procedures and controls. Additional time is required to complete our assessment.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September 30, 2023, and therefore have concluded that our disclosure controls and procedures were not effective as of September 30, 2023.</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than as disclosed, there have been no changes during the three months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3220"/>
                <wp:effectExtent l="0" t="0" r="0" b="0"/>
                <wp:wrapNone/>
                <wp:docPr id="174" name="Frame5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2" descr=""/>
                                          <pic:cNvPicPr>
                                            <a:picLocks noChangeAspect="1" noChangeArrowheads="1"/>
                                          </pic:cNvPicPr>
                                        </pic:nvPicPr>
                                        <pic:blipFill>
                                          <a:blip r:embed="rId1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2" descr=""/>
                                    <pic:cNvPicPr>
                                      <a:picLocks noChangeAspect="1" noChangeArrowheads="1"/>
                                    </pic:cNvPicPr>
                                  </pic:nvPicPr>
                                  <pic:blipFill>
                                    <a:blip r:embed="rId1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Please refer to NOTE 16 — Commitments and Contingencies under the heading “Legal Proceedings”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Summary of Risk Factors</w:t>
      </w:r>
    </w:p>
    <w:p>
      <w:pPr>
        <w:pStyle w:val="TextBody"/>
        <w:bidi w:val="0"/>
        <w:spacing w:lineRule="auto" w:line="288" w:before="0" w:after="0"/>
        <w:jc w:val="both"/>
        <w:rPr>
          <w:rFonts w:ascii="Arial;sans-serif" w:hAnsi="Arial;sans-serif"/>
          <w:b w:val="false"/>
          <w:i/>
          <w:color w:val="131E29"/>
          <w:sz w:val="20"/>
        </w:rPr>
      </w:pPr>
      <w:r>
        <w:rPr>
          <w:rFonts w:ascii="Arial;sans-serif" w:hAnsi="Arial;sans-serif"/>
          <w:b w:val="false"/>
          <w:i/>
          <w:color w:val="131E29"/>
          <w:sz w:val="20"/>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pStyle w:val="TextBody"/>
        <w:bidi w:val="0"/>
        <w:spacing w:before="0" w:after="0"/>
        <w:jc w:val="both"/>
        <w:rPr/>
      </w:pPr>
      <w:r>
        <w:rPr/>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Evolving consumer preferences and tastes or changes in consumer spending may adversely affect our business.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failure to manage our growth effectively could harm our business and operating results.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inability to identify, recruit and retain qualified individuals for our shops could slow our growth and adversely impact our ability to operate.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shops are geographically concentrated in the Western United States, and we could be negatively affected by conditions specific to that region.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3220"/>
                <wp:effectExtent l="0" t="0" r="0" b="0"/>
                <wp:wrapNone/>
                <wp:docPr id="177" name="Frame5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3" descr=""/>
                                          <pic:cNvPicPr>
                                            <a:picLocks noChangeAspect="1" noChangeArrowheads="1"/>
                                          </pic:cNvPicPr>
                                        </pic:nvPicPr>
                                        <pic:blipFill>
                                          <a:blip r:embed="rId1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3" descr=""/>
                                    <pic:cNvPicPr>
                                      <a:picLocks noChangeAspect="1" noChangeArrowheads="1"/>
                                    </pic:cNvPicPr>
                                  </pic:nvPicPr>
                                  <pic:blipFill>
                                    <a:blip r:embed="rId1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Pandemics or disease outbreaks have had, and may continue to have, an effect on our business and results of operations.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success depends substantially on the value of our brand and failure to preserve its value could have a negative impact on our financial results.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the availability of and the cost of labor could harm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Co-Founder and Sponsor continue to have significant influence over us, which could limit your ability to influence the outcome of matters submitted to stockholders for a vote.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growth strategy depends in part on opening new shops in existing and new markets. We may be unsuccessful in opening new shops or establishing new markets, which could adversely affect our growth.</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 Factors</w:t>
      </w:r>
    </w:p>
    <w:p>
      <w:pPr>
        <w:pStyle w:val="TextBody"/>
        <w:bidi w:val="0"/>
        <w:spacing w:lineRule="auto" w:line="288" w:before="0" w:after="180"/>
        <w:jc w:val="both"/>
        <w:rPr>
          <w:rFonts w:ascii="Arial;sans-serif" w:hAnsi="Arial;sans-serif"/>
          <w:b w:val="false"/>
          <w:i/>
          <w:color w:val="131E29"/>
          <w:sz w:val="20"/>
        </w:rPr>
      </w:pPr>
      <w:r>
        <w:rPr>
          <w:rFonts w:ascii="Arial;sans-serif" w:hAnsi="Arial;sans-serif"/>
          <w:b w:val="false"/>
          <w:i/>
          <w:color w:val="131E29"/>
          <w:sz w:val="20"/>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for the year ended December 31, 2022, filed with the SEC on February 27, 2023, are set forth below and are unchanged substantively as of the date of this filing, except for those risks designated by an asterisk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3220"/>
                <wp:effectExtent l="0" t="0" r="0" b="0"/>
                <wp:wrapNone/>
                <wp:docPr id="180" name="Frame6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4" descr=""/>
                                          <pic:cNvPicPr>
                                            <a:picLocks noChangeAspect="1" noChangeArrowheads="1"/>
                                          </pic:cNvPicPr>
                                        </pic:nvPicPr>
                                        <pic:blipFill>
                                          <a:blip r:embed="rId1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4" descr=""/>
                                    <pic:cNvPicPr>
                                      <a:picLocks noChangeAspect="1" noChangeArrowheads="1"/>
                                    </pic:cNvPicPr>
                                  </pic:nvPicPr>
                                  <pic:blipFill>
                                    <a:blip r:embed="rId1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Evolving consumer preferences and tastes or changes in consumer spending may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financial condition and results of operations are subject to, and may be adversely affected by, a number of factors, many of which are also largely outside our control.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real estate or labor costs in certain markets;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consumer preferences;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disruptions in our supply chain;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impact of shortages or inflation on our cost of goods or labor, including construction labor, which we have recently seen;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governmental laws and rules, including those regarding minimum wage, and approaches to taxation;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severe weather or other natural or man-made disasters affecting a large market or several closely located markets that may temporarily but significantly affect our business in such markets, including the price or availability of goods;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labor discord or disruption, geopolitical events, social unrest, war, including repercussions of the war between Russia and Ukraine or the war between Israel and Hamas and the related risk of a larger regional conflict, terrorism, political instability, acts of public violence, boycotts, hostilities and social unrest, COVID-19 variants and other epidemics;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adverse outcomes of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3220"/>
                <wp:effectExtent l="0" t="0" r="0" b="0"/>
                <wp:wrapNone/>
                <wp:docPr id="183" name="Frame6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5" descr=""/>
                                          <pic:cNvPicPr>
                                            <a:picLocks noChangeAspect="1" noChangeArrowheads="1"/>
                                          </pic:cNvPicPr>
                                        </pic:nvPicPr>
                                        <pic:blipFill>
                                          <a:blip r:embed="rId1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5" descr=""/>
                                    <pic:cNvPicPr>
                                      <a:picLocks noChangeAspect="1" noChangeArrowheads="1"/>
                                    </pic:cNvPicPr>
                                  </pic:nvPicPr>
                                  <pic:blipFill>
                                    <a:blip r:embed="rId1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marketing programs may not be successful, and our new menu items and advertising campaigns may not generate increased revenues or profits.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strategic initiatives and growth strategy may be unsuccessful which could adversely affect our business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September 30, 2023, Dutch Bros had 794 shops across 16 states, of which 510 were company-operated and 284 were franchised. One of the key means to achieving our growth strategy will be through opening new shops and operating those shops on a profitable basis. During the nine months ended September 30, 2023, we opened 114 new company-operated shops, across 14 states. Our ability to open new shops is dependent upon a number of factors, many of which are beyond our control, including our and our franchise partners’ ability to: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identify available and suitable sites, specifically for drive-thru locations;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compete for such sites;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reach acceptable agreements regarding the lease of locations;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obtain or have available the financing required to acquire and operate a shop, including construction and opening costs, which includes access to build-to-suit leases and ground lease construction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3220"/>
                <wp:effectExtent l="0" t="0" r="0" b="0"/>
                <wp:wrapNone/>
                <wp:docPr id="186" name="Frame6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6" descr=""/>
                                          <pic:cNvPicPr>
                                            <a:picLocks noChangeAspect="1" noChangeArrowheads="1"/>
                                          </pic:cNvPicPr>
                                        </pic:nvPicPr>
                                        <pic:blipFill>
                                          <a:blip r:embed="rId1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6" descr=""/>
                                    <pic:cNvPicPr>
                                      <a:picLocks noChangeAspect="1" noChangeArrowheads="1"/>
                                    </pic:cNvPicPr>
                                  </pic:nvPicPr>
                                  <pic:blipFill>
                                    <a:blip r:embed="rId1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respond to unforeseen engineering or environmental problems with leased premises;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avoid the impact of inclement weather, natural disasters, and other calamities;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hire, train and retain the skilled management and other employees necessary to meet staffing needs;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control construction and equipment cost increases for new shops and secure the services of qualified contractors and subcontractors in an increasingly competitive environment.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part of our longer-term growth strategy, we expect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*New shops, once opened, may not be profitable or may close, and the increases in average per shop revenue and comparable sales that we have experienced in the past may not be indicative of future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3220"/>
                <wp:effectExtent l="0" t="0" r="0" b="0"/>
                <wp:wrapNone/>
                <wp:docPr id="189" name="Frame6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7" descr=""/>
                                          <pic:cNvPicPr>
                                            <a:picLocks noChangeAspect="1" noChangeArrowheads="1"/>
                                          </pic:cNvPicPr>
                                        </pic:nvPicPr>
                                        <pic:blipFill>
                                          <a:blip r:embed="rId1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7" descr=""/>
                                    <pic:cNvPicPr>
                                      <a:picLocks noChangeAspect="1" noChangeArrowheads="1"/>
                                    </pic:cNvPicPr>
                                  </pic:nvPicPr>
                                  <pic:blipFill>
                                    <a:blip r:embed="rId1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consumer awareness and understanding of the Dutch Bros brand;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general economic conditions, such as inflation, which can affect shop traffic, local labor costs, and prices we pay for the beverage and other supplies we use;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consumption patterns and beverage preferences that differ from region to region;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consumer preferences and discretionary spending, which we have seen impacted recently by factors such as inflation;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difficulties obtaining or maintaining adequate relationships with distributors or suppliers in new markets;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prices for commodities, including coffee, milk and flavored syrups;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inefficiency in our labor costs as the staff gains experience;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competition, either from our competitors in the food service and restaurant industry or our own shops;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temporary and permanent site characteristics of new shops;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government regulation;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ability to hire, motivate, and retain qualified employees who share our values;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other unanticipated increases in costs, including costs of construction materials and trade labor, any of which could give rise to delays or cost overruns.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our new shops do not perform as planned or close, our business and future prospects could be harmed. In addition, an inability to achieve our expected average shop revenue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we expect it will have an impact on our sales growth, which could, in turn,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3220"/>
                <wp:effectExtent l="0" t="0" r="0" b="0"/>
                <wp:wrapNone/>
                <wp:docPr id="192" name="Frame6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8" descr=""/>
                                          <pic:cNvPicPr>
                                            <a:picLocks noChangeAspect="1" noChangeArrowheads="1"/>
                                          </pic:cNvPicPr>
                                        </pic:nvPicPr>
                                        <pic:blipFill>
                                          <a:blip r:embed="rId1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8" descr=""/>
                                    <pic:cNvPicPr>
                                      <a:picLocks noChangeAspect="1" noChangeArrowheads="1"/>
                                    </pic:cNvPicPr>
                                  </pic:nvPicPr>
                                  <pic:blipFill>
                                    <a:blip r:embed="rId1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failure to manage our growth effectively could harm our business and operating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Damage to our brand or reputation or negative publicity could negatively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3220"/>
                <wp:effectExtent l="0" t="0" r="0" b="0"/>
                <wp:wrapNone/>
                <wp:docPr id="195" name="Frame6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9" descr=""/>
                                          <pic:cNvPicPr>
                                            <a:picLocks noChangeAspect="1" noChangeArrowheads="1"/>
                                          </pic:cNvPicPr>
                                        </pic:nvPicPr>
                                        <pic:blipFill>
                                          <a:blip r:embed="rId1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9" descr=""/>
                                    <pic:cNvPicPr>
                                      <a:picLocks noChangeAspect="1" noChangeArrowheads="1"/>
                                    </pic:cNvPicPr>
                                  </pic:nvPicPr>
                                  <pic:blipFill>
                                    <a:blip r:embed="rId1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Ultimately, the risks associated with any such negative publicity or incorrect information cannot be completely eliminated or mitigated and may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inability to identify, recruit and retain qualified individuals for our shops could slow our growth and adversely impact our ability to operate.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the risks associated with leasing space subject to long-term non-cancelable leases and, with respect to the real property that we own, owning real estate.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3220"/>
                <wp:effectExtent l="0" t="0" r="0" b="0"/>
                <wp:wrapNone/>
                <wp:docPr id="198" name="Frame6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0" descr=""/>
                                          <pic:cNvPicPr>
                                            <a:picLocks noChangeAspect="1" noChangeArrowheads="1"/>
                                          </pic:cNvPicPr>
                                        </pic:nvPicPr>
                                        <pic:blipFill>
                                          <a:blip r:embed="rId1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0" descr=""/>
                                    <pic:cNvPicPr>
                                      <a:picLocks noChangeAspect="1" noChangeArrowheads="1"/>
                                    </pic:cNvPicPr>
                                  </pic:nvPicPr>
                                  <pic:blipFill>
                                    <a:blip r:embed="rId1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approximately 36%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3220"/>
                <wp:effectExtent l="0" t="0" r="0" b="0"/>
                <wp:wrapNone/>
                <wp:docPr id="201" name="Frame6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1" descr=""/>
                                          <pic:cNvPicPr>
                                            <a:picLocks noChangeAspect="1" noChangeArrowheads="1"/>
                                          </pic:cNvPicPr>
                                        </pic:nvPicPr>
                                        <pic:blipFill>
                                          <a:blip r:embed="rId1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1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shops are geographically concentrated in the Western United States, and we could be negatively affected by conditions specific to that region.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our company-operated and franchised shops in the Western United States represent approximately 70%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26% of our systemwide net sales in the nine months ended September 30, 2023.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3220"/>
                <wp:effectExtent l="0" t="0" r="0" b="0"/>
                <wp:wrapNone/>
                <wp:docPr id="204" name="Frame6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2" descr=""/>
                                          <pic:cNvPicPr>
                                            <a:picLocks noChangeAspect="1" noChangeArrowheads="1"/>
                                          </pic:cNvPicPr>
                                        </pic:nvPicPr>
                                        <pic:blipFill>
                                          <a:blip r:embed="rId1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2" descr=""/>
                                    <pic:cNvPicPr>
                                      <a:picLocks noChangeAspect="1" noChangeArrowheads="1"/>
                                    </pic:cNvPicPr>
                                  </pic:nvPicPr>
                                  <pic:blipFill>
                                    <a:blip r:embed="rId1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proprietary supplies, it will negatively affect or business and profitability. If we are unable to locate sufficient building or construction materials, we may not be able to achieve our stated growth objectives.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continued to increase significantly during the nine months ended September 30, 2023.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also purchase significant amounts of dairy products, particularly milk, to support the needs of our shops. For example, there have been recent material increases in dairy costs. If dairy costs further increase,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 and may be subject to increased costs, which could negatively impact our margins.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during the year ended December 31, 2022, we believe fluctuating increases in gas prices negatively impacted consumer discretionary spending, particularly in the Western United States where such increases were relatively higher and where our shops are geographically concentrated.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fail to offer high-quality customer experience, our business and reputation will suffer.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3220"/>
                <wp:effectExtent l="0" t="0" r="0" b="0"/>
                <wp:wrapNone/>
                <wp:docPr id="207" name="Frame6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3" descr=""/>
                                          <pic:cNvPicPr>
                                            <a:picLocks noChangeAspect="1" noChangeArrowheads="1"/>
                                          </pic:cNvPicPr>
                                        </pic:nvPicPr>
                                        <pic:blipFill>
                                          <a:blip r:embed="rId1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3" descr=""/>
                                    <pic:cNvPicPr>
                                      <a:picLocks noChangeAspect="1" noChangeArrowheads="1"/>
                                    </pic:cNvPicPr>
                                  </pic:nvPicPr>
                                  <pic:blipFill>
                                    <a:blip r:embed="rId1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recurring, loyal customers. As we grow, it may be difficult for us to identify, recruit, train, and manage enough people with the right skills, talent, and attitude to provide this enhanced customer experience.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fail to maintain adequate operational and financial resources, particularly if we continue to grow rapidly, we may be unable to execute our business plan or maintain high levels of service and customer satisfaction.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continuous growth and expansion have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have a limited history of operating with a substantial remote workforce and the long-term impact on our financial results and business operations are uncertain.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an increasing number of employees who work fully remote or hybrid remote. 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3220"/>
                <wp:effectExtent l="0" t="0" r="0" b="0"/>
                <wp:wrapNone/>
                <wp:docPr id="210" name="Frame7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4" descr=""/>
                                          <pic:cNvPicPr>
                                            <a:picLocks noChangeAspect="1" noChangeArrowheads="1"/>
                                          </pic:cNvPicPr>
                                        </pic:nvPicPr>
                                        <pic:blipFill>
                                          <a:blip r:embed="rId1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4" descr=""/>
                                    <pic:cNvPicPr>
                                      <a:picLocks noChangeAspect="1" noChangeArrowheads="1"/>
                                    </pic:cNvPicPr>
                                  </pic:nvPicPr>
                                  <pic:blipFill>
                                    <a:blip r:embed="rId1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fraud,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(and those of the third parties upon which we rely)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market, produce, sell, and distribute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risk of unauthorized circumvention of our security measures or those of our third parties on whom we rely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our remote workforce poses increased risks to our information technology network and systems and data, as more of our employees work remotely, utilizing network connections outside our premises or network, including working at home, while in transit, and in public locations.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3220"/>
                <wp:effectExtent l="0" t="0" r="0" b="0"/>
                <wp:wrapNone/>
                <wp:docPr id="213" name="Frame7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5" descr=""/>
                                          <pic:cNvPicPr>
                                            <a:picLocks noChangeAspect="1" noChangeArrowheads="1"/>
                                          </pic:cNvPicPr>
                                        </pic:nvPicPr>
                                        <pic:blipFill>
                                          <a:blip r:embed="rId1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5" descr=""/>
                                    <pic:cNvPicPr>
                                      <a:picLocks noChangeAspect="1" noChangeArrowheads="1"/>
                                    </pic:cNvPicPr>
                                  </pic:nvPicPr>
                                  <pic:blipFill>
                                    <a:blip r:embed="rId1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of the previously identified or similar threats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upon which we rely).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While we take steps to detect and remediate vulnerabilities, our security measures (and those of the third parties upon which we rely) may not be adequate to prevent or detect service interruption, system failure data loss, fraud or theft, or other material adverse consequences because the threats and techniques used to exploit vulnerabilities change frequently and are often sophisticated in nature. Therefore, such vulnerabilities could be exploited but may not be detected until after a security incident has occurred and we may not be able to anticipate or to implement effective preventative and remedial measures against all vulnerabilities. Unremediated high risk or critical vulnerabilities pose material risks to our business. Furthermore, there may be delays in developing and deploying patches and other remedial measures to adequately address vulnerabilities, and taking such remedial steps could adversely impact or disrupt our operations. We expect similar issues to arise in the future as the Dutch Rewards mobile app is more widely adopted, and as we continue to expand the features and functionality of the Dutch Rewards mobile app.</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Applicable data privacy and security obligations may require us to notify relevant stakeholders of security incidents including affected individuals, customers, and regulators.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upon whom we rely) to process payments, regulatory scrutiny, actions or investigations, a loss of confidence in our business, systems and Processing of Sensitive Information, a diversion of management’s time and attention, and significant fines, penalties, assessments, fees and expenses.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3220"/>
                <wp:effectExtent l="0" t="0" r="0" b="0"/>
                <wp:wrapNone/>
                <wp:docPr id="216" name="Frame7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6" descr=""/>
                                          <pic:cNvPicPr>
                                            <a:picLocks noChangeAspect="1" noChangeArrowheads="1"/>
                                          </pic:cNvPicPr>
                                        </pic:nvPicPr>
                                        <pic:blipFill>
                                          <a:blip r:embed="rId1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6" descr=""/>
                                    <pic:cNvPicPr>
                                      <a:picLocks noChangeAspect="1" noChangeArrowheads="1"/>
                                    </pic:cNvPicPr>
                                  </pic:nvPicPr>
                                  <pic:blipFill>
                                    <a:blip r:embed="rId1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*Pandemics or disease outbreaks have had, and may continue to have, an effect on our business and results of operations.</w:t>
      </w:r>
    </w:p>
    <w:p>
      <w:pPr>
        <w:pStyle w:val="TextBody"/>
        <w:bidi w:val="0"/>
        <w:spacing w:lineRule="auto" w:line="288" w:before="0" w:after="180"/>
        <w:jc w:val="both"/>
        <w:rPr/>
      </w:pPr>
      <w:r>
        <w:rPr>
          <w:rFonts w:ascii="Arial;sans-serif" w:hAnsi="Arial;sans-serif"/>
          <w:b w:val="false"/>
          <w:color w:val="131E29"/>
          <w:sz w:val="20"/>
        </w:rPr>
        <w:t xml:space="preserve">Pandemics or disease outbreaks such as the COVID-19 pandemic have impacted and are likely to continue to impact customer traffic at our Dutch Bros shops and may make it more difficult to staff our shops and, in more severe cases, may cause a temporary inability to obtain supplies and may increase commodity costs. </w:t>
      </w:r>
      <w:r>
        <w:rPr>
          <w:rFonts w:ascii="Arial;sans-serif" w:hAnsi="Arial;sans-serif"/>
          <w:b w:val="false"/>
          <w:color w:val="131E29"/>
          <w:sz w:val="20"/>
          <w:shd w:fill="FFFFFF" w:val="clear"/>
        </w:rPr>
        <w:t xml:space="preserve">The extent of the impact of pandemics or disease outbreaks, including the COVID-19 pandemic, on our business, operations, and development timelines and plans remains uncertain and will depend on future developments that cannot be predicted at this time. Such developments include the potential emergence of variants that may prove especially contagious, virulent, or vaccine-resistant.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operations have been, and we expect will continue to be, disrupted when employees or employees of our franchise partners are suspected of having COVID-19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3220"/>
                <wp:effectExtent l="0" t="0" r="0" b="0"/>
                <wp:wrapNone/>
                <wp:docPr id="219" name="Frame7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7" descr=""/>
                                          <pic:cNvPicPr>
                                            <a:picLocks noChangeAspect="1" noChangeArrowheads="1"/>
                                          </pic:cNvPicPr>
                                        </pic:nvPicPr>
                                        <pic:blipFill>
                                          <a:blip r:embed="rId1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7" descr=""/>
                                    <pic:cNvPicPr>
                                      <a:picLocks noChangeAspect="1" noChangeArrowheads="1"/>
                                    </pic:cNvPicPr>
                                  </pic:nvPicPr>
                                  <pic:blipFill>
                                    <a:blip r:embed="rId1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ultimate impact of the COVID-19 pandemic or a similar health epidemic on our business, operations, or the global economy as a whole remains highly uncertain. 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this or any other widespread epidemics will not occur, or that the global economy will recover, either of which could seriously harm our business.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*Unstable market and economic conditions may have serious adverse consequences on our business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global credit and financial markets have experienced extreme volatility and disruptions (including as a result of the ongoing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and the war between Israel and Hamas,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Brand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success depends substantially on the value of our brand and failure to preserve its value could have a negative impact on our financial results.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3220"/>
                <wp:effectExtent l="0" t="0" r="0" b="0"/>
                <wp:wrapNone/>
                <wp:docPr id="222" name="Frame7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8" descr=""/>
                                          <pic:cNvPicPr>
                                            <a:picLocks noChangeAspect="1" noChangeArrowheads="1"/>
                                          </pic:cNvPicPr>
                                        </pic:nvPicPr>
                                        <pic:blipFill>
                                          <a:blip r:embed="rId1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8" descr=""/>
                                    <pic:cNvPicPr>
                                      <a:picLocks noChangeAspect="1" noChangeArrowheads="1"/>
                                    </pic:cNvPicPr>
                                  </pic:nvPicPr>
                                  <pic:blipFill>
                                    <a:blip r:embed="rId1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may not be able to adequately protect our intellectual property, including trademarks, trade names, and service marks, which, in turn, could harm the value of our brand and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3220"/>
                <wp:effectExtent l="0" t="0" r="0" b="0"/>
                <wp:wrapNone/>
                <wp:docPr id="225" name="Frame7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9" descr=""/>
                                          <pic:cNvPicPr>
                                            <a:picLocks noChangeAspect="1" noChangeArrowheads="1"/>
                                          </pic:cNvPicPr>
                                        </pic:nvPicPr>
                                        <pic:blipFill>
                                          <a:blip r:embed="rId1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9" descr=""/>
                                    <pic:cNvPicPr>
                                      <a:picLocks noChangeAspect="1" noChangeArrowheads="1"/>
                                    </pic:cNvPicPr>
                                  </pic:nvPicPr>
                                  <pic:blipFill>
                                    <a:blip r:embed="rId1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*If we, our franchise partners, or our vendors are unable to protect our customers’ credit and debit card data or confidential information in connection with processing the same or confidential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3220"/>
                <wp:effectExtent l="0" t="0" r="0" b="0"/>
                <wp:wrapNone/>
                <wp:docPr id="228" name="Frame7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1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0" descr=""/>
                                    <pic:cNvPicPr>
                                      <a:picLocks noChangeAspect="1" noChangeArrowheads="1"/>
                                    </pic:cNvPicPr>
                                  </pic:nvPicPr>
                                  <pic:blipFill>
                                    <a:blip r:embed="rId1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employee information, we could be exposed to data loss, litigation, liability, and reputational damage.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subject to rules governing electronic funds transfers, including the Payment Card Industry Data Security Standard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3220"/>
                <wp:effectExtent l="0" t="0" r="0" b="0"/>
                <wp:wrapNone/>
                <wp:docPr id="231" name="Frame7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1" descr=""/>
                                          <pic:cNvPicPr>
                                            <a:picLocks noChangeAspect="1" noChangeArrowheads="1"/>
                                          </pic:cNvPicPr>
                                        </pic:nvPicPr>
                                        <pic:blipFill>
                                          <a:blip r:embed="rId1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1" descr=""/>
                                    <pic:cNvPicPr>
                                      <a:picLocks noChangeAspect="1" noChangeArrowheads="1"/>
                                    </pic:cNvPicPr>
                                  </pic:nvPicPr>
                                  <pic:blipFill>
                                    <a:blip r:embed="rId1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Risks Related to People and Culture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*Changes in the availability of and the cost of labor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AB1228 in California, which creates a minimum wage of $20 per hour for fast food workers (beginning on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depend on our executive officers and other key employees, and the loss of one or more of these employees or an inability to attract and retain other highly skilled employees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largely upon the continued services of our executive officers and other key employees, and the hiring and retention of additional executives and other key personnel. We rely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3220"/>
                <wp:effectExtent l="0" t="0" r="0" b="0"/>
                <wp:wrapNone/>
                <wp:docPr id="234" name="Frame7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2" descr=""/>
                                          <pic:cNvPicPr>
                                            <a:picLocks noChangeAspect="1" noChangeArrowheads="1"/>
                                          </pic:cNvPicPr>
                                        </pic:nvPicPr>
                                        <pic:blipFill>
                                          <a:blip r:embed="rId1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2" descr=""/>
                                    <pic:cNvPicPr>
                                      <a:picLocks noChangeAspect="1" noChangeArrowheads="1"/>
                                    </pic:cNvPicPr>
                                  </pic:nvPicPr>
                                  <pic:blipFill>
                                    <a:blip r:embed="rId1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We recently announced the transition of our Chief Executive Officer from Joth Ricci to Christine Barone. The loss of one or more of our executive officers or key employees could harm our business. Changes in our executive management team may also cause disruptions in, and harm to,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Unionization activities may disrupt our operations and affect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Regulation and Litigation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Changes in statutory, regulatory, accounting, and other legal requirements, including changes in accounting principles generally accepted in the United States, could potentially impact our operating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Generally accepted accounting principles in the United States (GAAP) are subject to interpretation by the Financial Accounting Standards Board, the American Institute of Certified Public Accountants,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3220"/>
                <wp:effectExtent l="0" t="0" r="0" b="0"/>
                <wp:wrapNone/>
                <wp:docPr id="237" name="Frame7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3" descr=""/>
                                          <pic:cNvPicPr>
                                            <a:picLocks noChangeAspect="1" noChangeArrowheads="1"/>
                                          </pic:cNvPicPr>
                                        </pic:nvPicPr>
                                        <pic:blipFill>
                                          <a:blip r:embed="rId1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3" descr=""/>
                                    <pic:cNvPicPr>
                                      <a:picLocks noChangeAspect="1" noChangeArrowheads="1"/>
                                    </pic:cNvPicPr>
                                  </pic:nvPicPr>
                                  <pic:blipFill>
                                    <a:blip r:embed="rId1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Federal regulators and some state governments in states in which we do business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COVID-19 pandemic is ongoing, and we may be made subject to additional burdensome employment and health and safety laws and regulations passed or adopted by legislatures and regulators in an effort to mitigate its effects. Any future pandemics could have similar impacts.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Fluctuations in our tax obligations and effective tax rate and realization of our deferred tax assets may result in volatility of our operating results and adversely affect our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the valuation of our deferred tax assets and liabilities;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expected timing and amount of the release of any tax valuation allowance;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tax laws, regulations, or interpretations thereof;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future earnings being lower than anticipated in jurisdictions where we have lower statutory tax rates and higher than anticipated earnings in jurisdictions where we have higher statutory tax rates.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many federal, state, and local laws with which compliance is both costly and complex.</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The failure to comply with these laws and regulations could adversely affect our operating results. Typically, licenses, permits, and approvals under such laws and regulations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3220"/>
                <wp:effectExtent l="0" t="0" r="0" b="0"/>
                <wp:wrapNone/>
                <wp:docPr id="240" name="Frame8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4" descr=""/>
                                          <pic:cNvPicPr>
                                            <a:picLocks noChangeAspect="1" noChangeArrowheads="1"/>
                                          </pic:cNvPicPr>
                                        </pic:nvPicPr>
                                        <pic:blipFill>
                                          <a:blip r:embed="rId1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4" descr=""/>
                                    <pic:cNvPicPr>
                                      <a:picLocks noChangeAspect="1" noChangeArrowheads="1"/>
                                    </pic:cNvPicPr>
                                  </pic:nvPicPr>
                                  <pic:blipFill>
                                    <a:blip r:embed="rId1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3220"/>
                <wp:effectExtent l="0" t="0" r="0" b="0"/>
                <wp:wrapNone/>
                <wp:docPr id="243" name="Frame8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5" descr=""/>
                                          <pic:cNvPicPr>
                                            <a:picLocks noChangeAspect="1" noChangeArrowheads="1"/>
                                          </pic:cNvPicPr>
                                        </pic:nvPicPr>
                                        <pic:blipFill>
                                          <a:blip r:embed="rId1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5" descr=""/>
                                    <pic:cNvPicPr>
                                      <a:picLocks noChangeAspect="1" noChangeArrowheads="1"/>
                                    </pic:cNvPicPr>
                                  </pic:nvPicPr>
                                  <pic:blipFill>
                                    <a:blip r:embed="rId1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(and our vendors) are subject to stringent and changing laws, regulations, industry standards, contractual obligations, policies, and other obligations related to data privacy and security. The actual or perceived failure by us or our vendors to comply with such obligations, may harm our business, financial condition and results of operations, and prospects.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on our behalf.</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our vendors.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The CCPA applies to the personal information of consumers, business representatives, and employees who are California residents, provides individual privacy rights for such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$7,500 per violation), including for data breaches. In addition, the California Privacy Rights Act of 2020 (CPRA) added a new right for individuals to correct their personal information and established a new California Privacy Protection Agency to implement and enforce the law.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Moreover, across the United States, laws and regulations governing data privacy and security continue to develop and evolve. For example, Virginia passed the Consumer Data Protection Act (CDPA), Colorado passed the Colorado Privacy Act (CPA), Connecticut passed the Connecticut Data Privacy Act (CTDPA), and Utah passed the Utah Consumer Privacy Act (UCPA), all of which become effective in 2023. In addition, data privacy and security laws have been proposed at the federal, state, and local levels in recent years, which could further complicate compliance efforts.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3220"/>
                <wp:effectExtent l="0" t="0" r="0" b="0"/>
                <wp:wrapNone/>
                <wp:docPr id="246" name="Frame8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6" descr=""/>
                                          <pic:cNvPicPr>
                                            <a:picLocks noChangeAspect="1" noChangeArrowheads="1"/>
                                          </pic:cNvPicPr>
                                        </pic:nvPicPr>
                                        <pic:blipFill>
                                          <a:blip r:embed="rId1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6" descr=""/>
                                    <pic:cNvPicPr>
                                      <a:picLocks noChangeAspect="1" noChangeArrowheads="1"/>
                                    </pic:cNvPicPr>
                                  </pic:nvPicPr>
                                  <pic:blipFill>
                                    <a:blip r:embed="rId1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we rely on a variety of marketing techniques and practices, including email and social media marketing, online targeted advertising, and cookie-based Processing, to sell our products and services and to attract new customers. We, and our vendors,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Additionally,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strive to comply with applicable data privacy and security obligations to the extent possible, but we may at times fail to do so, or may be perceived to have failed to do so. Moreover, despite our efforts, we may not be successful in achieving compliance if our employees, partners or vendors do not comply with applicable data privacy and security obligations. Any failure by us or a third-party processor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and our franchise partners are subject to extensive government regulations that could result in claims leading to increased costs and restrict our ability to operate franchises.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3220"/>
                <wp:effectExtent l="0" t="0" r="0" b="0"/>
                <wp:wrapNone/>
                <wp:docPr id="249" name="Frame8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7" descr=""/>
                                          <pic:cNvPicPr>
                                            <a:picLocks noChangeAspect="1" noChangeArrowheads="1"/>
                                          </pic:cNvPicPr>
                                        </pic:nvPicPr>
                                        <pic:blipFill>
                                          <a:blip r:embed="rId1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7" descr=""/>
                                    <pic:cNvPicPr>
                                      <a:picLocks noChangeAspect="1" noChangeArrowheads="1"/>
                                    </pic:cNvPicPr>
                                  </pic:nvPicPr>
                                  <pic:blipFill>
                                    <a:blip r:embed="rId1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governmental authorities may adopt broad standards for determining when two or more entities may be deemed joint employers of the same employees. For example,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In addition, the National Labor Relations Board proposed a rule in September 2022 that could broaden the standards applicable to establishing a joint employer relationship. If these or similar laws or rules come into effect, it could increase the possibility of Dutch Bros being held liable for our franchise partners’ employment practices.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*Beverage and restaurant companies have been the target of class action lawsuits and other proceedings that are costly, divert management attention and, if successful, could result in our payment of substantial damages or settlement costs.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for the first quarter of 2022.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3220"/>
                <wp:effectExtent l="0" t="0" r="0" b="0"/>
                <wp:wrapNone/>
                <wp:docPr id="252" name="Frame8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8" descr=""/>
                                          <pic:cNvPicPr>
                                            <a:picLocks noChangeAspect="1" noChangeArrowheads="1"/>
                                          </pic:cNvPicPr>
                                        </pic:nvPicPr>
                                        <pic:blipFill>
                                          <a:blip r:embed="rId17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8" descr=""/>
                                    <pic:cNvPicPr>
                                      <a:picLocks noChangeAspect="1" noChangeArrowheads="1"/>
                                    </pic:cNvPicPr>
                                  </pic:nvPicPr>
                                  <pic:blipFill>
                                    <a:blip r:embed="rId1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Organizational Structure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3220"/>
                <wp:effectExtent l="0" t="0" r="0" b="0"/>
                <wp:wrapNone/>
                <wp:docPr id="255" name="Frame8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9" descr=""/>
                                          <pic:cNvPicPr>
                                            <a:picLocks noChangeAspect="1" noChangeArrowheads="1"/>
                                          </pic:cNvPicPr>
                                        </pic:nvPicPr>
                                        <pic:blipFill>
                                          <a:blip r:embed="rId1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9" descr=""/>
                                    <pic:cNvPicPr>
                                      <a:picLocks noChangeAspect="1" noChangeArrowheads="1"/>
                                    </pic:cNvPicPr>
                                  </pic:nvPicPr>
                                  <pic:blipFill>
                                    <a:blip r:embed="rId1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redeem or exchange their Dutch Bros OpCo Class A common units for shares of Class A common stock or cash.</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3220"/>
                <wp:effectExtent l="0" t="0" r="0" b="0"/>
                <wp:wrapNone/>
                <wp:docPr id="258" name="Frame8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0" descr=""/>
                                          <pic:cNvPicPr>
                                            <a:picLocks noChangeAspect="1" noChangeArrowheads="1"/>
                                          </pic:cNvPicPr>
                                        </pic:nvPicPr>
                                        <pic:blipFill>
                                          <a:blip r:embed="rId1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0" descr=""/>
                                    <pic:cNvPicPr>
                                      <a:picLocks noChangeAspect="1" noChangeArrowheads="1"/>
                                    </pic:cNvPicPr>
                                  </pic:nvPicPr>
                                  <pic:blipFill>
                                    <a:blip r:embed="rId1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The Tax Receivable Agreements with the Continuing Members and Pre-IPO Blocker Holders require Dutch Bros Inc. to make cash payments to them in respect of certain tax benefits to which it may become entitled, and such payments may be substantial.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3220"/>
                <wp:effectExtent l="0" t="0" r="0" b="0"/>
                <wp:wrapNone/>
                <wp:docPr id="261" name="Frame8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1" descr=""/>
                                          <pic:cNvPicPr>
                                            <a:picLocks noChangeAspect="1" noChangeArrowheads="1"/>
                                          </pic:cNvPicPr>
                                        </pic:nvPicPr>
                                        <pic:blipFill>
                                          <a:blip r:embed="rId1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1" descr=""/>
                                    <pic:cNvPicPr>
                                      <a:picLocks noChangeAspect="1" noChangeArrowheads="1"/>
                                    </pic:cNvPicPr>
                                  </pic:nvPicPr>
                                  <pic:blipFill>
                                    <a:blip r:embed="rId1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Agreements are not conditioned upon continued ownership of Dutch Bros Inc. by the exchanging holders of Dutch Bros OpCo Class A common units or the Pre-IPO Blocker Holders.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 certain cases, payments under the Tax Receivable Agreements may be accelerated and/or significantly exceed the actual benefits Dutch Bros Inc. realizes in respect of the tax attributes subject to the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3220"/>
                <wp:effectExtent l="0" t="0" r="0" b="0"/>
                <wp:wrapNone/>
                <wp:docPr id="264" name="Frame8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2" descr=""/>
                                          <pic:cNvPicPr>
                                            <a:picLocks noChangeAspect="1" noChangeArrowheads="1"/>
                                          </pic:cNvPicPr>
                                        </pic:nvPicPr>
                                        <pic:blipFill>
                                          <a:blip r:embed="rId1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92" descr=""/>
                                    <pic:cNvPicPr>
                                      <a:picLocks noChangeAspect="1" noChangeArrowheads="1"/>
                                    </pic:cNvPicPr>
                                  </pic:nvPicPr>
                                  <pic:blipFill>
                                    <a:blip r:embed="rId1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The acceleration of payments under the Tax Receivable Agreements in the case of certain changes of control may impair our ability to consummate change of control transactions or negatively impact the value received by owners of our Class A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Ownership of Our Class A Common Stock</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*Additional stock issuances (including pursuant to the redemption of Dutch Bros OpCo Class A common units from our Continuing Members) could result in significant dilution to our stockholders and cause the trading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 common units from our Continuing Members). Additional issuances of our stock will result in dilution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3220"/>
                <wp:effectExtent l="0" t="0" r="0" b="0"/>
                <wp:wrapNone/>
                <wp:docPr id="267" name="Frame8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3" descr=""/>
                                          <pic:cNvPicPr>
                                            <a:picLocks noChangeAspect="1" noChangeArrowheads="1"/>
                                          </pic:cNvPicPr>
                                        </pic:nvPicPr>
                                        <pic:blipFill>
                                          <a:blip r:embed="rId1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3" descr=""/>
                                    <pic:cNvPicPr>
                                      <a:picLocks noChangeAspect="1" noChangeArrowheads="1"/>
                                    </pic:cNvPicPr>
                                  </pic:nvPicPr>
                                  <pic:blipFill>
                                    <a:blip r:embed="rId1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existing holders of our stock. Any such issuances could result in substantial dilution to our existing stockholders and cause the trading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particular, following the issuance of shares of Class A common stock in connection with the redemption or exchange of Dutch Bros OpCo Class A common units from our Continuing Members and the related cancellation of shares of our Class B common stock or Class C common stock, such shares of Class A common stock will have the same economic rights as other shares of Class A common stock.</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trading price of our Class A common stock may be volatile, and you could lose all or part of your investment.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price and volume fluctuations in the overall stock market from time to time;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volatility in the trading prices and trading volumes of competitors’ stocks;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operating performance and stock market valuations of other companies generally, or those in our industry in particular;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sales of shares of our Class A common stock by us or our stockholders, including the Continuing Members;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announcements by us or our competitors of new products or services;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the public’s reaction to our press releases, other public announcements, and filings with the SEC;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rumors and market speculation involving us or other companies in our industry;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changes in our results of operations or fluctuations in our results of operations;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developments in our business, our competitors’ businesses, or the competitive landscape generally;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litigation involving us, our industry or both, or investigations by regulators into our operations or those of our competitors;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actual or perceived privacy or data security incidents;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developments or disputes concerning our intellectual property or other proprietary rights;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announced or completed acquisitions of businesses, franchises or other assets by us or our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3220"/>
                <wp:effectExtent l="0" t="0" r="0" b="0"/>
                <wp:wrapNone/>
                <wp:docPr id="270" name="Frame9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4" descr=""/>
                                          <pic:cNvPicPr>
                                            <a:picLocks noChangeAspect="1" noChangeArrowheads="1"/>
                                          </pic:cNvPicPr>
                                        </pic:nvPicPr>
                                        <pic:blipFill>
                                          <a:blip r:embed="rId1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4" descr=""/>
                                    <pic:cNvPicPr>
                                      <a:picLocks noChangeAspect="1" noChangeArrowheads="1"/>
                                    </pic:cNvPicPr>
                                  </pic:nvPicPr>
                                  <pic:blipFill>
                                    <a:blip r:embed="rId1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new laws or regulations or new interpretations of existing laws or regulations applicable to our business;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accounting standards, policies, guidelines, interpretations or principles;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any significant change in our management;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general political and economic conditions and slow or negative growth of our markets.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This litigation, and other litigation, if instituted against us, could result in substantial costs and a diversion of our management’s attention and resources.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multi-class structure of our common stock has the effect of concentrating voting control with Continuing Members, limiting your ability to influence corporate matters.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3220"/>
                <wp:effectExtent l="0" t="0" r="0" b="0"/>
                <wp:wrapNone/>
                <wp:docPr id="273" name="Frame9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5" descr=""/>
                                          <pic:cNvPicPr>
                                            <a:picLocks noChangeAspect="1" noChangeArrowheads="1"/>
                                          </pic:cNvPicPr>
                                        </pic:nvPicPr>
                                        <pic:blipFill>
                                          <a:blip r:embed="rId1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5" descr=""/>
                                    <pic:cNvPicPr>
                                      <a:picLocks noChangeAspect="1" noChangeArrowheads="1"/>
                                    </pic:cNvPicPr>
                                  </pic:nvPicPr>
                                  <pic:blipFill>
                                    <a:blip r:embed="rId1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Co-Founder and Sponsor have significant influence over us, which could limit your ability to influence the outcome of matters submitted to stockholders for a vote.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affiliates of our Co-Founder beneficially own approximately 74.7% of the combined voting power of our Class A common stock, Class B common stock, Class C common stock and Class D common stock, and our Sponsor, directly and through affiliated investment funds, beneficially owns approximately 18.5%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Co-Founder and Sponsor own approximately 59.7% of the Dutch Bros OpCo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3220"/>
                <wp:effectExtent l="0" t="0" r="0" b="0"/>
                <wp:wrapNone/>
                <wp:docPr id="276" name="Frame9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6" descr=""/>
                                          <pic:cNvPicPr>
                                            <a:picLocks noChangeAspect="1" noChangeArrowheads="1"/>
                                          </pic:cNvPicPr>
                                        </pic:nvPicPr>
                                        <pic:blipFill>
                                          <a:blip r:embed="rId1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6" descr=""/>
                                    <pic:cNvPicPr>
                                      <a:picLocks noChangeAspect="1" noChangeArrowheads="1"/>
                                    </pic:cNvPicPr>
                                  </pic:nvPicPr>
                                  <pic:blipFill>
                                    <a:blip r:embed="rId1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Certain affiliates of our Co-Founder beneficially own approximately 74.7%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 board that is composed of a majority of “independent directors,” as defined under the New York Stock Exchange rules;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 compensation committee that is composed entirely of independent directors;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director nominations be made, or recommended to the full board of directors, by its independent directors, or by a nominations/governance committee that is composed entirely of independent directors.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Certain of our directors have relationships with our Sponsor, which may cause conflicts of interest with respect to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One of our directors is affiliated with our Sponsor. Our Sponsor-affiliated director has fiduciary duties to us and, in addition, has duties to our Sponsor. As a result, this director may face real or apparent conflicts of interest with respect to matters affecting both us and our Sponsor, whose interests may be adverse to ours in some circumstances.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*Future sales of shares of our Class A or Class D common stock could cause the market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Subject to the terms of the Third Amended and Restated Limited Liability Company Agreement of Dutch Bros OpCo, an aggregate of 105,755,565 Dutch Bros OpCo Class A common units may be redeemed in exchange for shares of our Class A common stock and an aggregate of 12,411,419 shares of Class D common stock may be converted into shares of our Class A common stock. Any shares we issue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3220"/>
                <wp:effectExtent l="0" t="0" r="0" b="0"/>
                <wp:wrapNone/>
                <wp:docPr id="279" name="Frame9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7" descr=""/>
                                          <pic:cNvPicPr>
                                            <a:picLocks noChangeAspect="1" noChangeArrowheads="1"/>
                                          </pic:cNvPicPr>
                                        </pic:nvPicPr>
                                        <pic:blipFill>
                                          <a:blip r:embed="rId1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7" descr=""/>
                                    <pic:cNvPicPr>
                                      <a:picLocks noChangeAspect="1" noChangeArrowheads="1"/>
                                    </pic:cNvPicPr>
                                  </pic:nvPicPr>
                                  <pic:blipFill>
                                    <a:blip r:embed="rId1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redemption or exchange of Dutch Bros OpCo Class A common units or upon the conversion of shares of Class D common stock, as applicable, will be “restricted securities” as defined in Rule 144 and may not be sold in the absence of registration under the Securities Act of 1933, as amended (Securities Act) unless an exemption from registration is available, including the exemptions contained in Rule 144.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However, all such shares are now eligible for resale in the public market, subject, in the case of shares held by our affiliates, to volume, manner of sale, and other limitations under Rule 144.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trading price and trading volume could decline if securities or industry analysts do not publish research about our business, or if they publish unfavorable research.</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no longer qualified as an “emerging growth company” as of December 31, 2022, and, as a result, we will no longer be able to avail ourselves of certain reduced reporting and disclosure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Based on the market value of our Class A common stock held by non-affiliates as of June 30, 2022, we ceased to qualify, effective as of December 31, 2022, as an “emerging growth company,” as defined in the Jumpstart Our Business Startups Act (the JOBS Act). We previously have taken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no longer able to take advantage of any of the exemptions from various reporting requirements that are applicable to other public companies that are not “emerging growth companies” as described above, and we are no longer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General Risks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results may fluctuate significantly and may not meet our expectations or those of investors or securities analysts.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consumer tastes and nutritional and dietary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3220"/>
                <wp:effectExtent l="0" t="0" r="0" b="0"/>
                <wp:wrapNone/>
                <wp:docPr id="282" name="Frame9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8" descr=""/>
                                          <pic:cNvPicPr>
                                            <a:picLocks noChangeAspect="1" noChangeArrowheads="1"/>
                                          </pic:cNvPicPr>
                                        </pic:nvPicPr>
                                        <pic:blipFill>
                                          <a:blip r:embed="rId1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8" descr=""/>
                                    <pic:cNvPicPr>
                                      <a:picLocks noChangeAspect="1" noChangeArrowheads="1"/>
                                    </pic:cNvPicPr>
                                  </pic:nvPicPr>
                                  <pic:blipFill>
                                    <a:blip r:embed="rId1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successful identification and acquisition of appropriate sites to timely develop and expand our number of profitable shops;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protection of our brand and reputation;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dependence on a small number of suppliers, including for roasting;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expectations regarding our future operating and financial performance;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size of our addressable markets, market share, and market trends;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effective management and continued growth of our workforce and operations;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attract, retain, and motivate skilled personnel, including key members of our senior management;</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generation of projected same shop sales growth;</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sufficiency of our cash, cash equivalents, and investments to meet our liquidity needs;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dependence on long-term non-cancelable leases;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employees and the status of our workers;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inability to maintain good relationships with our franchising partners;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timing and amount of deferred expenses related to the maintenance of company-operated shops;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effects of seasonal trends on our results of operations;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vulnerability to global financial market conditions, including the continuing effects from the recent recession;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adverse weather conditions in local or regional areas where our shops are located;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realization of any benefit from our organizational structure net of expenses associated with the same (including our obligations under the Tax Receivable Agreements).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outstanding indebtedness could materially adversely affect our financial condition and our ability to operate our business, pursue our growth strategy, and react to changes in the economy or industry.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2023, we had $96.3 million outstanding under our term loan. In addition, subject to certain restrictions under the 2022 Credit Facility, we may incur additional debt.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debt could have important consequences to you, including the following: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it may be difficult for us to satisfy our obligations, including debt service requirements under our outstanding debt, resulting in possible defaults on and acceleration of such indebtedness;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may need to issue additional Class A common stock to fund the repayment of our debt, which would result in additional dilution to existing investors and may cause our stock price to decline;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obtain additional financing for working capital, capital expenditures, debt service requirements, or other general corporate purposes may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3220"/>
                <wp:effectExtent l="0" t="0" r="0" b="0"/>
                <wp:wrapNone/>
                <wp:docPr id="285" name="Frame9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9" descr=""/>
                                          <pic:cNvPicPr>
                                            <a:picLocks noChangeAspect="1" noChangeArrowheads="1"/>
                                          </pic:cNvPicPr>
                                        </pic:nvPicPr>
                                        <pic:blipFill>
                                          <a:blip r:embed="rId1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9" descr=""/>
                                    <pic:cNvPicPr>
                                      <a:picLocks noChangeAspect="1" noChangeArrowheads="1"/>
                                    </pic:cNvPicPr>
                                  </pic:nvPicPr>
                                  <pic:blipFill>
                                    <a:blip r:embed="rId1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are more vulnerable to economic downturns and adverse industry conditions and our flexibility to plan for, or react to, changes in our business or industry is more limited;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capitalize on business opportunities and to react to competitive pressures, as compared to our competitors, may be compromised due to our level of debt;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borrow additional funds or to refinance debt may be limited.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all of our debt under our 2022 Credit Facility bears interest at variable rates, which may increase from time to time, for example, we experienced such an increase during the nine months ended September 30, 2023. If these rates were to increase significantly, whether because of an increase in market interest rates or a decrease in our creditworthiness, our ability to borrow additional funds may be reduced and the risks related to our substantial debt would intensify.</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Restrictions imposed by our outstanding indebtedness and any future indebtedness may limit our ability to operate our business, execute our growth strategy, and finance our future operations or capital needs or engage in other business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covenants under our 2022 Credit Facility restrict our ability, among other things, to:</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incur additional debt;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grant liens on assets;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sell or dispose of assets;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merge with or acquire other companies, or make other investments;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enter into sale and leaseback transactions and swap agreements;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liquidate or dissolve ourselves;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engage in businesses that are not in a related line of business;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pay dividends or make other distributions.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3220"/>
                <wp:effectExtent l="0" t="0" r="0" b="0"/>
                <wp:wrapNone/>
                <wp:docPr id="288" name="Frame9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0" descr=""/>
                                          <pic:cNvPicPr>
                                            <a:picLocks noChangeAspect="1" noChangeArrowheads="1"/>
                                          </pic:cNvPicPr>
                                        </pic:nvPicPr>
                                        <pic:blipFill>
                                          <a:blip r:embed="rId1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0" descr=""/>
                                    <pic:cNvPicPr>
                                      <a:picLocks noChangeAspect="1" noChangeArrowheads="1"/>
                                    </pic:cNvPicPr>
                                  </pic:nvPicPr>
                                  <pic:blipFill>
                                    <a:blip r:embed="rId1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and our subsidiaries may not have sufficient assets to repay such indebtedness. Any acceleration of amounts due under our 2022 Credit Facility or the exercise by the applicable lenders of their rights and remedies would likely have a material adverse effect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result of these restrictions, we may be: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limited in how we conduct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unable to raise additional debt or equity financing to operate during general economic or business downturns; or</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unable to compete effectively or to take advantage of new business opportunities.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restrictions may affect our ability to grow in accordance with our strategy.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pStyle w:val="TextBody"/>
        <w:bidi w:val="0"/>
        <w:spacing w:lineRule="auto" w:line="276" w:before="0" w:after="180"/>
        <w:jc w:val="both"/>
        <w:rPr>
          <w:rFonts w:ascii="Arial;sans-serif" w:hAnsi="Arial;sans-serif"/>
          <w:b/>
          <w:i/>
          <w:color w:val="006098"/>
          <w:sz w:val="20"/>
        </w:rPr>
      </w:pPr>
      <w:r>
        <w:rPr>
          <w:rFonts w:ascii="Arial;sans-serif" w:hAnsi="Arial;sans-serif"/>
          <w:b/>
          <w:i/>
          <w:color w:val="006098"/>
          <w:sz w:val="20"/>
        </w:rPr>
        <w:t>We are vulnerable to interest rate risk with respect to our debt, and swap agreements entered into to manage such risk may not effectively limit our exposure.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connection with the audit of our consolidated financial statements as of and for the year ended December 31, 2022, our management and auditors determined that material weaknesses existed in the internal control over financial reporting because we do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we fail to remediate our existing material weaknesses or identify new material weaknesses in our internal control over financial reporting, if we are unable to comply with the requirements of Section 404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3220"/>
                <wp:effectExtent l="0" t="0" r="0" b="0"/>
                <wp:wrapNone/>
                <wp:docPr id="291" name="Frame9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1" descr=""/>
                                          <pic:cNvPicPr>
                                            <a:picLocks noChangeAspect="1" noChangeArrowheads="1"/>
                                          </pic:cNvPicPr>
                                        </pic:nvPicPr>
                                        <pic:blipFill>
                                          <a:blip r:embed="rId1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1" descr=""/>
                                    <pic:cNvPicPr>
                                      <a:picLocks noChangeAspect="1" noChangeArrowheads="1"/>
                                    </pic:cNvPicPr>
                                  </pic:nvPicPr>
                                  <pic:blipFill>
                                    <a:blip r:embed="rId1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Sarbanes-Oxley Act in a timely manner,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3220"/>
                <wp:effectExtent l="0" t="0" r="0" b="0"/>
                <wp:wrapNone/>
                <wp:docPr id="294" name="Frame9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2" descr=""/>
                                          <pic:cNvPicPr>
                                            <a:picLocks noChangeAspect="1" noChangeArrowheads="1"/>
                                          </pic:cNvPicPr>
                                        </pic:nvPicPr>
                                        <pic:blipFill>
                                          <a:blip r:embed="rId1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02" descr=""/>
                                    <pic:cNvPicPr>
                                      <a:picLocks noChangeAspect="1" noChangeArrowheads="1"/>
                                    </pic:cNvPicPr>
                                  </pic:nvPicPr>
                                  <pic:blipFill>
                                    <a:blip r:embed="rId1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effectiveness of our internal control over financial reporting in compliance with the SEC rules that implement Section 404 of the Sarbanes-Oxley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may need additional capital, and we cannot be sure that additional financing will be available.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Historically, we have financed our operations and capital expenditures primarily through sales of OpCo Units that are convertible into our capital stock and debt financing.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3220"/>
                <wp:effectExtent l="0" t="0" r="0" b="0"/>
                <wp:wrapNone/>
                <wp:docPr id="297" name="Frame9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3" descr=""/>
                                          <pic:cNvPicPr>
                                            <a:picLocks noChangeAspect="1" noChangeArrowheads="1"/>
                                          </pic:cNvPicPr>
                                        </pic:nvPicPr>
                                        <pic:blipFill>
                                          <a:blip r:embed="rId2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 descr=""/>
                                    <pic:cNvPicPr>
                                      <a:picLocks noChangeAspect="1" noChangeArrowheads="1"/>
                                    </pic:cNvPicPr>
                                  </pic:nvPicPr>
                                  <pic:blipFill>
                                    <a:blip r:embed="rId2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derivative claim or cause of action brought on our behalf;</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for a breach of fiduciary duty owed by any of our current or former directors, officers, or other employees to us or our stockholders;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as to which the Delaware General Corporation Law confers jurisdiction to the Court of Chancery of the State of Delaware;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governed by the internal-affairs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3220"/>
                <wp:effectExtent l="0" t="0" r="0" b="0"/>
                <wp:wrapNone/>
                <wp:docPr id="300" name="Frame10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4" descr=""/>
                                          <pic:cNvPicPr>
                                            <a:picLocks noChangeAspect="1" noChangeArrowheads="1"/>
                                          </pic:cNvPicPr>
                                        </pic:nvPicPr>
                                        <pic:blipFill>
                                          <a:blip r:embed="rId20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4" descr=""/>
                                    <pic:cNvPicPr>
                                      <a:picLocks noChangeAspect="1" noChangeArrowheads="1"/>
                                    </pic:cNvPicPr>
                                  </pic:nvPicPr>
                                  <pic:blipFill>
                                    <a:blip r:embed="rId20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98</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Provisions in our corporate charter documents and under Delaware law may prevent or frustrate attempts by our stockholders to change our management or hinder efforts to acquire a controlling interest in us, and the market price of our Class A common stock may be lower as a result.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charter documents also contain other provisions that could have an anti-takeover effect, such as: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permitting the board of directors to establish the number of directors and fill any vacancies and newly created directorships;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providing that directors may only be removed pursuant to the provisions of Section 141(k) of the Delaware General Corporation Law;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prohibiting cumulative voting for directors;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the ability of the holders of our Class C common stock, voting as a separate class, to elect up to two directors, subject to the limitations set forth in our amended and restated certificate;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requiring super-majority voting to amend some provisions in our amended and restated bylaws;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authorizing the issuance of “blank check” preferred stock that our board of directors could use to implement a stockholder rights plan;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eliminating the ability of stockholders to call special meetings of stockholders;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multi-class common stock structure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3220"/>
                <wp:effectExtent l="0" t="0" r="0" b="0"/>
                <wp:wrapNone/>
                <wp:docPr id="303" name="Frame10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5" descr=""/>
                                          <pic:cNvPicPr>
                                            <a:picLocks noChangeAspect="1" noChangeArrowheads="1"/>
                                          </pic:cNvPicPr>
                                        </pic:nvPicPr>
                                        <pic:blipFill>
                                          <a:blip r:embed="rId2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5" descr=""/>
                                    <pic:cNvPicPr>
                                      <a:picLocks noChangeAspect="1" noChangeArrowheads="1"/>
                                    </pic:cNvPicPr>
                                  </pic:nvPicPr>
                                  <pic:blipFill>
                                    <a:blip r:embed="rId20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99</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*Catastrophic events may disrupt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Labor discord or disruption, geopolitical events, social unrest, war, including repercussions of the recent war between Russia and Ukraine and the war between Israel and Hamas,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extreme weather conditions in other areas in which we operate, such as hurricanes and flooding in Texas, water scarcity or drought in California and other states, and the COVID-19 pandemic,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Economic and business factors that are largely beyond our control may adversely affect consumer behavior and the results of our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A significant decrease in our customer traffic or average value per transaction without a corresponding decrease in costs would put downward pressure on margins and would negatively impact our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UNREGISTERED SALES OF EQUITY SECURITIES AND USE OF PROCEEDS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3220"/>
                <wp:effectExtent l="0" t="0" r="0" b="0"/>
                <wp:wrapNone/>
                <wp:docPr id="306" name="Frame10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6" descr=""/>
                                          <pic:cNvPicPr>
                                            <a:picLocks noChangeAspect="1" noChangeArrowheads="1"/>
                                          </pic:cNvPicPr>
                                        </pic:nvPicPr>
                                        <pic:blipFill>
                                          <a:blip r:embed="rId20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06" descr=""/>
                                    <pic:cNvPicPr>
                                      <a:picLocks noChangeAspect="1" noChangeArrowheads="1"/>
                                    </pic:cNvPicPr>
                                  </pic:nvPicPr>
                                  <pic:blipFill>
                                    <a:blip r:embed="rId20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100</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DEFAULTS UPON SENIOR SECURITIES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4. MINE SAFETY DISCLOSURES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Rule 10b5-1 Trading Arrangements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our last fiscal quarter, entities controlled by our Co-Founder adopted a Rule 10b5-1 trading arrangement (the Trading Plan), providing for the sale of up to 6,472,456 shares of our Class A common stock upon the exchange of Class A common units of Dutch Bros OpCo and corresponding Class B common stock pursuant to the terms of the Third Amended and Restated Limited Liability Company Agreement of Dutch Bros OpCo. The Trading Plan’s expiration date is November 13, 2024. The Trading Plan is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3220"/>
                <wp:effectExtent l="0" t="0" r="0" b="0"/>
                <wp:wrapNone/>
                <wp:docPr id="309" name="Frame10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7" descr=""/>
                                          <pic:cNvPicPr>
                                            <a:picLocks noChangeAspect="1" noChangeArrowheads="1"/>
                                          </pic:cNvPicPr>
                                        </pic:nvPicPr>
                                        <pic:blipFill>
                                          <a:blip r:embed="rId20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7" descr=""/>
                                    <pic:cNvPicPr>
                                      <a:picLocks noChangeAspect="1" noChangeArrowheads="1"/>
                                    </pic:cNvPicPr>
                                  </pic:nvPicPr>
                                  <pic:blipFill>
                                    <a:blip r:embed="rId20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101</w:t>
                      </w:r>
                    </w:p>
                  </w:txbxContent>
                </v:textbox>
                <w10:wrap type="none"/>
              </v:rect>
            </w:pict>
          </mc:Fallback>
        </mc:AlternateContent>
      </w:r>
    </w:p>
    <w:p>
      <w:pPr>
        <w:pStyle w:val="TextBody"/>
        <w:bidi w:val="0"/>
        <w:spacing w:lineRule="auto" w:line="288" w:before="0" w:after="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0"/>
        <w:jc w:val="left"/>
        <w:rPr>
          <w:rFonts w:ascii="Arial;sans-serif" w:hAnsi="Arial;sans-serif"/>
          <w:b/>
          <w:color w:val="D7282F"/>
          <w:sz w:val="28"/>
        </w:rPr>
      </w:pPr>
      <w:r>
        <w:rPr>
          <w:rFonts w:ascii="Arial;sans-serif" w:hAnsi="Arial;sans-serif"/>
          <w:b/>
          <w:color w:val="D7282F"/>
          <w:sz w:val="28"/>
        </w:rPr>
        <w:t>ITEM 6. EXHIBITS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1502"/>
        <w:gridCol w:w="1290"/>
        <w:gridCol w:w="1303"/>
        <w:gridCol w:w="110"/>
        <w:gridCol w:w="110"/>
        <w:gridCol w:w="110"/>
        <w:gridCol w:w="176"/>
        <w:gridCol w:w="176"/>
        <w:gridCol w:w="177"/>
        <w:gridCol w:w="338"/>
        <w:gridCol w:w="254"/>
        <w:gridCol w:w="187"/>
        <w:gridCol w:w="220"/>
        <w:gridCol w:w="220"/>
        <w:gridCol w:w="221"/>
        <w:gridCol w:w="110"/>
        <w:gridCol w:w="110"/>
        <w:gridCol w:w="110"/>
        <w:gridCol w:w="363"/>
        <w:gridCol w:w="363"/>
        <w:gridCol w:w="367"/>
        <w:gridCol w:w="109"/>
        <w:gridCol w:w="109"/>
        <w:gridCol w:w="109"/>
        <w:gridCol w:w="264"/>
        <w:gridCol w:w="264"/>
        <w:gridCol w:w="38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Description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2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180"/>
              <w:jc w:val="left"/>
              <w:rPr/>
            </w:pPr>
            <w:hyperlink r:id="rId210">
              <w:r>
                <w:rPr>
                  <w:rStyle w:val="InternetLink"/>
                  <w:rFonts w:ascii="Arial;sans-serif" w:hAnsi="Arial;sans-serif"/>
                  <w:b w:val="false"/>
                  <w:color w:val="0000FF"/>
                  <w:sz w:val="18"/>
                  <w:u w:val="single"/>
                </w:rPr>
                <w:t>Amended and Restated Certificate of Incorporation of Registrant</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7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hyperlink r:id="rId211">
              <w:r>
                <w:rPr>
                  <w:rStyle w:val="InternetLink"/>
                  <w:rFonts w:ascii="Arial;sans-serif" w:hAnsi="Arial;sans-serif"/>
                  <w:b w:val="false"/>
                  <w:color w:val="0000FF"/>
                  <w:sz w:val="18"/>
                  <w:u w:val="single"/>
                </w:rPr>
                <w:t>Amended and Restated Bylaws of Registrant</w:t>
              </w:r>
            </w:hyperlink>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hyperlink r:id="rId212">
              <w:r>
                <w:rPr>
                  <w:rStyle w:val="InternetLink"/>
                  <w:rFonts w:ascii="Arial;sans-serif" w:hAnsi="Arial;sans-serif"/>
                  <w:b w:val="false"/>
                  <w:color w:val="0000FF"/>
                  <w:sz w:val="18"/>
                  <w:u w:val="single"/>
                </w:rPr>
                <w:t>Form of Common Stock Certificate</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hyperlink r:id="rId213">
              <w:r>
                <w:rPr>
                  <w:rStyle w:val="InternetLink"/>
                  <w:rFonts w:ascii="Arial;sans-serif" w:hAnsi="Arial;sans-serif"/>
                  <w:b w:val="false"/>
                  <w:color w:val="000080"/>
                  <w:sz w:val="18"/>
                  <w:u w:val="single"/>
                </w:rPr>
                <w:t>Amendment No. 1 to Credit Agree</w:t>
              </w:r>
            </w:hyperlink>
            <w:hyperlink r:id="rId214">
              <w:r>
                <w:rPr>
                  <w:rStyle w:val="InternetLink"/>
                  <w:rFonts w:ascii="Arial;sans-serif" w:hAnsi="Arial;sans-serif"/>
                  <w:b w:val="false"/>
                  <w:color w:val="000080"/>
                  <w:sz w:val="18"/>
                  <w:u w:val="single"/>
                </w:rPr>
                <w:t xml:space="preserve">ment, dated August 4, 2023, by and among Dutch Bros., LLC, DB Management Co., DB Franchising USA, LLC, Boersma Bros. LLC, the other Loan Parties party thereto, the financial institutions party thereto, and J.P. Morgan Chase </w:t>
              </w:r>
            </w:hyperlink>
            <w:hyperlink r:id="rId215">
              <w:r>
                <w:rPr>
                  <w:rStyle w:val="InternetLink"/>
                  <w:rFonts w:ascii="Arial;sans-serif" w:hAnsi="Arial;sans-serif"/>
                  <w:b w:val="false"/>
                  <w:color w:val="000080"/>
                  <w:sz w:val="18"/>
                  <w:u w:val="single"/>
                </w:rPr>
                <w:t xml:space="preserve">Bank, N.A. as </w:t>
              </w:r>
            </w:hyperlink>
            <w:hyperlink r:id="rId216">
              <w:r>
                <w:rPr>
                  <w:rStyle w:val="InternetLink"/>
                  <w:rFonts w:ascii="Arial;sans-serif" w:hAnsi="Arial;sans-serif"/>
                  <w:b w:val="false"/>
                  <w:color w:val="000080"/>
                  <w:sz w:val="18"/>
                  <w:u w:val="single"/>
                </w:rPr>
                <w:t>Administrative Agent</w:t>
              </w:r>
            </w:hyperlink>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8-K</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hyperlink w:anchor="exh311-2023q3.htm">
              <w:r>
                <w:rPr>
                  <w:rStyle w:val="InternetLink"/>
                  <w:rFonts w:ascii="Arial;sans-serif" w:hAnsi="Arial;sans-serif"/>
                  <w:b w:val="false"/>
                  <w:color w:val="0000FF"/>
                  <w:sz w:val="18"/>
                  <w:u w:val="single"/>
                </w:rPr>
                <w:t>Certification of Chief Executive Officer Pursuant to Rules 13a-14(a) and 15d-14(a) of the Securities Exchange Act of 1934, as Adopted Pursuant to Section 302 of the Sarbanes-Oxley Act of 2002</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hyperlink w:anchor="exh312-2023q3.htm">
              <w:r>
                <w:rPr>
                  <w:rStyle w:val="InternetLink"/>
                  <w:rFonts w:ascii="Arial;sans-serif" w:hAnsi="Arial;sans-serif"/>
                  <w:b w:val="false"/>
                  <w:color w:val="0000FF"/>
                  <w:sz w:val="18"/>
                  <w:u w:val="single"/>
                </w:rPr>
                <w:t>Certification of Chief Financial Officer Pursuant to Rules 13a-14(a) and 15d-14(a) of the Securities Exchange Act of 1934, as Adopted Pursuant to Section 302 of the Sarbanes-Oxley Act of 2002</w:t>
              </w:r>
            </w:hyperlink>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left"/>
              <w:rPr/>
            </w:pPr>
            <w:hyperlink w:anchor="exh321-2023q3.htm">
              <w:r>
                <w:rPr>
                  <w:rStyle w:val="InternetLink"/>
                  <w:rFonts w:ascii="Arial;sans-serif" w:hAnsi="Arial;sans-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bidi w:val="0"/>
        <w:spacing w:lineRule="auto" w:line="288" w:before="0" w:after="180"/>
        <w:jc w:val="left"/>
        <w:rPr>
          <w:rFonts w:ascii="Arial;sans-serif" w:hAnsi="Arial;sans-serif"/>
          <w:b w:val="false"/>
          <w:color w:val="131E29"/>
          <w:sz w:val="16"/>
        </w:rPr>
      </w:pPr>
      <w:r>
        <w:rPr>
          <w:rFonts w:ascii="Arial;sans-serif" w:hAnsi="Arial;sans-serif"/>
          <w:b w:val="false"/>
          <w:color w:val="131E29"/>
          <w:sz w:val="16"/>
        </w:rPr>
        <w:t>_______________________</w:t>
      </w:r>
    </w:p>
    <w:p>
      <w:pPr>
        <w:pStyle w:val="TextBody"/>
        <w:bidi w:val="0"/>
        <w:spacing w:lineRule="auto" w:line="288" w:before="0" w:after="18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3220"/>
                <wp:effectExtent l="0" t="0" r="0" b="0"/>
                <wp:wrapNone/>
                <wp:docPr id="312" name="Frame10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3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8" descr=""/>
                                          <pic:cNvPicPr>
                                            <a:picLocks noChangeAspect="1" noChangeArrowheads="1"/>
                                          </pic:cNvPicPr>
                                        </pic:nvPicPr>
                                        <pic:blipFill>
                                          <a:blip r:embed="rId2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3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8" descr=""/>
                                    <pic:cNvPicPr>
                                      <a:picLocks noChangeAspect="1" noChangeArrowheads="1"/>
                                    </pic:cNvPicPr>
                                  </pic:nvPicPr>
                                  <pic:blipFill>
                                    <a:blip r:embed="rId2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102</w:t>
                      </w:r>
                    </w:p>
                  </w:txbxContent>
                </v:textbox>
                <w10:wrap type="none"/>
              </v:rect>
            </w:pict>
          </mc:Fallback>
        </mc:AlternateContent>
      </w:r>
    </w:p>
    <w:p>
      <w:pPr>
        <w:pStyle w:val="TextBody"/>
        <w:bidi w:val="0"/>
        <w:spacing w:lineRule="auto" w:line="288" w:before="0" w:after="180"/>
        <w:jc w:val="left"/>
        <w:rPr/>
      </w:pPr>
      <w:hyperlink w:anchor="idd3840a2c137407b91ae21c7e1036bf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824"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291"/>
        <w:gridCol w:w="291"/>
        <w:gridCol w:w="291"/>
        <w:gridCol w:w="1139"/>
        <w:gridCol w:w="1139"/>
        <w:gridCol w:w="163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(Registrant)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 Jonathan Ricci</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Jonathan Ricci</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Chief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 Charles L. Jemley</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Charles L. Jemley</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131E29"/>
                <w:sz w:val="20"/>
              </w:rPr>
            </w:pPr>
            <w:r>
              <w:rPr>
                <w:rFonts w:ascii="Arial;sans-serif" w:hAnsi="Arial;sans-serif"/>
                <w:b w:val="false"/>
                <w:i/>
                <w:color w:val="131E29"/>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3220"/>
                <wp:effectExtent l="0" t="0" r="0" b="0"/>
                <wp:wrapNone/>
                <wp:docPr id="315" name="Frame10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9" descr=""/>
                                          <pic:cNvPicPr>
                                            <a:picLocks noChangeAspect="1" noChangeArrowheads="1"/>
                                          </pic:cNvPicPr>
                                        </pic:nvPicPr>
                                        <pic:blipFill>
                                          <a:blip r:embed="rId2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9" descr=""/>
                                    <pic:cNvPicPr>
                                      <a:picLocks noChangeAspect="1" noChangeArrowheads="1"/>
                                    </pic:cNvPicPr>
                                  </pic:nvPicPr>
                                  <pic:blipFill>
                                    <a:blip r:embed="rId2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103</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Jonathan Ricci, certify that: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September 30, 2023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95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758"/>
        <w:gridCol w:w="758"/>
        <w:gridCol w:w="1079"/>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 Jonathan Ricci</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Jonathan Ricci</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3220"/>
                <wp:effectExtent l="0" t="0" r="0" b="0"/>
                <wp:wrapNone/>
                <wp:docPr id="318" name="Frame10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0" descr=""/>
                                          <pic:cNvPicPr>
                                            <a:picLocks noChangeAspect="1" noChangeArrowheads="1"/>
                                          </pic:cNvPicPr>
                                        </pic:nvPicPr>
                                        <pic:blipFill>
                                          <a:blip r:embed="rId2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0" descr=""/>
                                    <pic:cNvPicPr>
                                      <a:picLocks noChangeAspect="1" noChangeArrowheads="1"/>
                                    </pic:cNvPicPr>
                                  </pic:nvPicPr>
                                  <pic:blipFill>
                                    <a:blip r:embed="rId2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 Charles L. Jemley,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September 30, 2023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278"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1143"/>
        <w:gridCol w:w="1143"/>
        <w:gridCol w:w="162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 Charles L. Jemley</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L. Jemley</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32.1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3220"/>
                <wp:effectExtent l="0" t="0" r="0" b="0"/>
                <wp:wrapNone/>
                <wp:docPr id="321" name="Frame10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1" descr=""/>
                                          <pic:cNvPicPr>
                                            <a:picLocks noChangeAspect="1" noChangeArrowheads="1"/>
                                          </pic:cNvPicPr>
                                        </pic:nvPicPr>
                                        <pic:blipFill>
                                          <a:blip r:embed="rId2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1" descr=""/>
                                    <pic:cNvPicPr>
                                      <a:picLocks noChangeAspect="1" noChangeArrowheads="1"/>
                                    </pic:cNvPicPr>
                                  </pic:nvPicPr>
                                  <pic:blipFill>
                                    <a:blip r:embed="rId2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31.2</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September 30, 2023, as filed with the Securities and Exchange Commission on the date of the signatures below (the Report), Jonathan Ricci, Chief Executive Officer of the Company, and Charles L. Jemley, Chief Financial Officer of the Company, each hereby certifies, pursuant to 18 U.S.C. Section 1350, as adopted pursuant to Section 906 of the Sarbanes-Oxley Act of 2002, that, to the best of their respective knowledge: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6278"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1143"/>
        <w:gridCol w:w="1143"/>
        <w:gridCol w:w="162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 Jonathan Ricci</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Jonathan Ricci</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 Charles L. Jemley</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L. Jemley</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3220"/>
                <wp:effectExtent l="0" t="0" r="0" b="0"/>
                <wp:wrapNone/>
                <wp:docPr id="324" name="Frame10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2" descr=""/>
                                          <pic:cNvPicPr>
                                            <a:picLocks noChangeAspect="1" noChangeArrowheads="1"/>
                                          </pic:cNvPicPr>
                                        </pic:nvPicPr>
                                        <pic:blipFill>
                                          <a:blip r:embed="rId2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2" descr=""/>
                                    <pic:cNvPicPr>
                                      <a:picLocks noChangeAspect="1" noChangeArrowheads="1"/>
                                    </pic:cNvPicPr>
                                  </pic:nvPicPr>
                                  <pic:blipFill>
                                    <a:blip r:embed="rId2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3.jpeg"/><Relationship Id="rId71" Type="http://schemas.openxmlformats.org/officeDocument/2006/relationships/image" Target="media/image4.jpeg"/><Relationship Id="rId72" Type="http://schemas.openxmlformats.org/officeDocument/2006/relationships/image" Target="media/image5.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6.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image" Target="media/image2.jpeg"/><Relationship Id="rId174" Type="http://schemas.openxmlformats.org/officeDocument/2006/relationships/image" Target="media/image2.jpeg"/><Relationship Id="rId175" Type="http://schemas.openxmlformats.org/officeDocument/2006/relationships/image" Target="media/image2.jpeg"/><Relationship Id="rId176" Type="http://schemas.openxmlformats.org/officeDocument/2006/relationships/image" Target="media/image2.jpeg"/><Relationship Id="rId177" Type="http://schemas.openxmlformats.org/officeDocument/2006/relationships/image" Target="media/image2.jpeg"/><Relationship Id="rId178" Type="http://schemas.openxmlformats.org/officeDocument/2006/relationships/image" Target="media/image2.jpeg"/><Relationship Id="rId179" Type="http://schemas.openxmlformats.org/officeDocument/2006/relationships/image" Target="media/image2.jpeg"/><Relationship Id="rId180" Type="http://schemas.openxmlformats.org/officeDocument/2006/relationships/image" Target="media/image2.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2.jpeg"/><Relationship Id="rId184" Type="http://schemas.openxmlformats.org/officeDocument/2006/relationships/image" Target="media/image2.jpeg"/><Relationship Id="rId185" Type="http://schemas.openxmlformats.org/officeDocument/2006/relationships/image" Target="media/image2.jpeg"/><Relationship Id="rId186" Type="http://schemas.openxmlformats.org/officeDocument/2006/relationships/image" Target="media/image2.jpeg"/><Relationship Id="rId187" Type="http://schemas.openxmlformats.org/officeDocument/2006/relationships/image" Target="media/image2.jpeg"/><Relationship Id="rId188" Type="http://schemas.openxmlformats.org/officeDocument/2006/relationships/image" Target="media/image2.jpeg"/><Relationship Id="rId189" Type="http://schemas.openxmlformats.org/officeDocument/2006/relationships/image" Target="media/image2.jpeg"/><Relationship Id="rId190" Type="http://schemas.openxmlformats.org/officeDocument/2006/relationships/image" Target="media/image2.jpeg"/><Relationship Id="rId191" Type="http://schemas.openxmlformats.org/officeDocument/2006/relationships/image" Target="media/image2.jpeg"/><Relationship Id="rId192" Type="http://schemas.openxmlformats.org/officeDocument/2006/relationships/image" Target="media/image2.jpeg"/><Relationship Id="rId193" Type="http://schemas.openxmlformats.org/officeDocument/2006/relationships/image" Target="media/image2.jpeg"/><Relationship Id="rId194" Type="http://schemas.openxmlformats.org/officeDocument/2006/relationships/image" Target="media/image2.jpeg"/><Relationship Id="rId195" Type="http://schemas.openxmlformats.org/officeDocument/2006/relationships/image" Target="media/image2.jpeg"/><Relationship Id="rId196" Type="http://schemas.openxmlformats.org/officeDocument/2006/relationships/image" Target="media/image2.jpeg"/><Relationship Id="rId197" Type="http://schemas.openxmlformats.org/officeDocument/2006/relationships/image" Target="media/image2.jpeg"/><Relationship Id="rId198" Type="http://schemas.openxmlformats.org/officeDocument/2006/relationships/image" Target="media/image2.jpeg"/><Relationship Id="rId199" Type="http://schemas.openxmlformats.org/officeDocument/2006/relationships/image" Target="media/image2.jpeg"/><Relationship Id="rId200" Type="http://schemas.openxmlformats.org/officeDocument/2006/relationships/image" Target="media/image2.jpeg"/><Relationship Id="rId201" Type="http://schemas.openxmlformats.org/officeDocument/2006/relationships/image" Target="media/image2.jpeg"/><Relationship Id="rId202" Type="http://schemas.openxmlformats.org/officeDocument/2006/relationships/image" Target="media/image2.jpeg"/><Relationship Id="rId203" Type="http://schemas.openxmlformats.org/officeDocument/2006/relationships/image" Target="media/image2.jpeg"/><Relationship Id="rId204" Type="http://schemas.openxmlformats.org/officeDocument/2006/relationships/image" Target="media/image2.jpeg"/><Relationship Id="rId205" Type="http://schemas.openxmlformats.org/officeDocument/2006/relationships/image" Target="media/image2.jpeg"/><Relationship Id="rId206" Type="http://schemas.openxmlformats.org/officeDocument/2006/relationships/image" Target="media/image2.jpeg"/><Relationship Id="rId207" Type="http://schemas.openxmlformats.org/officeDocument/2006/relationships/image" Target="media/image2.jpeg"/><Relationship Id="rId208" Type="http://schemas.openxmlformats.org/officeDocument/2006/relationships/image" Target="media/image2.jpeg"/><Relationship Id="rId209" Type="http://schemas.openxmlformats.org/officeDocument/2006/relationships/image" Target="media/image2.jpeg"/><Relationship Id="rId210" Type="http://schemas.openxmlformats.org/officeDocument/2006/relationships/hyperlink" Target="https://www.sec.gov/Archives/edgar/data/0001866581/000162828021018861/exhibit31-8xk.htm" TargetMode="External"/><Relationship Id="rId211" Type="http://schemas.openxmlformats.org/officeDocument/2006/relationships/hyperlink" Target="https://www.sec.gov/Archives/edgar/data/1866581/000162828021017441/exhibit34-sx1.htm" TargetMode="External"/><Relationship Id="rId212" Type="http://schemas.openxmlformats.org/officeDocument/2006/relationships/hyperlink" Target="http://www.sec.gov/Archives/edgar/data/0001866581/000162828021018116/exhibit41.htm" TargetMode="External"/><Relationship Id="rId213" Type="http://schemas.openxmlformats.org/officeDocument/2006/relationships/hyperlink" Target="https://www.sec.gov/Archives/edgar/data/1866581/000186658123000108/a2023-08x04amendmentno1t.htm" TargetMode="External"/><Relationship Id="rId214" Type="http://schemas.openxmlformats.org/officeDocument/2006/relationships/hyperlink" Target="https://www.sec.gov/Archives/edgar/data/1866581/000186658123000108/a2023-08x04amendmentno1t.htm" TargetMode="External"/><Relationship Id="rId215" Type="http://schemas.openxmlformats.org/officeDocument/2006/relationships/hyperlink" Target="https://www.sec.gov/Archives/edgar/data/1866581/000186658123000108/a2023-08x04amendmentno1t.htm" TargetMode="External"/><Relationship Id="rId216" Type="http://schemas.openxmlformats.org/officeDocument/2006/relationships/hyperlink" Target="https://www.sec.gov/Archives/edgar/data/1866581/000186658123000108/a2023-08x04amendmentno1t.htm" TargetMode="External"/><Relationship Id="rId217" Type="http://schemas.openxmlformats.org/officeDocument/2006/relationships/image" Target="media/image2.jpeg"/><Relationship Id="rId218" Type="http://schemas.openxmlformats.org/officeDocument/2006/relationships/image" Target="media/image2.jpeg"/><Relationship Id="rId219" Type="http://schemas.openxmlformats.org/officeDocument/2006/relationships/image" Target="media/image2.jpeg"/><Relationship Id="rId220" Type="http://schemas.openxmlformats.org/officeDocument/2006/relationships/image" Target="media/image2.jpeg"/><Relationship Id="rId221" Type="http://schemas.openxmlformats.org/officeDocument/2006/relationships/image" Target="media/image2.jpeg"/><Relationship Id="rId222" Type="http://schemas.openxmlformats.org/officeDocument/2006/relationships/image" Target="media/image2.jpeg"/><Relationship Id="rId223" Type="http://schemas.openxmlformats.org/officeDocument/2006/relationships/image" Target="media/image2.jpeg"/><Relationship Id="rId224" Type="http://schemas.openxmlformats.org/officeDocument/2006/relationships/image" Target="media/image2.jpeg"/><Relationship Id="rId225" Type="http://schemas.openxmlformats.org/officeDocument/2006/relationships/image" Target="media/image2.jpeg"/><Relationship Id="rId226" Type="http://schemas.openxmlformats.org/officeDocument/2006/relationships/image" Target="media/image2.jpeg"/><Relationship Id="rId227" Type="http://schemas.openxmlformats.org/officeDocument/2006/relationships/fontTable" Target="fontTable.xml"/><Relationship Id="rId2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51300</Words>
  <Characters>280397</Characters>
  <CharactersWithSpaces>329158</CharactersWithSpaces>
  <Paragraphs>5203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