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001-40798</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DUTCH BROS INC.</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3" w:lineRule="exact"/>
        <w:rPr>
          <w:sz w:val="24"/>
          <w:szCs w:val="24"/>
          <w:color w:val="auto"/>
        </w:rPr>
      </w:pPr>
    </w:p>
    <w:tbl>
      <w:tblPr>
        <w:tblLayout w:type="fixed"/>
        <w:tblInd w:w="2460" w:type="dxa"/>
        <w:tblCellMar>
          <w:top w:w="0" w:type="dxa"/>
          <w:left w:w="0" w:type="dxa"/>
          <w:bottom w:w="0" w:type="dxa"/>
          <w:right w:w="0" w:type="dxa"/>
        </w:tblCellMar>
      </w:tblPr>
      <w:tr>
        <w:trPr>
          <w:trHeight w:val="239"/>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200" w:type="dxa"/>
            <w:vAlign w:val="bottom"/>
            <w:vMerge w:val="restart"/>
          </w:tcPr>
          <w:p>
            <w:pPr>
              <w:jc w:val="right"/>
              <w:ind w:right="537"/>
              <w:spacing w:after="0"/>
              <w:rPr>
                <w:sz w:val="20"/>
                <w:szCs w:val="20"/>
                <w:color w:val="auto"/>
              </w:rPr>
            </w:pPr>
            <w:r>
              <w:rPr>
                <w:rFonts w:ascii="Arial" w:cs="Arial" w:eastAsia="Arial" w:hAnsi="Arial"/>
                <w:sz w:val="18"/>
                <w:szCs w:val="18"/>
                <w:b w:val="1"/>
                <w:bCs w:val="1"/>
                <w:color w:val="auto"/>
              </w:rPr>
              <w:t>87-1041305</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4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spacing w:after="0"/>
              <w:rPr>
                <w:sz w:val="20"/>
                <w:szCs w:val="20"/>
                <w:color w:val="auto"/>
              </w:rPr>
            </w:pPr>
            <w:r>
              <w:rPr>
                <w:rFonts w:ascii="Arial" w:cs="Arial" w:eastAsia="Arial" w:hAnsi="Arial"/>
                <w:sz w:val="14"/>
                <w:szCs w:val="14"/>
                <w:color w:val="auto"/>
              </w:rPr>
              <w:t>(State or other jurisdiction of</w:t>
            </w:r>
          </w:p>
        </w:tc>
        <w:tc>
          <w:tcPr>
            <w:tcW w:w="4200" w:type="dxa"/>
            <w:vAlign w:val="bottom"/>
          </w:tcPr>
          <w:p>
            <w:pPr>
              <w:jc w:val="center"/>
              <w:ind w:left="1897"/>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172"/>
        </w:trPr>
        <w:tc>
          <w:tcPr>
            <w:tcW w:w="254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110 SW 4th Street</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40" w:type="dxa"/>
            <w:vAlign w:val="bottom"/>
          </w:tcPr>
          <w:p>
            <w:pPr>
              <w:ind w:left="260"/>
              <w:spacing w:after="0"/>
              <w:rPr>
                <w:sz w:val="20"/>
                <w:szCs w:val="20"/>
                <w:color w:val="auto"/>
              </w:rPr>
            </w:pPr>
            <w:r>
              <w:rPr>
                <w:rFonts w:ascii="Arial" w:cs="Arial" w:eastAsia="Arial" w:hAnsi="Arial"/>
                <w:sz w:val="18"/>
                <w:szCs w:val="18"/>
                <w:b w:val="1"/>
                <w:bCs w:val="1"/>
                <w:color w:val="auto"/>
              </w:rPr>
              <w:t>Grants Pass, Oregon</w:t>
            </w:r>
          </w:p>
        </w:tc>
        <w:tc>
          <w:tcPr>
            <w:tcW w:w="4200" w:type="dxa"/>
            <w:vAlign w:val="bottom"/>
          </w:tcPr>
          <w:p>
            <w:pPr>
              <w:jc w:val="right"/>
              <w:ind w:right="777"/>
              <w:spacing w:after="0"/>
              <w:rPr>
                <w:sz w:val="20"/>
                <w:szCs w:val="20"/>
                <w:color w:val="auto"/>
              </w:rPr>
            </w:pPr>
            <w:r>
              <w:rPr>
                <w:rFonts w:ascii="Arial" w:cs="Arial" w:eastAsia="Arial" w:hAnsi="Arial"/>
                <w:sz w:val="18"/>
                <w:szCs w:val="18"/>
                <w:b w:val="1"/>
                <w:bCs w:val="1"/>
                <w:color w:val="auto"/>
              </w:rPr>
              <w:t>97526</w:t>
            </w:r>
          </w:p>
        </w:tc>
        <w:tc>
          <w:tcPr>
            <w:tcW w:w="0" w:type="dxa"/>
            <w:vAlign w:val="bottom"/>
          </w:tcPr>
          <w:p>
            <w:pPr>
              <w:spacing w:after="0"/>
              <w:rPr>
                <w:sz w:val="1"/>
                <w:szCs w:val="1"/>
                <w:color w:val="auto"/>
              </w:rPr>
            </w:pPr>
          </w:p>
        </w:tc>
      </w:tr>
      <w:tr>
        <w:trPr>
          <w:trHeight w:val="204"/>
        </w:trPr>
        <w:tc>
          <w:tcPr>
            <w:tcW w:w="254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4200" w:type="dxa"/>
            <w:vAlign w:val="bottom"/>
          </w:tcPr>
          <w:p>
            <w:pPr>
              <w:jc w:val="center"/>
              <w:ind w:left="1917"/>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71"/>
        </w:trPr>
        <w:tc>
          <w:tcPr>
            <w:tcW w:w="2540" w:type="dxa"/>
            <w:vAlign w:val="bottom"/>
          </w:tcPr>
          <w:p>
            <w:pPr>
              <w:spacing w:after="0"/>
              <w:rPr>
                <w:sz w:val="24"/>
                <w:szCs w:val="24"/>
                <w:color w:val="auto"/>
              </w:rPr>
            </w:pPr>
          </w:p>
        </w:tc>
        <w:tc>
          <w:tcPr>
            <w:tcW w:w="4200" w:type="dxa"/>
            <w:vAlign w:val="bottom"/>
          </w:tcPr>
          <w:p>
            <w:pPr>
              <w:jc w:val="right"/>
              <w:ind w:right="2877"/>
              <w:spacing w:after="0"/>
              <w:rPr>
                <w:sz w:val="20"/>
                <w:szCs w:val="20"/>
                <w:color w:val="auto"/>
              </w:rPr>
            </w:pPr>
            <w:r>
              <w:rPr>
                <w:rFonts w:ascii="Arial" w:cs="Arial" w:eastAsia="Arial" w:hAnsi="Arial"/>
                <w:sz w:val="18"/>
                <w:szCs w:val="18"/>
                <w:b w:val="1"/>
                <w:bCs w:val="1"/>
                <w:color w:val="auto"/>
                <w:w w:val="99"/>
              </w:rPr>
              <w:t>(541) 955-4700</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37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r>
      <w:tr>
        <w:trPr>
          <w:trHeight w:val="21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BROS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The New York Stock Exchange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391"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4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320" w:top="1440" w:right="319" w:bottom="217"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7"/>
        </w:trPr>
        <w:tc>
          <w:tcPr>
            <w:tcW w:w="29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auto"/>
              </w:rPr>
              <w:t>o</w:t>
            </w:r>
          </w:p>
        </w:tc>
        <w:tc>
          <w:tcPr>
            <w:tcW w:w="4300" w:type="dxa"/>
            <w:vAlign w:val="bottom"/>
          </w:tcPr>
          <w:p>
            <w:pPr>
              <w:ind w:left="11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auto"/>
              </w:rPr>
              <w:t>x</w:t>
            </w:r>
          </w:p>
        </w:tc>
        <w:tc>
          <w:tcPr>
            <w:tcW w:w="4300" w:type="dxa"/>
            <w:vAlign w:val="bottom"/>
          </w:tcPr>
          <w:p>
            <w:pPr>
              <w:ind w:left="11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tcPr>
          <w:p>
            <w:pPr>
              <w:ind w:left="1120"/>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10, 2021, the registrant’s outstanding shares of common stock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ind w:left="3200"/>
              <w:spacing w:after="0"/>
              <w:rPr>
                <w:sz w:val="20"/>
                <w:szCs w:val="20"/>
                <w:color w:val="auto"/>
              </w:rPr>
            </w:pPr>
            <w:r>
              <w:rPr>
                <w:rFonts w:ascii="Arial" w:cs="Arial" w:eastAsia="Arial" w:hAnsi="Arial"/>
                <w:sz w:val="18"/>
                <w:szCs w:val="18"/>
                <w:color w:val="auto"/>
              </w:rPr>
              <w:t>Class A common stock</w:t>
            </w:r>
          </w:p>
        </w:tc>
        <w:tc>
          <w:tcPr>
            <w:tcW w:w="5380" w:type="dxa"/>
            <w:vAlign w:val="bottom"/>
          </w:tcPr>
          <w:p>
            <w:pPr>
              <w:jc w:val="right"/>
              <w:ind w:right="3570"/>
              <w:spacing w:after="0"/>
              <w:rPr>
                <w:sz w:val="20"/>
                <w:szCs w:val="20"/>
                <w:color w:val="auto"/>
              </w:rPr>
            </w:pPr>
            <w:r>
              <w:rPr>
                <w:rFonts w:ascii="Arial" w:cs="Arial" w:eastAsia="Arial" w:hAnsi="Arial"/>
                <w:sz w:val="18"/>
                <w:szCs w:val="18"/>
                <w:color w:val="auto"/>
              </w:rPr>
              <w:t>34,431,806</w:t>
            </w:r>
          </w:p>
        </w:tc>
      </w:tr>
      <w:tr>
        <w:trPr>
          <w:trHeight w:val="270"/>
        </w:trPr>
        <w:tc>
          <w:tcPr>
            <w:tcW w:w="5860" w:type="dxa"/>
            <w:vAlign w:val="bottom"/>
          </w:tcPr>
          <w:p>
            <w:pPr>
              <w:ind w:left="3200"/>
              <w:spacing w:after="0"/>
              <w:rPr>
                <w:sz w:val="20"/>
                <w:szCs w:val="20"/>
                <w:color w:val="auto"/>
              </w:rPr>
            </w:pPr>
            <w:r>
              <w:rPr>
                <w:rFonts w:ascii="Arial" w:cs="Arial" w:eastAsia="Arial" w:hAnsi="Arial"/>
                <w:sz w:val="18"/>
                <w:szCs w:val="18"/>
                <w:color w:val="auto"/>
              </w:rPr>
              <w:t>Class B common stock</w:t>
            </w:r>
          </w:p>
        </w:tc>
        <w:tc>
          <w:tcPr>
            <w:tcW w:w="5380" w:type="dxa"/>
            <w:vAlign w:val="bottom"/>
          </w:tcPr>
          <w:p>
            <w:pPr>
              <w:jc w:val="right"/>
              <w:ind w:right="3570"/>
              <w:spacing w:after="0"/>
              <w:rPr>
                <w:sz w:val="20"/>
                <w:szCs w:val="20"/>
                <w:color w:val="auto"/>
              </w:rPr>
            </w:pPr>
            <w:r>
              <w:rPr>
                <w:rFonts w:ascii="Arial" w:cs="Arial" w:eastAsia="Arial" w:hAnsi="Arial"/>
                <w:sz w:val="18"/>
                <w:szCs w:val="18"/>
                <w:color w:val="auto"/>
              </w:rPr>
              <w:t>64,699,136</w:t>
            </w:r>
          </w:p>
        </w:tc>
      </w:tr>
      <w:tr>
        <w:trPr>
          <w:trHeight w:val="270"/>
        </w:trPr>
        <w:tc>
          <w:tcPr>
            <w:tcW w:w="5860" w:type="dxa"/>
            <w:vAlign w:val="bottom"/>
          </w:tcPr>
          <w:p>
            <w:pPr>
              <w:ind w:left="3200"/>
              <w:spacing w:after="0"/>
              <w:rPr>
                <w:sz w:val="20"/>
                <w:szCs w:val="20"/>
                <w:color w:val="auto"/>
              </w:rPr>
            </w:pPr>
            <w:r>
              <w:rPr>
                <w:rFonts w:ascii="Arial" w:cs="Arial" w:eastAsia="Arial" w:hAnsi="Arial"/>
                <w:sz w:val="18"/>
                <w:szCs w:val="18"/>
                <w:color w:val="auto"/>
              </w:rPr>
              <w:t>Class C common stock</w:t>
            </w:r>
          </w:p>
        </w:tc>
        <w:tc>
          <w:tcPr>
            <w:tcW w:w="5380" w:type="dxa"/>
            <w:vAlign w:val="bottom"/>
          </w:tcPr>
          <w:p>
            <w:pPr>
              <w:jc w:val="right"/>
              <w:ind w:right="3570"/>
              <w:spacing w:after="0"/>
              <w:rPr>
                <w:sz w:val="20"/>
                <w:szCs w:val="20"/>
                <w:color w:val="auto"/>
              </w:rPr>
            </w:pPr>
            <w:r>
              <w:rPr>
                <w:rFonts w:ascii="Arial" w:cs="Arial" w:eastAsia="Arial" w:hAnsi="Arial"/>
                <w:sz w:val="18"/>
                <w:szCs w:val="18"/>
                <w:color w:val="auto"/>
              </w:rPr>
              <w:t>49,006,210</w:t>
            </w:r>
          </w:p>
        </w:tc>
      </w:tr>
      <w:tr>
        <w:trPr>
          <w:trHeight w:val="270"/>
        </w:trPr>
        <w:tc>
          <w:tcPr>
            <w:tcW w:w="5860" w:type="dxa"/>
            <w:vAlign w:val="bottom"/>
          </w:tcPr>
          <w:p>
            <w:pPr>
              <w:ind w:left="3200"/>
              <w:spacing w:after="0"/>
              <w:rPr>
                <w:sz w:val="20"/>
                <w:szCs w:val="20"/>
                <w:color w:val="auto"/>
              </w:rPr>
            </w:pPr>
            <w:r>
              <w:rPr>
                <w:rFonts w:ascii="Arial" w:cs="Arial" w:eastAsia="Arial" w:hAnsi="Arial"/>
                <w:sz w:val="18"/>
                <w:szCs w:val="18"/>
                <w:color w:val="auto"/>
              </w:rPr>
              <w:t>Class D common stock</w:t>
            </w:r>
          </w:p>
        </w:tc>
        <w:tc>
          <w:tcPr>
            <w:tcW w:w="5380" w:type="dxa"/>
            <w:vAlign w:val="bottom"/>
          </w:tcPr>
          <w:p>
            <w:pPr>
              <w:jc w:val="right"/>
              <w:ind w:right="3570"/>
              <w:spacing w:after="0"/>
              <w:rPr>
                <w:sz w:val="20"/>
                <w:szCs w:val="20"/>
                <w:color w:val="auto"/>
              </w:rPr>
            </w:pPr>
            <w:r>
              <w:rPr>
                <w:rFonts w:ascii="Arial" w:cs="Arial" w:eastAsia="Arial" w:hAnsi="Arial"/>
                <w:sz w:val="18"/>
                <w:szCs w:val="18"/>
                <w:color w:val="auto"/>
              </w:rPr>
              <w:t>15,441,243</w:t>
            </w:r>
          </w:p>
        </w:tc>
      </w:tr>
      <w:tr>
        <w:trPr>
          <w:trHeight w:val="297"/>
        </w:trPr>
        <w:tc>
          <w:tcPr>
            <w:tcW w:w="58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34"/>
        </w:trPr>
        <w:tc>
          <w:tcPr>
            <w:tcW w:w="58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661"/>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2" w:name="page3"/>
    <w:bookmarkEnd w:id="2"/>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9"/>
              </w:rPr>
              <w:t>DUTCH BROS INC.</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20" w:type="dxa"/>
            <w:vAlign w:val="bottom"/>
            <w:gridSpan w:val="7"/>
          </w:tcPr>
          <w:p>
            <w:pPr>
              <w:jc w:val="center"/>
              <w:ind w:right="2900"/>
              <w:spacing w:after="0"/>
              <w:rPr>
                <w:sz w:val="20"/>
                <w:szCs w:val="20"/>
                <w:color w:val="auto"/>
              </w:rPr>
            </w:pPr>
            <w:r>
              <w:rPr>
                <w:rFonts w:ascii="Arial" w:cs="Arial" w:eastAsia="Arial" w:hAnsi="Arial"/>
                <w:sz w:val="18"/>
                <w:szCs w:val="18"/>
                <w:color w:val="auto"/>
              </w:rPr>
              <w:t>Form 10-Q</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gridSpan w:val="11"/>
          </w:tcPr>
          <w:p>
            <w:pPr>
              <w:jc w:val="center"/>
              <w:ind w:right="1140"/>
              <w:spacing w:after="0"/>
              <w:rPr>
                <w:sz w:val="20"/>
                <w:szCs w:val="20"/>
                <w:color w:val="auto"/>
              </w:rPr>
            </w:pPr>
            <w:r>
              <w:rPr>
                <w:rFonts w:ascii="Arial" w:cs="Arial" w:eastAsia="Arial" w:hAnsi="Arial"/>
                <w:sz w:val="18"/>
                <w:szCs w:val="18"/>
                <w:color w:val="auto"/>
                <w:w w:val="99"/>
              </w:rPr>
              <w:t>For the Quarterly Period Ended September 30, 2021</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20" w:type="dxa"/>
            <w:vAlign w:val="bottom"/>
            <w:gridSpan w:val="3"/>
          </w:tcPr>
          <w:p>
            <w:pPr>
              <w:ind w:left="148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83"/>
        </w:trPr>
        <w:tc>
          <w:tcPr>
            <w:tcW w:w="720" w:type="dxa"/>
            <w:vAlign w:val="bottom"/>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Glossary</w:t>
              </w:r>
            </w:hyperlink>
          </w:p>
        </w:tc>
        <w:tc>
          <w:tcPr>
            <w:tcW w:w="4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7"/>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Forward-Looking Statements</w:t>
              </w:r>
            </w:hyperlink>
          </w:p>
        </w:tc>
        <w:tc>
          <w:tcPr>
            <w:tcW w:w="6840" w:type="dxa"/>
            <w:vAlign w:val="bottom"/>
            <w:gridSpan w:val="16"/>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gridSpan w:val="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Part </w:t>
              </w:r>
            </w:hyperlink>
            <w:r>
              <w:rPr>
                <w:rFonts w:ascii="Arial" w:cs="Arial" w:eastAsia="Arial" w:hAnsi="Arial"/>
                <w:sz w:val="18"/>
                <w:szCs w:val="18"/>
                <w:color w:val="0000FF"/>
              </w:rPr>
              <w:t xml:space="preserve">I. </w:t>
            </w:r>
            <w:hyperlink w:anchor="page5">
              <w:r>
                <w:rPr>
                  <w:rFonts w:ascii="Arial" w:cs="Arial" w:eastAsia="Arial" w:hAnsi="Arial"/>
                  <w:sz w:val="18"/>
                  <w:szCs w:val="18"/>
                  <w:color w:val="0000FF"/>
                </w:rPr>
                <w:t>Financial Information</w:t>
              </w:r>
            </w:hyperlink>
          </w:p>
        </w:tc>
        <w:tc>
          <w:tcPr>
            <w:tcW w:w="6840" w:type="dxa"/>
            <w:vAlign w:val="bottom"/>
            <w:gridSpan w:val="16"/>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1.</w:t>
            </w:r>
          </w:p>
        </w:tc>
        <w:tc>
          <w:tcPr>
            <w:tcW w:w="268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Financial Statements (Unaudited)</w:t>
              </w:r>
            </w:hyperlink>
          </w:p>
        </w:tc>
        <w:tc>
          <w:tcPr>
            <w:tcW w:w="5280" w:type="dxa"/>
            <w:vAlign w:val="bottom"/>
            <w:gridSpan w:val="9"/>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12"/>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Balance Sheets</w:t>
              </w:r>
            </w:hyperlink>
          </w:p>
        </w:tc>
        <w:tc>
          <w:tcPr>
            <w:tcW w:w="4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20" w:type="dxa"/>
            <w:vAlign w:val="bottom"/>
            <w:gridSpan w:val="1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Statements of Operations</w:t>
              </w:r>
            </w:hyperlink>
          </w:p>
        </w:tc>
        <w:tc>
          <w:tcPr>
            <w:tcW w:w="3840" w:type="dxa"/>
            <w:vAlign w:val="bottom"/>
            <w:gridSpan w:val="6"/>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13"/>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Condensed Consolidated Statements of Equity</w:t>
              </w:r>
            </w:hyperlink>
          </w:p>
        </w:tc>
        <w:tc>
          <w:tcPr>
            <w:tcW w:w="380" w:type="dxa"/>
            <w:vAlign w:val="bottom"/>
          </w:tcPr>
          <w:p>
            <w:pPr>
              <w:spacing w:after="0"/>
              <w:rPr>
                <w:sz w:val="18"/>
                <w:szCs w:val="18"/>
                <w:color w:val="auto"/>
              </w:rPr>
            </w:pPr>
          </w:p>
        </w:tc>
        <w:tc>
          <w:tcPr>
            <w:tcW w:w="3840" w:type="dxa"/>
            <w:vAlign w:val="bottom"/>
            <w:gridSpan w:val="6"/>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gridSpan w:val="15"/>
          </w:tcPr>
          <w:p>
            <w:pP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Condensed Consolidated Statements of Cash Flows</w:t>
              </w:r>
            </w:hyperlink>
          </w:p>
        </w:tc>
        <w:tc>
          <w:tcPr>
            <w:tcW w:w="3780" w:type="dxa"/>
            <w:vAlign w:val="bottom"/>
            <w:gridSpan w:val="5"/>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12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gridSpan w:val="16"/>
          </w:tcPr>
          <w:p>
            <w:pPr>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Notes to Condensed Consolidated Financial Statements</w:t>
              </w:r>
            </w:hyperlink>
          </w:p>
        </w:tc>
        <w:tc>
          <w:tcPr>
            <w:tcW w:w="3480" w:type="dxa"/>
            <w:vAlign w:val="bottom"/>
            <w:gridSpan w:val="4"/>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14</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vMerge w:val="restart"/>
          </w:tcPr>
          <w:p>
            <w:pPr>
              <w:ind w:left="120"/>
              <w:spacing w:after="0"/>
              <w:rPr>
                <w:sz w:val="20"/>
                <w:szCs w:val="20"/>
                <w:color w:val="auto"/>
              </w:rPr>
            </w:pPr>
            <w:r>
              <w:rPr>
                <w:rFonts w:ascii="Arial" w:cs="Arial" w:eastAsia="Arial" w:hAnsi="Arial"/>
                <w:sz w:val="18"/>
                <w:szCs w:val="18"/>
                <w:color w:val="auto"/>
              </w:rPr>
              <w:t>Item 2.</w:t>
            </w:r>
          </w:p>
        </w:tc>
        <w:tc>
          <w:tcPr>
            <w:tcW w:w="796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w:t>
              </w:r>
            </w:hyperlink>
          </w:p>
        </w:tc>
        <w:tc>
          <w:tcPr>
            <w:tcW w:w="1920" w:type="dxa"/>
            <w:vAlign w:val="bottom"/>
            <w:gridSpan w:val="3"/>
            <w:vMerge w:val="restart"/>
          </w:tcPr>
          <w:p>
            <w:pPr>
              <w:jc w:val="center"/>
              <w:ind w:left="1390"/>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34</w:t>
              </w:r>
            </w:hyperlink>
          </w:p>
        </w:tc>
        <w:tc>
          <w:tcPr>
            <w:tcW w:w="0" w:type="dxa"/>
            <w:vAlign w:val="bottom"/>
          </w:tcPr>
          <w:p>
            <w:pPr>
              <w:spacing w:after="0"/>
              <w:rPr>
                <w:sz w:val="1"/>
                <w:szCs w:val="1"/>
                <w:color w:val="auto"/>
              </w:rPr>
            </w:pPr>
          </w:p>
        </w:tc>
      </w:tr>
      <w:tr>
        <w:trPr>
          <w:trHeight w:val="156"/>
        </w:trPr>
        <w:tc>
          <w:tcPr>
            <w:tcW w:w="1200" w:type="dxa"/>
            <w:vAlign w:val="bottom"/>
            <w:gridSpan w:val="3"/>
            <w:vMerge w:val="continue"/>
          </w:tcPr>
          <w:p>
            <w:pPr>
              <w:spacing w:after="0"/>
              <w:rPr>
                <w:sz w:val="13"/>
                <w:szCs w:val="13"/>
                <w:color w:val="auto"/>
              </w:rPr>
            </w:pPr>
          </w:p>
        </w:tc>
        <w:tc>
          <w:tcPr>
            <w:tcW w:w="1740" w:type="dxa"/>
            <w:vAlign w:val="bottom"/>
            <w:tcBorders>
              <w:top w:val="single" w:sz="8" w:color="0000FF"/>
            </w:tcBorders>
            <w:gridSpan w:val="7"/>
          </w:tcPr>
          <w:p>
            <w:pPr>
              <w:spacing w:after="0" w:line="156" w:lineRule="exact"/>
              <w:rPr>
                <w:rFonts w:ascii="Arial" w:cs="Arial" w:eastAsia="Arial" w:hAnsi="Arial"/>
                <w:sz w:val="18"/>
                <w:szCs w:val="18"/>
                <w:color w:val="0000FF"/>
                <w:w w:val="99"/>
              </w:rPr>
            </w:pPr>
            <w:hyperlink w:anchor="page33">
              <w:r>
                <w:rPr>
                  <w:rFonts w:ascii="Arial" w:cs="Arial" w:eastAsia="Arial" w:hAnsi="Arial"/>
                  <w:sz w:val="18"/>
                  <w:szCs w:val="18"/>
                  <w:color w:val="0000FF"/>
                  <w:w w:val="99"/>
                </w:rPr>
                <w:t>Results of Operations</w:t>
              </w:r>
            </w:hyperlink>
          </w:p>
        </w:tc>
        <w:tc>
          <w:tcPr>
            <w:tcW w:w="3560" w:type="dxa"/>
            <w:vAlign w:val="bottom"/>
            <w:tcBorders>
              <w:top w:val="single" w:sz="8" w:color="0000FF"/>
            </w:tcBorders>
            <w:gridSpan w:val="12"/>
          </w:tcPr>
          <w:p>
            <w:pPr>
              <w:spacing w:after="0"/>
              <w:rPr>
                <w:sz w:val="13"/>
                <w:szCs w:val="13"/>
                <w:color w:val="auto"/>
              </w:rPr>
            </w:pPr>
          </w:p>
        </w:tc>
        <w:tc>
          <w:tcPr>
            <w:tcW w:w="2660" w:type="dxa"/>
            <w:vAlign w:val="bottom"/>
          </w:tcPr>
          <w:p>
            <w:pPr>
              <w:spacing w:after="0"/>
              <w:rPr>
                <w:sz w:val="13"/>
                <w:szCs w:val="13"/>
                <w:color w:val="auto"/>
              </w:rPr>
            </w:pPr>
          </w:p>
        </w:tc>
        <w:tc>
          <w:tcPr>
            <w:tcW w:w="1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3.</w:t>
            </w:r>
          </w:p>
        </w:tc>
        <w:tc>
          <w:tcPr>
            <w:tcW w:w="4720" w:type="dxa"/>
            <w:vAlign w:val="bottom"/>
            <w:gridSpan w:val="17"/>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Quantitative and Qualitative Disclosures About Market Risk</w:t>
              </w:r>
            </w:hyperlink>
          </w:p>
        </w:tc>
        <w:tc>
          <w:tcPr>
            <w:tcW w:w="3240" w:type="dxa"/>
            <w:vAlign w:val="bottom"/>
            <w:gridSpan w:val="3"/>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47</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Controls and Procedures</w:t>
              </w:r>
            </w:hyperlink>
          </w:p>
        </w:tc>
        <w:tc>
          <w:tcPr>
            <w:tcW w:w="2720" w:type="dxa"/>
            <w:vAlign w:val="bottom"/>
            <w:gridSpan w:val="8"/>
          </w:tcPr>
          <w:p>
            <w:pPr>
              <w:spacing w:after="0"/>
              <w:rPr>
                <w:sz w:val="18"/>
                <w:szCs w:val="18"/>
                <w:color w:val="auto"/>
              </w:rPr>
            </w:pPr>
          </w:p>
        </w:tc>
        <w:tc>
          <w:tcPr>
            <w:tcW w:w="3240" w:type="dxa"/>
            <w:vAlign w:val="bottom"/>
            <w:gridSpan w:val="3"/>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48</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16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 xml:space="preserve">Part </w:t>
              </w:r>
            </w:hyperlink>
            <w:r>
              <w:rPr>
                <w:rFonts w:ascii="Arial" w:cs="Arial" w:eastAsia="Arial" w:hAnsi="Arial"/>
                <w:sz w:val="18"/>
                <w:szCs w:val="18"/>
                <w:color w:val="0000FF"/>
              </w:rPr>
              <w:t xml:space="preserve">II. </w:t>
            </w:r>
            <w:hyperlink w:anchor="page49">
              <w:r>
                <w:rPr>
                  <w:rFonts w:ascii="Arial" w:cs="Arial" w:eastAsia="Arial" w:hAnsi="Arial"/>
                  <w:sz w:val="18"/>
                  <w:szCs w:val="18"/>
                  <w:color w:val="0000FF"/>
                </w:rPr>
                <w:t>Other Information</w:t>
              </w:r>
            </w:hyperlink>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Legal Proceedings</w:t>
              </w:r>
            </w:hyperlink>
          </w:p>
        </w:tc>
        <w:tc>
          <w:tcPr>
            <w:tcW w:w="6460" w:type="dxa"/>
            <w:vAlign w:val="bottom"/>
            <w:gridSpan w:val="14"/>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49</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460" w:type="dxa"/>
            <w:vAlign w:val="bottom"/>
            <w:gridSpan w:val="14"/>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49</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2.</w:t>
            </w:r>
          </w:p>
        </w:tc>
        <w:tc>
          <w:tcPr>
            <w:tcW w:w="4860" w:type="dxa"/>
            <w:vAlign w:val="bottom"/>
            <w:gridSpan w:val="18"/>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Unregistered Sales of Equity Securities and Use of Proceeds</w:t>
              </w:r>
            </w:hyperlink>
          </w:p>
        </w:tc>
        <w:tc>
          <w:tcPr>
            <w:tcW w:w="3100" w:type="dxa"/>
            <w:vAlign w:val="bottom"/>
            <w:gridSpan w:val="2"/>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91</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3.</w:t>
            </w:r>
          </w:p>
        </w:tc>
        <w:tc>
          <w:tcPr>
            <w:tcW w:w="2560" w:type="dxa"/>
            <w:vAlign w:val="bottom"/>
            <w:gridSpan w:val="10"/>
          </w:tcPr>
          <w:p>
            <w:pPr>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Defaults Upon Senior Securities</w:t>
              </w:r>
            </w:hyperlink>
          </w:p>
        </w:tc>
        <w:tc>
          <w:tcPr>
            <w:tcW w:w="2300" w:type="dxa"/>
            <w:vAlign w:val="bottom"/>
            <w:gridSpan w:val="8"/>
          </w:tcPr>
          <w:p>
            <w:pPr>
              <w:spacing w:after="0"/>
              <w:rPr>
                <w:sz w:val="18"/>
                <w:szCs w:val="18"/>
                <w:color w:val="auto"/>
              </w:rPr>
            </w:pPr>
          </w:p>
        </w:tc>
        <w:tc>
          <w:tcPr>
            <w:tcW w:w="3100" w:type="dxa"/>
            <w:vAlign w:val="bottom"/>
            <w:gridSpan w:val="2"/>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92</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4.</w:t>
            </w:r>
          </w:p>
        </w:tc>
        <w:tc>
          <w:tcPr>
            <w:tcW w:w="256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Mine Safety Disclosure</w:t>
              </w:r>
            </w:hyperlink>
          </w:p>
        </w:tc>
        <w:tc>
          <w:tcPr>
            <w:tcW w:w="5400" w:type="dxa"/>
            <w:vAlign w:val="bottom"/>
            <w:gridSpan w:val="10"/>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92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5.</w:t>
            </w:r>
          </w:p>
        </w:tc>
        <w:tc>
          <w:tcPr>
            <w:tcW w:w="1840" w:type="dxa"/>
            <w:vAlign w:val="bottom"/>
            <w:gridSpan w:val="8"/>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6120" w:type="dxa"/>
            <w:vAlign w:val="bottom"/>
            <w:gridSpan w:val="12"/>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92</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560" w:type="dxa"/>
            <w:vAlign w:val="bottom"/>
            <w:gridSpan w:val="15"/>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ind w:left="1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92">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6560" w:type="dxa"/>
            <w:vAlign w:val="bottom"/>
            <w:gridSpan w:val="15"/>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93</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20" w:type="dxa"/>
            <w:vAlign w:val="bottom"/>
            <w:gridSpan w:val="3"/>
          </w:tcPr>
          <w:p>
            <w:pPr>
              <w:jc w:val="center"/>
              <w:ind w:left="1390"/>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95</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used in this quarterly report on Form 10-Q (this “Form 10-Q”), the terms identified below have the meanings specified below unless otherwise noted or the context requires otherwise. References in this Form 10-Q to “Dutch Bros Inc.,” the “Company,” “we,” “us,” and “our” refer to Dutch Bros Inc. and its consolidated subsidiaries unless the context indicates otherwise.</w:t>
      </w:r>
    </w:p>
    <w:p>
      <w:pPr>
        <w:spacing w:after="0" w:line="1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“Co-Founder” refers to Travis Boersma and affiliated entities over which he maintains voting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Members” refers to the Co-Founder and the Sponsor.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“Dutch Bros OpCo” refers to Dutch Mafia, LLC, a Delaware limited liability company, and a direct subsidiary of Dutch Bros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“Dutch Bros Tax Group has the meaning set forth in Note 11 to the Condensed Consolidated Financial Statements, unaudited.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has the meaning set forth in Note 1 to the Condensed Consolidated Financial Statements, unaudited.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“OpCo Units” refers to Class A common units, Class B voting units and Class C voting units of Dutch Bros OpCo, each as further defined in the Third Amended and Restated Limited Liability Company Agreement of Dutch Bros OpCo, collectively.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“Pre-IPO Blocker Holders” refers to TSG7 A AIV VI Holdings-A, L.P. and DG Coinvestor Blocker Aggregator, L.P. or their assignees or successors pursuant to the terms of the certain Reorganization Tax Receivable Agreement.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“QSR” refers to Quick Service Restaurant.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“Reorganization Transactions” has the meaning set forth in Note 1 to the Condensed Consolidated Financial Statements, unaudited.</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refers to TSG Consumer Partners, L.P. and certain of its affiliates.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Receivable Agreements, TRAs, Exchange Tax Receivable Agreement and Reorganization Tax Receivable Agreement” shall each have the meaning set forth in Note 11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including the potential future impact of COVID-19 on our results of operations, supply chain or liquidity, the potential impact of actions we have taken to mitigate the impact of COVID-19, our taxes and tax rate, the number of new shops we expect to open this year, and our expectation to generate positive cash flow for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These statements are subject to risks and uncertainties that could cause actual results to differ materially from those described in the statements.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read the following condensed consolidated financial statements and the related notes together with our analysis and discussion of our financial condition and results of operations and other financial information included elsewhere in this quarterly report. Some of the information contained in this report may include forward-looking statements that involve risks and uncertainties.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You should review the “Risk Factors” section in Part II, Item 1A of this Form 10-Q.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 Disclosure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DUTCH BROS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 unaudited)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63,072</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250,110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165,423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asset</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24,605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Line of credit</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34,053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59,868</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receivable agreements liability,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72,348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49,637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Profits interest liability</w:t>
            </w:r>
          </w:p>
        </w:tc>
        <w:tc>
          <w:tcPr>
            <w:tcW w:w="240" w:type="dxa"/>
            <w:vAlign w:val="bottom"/>
          </w:tcPr>
          <w:p>
            <w:pPr>
              <w:spacing w:after="0"/>
              <w:rPr>
                <w:sz w:val="21"/>
                <w:szCs w:val="21"/>
                <w:color w:val="auto"/>
              </w:rPr>
            </w:pP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41,845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183,669</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Temporary equity:</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Redeemable common units - 4,990 common units issued and outstanding as</w:t>
            </w: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of December 31, 2020</w:t>
            </w:r>
          </w:p>
        </w:tc>
        <w:tc>
          <w:tcPr>
            <w:tcW w:w="240" w:type="dxa"/>
            <w:vAlign w:val="bottom"/>
          </w:tcPr>
          <w:p>
            <w:pPr>
              <w:spacing w:after="0"/>
              <w:rPr>
                <w:sz w:val="18"/>
                <w:szCs w:val="18"/>
                <w:color w:val="auto"/>
              </w:rPr>
            </w:pPr>
          </w:p>
        </w:tc>
        <w:tc>
          <w:tcPr>
            <w:tcW w:w="2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1,535,772</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Permanent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Members’ deficit - 5,010 common units issued and outstanding as of</w:t>
            </w: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18"/>
                <w:szCs w:val="18"/>
                <w:color w:val="auto"/>
              </w:rPr>
            </w:pPr>
          </w:p>
        </w:tc>
        <w:tc>
          <w:tcPr>
            <w:tcW w:w="2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(1,459,782)</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73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$0.00001 par value per share - 20,000 shares authorized; 0</w:t>
            </w:r>
          </w:p>
        </w:tc>
        <w:tc>
          <w:tcPr>
            <w:tcW w:w="88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September 30, 2021</w:t>
            </w:r>
          </w:p>
        </w:tc>
        <w:tc>
          <w:tcPr>
            <w:tcW w:w="88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460" w:type="dxa"/>
            <w:vAlign w:val="bottom"/>
          </w:tcPr>
          <w:p>
            <w:pPr>
              <w:ind w:left="180"/>
              <w:spacing w:after="0"/>
              <w:rPr>
                <w:sz w:val="20"/>
                <w:szCs w:val="20"/>
                <w:color w:val="auto"/>
              </w:rPr>
            </w:pPr>
            <w:r>
              <w:rPr>
                <w:rFonts w:ascii="Arial" w:cs="Arial" w:eastAsia="Arial" w:hAnsi="Arial"/>
                <w:sz w:val="18"/>
                <w:szCs w:val="18"/>
                <w:color w:val="auto"/>
              </w:rPr>
              <w:t>Class A common stock, $0.00001 par value per share - 400,000 shares</w:t>
            </w: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tcPr>
          <w:p>
            <w:pPr>
              <w:ind w:left="180"/>
              <w:spacing w:after="0"/>
              <w:rPr>
                <w:sz w:val="20"/>
                <w:szCs w:val="20"/>
                <w:color w:val="auto"/>
              </w:rPr>
            </w:pPr>
            <w:r>
              <w:rPr>
                <w:rFonts w:ascii="Arial" w:cs="Arial" w:eastAsia="Arial" w:hAnsi="Arial"/>
                <w:sz w:val="18"/>
                <w:szCs w:val="18"/>
                <w:color w:val="auto"/>
              </w:rPr>
              <w:t>authorized; 34,432 shares issued and outstanding as of September 30, 2021</w:t>
            </w:r>
          </w:p>
        </w:tc>
        <w:tc>
          <w:tcPr>
            <w:tcW w:w="880" w:type="dxa"/>
            <w:vAlign w:val="bottom"/>
          </w:tcPr>
          <w:p>
            <w:pPr>
              <w:spacing w:after="0"/>
              <w:rPr>
                <w:sz w:val="18"/>
                <w:szCs w:val="18"/>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$0.00001 par value per share - 144,000 shares</w:t>
            </w:r>
          </w:p>
        </w:tc>
        <w:tc>
          <w:tcPr>
            <w:tcW w:w="8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authorized; 64,699 shares issued and outstanding as of September 30, 2021</w:t>
            </w:r>
          </w:p>
        </w:tc>
        <w:tc>
          <w:tcPr>
            <w:tcW w:w="8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4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460" w:type="dxa"/>
            <w:vAlign w:val="bottom"/>
          </w:tcPr>
          <w:p>
            <w:pPr>
              <w:ind w:left="180"/>
              <w:spacing w:after="0"/>
              <w:rPr>
                <w:sz w:val="20"/>
                <w:szCs w:val="20"/>
                <w:color w:val="auto"/>
              </w:rPr>
            </w:pPr>
            <w:r>
              <w:rPr>
                <w:rFonts w:ascii="Arial" w:cs="Arial" w:eastAsia="Arial" w:hAnsi="Arial"/>
                <w:sz w:val="18"/>
                <w:szCs w:val="18"/>
                <w:color w:val="auto"/>
              </w:rPr>
              <w:t>Class C common stock, $0.00001 par value per share - 105,000 shares</w:t>
            </w: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tcPr>
          <w:p>
            <w:pPr>
              <w:ind w:left="180"/>
              <w:spacing w:after="0"/>
              <w:rPr>
                <w:sz w:val="20"/>
                <w:szCs w:val="20"/>
                <w:color w:val="auto"/>
              </w:rPr>
            </w:pPr>
            <w:r>
              <w:rPr>
                <w:rFonts w:ascii="Arial" w:cs="Arial" w:eastAsia="Arial" w:hAnsi="Arial"/>
                <w:sz w:val="18"/>
                <w:szCs w:val="18"/>
                <w:color w:val="auto"/>
              </w:rPr>
              <w:t>authorized; 49,006 shares issued and outstanding as of September 30, 2021</w:t>
            </w:r>
          </w:p>
        </w:tc>
        <w:tc>
          <w:tcPr>
            <w:tcW w:w="88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D common stock, $0.00001 par value per share - 42,000 shares</w:t>
            </w:r>
          </w:p>
        </w:tc>
        <w:tc>
          <w:tcPr>
            <w:tcW w:w="8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authorized; 15,441 shares issued and outstanding as of September 30, 2021</w:t>
            </w:r>
          </w:p>
        </w:tc>
        <w:tc>
          <w:tcPr>
            <w:tcW w:w="880" w:type="dxa"/>
            <w:vAlign w:val="bottom"/>
            <w:shd w:val="clear" w:color="auto" w:fill="CCEEFF"/>
          </w:tcPr>
          <w:p>
            <w:pPr>
              <w:spacing w:after="0"/>
              <w:rPr>
                <w:sz w:val="18"/>
                <w:szCs w:val="18"/>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4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vMerge w:val="continue"/>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101,614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(deficit)</w:t>
            </w:r>
          </w:p>
        </w:tc>
        <w:tc>
          <w:tcPr>
            <w:tcW w:w="8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60" w:type="dxa"/>
            <w:vAlign w:val="bottom"/>
          </w:tcPr>
          <w:p>
            <w:pPr>
              <w:ind w:left="360"/>
              <w:spacing w:after="0"/>
              <w:rPr>
                <w:sz w:val="20"/>
                <w:szCs w:val="20"/>
                <w:color w:val="auto"/>
              </w:rPr>
            </w:pPr>
            <w:r>
              <w:rPr>
                <w:rFonts w:ascii="Arial" w:cs="Arial" w:eastAsia="Arial" w:hAnsi="Arial"/>
                <w:sz w:val="18"/>
                <w:szCs w:val="18"/>
                <w:color w:val="auto"/>
              </w:rPr>
              <w:t>Total stockholders' equity attributable to Dutch Bros Inc. / members’ equity</w:t>
            </w:r>
          </w:p>
        </w:tc>
        <w:tc>
          <w:tcPr>
            <w:tcW w:w="8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94,878</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75,990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114,744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8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209,622</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75,990</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503,632</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DUTCH BROS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 unaudited)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108,661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66,695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289,548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175,767</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61,750</w:t>
            </w:r>
          </w:p>
        </w:tc>
        <w:tc>
          <w:tcPr>
            <w:tcW w:w="0" w:type="dxa"/>
            <w:vAlign w:val="bottom"/>
          </w:tcPr>
          <w:p>
            <w:pPr>
              <w:spacing w:after="0"/>
              <w:rPr>
                <w:sz w:val="1"/>
                <w:szCs w:val="1"/>
                <w:color w:val="auto"/>
              </w:rPr>
            </w:pPr>
          </w:p>
        </w:tc>
      </w:tr>
      <w:tr>
        <w:trPr>
          <w:trHeight w:val="237"/>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237,517</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153,727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74,497</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244,787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221,928</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7"/>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(117,138)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Net loss attributable to Dutch Bros Opco prior to the Reorganization</w:t>
            </w: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(74,441)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Transactions</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Less: Net loss attributable to non-controlling interests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DUTCH BROS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xml:space="preserve">Net loss per share of Class A and Class D common stock: </w:t>
            </w:r>
            <w:r>
              <w:rPr>
                <w:rFonts w:ascii="Arial" w:cs="Arial" w:eastAsia="Arial" w:hAnsi="Arial"/>
                <w:sz w:val="23"/>
                <w:szCs w:val="23"/>
                <w:color w:val="auto"/>
                <w:vertAlign w:val="superscript"/>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5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shares of Class A and Class D common stock</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90" w:lineRule="exact"/>
        <w:rPr>
          <w:sz w:val="20"/>
          <w:szCs w:val="20"/>
          <w:color w:val="auto"/>
        </w:rPr>
      </w:pPr>
    </w:p>
    <w:p>
      <w:pPr>
        <w:ind w:left="180" w:right="20" w:hanging="172"/>
        <w:spacing w:after="0" w:line="211" w:lineRule="auto"/>
        <w:tabs>
          <w:tab w:leader="none" w:pos="179"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Basic and diluted net loss per share of Class A and Class D common stock is applicable only for the period September 14, 2021 through September 30, 2021, which is the period effective with and following the IPO and Reorganization Transactions (as defined in Note 1 to the Condensed Consolidated Financial Statements,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gridSpan w:val="7"/>
          </w:tcPr>
          <w:p>
            <w:pPr>
              <w:jc w:val="center"/>
              <w:ind w:right="28"/>
              <w:spacing w:after="0"/>
              <w:rPr>
                <w:sz w:val="20"/>
                <w:szCs w:val="20"/>
                <w:color w:val="auto"/>
              </w:rPr>
            </w:pPr>
            <w:r>
              <w:rPr>
                <w:rFonts w:ascii="Arial" w:cs="Arial" w:eastAsia="Arial" w:hAnsi="Arial"/>
                <w:sz w:val="18"/>
                <w:szCs w:val="18"/>
                <w:b w:val="1"/>
                <w:bCs w:val="1"/>
                <w:color w:val="auto"/>
                <w:w w:val="99"/>
              </w:rPr>
              <w:t>DUTCH BROS INC.</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14"/>
          </w:tcPr>
          <w:p>
            <w:pPr>
              <w:jc w:val="center"/>
              <w:spacing w:after="0"/>
              <w:rPr>
                <w:sz w:val="20"/>
                <w:szCs w:val="20"/>
                <w:color w:val="auto"/>
              </w:rPr>
            </w:pPr>
            <w:r>
              <w:rPr>
                <w:rFonts w:ascii="Arial" w:cs="Arial" w:eastAsia="Arial" w:hAnsi="Arial"/>
                <w:sz w:val="18"/>
                <w:szCs w:val="18"/>
                <w:color w:val="auto"/>
                <w:w w:val="99"/>
              </w:rPr>
              <w:t>Condensed Consolidated Statements of Equity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b w:val="1"/>
                <w:bCs w:val="1"/>
                <w:color w:val="auto"/>
              </w:rPr>
              <w:t>Three Months Ended September 30, 2021</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Dutch Mafia</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(Prior to</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Reorganization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gridSpan w:val="11"/>
            <w:vMerge w:val="restart"/>
          </w:tcPr>
          <w:p>
            <w:pPr>
              <w:ind w:left="80"/>
              <w:spacing w:after="0"/>
              <w:rPr>
                <w:sz w:val="20"/>
                <w:szCs w:val="20"/>
                <w:color w:val="auto"/>
              </w:rPr>
            </w:pPr>
            <w:r>
              <w:rPr>
                <w:rFonts w:ascii="Arial" w:cs="Arial" w:eastAsia="Arial" w:hAnsi="Arial"/>
                <w:sz w:val="14"/>
                <w:szCs w:val="14"/>
                <w:b w:val="1"/>
                <w:bCs w:val="1"/>
                <w:color w:val="auto"/>
              </w:rPr>
              <w:t>Dutch Bros. Inc. Stockholders’ Equity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Transactions)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1"/>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Class A</w:t>
            </w:r>
          </w:p>
        </w:tc>
        <w:tc>
          <w:tcPr>
            <w:tcW w:w="940" w:type="dxa"/>
            <w:vAlign w:val="bottom"/>
            <w:tcBorders>
              <w:top w:val="single" w:sz="8" w:color="auto"/>
            </w:tcBorders>
            <w:gridSpan w:val="3"/>
          </w:tcPr>
          <w:p>
            <w:pPr>
              <w:jc w:val="center"/>
              <w:ind w:left="228"/>
              <w:spacing w:after="0" w:line="147" w:lineRule="exact"/>
              <w:rPr>
                <w:sz w:val="20"/>
                <w:szCs w:val="20"/>
                <w:color w:val="auto"/>
              </w:rPr>
            </w:pPr>
            <w:r>
              <w:rPr>
                <w:rFonts w:ascii="Arial" w:cs="Arial" w:eastAsia="Arial" w:hAnsi="Arial"/>
                <w:sz w:val="14"/>
                <w:szCs w:val="14"/>
                <w:b w:val="1"/>
                <w:bCs w:val="1"/>
                <w:color w:val="auto"/>
              </w:rPr>
              <w:t>Class B</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left="208"/>
              <w:spacing w:after="0" w:line="147" w:lineRule="exact"/>
              <w:rPr>
                <w:sz w:val="20"/>
                <w:szCs w:val="20"/>
                <w:color w:val="auto"/>
              </w:rPr>
            </w:pPr>
            <w:r>
              <w:rPr>
                <w:rFonts w:ascii="Arial" w:cs="Arial" w:eastAsia="Arial" w:hAnsi="Arial"/>
                <w:sz w:val="14"/>
                <w:szCs w:val="14"/>
                <w:b w:val="1"/>
                <w:bCs w:val="1"/>
                <w:color w:val="auto"/>
              </w:rPr>
              <w:t>Class C</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left="208"/>
              <w:spacing w:after="0" w:line="147" w:lineRule="exact"/>
              <w:rPr>
                <w:sz w:val="20"/>
                <w:szCs w:val="20"/>
                <w:color w:val="auto"/>
              </w:rPr>
            </w:pPr>
            <w:r>
              <w:rPr>
                <w:rFonts w:ascii="Arial" w:cs="Arial" w:eastAsia="Arial" w:hAnsi="Arial"/>
                <w:sz w:val="14"/>
                <w:szCs w:val="14"/>
                <w:b w:val="1"/>
                <w:bCs w:val="1"/>
                <w:color w:val="auto"/>
              </w:rPr>
              <w:t>Class D</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auto"/>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Members’</w:t>
            </w: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40"/>
              <w:spacing w:after="0" w:line="133" w:lineRule="exact"/>
              <w:rPr>
                <w:sz w:val="20"/>
                <w:szCs w:val="20"/>
                <w:color w:val="auto"/>
              </w:rPr>
            </w:pPr>
            <w:r>
              <w:rPr>
                <w:rFonts w:ascii="Arial" w:cs="Arial" w:eastAsia="Arial" w:hAnsi="Arial"/>
                <w:sz w:val="14"/>
                <w:szCs w:val="14"/>
                <w:color w:val="auto"/>
              </w:rPr>
              <w:t>Additional</w:t>
            </w:r>
          </w:p>
        </w:tc>
        <w:tc>
          <w:tcPr>
            <w:tcW w:w="700" w:type="dxa"/>
            <w:vAlign w:val="bottom"/>
            <w:gridSpan w:val="3"/>
          </w:tcPr>
          <w:p>
            <w:pPr>
              <w:jc w:val="right"/>
              <w:ind w:right="100"/>
              <w:spacing w:after="0" w:line="13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rPr>
              <w:t>Non-</w:t>
            </w: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(in thousands; unaudited)</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tcPr>
          <w:p>
            <w:pPr>
              <w:jc w:val="right"/>
              <w:ind w:right="120"/>
              <w:spacing w:after="0" w:line="135" w:lineRule="exact"/>
              <w:rPr>
                <w:sz w:val="20"/>
                <w:szCs w:val="20"/>
                <w:color w:val="auto"/>
              </w:rPr>
            </w:pPr>
            <w:r>
              <w:rPr>
                <w:rFonts w:ascii="Arial" w:cs="Arial" w:eastAsia="Arial" w:hAnsi="Arial"/>
                <w:sz w:val="14"/>
                <w:szCs w:val="14"/>
                <w:color w:val="auto"/>
              </w:rPr>
              <w:t>Paid-in-   Earnings</w:t>
            </w:r>
          </w:p>
        </w:tc>
        <w:tc>
          <w:tcPr>
            <w:tcW w:w="80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Controlling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7"/>
              </w:rPr>
              <w:t>Equity</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Interests</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(127,279)</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(127,279)</w:t>
            </w: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loss prior to the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(74,441)</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(74,441)</w:t>
            </w:r>
          </w:p>
        </w:tc>
        <w:tc>
          <w:tcPr>
            <w:tcW w:w="0" w:type="dxa"/>
            <w:vAlign w:val="bottom"/>
          </w:tcPr>
          <w:p>
            <w:pPr>
              <w:spacing w:after="0"/>
              <w:rPr>
                <w:sz w:val="1"/>
                <w:szCs w:val="1"/>
                <w:color w:val="auto"/>
              </w:rPr>
            </w:pP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 of profits interest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76,596</w:t>
            </w: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76,596</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liability to equity</w:t>
            </w: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Member distributions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Equity-based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 recognized</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prior to the</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78,579</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78,579</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Effect of the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Transactions and initial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public offering on non-</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50,745</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9,877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71,408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54,069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17,036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(178,474)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127,727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controlling interests</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Class A</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sold in</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initial public offering, net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520,804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520,804</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offering costs</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Purchase of OpCo</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common units in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connection with the initial</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(6,709)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(5,062)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(257,278)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(253,270)</w:t>
            </w:r>
          </w:p>
        </w:tc>
        <w:tc>
          <w:tcPr>
            <w:tcW w:w="0" w:type="dxa"/>
            <w:vAlign w:val="bottom"/>
          </w:tcPr>
          <w:p>
            <w:pPr>
              <w:spacing w:after="0"/>
              <w:rPr>
                <w:sz w:val="1"/>
                <w:szCs w:val="1"/>
                <w:color w:val="auto"/>
              </w:rPr>
            </w:pP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public offering</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Impact of Tax Receivable</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47,157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47,157</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loss subsequent to</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Reorganization</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9"/>
              </w:rPr>
              <w:t>(6,738)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(35,959)</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(42,697)</w:t>
            </w:r>
          </w:p>
        </w:tc>
        <w:tc>
          <w:tcPr>
            <w:tcW w:w="0" w:type="dxa"/>
            <w:vAlign w:val="bottom"/>
          </w:tcPr>
          <w:p>
            <w:pPr>
              <w:spacing w:after="0"/>
              <w:rPr>
                <w:sz w:val="1"/>
                <w:szCs w:val="1"/>
                <w:color w:val="auto"/>
              </w:rPr>
            </w:pP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Equity-based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 recognized</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subsequent to the</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5,484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28,616</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34,100</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Class A</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common stock pursuant</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 vesting of equity</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awards, net of stock</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(9,549)</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(11,333)</w:t>
            </w:r>
          </w:p>
        </w:tc>
        <w:tc>
          <w:tcPr>
            <w:tcW w:w="0" w:type="dxa"/>
            <w:vAlign w:val="bottom"/>
          </w:tcPr>
          <w:p>
            <w:pPr>
              <w:spacing w:after="0"/>
              <w:rPr>
                <w:sz w:val="1"/>
                <w:szCs w:val="1"/>
                <w:color w:val="auto"/>
              </w:rPr>
            </w:pPr>
          </w:p>
        </w:tc>
      </w:tr>
      <w:tr>
        <w:trPr>
          <w:trHeight w:val="171"/>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withheld for tax</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exchange of</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OpCo common units</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Repurchase and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retirement of Class D</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(1,595)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(34,394)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(34,394)</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 September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34,432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64,699</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49,006</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15,441</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101,614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(6,738)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114,744</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$ 209,622</w:t>
            </w:r>
          </w:p>
        </w:tc>
        <w:tc>
          <w:tcPr>
            <w:tcW w:w="0" w:type="dxa"/>
            <w:vAlign w:val="bottom"/>
          </w:tcPr>
          <w:p>
            <w:pPr>
              <w:spacing w:after="0"/>
              <w:rPr>
                <w:sz w:val="1"/>
                <w:szCs w:val="1"/>
                <w:color w:val="auto"/>
              </w:rPr>
            </w:pPr>
          </w:p>
        </w:tc>
      </w:tr>
      <w:tr>
        <w:trPr>
          <w:trHeight w:val="168"/>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15"/>
          </w:tcPr>
          <w:p>
            <w:pPr>
              <w:ind w:left="120"/>
              <w:spacing w:after="0"/>
              <w:rPr>
                <w:sz w:val="20"/>
                <w:szCs w:val="20"/>
                <w:color w:val="auto"/>
              </w:rPr>
            </w:pPr>
            <w:r>
              <w:rPr>
                <w:rFonts w:ascii="Arial" w:cs="Arial" w:eastAsia="Arial" w:hAnsi="Arial"/>
                <w:sz w:val="18"/>
                <w:szCs w:val="18"/>
                <w:b w:val="1"/>
                <w:bCs w:val="1"/>
                <w:color w:val="auto"/>
              </w:rPr>
              <w:t>Nine Months Ended September 30, 2021</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Dutch Mafia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LLC</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(Prior 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Reorganization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20" w:type="dxa"/>
            <w:vAlign w:val="bottom"/>
            <w:gridSpan w:val="11"/>
            <w:vMerge w:val="restart"/>
          </w:tcPr>
          <w:p>
            <w:pPr>
              <w:ind w:left="80"/>
              <w:spacing w:after="0"/>
              <w:rPr>
                <w:sz w:val="20"/>
                <w:szCs w:val="20"/>
                <w:color w:val="auto"/>
              </w:rPr>
            </w:pPr>
            <w:r>
              <w:rPr>
                <w:rFonts w:ascii="Arial" w:cs="Arial" w:eastAsia="Arial" w:hAnsi="Arial"/>
                <w:sz w:val="14"/>
                <w:szCs w:val="14"/>
                <w:b w:val="1"/>
                <w:bCs w:val="1"/>
                <w:color w:val="auto"/>
              </w:rPr>
              <w:t>Dutch Bros Inc. Stockholders’ Equity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Transactions)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3"/>
          </w:tcPr>
          <w:p>
            <w:pPr>
              <w:jc w:val="center"/>
              <w:ind w:left="188"/>
              <w:spacing w:after="0" w:line="147" w:lineRule="exact"/>
              <w:rPr>
                <w:sz w:val="20"/>
                <w:szCs w:val="20"/>
                <w:color w:val="auto"/>
              </w:rPr>
            </w:pPr>
            <w:r>
              <w:rPr>
                <w:rFonts w:ascii="Arial" w:cs="Arial" w:eastAsia="Arial" w:hAnsi="Arial"/>
                <w:sz w:val="14"/>
                <w:szCs w:val="14"/>
                <w:b w:val="1"/>
                <w:bCs w:val="1"/>
                <w:color w:val="auto"/>
              </w:rPr>
              <w:t>Class A</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left="188"/>
              <w:spacing w:after="0" w:line="147" w:lineRule="exact"/>
              <w:rPr>
                <w:sz w:val="20"/>
                <w:szCs w:val="20"/>
                <w:color w:val="auto"/>
              </w:rPr>
            </w:pPr>
            <w:r>
              <w:rPr>
                <w:rFonts w:ascii="Arial" w:cs="Arial" w:eastAsia="Arial" w:hAnsi="Arial"/>
                <w:sz w:val="14"/>
                <w:szCs w:val="14"/>
                <w:b w:val="1"/>
                <w:bCs w:val="1"/>
                <w:color w:val="auto"/>
              </w:rPr>
              <w:t>Class B</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left="208"/>
              <w:spacing w:after="0" w:line="147" w:lineRule="exact"/>
              <w:rPr>
                <w:sz w:val="20"/>
                <w:szCs w:val="20"/>
                <w:color w:val="auto"/>
              </w:rPr>
            </w:pPr>
            <w:r>
              <w:rPr>
                <w:rFonts w:ascii="Arial" w:cs="Arial" w:eastAsia="Arial" w:hAnsi="Arial"/>
                <w:sz w:val="14"/>
                <w:szCs w:val="14"/>
                <w:b w:val="1"/>
                <w:bCs w:val="1"/>
                <w:color w:val="auto"/>
              </w:rPr>
              <w:t>Class C</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left="188"/>
              <w:spacing w:after="0" w:line="147" w:lineRule="exact"/>
              <w:rPr>
                <w:sz w:val="20"/>
                <w:szCs w:val="20"/>
                <w:color w:val="auto"/>
              </w:rPr>
            </w:pPr>
            <w:r>
              <w:rPr>
                <w:rFonts w:ascii="Arial" w:cs="Arial" w:eastAsia="Arial" w:hAnsi="Arial"/>
                <w:sz w:val="14"/>
                <w:szCs w:val="14"/>
                <w:b w:val="1"/>
                <w:bCs w:val="1"/>
                <w:color w:val="auto"/>
              </w:rPr>
              <w:t>Class D</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24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26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260" w:type="dxa"/>
            <w:vAlign w:val="bottom"/>
            <w:gridSpan w:val="5"/>
          </w:tcPr>
          <w:p>
            <w:pPr>
              <w:jc w:val="center"/>
              <w:ind w:right="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Members’</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40"/>
              <w:spacing w:after="0" w:line="133" w:lineRule="exact"/>
              <w:rPr>
                <w:sz w:val="20"/>
                <w:szCs w:val="20"/>
                <w:color w:val="auto"/>
              </w:rPr>
            </w:pPr>
            <w:r>
              <w:rPr>
                <w:rFonts w:ascii="Arial" w:cs="Arial" w:eastAsia="Arial" w:hAnsi="Arial"/>
                <w:sz w:val="14"/>
                <w:szCs w:val="14"/>
                <w:color w:val="auto"/>
              </w:rPr>
              <w:t>Additional</w:t>
            </w:r>
          </w:p>
        </w:tc>
        <w:tc>
          <w:tcPr>
            <w:tcW w:w="700" w:type="dxa"/>
            <w:vAlign w:val="bottom"/>
            <w:gridSpan w:val="3"/>
          </w:tcPr>
          <w:p>
            <w:pPr>
              <w:jc w:val="right"/>
              <w:ind w:right="100"/>
              <w:spacing w:after="0" w:line="13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right"/>
              <w:ind w:right="100"/>
              <w:spacing w:after="0" w:line="135" w:lineRule="exact"/>
              <w:rPr>
                <w:sz w:val="20"/>
                <w:szCs w:val="20"/>
                <w:color w:val="auto"/>
              </w:rPr>
            </w:pPr>
            <w:r>
              <w:rPr>
                <w:rFonts w:ascii="Arial" w:cs="Arial" w:eastAsia="Arial" w:hAnsi="Arial"/>
                <w:sz w:val="14"/>
                <w:szCs w:val="14"/>
                <w:color w:val="auto"/>
              </w:rPr>
              <w:t>Paid-in-   Earnings</w:t>
            </w:r>
          </w:p>
        </w:tc>
        <w:tc>
          <w:tcPr>
            <w:tcW w:w="8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Controlling</w:t>
            </w: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unaudited)</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Equity</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Interests</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14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75,990</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75,990</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loss prior to the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(68,602)</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(68,602)</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 of profits</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interest liability to</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76,596</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76,596</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Member</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(213,308)</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(213,308)</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distributions</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Equity-based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recognized prior to</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the Reorganization</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78,579</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78,579</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Effect of the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Transactions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initial public offering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on non-controlling</w:t>
            </w:r>
          </w:p>
        </w:tc>
        <w:tc>
          <w:tcPr>
            <w:tcW w:w="12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50,745</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9,877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71,408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54,069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17,036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(178,474)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127,727</w:t>
            </w:r>
          </w:p>
        </w:tc>
        <w:tc>
          <w:tcPr>
            <w:tcW w:w="8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Class A</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sold</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 initial public</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offering, net of</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24,211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520,804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520,804</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Purchase of OpCo</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common units in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connection with the</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(6,709)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(5,062)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(257,278)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(253,270)</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initial public offering</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Impact of Tax</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Receivable</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47,157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47,157</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subsequent to the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(6,738)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(35,959)</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(42,697)</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Equity-based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recognized</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subsequent to the</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Reorganization</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5,484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28,616</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34,100</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Class A</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pursuant to vesting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of equity awards,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of stock</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(9,549)</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(11,333)</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withheld for tax</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exchange</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of OpCo common</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Repurchase and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retirement of Class</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(34,394)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(34,394)</w:t>
            </w:r>
          </w:p>
        </w:tc>
        <w:tc>
          <w:tcPr>
            <w:tcW w:w="0" w:type="dxa"/>
            <w:vAlign w:val="bottom"/>
          </w:tcPr>
          <w:p>
            <w:pPr>
              <w:spacing w:after="0"/>
              <w:rPr>
                <w:sz w:val="1"/>
                <w:szCs w:val="1"/>
                <w:color w:val="auto"/>
              </w:rPr>
            </w:pPr>
          </w:p>
        </w:tc>
      </w:t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D common stock</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0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w:t>
            </w: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34,432</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64,699</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49,006</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15,441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101,614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114,744</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$ 209,622</w:t>
            </w:r>
          </w:p>
        </w:tc>
        <w:tc>
          <w:tcPr>
            <w:tcW w:w="0" w:type="dxa"/>
            <w:vAlign w:val="bottom"/>
          </w:tcPr>
          <w:p>
            <w:pPr>
              <w:spacing w:after="0"/>
              <w:rPr>
                <w:sz w:val="1"/>
                <w:szCs w:val="1"/>
                <w:color w:val="auto"/>
              </w:rPr>
            </w:pPr>
          </w:p>
        </w:tc>
      </w:tr>
      <w:tr>
        <w:trPr>
          <w:trHeight w:val="168"/>
        </w:trPr>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44" w:right="659" w:bottom="10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 w:right="659" w:bottom="10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160" w:type="dxa"/>
            <w:vAlign w:val="bottom"/>
            <w:tcBorders>
              <w:bottom w:val="single" w:sz="8" w:color="auto"/>
            </w:tcBorders>
            <w:gridSpan w:val="2"/>
          </w:tcPr>
          <w:p>
            <w:pPr>
              <w:ind w:left="3860"/>
              <w:spacing w:after="0"/>
              <w:rPr>
                <w:sz w:val="20"/>
                <w:szCs w:val="20"/>
                <w:color w:val="auto"/>
              </w:rPr>
            </w:pPr>
            <w:r>
              <w:rPr>
                <w:rFonts w:ascii="Arial" w:cs="Arial" w:eastAsia="Arial" w:hAnsi="Arial"/>
                <w:sz w:val="18"/>
                <w:szCs w:val="18"/>
                <w:b w:val="1"/>
                <w:bCs w:val="1"/>
                <w:color w:val="auto"/>
              </w:rPr>
              <w:t>Three Months Ended September 30, 2020</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217"/>
        </w:trPr>
        <w:tc>
          <w:tcPr>
            <w:tcW w:w="10160" w:type="dxa"/>
            <w:vAlign w:val="bottom"/>
            <w:gridSpan w:val="2"/>
          </w:tcPr>
          <w:p>
            <w:pPr>
              <w:ind w:left="20"/>
              <w:spacing w:after="0"/>
              <w:rPr>
                <w:sz w:val="20"/>
                <w:szCs w:val="20"/>
                <w:color w:val="auto"/>
              </w:rPr>
            </w:pPr>
            <w:r>
              <w:rPr>
                <w:rFonts w:ascii="Arial" w:cs="Arial" w:eastAsia="Arial" w:hAnsi="Arial"/>
                <w:sz w:val="14"/>
                <w:szCs w:val="14"/>
                <w:color w:val="auto"/>
              </w:rPr>
              <w:t>(in thousands; unaudited)</w:t>
            </w:r>
          </w:p>
        </w:tc>
        <w:tc>
          <w:tcPr>
            <w:tcW w:w="1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10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(1,154,974)</w:t>
            </w:r>
          </w:p>
        </w:tc>
        <w:tc>
          <w:tcPr>
            <w:tcW w:w="0" w:type="dxa"/>
            <w:vAlign w:val="bottom"/>
          </w:tcPr>
          <w:p>
            <w:pPr>
              <w:spacing w:after="0"/>
              <w:rPr>
                <w:sz w:val="1"/>
                <w:szCs w:val="1"/>
                <w:color w:val="auto"/>
              </w:rPr>
            </w:pPr>
          </w:p>
        </w:tc>
      </w:tr>
      <w:tr>
        <w:trPr>
          <w:trHeight w:val="230"/>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29"/>
        </w:trPr>
        <w:tc>
          <w:tcPr>
            <w:tcW w:w="10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to members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29"/>
        </w:trPr>
        <w:tc>
          <w:tcPr>
            <w:tcW w:w="10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Increase in redemption value of redeemable common units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(150,324)</w:t>
            </w:r>
          </w:p>
        </w:tc>
        <w:tc>
          <w:tcPr>
            <w:tcW w:w="0" w:type="dxa"/>
            <w:vAlign w:val="bottom"/>
          </w:tcPr>
          <w:p>
            <w:pPr>
              <w:spacing w:after="0"/>
              <w:rPr>
                <w:sz w:val="1"/>
                <w:szCs w:val="1"/>
                <w:color w:val="auto"/>
              </w:rPr>
            </w:pPr>
          </w:p>
        </w:tc>
      </w:tr>
      <w:tr>
        <w:trPr>
          <w:trHeight w:val="248"/>
        </w:trPr>
        <w:tc>
          <w:tcPr>
            <w:tcW w:w="10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(1,302,652)</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gridSpan w:val="2"/>
            <w:vMerge w:val="restart"/>
          </w:tcPr>
          <w:p>
            <w:pPr>
              <w:ind w:left="3920"/>
              <w:spacing w:after="0"/>
              <w:rPr>
                <w:sz w:val="20"/>
                <w:szCs w:val="20"/>
                <w:color w:val="auto"/>
              </w:rPr>
            </w:pPr>
            <w:r>
              <w:rPr>
                <w:rFonts w:ascii="Arial" w:cs="Arial" w:eastAsia="Arial" w:hAnsi="Arial"/>
                <w:sz w:val="18"/>
                <w:szCs w:val="18"/>
                <w:b w:val="1"/>
                <w:bCs w:val="1"/>
                <w:color w:val="auto"/>
              </w:rPr>
              <w:t>Nine Months Ended September 30, 2020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1016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217"/>
        </w:trPr>
        <w:tc>
          <w:tcPr>
            <w:tcW w:w="10160" w:type="dxa"/>
            <w:vAlign w:val="bottom"/>
            <w:gridSpan w:val="2"/>
          </w:tcPr>
          <w:p>
            <w:pPr>
              <w:ind w:left="20"/>
              <w:spacing w:after="0"/>
              <w:rPr>
                <w:sz w:val="20"/>
                <w:szCs w:val="20"/>
                <w:color w:val="auto"/>
              </w:rPr>
            </w:pPr>
            <w:r>
              <w:rPr>
                <w:rFonts w:ascii="Arial" w:cs="Arial" w:eastAsia="Arial" w:hAnsi="Arial"/>
                <w:sz w:val="14"/>
                <w:szCs w:val="14"/>
                <w:color w:val="auto"/>
              </w:rPr>
              <w:t>(in thousands; unaudited)</w:t>
            </w:r>
          </w:p>
        </w:tc>
        <w:tc>
          <w:tcPr>
            <w:tcW w:w="1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10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(859,706)</w:t>
            </w:r>
          </w:p>
        </w:tc>
        <w:tc>
          <w:tcPr>
            <w:tcW w:w="0" w:type="dxa"/>
            <w:vAlign w:val="bottom"/>
          </w:tcPr>
          <w:p>
            <w:pPr>
              <w:spacing w:after="0"/>
              <w:rPr>
                <w:sz w:val="1"/>
                <w:szCs w:val="1"/>
                <w:color w:val="auto"/>
              </w:rPr>
            </w:pPr>
          </w:p>
        </w:tc>
      </w:tr>
      <w:tr>
        <w:trPr>
          <w:trHeight w:val="229"/>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29"/>
        </w:trPr>
        <w:tc>
          <w:tcPr>
            <w:tcW w:w="10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to members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30"/>
        </w:trPr>
        <w:tc>
          <w:tcPr>
            <w:tcW w:w="10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Increase in redemption value of redeemable common units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(447,728)</w:t>
            </w:r>
          </w:p>
        </w:tc>
        <w:tc>
          <w:tcPr>
            <w:tcW w:w="0" w:type="dxa"/>
            <w:vAlign w:val="bottom"/>
          </w:tcPr>
          <w:p>
            <w:pPr>
              <w:spacing w:after="0"/>
              <w:rPr>
                <w:sz w:val="1"/>
                <w:szCs w:val="1"/>
                <w:color w:val="auto"/>
              </w:rPr>
            </w:pPr>
          </w:p>
        </w:tc>
      </w:tr>
      <w:tr>
        <w:trPr>
          <w:trHeight w:val="248"/>
        </w:trPr>
        <w:tc>
          <w:tcPr>
            <w:tcW w:w="10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(1,302,652)</w:t>
            </w:r>
          </w:p>
        </w:tc>
        <w:tc>
          <w:tcPr>
            <w:tcW w:w="0" w:type="dxa"/>
            <w:vAlign w:val="bottom"/>
          </w:tcPr>
          <w:p>
            <w:pPr>
              <w:spacing w:after="0"/>
              <w:rPr>
                <w:sz w:val="1"/>
                <w:szCs w:val="1"/>
                <w:color w:val="auto"/>
              </w:rPr>
            </w:pP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DUTCH BROS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Cash Flows</w:t>
      </w:r>
    </w:p>
    <w:p>
      <w:pPr>
        <w:spacing w:after="0" w:line="282"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31750</wp:posOffset>
            </wp:positionV>
            <wp:extent cx="2065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unaudited)</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4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(111,299)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11,932</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7980" w:type="dxa"/>
            <w:vAlign w:val="bottom"/>
            <w:gridSpan w:val="2"/>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11,156</w:t>
            </w:r>
          </w:p>
        </w:tc>
      </w:tr>
      <w:tr>
        <w:trPr>
          <w:trHeight w:val="25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Non-cash interest expense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3"/>
        </w:trPr>
        <w:tc>
          <w:tcPr>
            <w:tcW w:w="7980" w:type="dxa"/>
            <w:vAlign w:val="bottom"/>
            <w:gridSpan w:val="2"/>
          </w:tcPr>
          <w:p>
            <w:pPr>
              <w:ind w:left="360"/>
              <w:spacing w:after="0"/>
              <w:rPr>
                <w:sz w:val="20"/>
                <w:szCs w:val="20"/>
                <w:color w:val="auto"/>
              </w:rPr>
            </w:pPr>
            <w:r>
              <w:rPr>
                <w:rFonts w:ascii="Arial" w:cs="Arial" w:eastAsia="Arial" w:hAnsi="Arial"/>
                <w:sz w:val="16"/>
                <w:szCs w:val="16"/>
                <w:color w:val="auto"/>
              </w:rPr>
              <w:t>Loss on disposal of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5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80" w:type="dxa"/>
            <w:vAlign w:val="bottom"/>
            <w:gridSpan w:val="2"/>
          </w:tcPr>
          <w:p>
            <w:pPr>
              <w:ind w:left="360"/>
              <w:spacing w:after="0"/>
              <w:rPr>
                <w:sz w:val="20"/>
                <w:szCs w:val="20"/>
                <w:color w:val="auto"/>
              </w:rPr>
            </w:pPr>
            <w:r>
              <w:rPr>
                <w:rFonts w:ascii="Arial" w:cs="Arial" w:eastAsia="Arial" w:hAnsi="Arial"/>
                <w:sz w:val="16"/>
                <w:szCs w:val="16"/>
                <w:color w:val="auto"/>
              </w:rPr>
              <w:t>Equity-based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147,761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23,372</w:t>
            </w:r>
          </w:p>
        </w:tc>
      </w:tr>
      <w:tr>
        <w:trPr>
          <w:trHeight w:val="25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80" w:type="dxa"/>
            <w:vAlign w:val="bottom"/>
            <w:gridSpan w:val="2"/>
          </w:tcPr>
          <w:p>
            <w:pPr>
              <w:ind w:left="360"/>
              <w:spacing w:after="0"/>
              <w:rPr>
                <w:sz w:val="20"/>
                <w:szCs w:val="20"/>
                <w:color w:val="auto"/>
              </w:rPr>
            </w:pPr>
            <w:r>
              <w:rPr>
                <w:rFonts w:ascii="Arial" w:cs="Arial" w:eastAsia="Arial" w:hAnsi="Arial"/>
                <w:sz w:val="16"/>
                <w:szCs w:val="16"/>
                <w:color w:val="auto"/>
              </w:rPr>
              <w:t>Changes in operating assets and liabilities, net of acquisitions: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7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233"/>
        </w:trPr>
        <w:tc>
          <w:tcPr>
            <w:tcW w:w="7980" w:type="dxa"/>
            <w:vAlign w:val="bottom"/>
            <w:gridSpan w:val="2"/>
          </w:tcPr>
          <w:p>
            <w:pPr>
              <w:ind w:left="52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(3,857)</w:t>
            </w:r>
          </w:p>
        </w:tc>
      </w:tr>
      <w:tr>
        <w:trPr>
          <w:trHeight w:val="253"/>
        </w:trPr>
        <w:tc>
          <w:tcPr>
            <w:tcW w:w="7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33"/>
        </w:trPr>
        <w:tc>
          <w:tcPr>
            <w:tcW w:w="7980" w:type="dxa"/>
            <w:vAlign w:val="bottom"/>
            <w:gridSpan w:val="2"/>
          </w:tcPr>
          <w:p>
            <w:pPr>
              <w:ind w:left="520"/>
              <w:spacing w:after="0"/>
              <w:rPr>
                <w:sz w:val="20"/>
                <w:szCs w:val="20"/>
                <w:color w:val="auto"/>
              </w:rPr>
            </w:pPr>
            <w:r>
              <w:rPr>
                <w:rFonts w:ascii="Arial" w:cs="Arial" w:eastAsia="Arial" w:hAnsi="Arial"/>
                <w:sz w:val="16"/>
                <w:szCs w:val="16"/>
                <w:color w:val="auto"/>
              </w:rPr>
              <w:t>Other long-term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53"/>
        </w:trPr>
        <w:tc>
          <w:tcPr>
            <w:tcW w:w="7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w:t>
            </w:r>
          </w:p>
        </w:tc>
      </w:tr>
      <w:tr>
        <w:trPr>
          <w:trHeight w:val="233"/>
        </w:trPr>
        <w:tc>
          <w:tcPr>
            <w:tcW w:w="7980" w:type="dxa"/>
            <w:vAlign w:val="bottom"/>
            <w:gridSpan w:val="2"/>
          </w:tcPr>
          <w:p>
            <w:pPr>
              <w:ind w:left="52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3,944</w:t>
            </w:r>
          </w:p>
        </w:tc>
      </w:tr>
      <w:tr>
        <w:trPr>
          <w:trHeight w:val="253"/>
        </w:trPr>
        <w:tc>
          <w:tcPr>
            <w:tcW w:w="7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Other current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33"/>
        </w:trPr>
        <w:tc>
          <w:tcPr>
            <w:tcW w:w="7980" w:type="dxa"/>
            <w:vAlign w:val="bottom"/>
            <w:gridSpan w:val="2"/>
          </w:tcPr>
          <w:p>
            <w:pPr>
              <w:ind w:left="52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53"/>
        </w:trPr>
        <w:tc>
          <w:tcPr>
            <w:tcW w:w="7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Deferred rent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36"/>
        </w:trPr>
        <w:tc>
          <w:tcPr>
            <w:tcW w:w="79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42,664</w:t>
            </w:r>
          </w:p>
        </w:tc>
      </w:tr>
      <w:tr>
        <w:trPr>
          <w:trHeight w:val="213"/>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(25,555)</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Proceeds from disposal of fixed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4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shops from franchisees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(76,781)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(25,488)</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Proceeds from line of credit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on line of credit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Payments on capital lease obligations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on financing lease obligations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Proceeds from long-term debt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(12,420)</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Paycheck Protection Program loan</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Payments on Paycheck Protection Program loan</w:t>
            </w:r>
          </w:p>
        </w:tc>
        <w:tc>
          <w:tcPr>
            <w:tcW w:w="3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initial public offering, net of offering costs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Distributions paid to members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(213,308)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(7,150)</w:t>
            </w:r>
          </w:p>
        </w:tc>
      </w:tr>
      <w:tr>
        <w:trPr>
          <w:trHeight w:val="25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to repurchase outstanding equity / member units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80" w:type="dxa"/>
            <w:vAlign w:val="bottom"/>
            <w:gridSpan w:val="2"/>
          </w:tcPr>
          <w:p>
            <w:pPr>
              <w:ind w:left="180"/>
              <w:spacing w:after="0"/>
              <w:rPr>
                <w:sz w:val="20"/>
                <w:szCs w:val="20"/>
                <w:color w:val="auto"/>
              </w:rPr>
            </w:pPr>
            <w:r>
              <w:rPr>
                <w:rFonts w:ascii="Arial" w:cs="Arial" w:eastAsia="Arial" w:hAnsi="Arial"/>
                <w:sz w:val="16"/>
                <w:szCs w:val="16"/>
                <w:color w:val="auto"/>
              </w:rPr>
              <w:t>Payments of IPO issuance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 payments related to stock award issuances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w:t>
            </w:r>
          </w:p>
        </w:tc>
      </w:tr>
      <w:tr>
        <w:trPr>
          <w:trHeight w:val="243"/>
        </w:trPr>
        <w:tc>
          <w:tcPr>
            <w:tcW w:w="79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21,870</w:t>
            </w:r>
          </w:p>
        </w:tc>
      </w:tr>
      <w:tr>
        <w:trPr>
          <w:trHeight w:val="236"/>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15,584</w:t>
            </w:r>
          </w:p>
        </w:tc>
      </w:tr>
      <w:tr>
        <w:trPr>
          <w:trHeight w:val="26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0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071"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6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during the period for interest</w:t>
            </w:r>
          </w:p>
        </w:tc>
        <w:tc>
          <w:tcPr>
            <w:tcW w:w="21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r>
      <w:tr>
        <w:trPr>
          <w:trHeight w:val="233"/>
        </w:trPr>
        <w:tc>
          <w:tcPr>
            <w:tcW w:w="64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53"/>
        </w:trPr>
        <w:tc>
          <w:tcPr>
            <w:tcW w:w="6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Additions of property with capital leases and financing obligations</w:t>
            </w:r>
          </w:p>
        </w:tc>
        <w:tc>
          <w:tcPr>
            <w:tcW w:w="2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w:t>
            </w: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20,528</w:t>
            </w:r>
          </w:p>
        </w:tc>
      </w:tr>
      <w:tr>
        <w:trPr>
          <w:trHeight w:val="233"/>
        </w:trPr>
        <w:tc>
          <w:tcPr>
            <w:tcW w:w="6440" w:type="dxa"/>
            <w:vAlign w:val="bottom"/>
          </w:tcPr>
          <w:p>
            <w:pPr>
              <w:ind w:left="180"/>
              <w:spacing w:after="0"/>
              <w:rPr>
                <w:sz w:val="20"/>
                <w:szCs w:val="20"/>
                <w:color w:val="auto"/>
              </w:rPr>
            </w:pPr>
            <w:r>
              <w:rPr>
                <w:rFonts w:ascii="Arial" w:cs="Arial" w:eastAsia="Arial" w:hAnsi="Arial"/>
                <w:sz w:val="16"/>
                <w:szCs w:val="16"/>
                <w:color w:val="auto"/>
              </w:rPr>
              <w:t>Additions of property and equipment accrued in accounts payable</w:t>
            </w:r>
          </w:p>
        </w:tc>
        <w:tc>
          <w:tcPr>
            <w:tcW w:w="2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2,194</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2,660</w:t>
            </w:r>
          </w:p>
        </w:tc>
      </w:tr>
      <w:tr>
        <w:trPr>
          <w:trHeight w:val="253"/>
        </w:trPr>
        <w:tc>
          <w:tcPr>
            <w:tcW w:w="6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deferred offering costs</w:t>
            </w:r>
          </w:p>
        </w:tc>
        <w:tc>
          <w:tcPr>
            <w:tcW w:w="2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DUTCH BROS INC.</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Index for Notes to Condensed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66"/>
        </w:trPr>
        <w:tc>
          <w:tcPr>
            <w:tcW w:w="8320" w:type="dxa"/>
            <w:vAlign w:val="bottom"/>
            <w:gridSpan w:val="19"/>
          </w:tcPr>
          <w:p>
            <w:pPr>
              <w:spacing w:after="0"/>
              <w:rPr>
                <w:sz w:val="20"/>
                <w:szCs w:val="20"/>
                <w:color w:val="auto"/>
              </w:rPr>
            </w:pPr>
            <w:r>
              <w:rPr>
                <w:rFonts w:ascii="Arial" w:cs="Arial" w:eastAsia="Arial" w:hAnsi="Arial"/>
                <w:sz w:val="18"/>
                <w:szCs w:val="18"/>
                <w:b w:val="1"/>
                <w:bCs w:val="1"/>
                <w:color w:val="auto"/>
              </w:rPr>
              <w:t>Note</w:t>
            </w:r>
          </w:p>
        </w:tc>
        <w:tc>
          <w:tcPr>
            <w:tcW w:w="2620" w:type="dxa"/>
            <w:vAlign w:val="bottom"/>
            <w:gridSpan w:val="3"/>
          </w:tcPr>
          <w:p>
            <w:pPr>
              <w:jc w:val="center"/>
              <w:ind w:left="2090"/>
              <w:spacing w:after="0"/>
              <w:rPr>
                <w:sz w:val="20"/>
                <w:szCs w:val="20"/>
                <w:color w:val="auto"/>
              </w:rPr>
            </w:pPr>
            <w:r>
              <w:rPr>
                <w:rFonts w:ascii="Arial" w:cs="Arial" w:eastAsia="Arial" w:hAnsi="Arial"/>
                <w:sz w:val="18"/>
                <w:szCs w:val="18"/>
                <w:b w:val="1"/>
                <w:bCs w:val="1"/>
                <w:color w:val="auto"/>
              </w:rPr>
              <w:t>Page</w:t>
            </w: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Organization and Nature of Operations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14">
              <w:r>
                <w:rPr>
                  <w:rFonts w:ascii="Arial" w:cs="Arial" w:eastAsia="Arial" w:hAnsi="Arial"/>
                  <w:sz w:val="18"/>
                  <w:szCs w:val="18"/>
                  <w:color w:val="0000FF"/>
                  <w:w w:val="99"/>
                </w:rPr>
                <w:t>15</w:t>
              </w:r>
            </w:hyperlink>
          </w:p>
        </w:tc>
      </w:tr>
      <w:tr>
        <w:trPr>
          <w:trHeight w:val="209"/>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1</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Basis of Presentation and Summary of Significant Accounting Policies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16">
              <w:r>
                <w:rPr>
                  <w:rFonts w:ascii="Arial" w:cs="Arial" w:eastAsia="Arial" w:hAnsi="Arial"/>
                  <w:sz w:val="18"/>
                  <w:szCs w:val="18"/>
                  <w:color w:val="0000FF"/>
                  <w:w w:val="99"/>
                </w:rPr>
                <w:t>16</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2</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20" w:type="dxa"/>
            <w:vAlign w:val="bottom"/>
            <w:tcBorders>
              <w:top w:val="single" w:sz="8" w:color="0000FF"/>
            </w:tcBorders>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Revenue Recognition</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18">
              <w:r>
                <w:rPr>
                  <w:rFonts w:ascii="Arial" w:cs="Arial" w:eastAsia="Arial" w:hAnsi="Arial"/>
                  <w:sz w:val="18"/>
                  <w:szCs w:val="18"/>
                  <w:color w:val="0000FF"/>
                  <w:w w:val="99"/>
                </w:rPr>
                <w:t>19</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Shop Acquisitions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19">
              <w:r>
                <w:rPr>
                  <w:rFonts w:ascii="Arial" w:cs="Arial" w:eastAsia="Arial" w:hAnsi="Arial"/>
                  <w:sz w:val="18"/>
                  <w:szCs w:val="18"/>
                  <w:color w:val="0000FF"/>
                  <w:w w:val="99"/>
                </w:rPr>
                <w:t>20</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Fair Value Measurements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0">
              <w:r>
                <w:rPr>
                  <w:rFonts w:ascii="Arial" w:cs="Arial" w:eastAsia="Arial" w:hAnsi="Arial"/>
                  <w:sz w:val="18"/>
                  <w:szCs w:val="18"/>
                  <w:color w:val="0000FF"/>
                  <w:w w:val="99"/>
                </w:rPr>
                <w:t>21</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5</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Inventories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1">
              <w:r>
                <w:rPr>
                  <w:rFonts w:ascii="Arial" w:cs="Arial" w:eastAsia="Arial" w:hAnsi="Arial"/>
                  <w:sz w:val="18"/>
                  <w:szCs w:val="18"/>
                  <w:color w:val="0000FF"/>
                  <w:w w:val="99"/>
                </w:rPr>
                <w:t>21</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Property and Equipment</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1">
              <w:r>
                <w:rPr>
                  <w:rFonts w:ascii="Arial" w:cs="Arial" w:eastAsia="Arial" w:hAnsi="Arial"/>
                  <w:sz w:val="18"/>
                  <w:szCs w:val="18"/>
                  <w:color w:val="0000FF"/>
                  <w:w w:val="99"/>
                </w:rPr>
                <w:t>21</w:t>
              </w:r>
            </w:hyperlink>
          </w:p>
        </w:tc>
      </w:tr>
      <w:tr>
        <w:trPr>
          <w:trHeight w:val="209"/>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7</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Intangible Assets and Goodwill</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1">
              <w:r>
                <w:rPr>
                  <w:rFonts w:ascii="Arial" w:cs="Arial" w:eastAsia="Arial" w:hAnsi="Arial"/>
                  <w:sz w:val="18"/>
                  <w:szCs w:val="18"/>
                  <w:color w:val="0000FF"/>
                  <w:w w:val="99"/>
                </w:rPr>
                <w:t>22</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8</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Leases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2">
              <w:r>
                <w:rPr>
                  <w:rFonts w:ascii="Arial" w:cs="Arial" w:eastAsia="Arial" w:hAnsi="Arial"/>
                  <w:sz w:val="18"/>
                  <w:szCs w:val="18"/>
                  <w:color w:val="0000FF"/>
                  <w:w w:val="99"/>
                </w:rPr>
                <w:t>22</w:t>
              </w:r>
            </w:hyperlink>
          </w:p>
        </w:tc>
      </w:tr>
      <w:tr>
        <w:trPr>
          <w:trHeight w:val="21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9</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Debt</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3">
              <w:r>
                <w:rPr>
                  <w:rFonts w:ascii="Arial" w:cs="Arial" w:eastAsia="Arial" w:hAnsi="Arial"/>
                  <w:sz w:val="18"/>
                  <w:szCs w:val="18"/>
                  <w:color w:val="0000FF"/>
                  <w:w w:val="99"/>
                </w:rPr>
                <w:t>23</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10</w:t>
            </w:r>
          </w:p>
        </w:tc>
        <w:tc>
          <w:tcPr>
            <w:tcW w:w="38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Income Taxes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4">
              <w:r>
                <w:rPr>
                  <w:rFonts w:ascii="Arial" w:cs="Arial" w:eastAsia="Arial" w:hAnsi="Arial"/>
                  <w:sz w:val="18"/>
                  <w:szCs w:val="18"/>
                  <w:color w:val="0000FF"/>
                  <w:w w:val="99"/>
                </w:rPr>
                <w:t>24</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11</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Equity and Stock-Based Compensation</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5">
              <w:r>
                <w:rPr>
                  <w:rFonts w:ascii="Arial" w:cs="Arial" w:eastAsia="Arial" w:hAnsi="Arial"/>
                  <w:sz w:val="18"/>
                  <w:szCs w:val="18"/>
                  <w:color w:val="0000FF"/>
                  <w:w w:val="99"/>
                </w:rPr>
                <w:t>25</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12</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Non-Controlling Interests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8">
              <w:r>
                <w:rPr>
                  <w:rFonts w:ascii="Arial" w:cs="Arial" w:eastAsia="Arial" w:hAnsi="Arial"/>
                  <w:sz w:val="18"/>
                  <w:szCs w:val="18"/>
                  <w:color w:val="0000FF"/>
                  <w:w w:val="99"/>
                </w:rPr>
                <w:t>29</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13</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Earnings (Loss) per Share</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29">
              <w:r>
                <w:rPr>
                  <w:rFonts w:ascii="Arial" w:cs="Arial" w:eastAsia="Arial" w:hAnsi="Arial"/>
                  <w:sz w:val="18"/>
                  <w:szCs w:val="18"/>
                  <w:color w:val="0000FF"/>
                  <w:w w:val="99"/>
                </w:rPr>
                <w:t>30</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14</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gridSpan w:val="19"/>
          </w:tcPr>
          <w:p>
            <w:pPr>
              <w:ind w:left="5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Commitments and Contingencies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15</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Related Party Transactions</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16</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20" w:type="dxa"/>
            <w:vAlign w:val="bottom"/>
            <w:gridSpan w:val="19"/>
          </w:tcPr>
          <w:p>
            <w:pPr>
              <w:ind w:left="5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Segment Reporting</w:t>
              </w:r>
            </w:hyperlink>
          </w:p>
        </w:tc>
        <w:tc>
          <w:tcPr>
            <w:tcW w:w="2620" w:type="dxa"/>
            <w:vAlign w:val="bottom"/>
            <w:gridSpan w:val="3"/>
          </w:tcPr>
          <w:p>
            <w:pPr>
              <w:jc w:val="center"/>
              <w:ind w:left="2090"/>
              <w:spacing w:after="0" w:line="202" w:lineRule="exact"/>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10"/>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17</w:t>
            </w:r>
          </w:p>
        </w:tc>
        <w:tc>
          <w:tcPr>
            <w:tcW w:w="3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DUTCH BROS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Dutch Bros Inc. (the “Company”) was formed on June 4, 2021 as a Delaware corporation for the purpose of facilitating an initial public offering (the “IPO”) and other related transactions in order to carry on the business of Dutch Mafia, LLC, a limited liability company, and its subsidiaries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As of September 30, 2021, the Company owned approximately 28.7% of Dutch Bros OpCo. The Company’s fiscal year end is December 31.</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in the business of operating and franchising drive-thru coffee shops as well as the wholesale sale and distribution of coffee, coffee-related products and accessories. As of September 30, 2021, there were 503 shops in operation in 11 U.S. states, of which 241 were company-operated and 262 were franchised.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17, 2021, the Company completed its IPO of approximately 24.2 million shares of Class A common stock at a public offering price of $23.00 per share, which included approximately 3.2 million shares issued pursuant to the exercise in full of the underwriters’ option to purchase additional shares. The Company received proceeds of approximately $520.8 million, net of offering costs. The proceeds were also used to purchase approximately 10.9 million newly-issued Class A common units from Dutch Bros OpCo for approximately $234.4 million. The proceeds were also used to purchase approximately 11.7 million Class A common units from the Continuing Members for approximately $253.3 million, and approximately 1.6 million shares of Class D common stock from the Pre-IPO Blocker Holders for approximately $34.4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Company completed the following transactions (the "Reorganization Transactions"):</w:t>
      </w:r>
    </w:p>
    <w:p>
      <w:pPr>
        <w:spacing w:after="0" w:line="252" w:lineRule="exact"/>
        <w:rPr>
          <w:sz w:val="20"/>
          <w:szCs w:val="20"/>
          <w:color w:val="auto"/>
        </w:rPr>
      </w:pPr>
    </w:p>
    <w:p>
      <w:pPr>
        <w:jc w:val="both"/>
        <w:ind w:left="660" w:right="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the Second Dutch Bros OpCo Agreement to, among other things, effect a recapitalization in which (i) the outstanding Common Units were converted into Class A common units paired with an equal number of either Class B voting units or Class C voting units, and (ii) the outstanding Profits Interest (“PI”) Units were converted into Class A common units.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the Company’s certificate of incorporation to, among other things, authorize four classes of common stock.</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acquisition of Class A common units and Class C voting units held by certain pre-IPO Dutch Bros OpCo Unitholders in exchange for shares of Class D common stock.</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Pre-IPO Dutch Bros OpCo Unitholders’ contribution of Class A common units, Class B voting units, and Class C voting units to the Company in exchange for Class A common stock, Class B common stock, and Class C common stock, respectively.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designation as managing member of the Dutch Bros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executed two Tax Receivable Agreements (“TRAs”) which provide for payment by the Company to certain Dutch Bros OpCo owners of 85% of the benefits, if any, that the Company would be deemed to realize (calculated using certain assumptions) as a result of certain tax attributes and benefits covered by the TRAs.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the Reorganization Transactions and IPO, and as of September 30, 2021, the Company held 100.0% of the voting interest and 28.7% of the economic interest of the Dutch Bros OpCo. The Dutch Bros OpCo members subsequent to the IPO (the "Continuing Members") held none of the voting interest and the remaining 71.3% of the economic interest of the Dutch Bros OpCo.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11 and 12 to the unaudited condensed consolidated financial statements.</w:t>
      </w:r>
    </w:p>
    <w:p>
      <w:pPr>
        <w:spacing w:after="0" w:line="203" w:lineRule="exact"/>
        <w:rPr>
          <w:sz w:val="20"/>
          <w:szCs w:val="20"/>
          <w:color w:val="auto"/>
        </w:rPr>
      </w:pPr>
    </w:p>
    <w:p>
      <w:pPr>
        <w:ind w:right="4920"/>
        <w:spacing w:after="0" w:line="357" w:lineRule="auto"/>
        <w:rPr>
          <w:sz w:val="20"/>
          <w:szCs w:val="20"/>
          <w:color w:val="auto"/>
        </w:rPr>
      </w:pPr>
      <w:r>
        <w:rPr>
          <w:rFonts w:ascii="Arial" w:cs="Arial" w:eastAsia="Arial" w:hAnsi="Arial"/>
          <w:sz w:val="18"/>
          <w:szCs w:val="18"/>
          <w:b w:val="1"/>
          <w:bCs w:val="1"/>
          <w:color w:val="auto"/>
        </w:rPr>
        <w:t xml:space="preserve">(2) Basis of Presentation and Summary of Significant Accounting Policies </w:t>
      </w:r>
      <w:r>
        <w:rPr>
          <w:rFonts w:ascii="Arial" w:cs="Arial" w:eastAsia="Arial" w:hAnsi="Arial"/>
          <w:sz w:val="18"/>
          <w:szCs w:val="18"/>
          <w:b w:val="1"/>
          <w:bCs w:val="1"/>
          <w:i w:val="1"/>
          <w:iCs w:val="1"/>
          <w:color w:val="auto"/>
        </w:rPr>
        <w:t>Financial Statements Presentation</w:t>
      </w:r>
    </w:p>
    <w:p>
      <w:pPr>
        <w:jc w:val="both"/>
        <w:spacing w:after="0" w:line="252" w:lineRule="auto"/>
        <w:rPr>
          <w:sz w:val="20"/>
          <w:szCs w:val="20"/>
          <w:color w:val="auto"/>
        </w:rPr>
      </w:pPr>
      <w:r>
        <w:rPr>
          <w:rFonts w:ascii="Arial" w:cs="Arial" w:eastAsia="Arial" w:hAnsi="Arial"/>
          <w:sz w:val="18"/>
          <w:szCs w:val="18"/>
          <w:color w:val="auto"/>
        </w:rPr>
        <w:t>The unaudited condensed consolidated financial statements as of September 30, 2021, and for the three and nine months ended September 30, 2021 and 2020, have been prepared by the Company in accordance with U.S. generally accepted accounting principles (“GAAP”)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These unaudited condensed consolidated financial statements should be read in conjunction with the consolidated financial statements and notes thereto included in the Company's final prospectus filed with the SEC pursuant to Rule 424(b)(4) under the Securities Act of 1933, as amended, dated September 16,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Reorganization Transactions described above were accounted for consistent with a combination of entities under common control. As a result, the financial reports filed with the SEC by the Company subsequent to the Reorganization Transactions are prepared “as if” the Dutch Bros OpCo is the accounting predecessor of the Company. The historical operations of Dutch Bros OpCo are deemed to be those of the Company. Thus, the financial statements included in this report reflect (i) the historical operating results of Dutch Bros OpCo prior to the Reorganization Transactions; (ii) the consolidated results of the Company and Dutch Bros OpCo following the Reorganization Transactions;</w:t>
      </w:r>
    </w:p>
    <w:p>
      <w:pPr>
        <w:spacing w:after="0" w:line="2" w:lineRule="exact"/>
        <w:rPr>
          <w:sz w:val="20"/>
          <w:szCs w:val="20"/>
          <w:color w:val="auto"/>
        </w:rPr>
      </w:pPr>
    </w:p>
    <w:p>
      <w:pPr>
        <w:ind w:firstLine="8"/>
        <w:spacing w:after="0" w:line="261"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and liabilities of Dutch Bros OpCo and the Company at their historical cost; and (iv) the Company’s equity structure for all periods presented. No step-up basis of intangible assets or goodwill was recorded.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corporation and sole managing member of Dutch Bros OpCo which is treated as a partnership for tax purposes. In addition to the Company and Dutch Bros OpCo, Dutch Bros OpCo is the sole member of other single member Dutch Bros OpCo entities disregarded for Federal tax purposes, and one corporate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Dutch Bros OpCo,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deferred income tax assets and deferred tax liabilities on the condensed consolidated balance sheets. A deferred tax asset is recognized if it is more likely than not that a tax benefit will be realized.</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presentation of condensed consolidated financial statements in conformity with GAAP requires management to make estimates and assumptions, primarily related to long-lived asset valuation, leases, temporary equity, and equity-based compensation that affect the reported amounts of assets and liabilities and disclosure of contingent assets and liabilities at the date of the condensed consolidated financial statements and the reported amounts of revenues and expenses during the reporting period. Although management bases its estimates on historical experience and assumptions that are believed to be reasonable under the circumstances, actual results could differ from those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 and Vendor Incentives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Advertising costs are expensed as they are incurred. Most franchise shops contribute to an advertising fund that the Company manages on behalf of the shops. Under the franchise agreement, the contributions received must be spent on marketing, creative efforts, media support, or other related purposes specified in the agreement. The expenditures are primarily amounts paid to third parties but may also include personnel expenses and allocated costs. Advertising expense was as follows for the periods presented:</w:t>
      </w:r>
    </w:p>
    <w:tbl>
      <w:tblPr>
        <w:tblLayout w:type="fixed"/>
        <w:tblInd w:w="0" w:type="dxa"/>
        <w:tblCellMar>
          <w:top w:w="0" w:type="dxa"/>
          <w:left w:w="0" w:type="dxa"/>
          <w:bottom w:w="0" w:type="dxa"/>
          <w:right w:w="0" w:type="dxa"/>
        </w:tblCellMar>
      </w:tblPr>
      <w:tr>
        <w:trPr>
          <w:trHeight w:val="191"/>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line="191" w:lineRule="exact"/>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6"/>
          </w:tcPr>
          <w:p>
            <w:pPr>
              <w:ind w:left="40"/>
              <w:spacing w:after="0" w:line="191" w:lineRule="exact"/>
              <w:rPr>
                <w:sz w:val="20"/>
                <w:szCs w:val="20"/>
                <w:color w:val="auto"/>
              </w:rPr>
            </w:pPr>
            <w:r>
              <w:rPr>
                <w:rFonts w:ascii="Arial" w:cs="Arial" w:eastAsia="Arial" w:hAnsi="Arial"/>
                <w:sz w:val="18"/>
                <w:szCs w:val="18"/>
                <w:b w:val="1"/>
                <w:bCs w:val="1"/>
                <w:color w:val="auto"/>
              </w:rPr>
              <w:t>Nine Months Ended September</w:t>
            </w:r>
          </w:p>
        </w:tc>
      </w:t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Advertising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entered into food and beverage supply agreements with certain major vendors. Pursuant to the terms of these arrangements, rebates are provided to the Company from the vendors based upon the dollar value of purchases for company-operated shops and franchised shops. These incentives are recognized as earned throughout the year and are classified as a reduction of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accompanying condensed consolidated statements of operations. Vendor incentives recognized in cost of sales were as follows for the periods presented:</w:t>
      </w: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line="185" w:lineRule="exact"/>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6"/>
          </w:tcPr>
          <w:p>
            <w:pPr>
              <w:ind w:left="40"/>
              <w:spacing w:after="0" w:line="185" w:lineRule="exact"/>
              <w:rPr>
                <w:sz w:val="20"/>
                <w:szCs w:val="20"/>
                <w:color w:val="auto"/>
              </w:rPr>
            </w:pPr>
            <w:r>
              <w:rPr>
                <w:rFonts w:ascii="Arial" w:cs="Arial" w:eastAsia="Arial" w:hAnsi="Arial"/>
                <w:sz w:val="18"/>
                <w:szCs w:val="18"/>
                <w:b w:val="1"/>
                <w:bCs w:val="1"/>
                <w:color w:val="auto"/>
              </w:rPr>
              <w:t>Nine Months Ended September</w:t>
            </w:r>
          </w:p>
        </w:tc>
      </w:t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Vendor incentives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Updated (“ASU”) No. 2016-02, “Leases (Topic 842).” The pronouncement requires lessees to recognize a liability for lease obligations, which represent the discounted obligation to make future minimum lease payments, and a corresponding right-of-use asset on the balance sheet. The guidance requires disclosure of key information about leasing arrangements which are intended to give financial statement users the ability to assess the amount, timing, and potential uncertainty of cash flows related to leases. The Company expects to adopt the requirements of the new lease standard effective January 1, 2022. Management is currently evaluating the provisions of the new lease standard, including optional practical expedients, and assessing the Company’s existing lease portfolio in order to determine the impact to its accounting systems, processes and internal control over financial reporting. The adoption of ASU 2016-02 will have a significant impact on the Company’s condensed consolidated balance sheets because it will record material assets and obligations for current operating leases. Management is still assessing the expected impact on the Company’s consolidated financial statements.</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The amendments in this update simplify the subsequent measurement of goodwill by removing the second step of the two-step impairment test. The amendment requires an entity to perform its annual or interim goodwill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The amendment should be applied on a prospective basis. ASU 2017-04 is effective for annual or any interim goodwill impairment tests in fiscal years beginning after December 15, 2021. The amendments in ASU 2017-04 are to be applied on a prospective basis, and the adoption is not expected to have a material impact on the Company's consolidated financial statements.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ASU 2016-13 replaces the incurred loss impairment methodology in current GAAP with a methodology that reflects expected credit losses and requires consideration of a broader range of reasonable and supportable information to inform credit loss estimates. For accounts receivable and other financial instruments, the Company will be required to use a forward-looking expected loss model rather than the incurred loss model for recognizing credit losses which reflects losses that are probable. ASU 2016-13 is effective for fiscal years beginning after December 15, 2022. Application of the amendments is through a cumulative-effect adjustment to retained earnings as of the effective date. The Company is currently evaluating the impact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(3) Revenue Recognition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gridSpan w:val="2"/>
          </w:tcPr>
          <w:p>
            <w:pPr>
              <w:spacing w:after="0"/>
              <w:rPr>
                <w:sz w:val="20"/>
                <w:szCs w:val="20"/>
                <w:color w:val="auto"/>
              </w:rPr>
            </w:pPr>
            <w:r>
              <w:rPr>
                <w:rFonts w:ascii="Arial" w:cs="Arial" w:eastAsia="Arial" w:hAnsi="Arial"/>
                <w:sz w:val="18"/>
                <w:szCs w:val="18"/>
                <w:color w:val="auto"/>
              </w:rPr>
              <w:t>The following table disaggregates revenue by major component: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Company-operated shops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66,695</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Franchising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58,076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23"/>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129,803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86,658</w:t>
            </w:r>
          </w:p>
        </w:tc>
        <w:tc>
          <w:tcPr>
            <w:tcW w:w="20" w:type="dxa"/>
            <w:vAlign w:val="bottom"/>
          </w:tcPr>
          <w:p>
            <w:pPr>
              <w:spacing w:after="0"/>
              <w:rPr>
                <w:sz w:val="19"/>
                <w:szCs w:val="19"/>
                <w:color w:val="auto"/>
              </w:rPr>
            </w:pPr>
          </w:p>
        </w:tc>
        <w:tc>
          <w:tcPr>
            <w:tcW w:w="3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357,796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237,517</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Deferred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8"/>
          </w:tcPr>
          <w:p>
            <w:pPr>
              <w:spacing w:after="0"/>
              <w:rPr>
                <w:sz w:val="20"/>
                <w:szCs w:val="20"/>
                <w:color w:val="auto"/>
              </w:rPr>
            </w:pPr>
            <w:r>
              <w:rPr>
                <w:rFonts w:ascii="Arial" w:cs="Arial" w:eastAsia="Arial" w:hAnsi="Arial"/>
                <w:sz w:val="18"/>
                <w:szCs w:val="18"/>
                <w:color w:val="auto"/>
              </w:rPr>
              <w:t>Deferred revenue activity related to the Company’s loyalty and gift card programs was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Revenue deferred - card activations and rewards earned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122,326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13,256</w:t>
            </w: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 card and rewards redemptions and breakage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September 30</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15,935</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64"/>
        </w:trPr>
        <w:tc>
          <w:tcPr>
            <w:tcW w:w="5960" w:type="dxa"/>
            <w:vAlign w:val="bottom"/>
            <w:gridSpan w:val="3"/>
          </w:tcPr>
          <w:p>
            <w:pPr>
              <w:ind w:left="140"/>
              <w:spacing w:after="0"/>
              <w:rPr>
                <w:sz w:val="20"/>
                <w:szCs w:val="20"/>
                <w:color w:val="auto"/>
              </w:rPr>
            </w:pPr>
            <w:r>
              <w:rPr>
                <w:rFonts w:ascii="Arial" w:cs="Arial" w:eastAsia="Arial" w:hAnsi="Arial"/>
                <w:sz w:val="18"/>
                <w:szCs w:val="18"/>
                <w:color w:val="auto"/>
              </w:rPr>
              <w:t>Deferred revenue, net of current portion, gift card and loyalty programs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revenue also includes customer advances and sales to distributors where the performance obligation has not been satisfied and control has not been transferred to the customer as of the reporting date, as well as initial unearned franchise fees from franchisees. These deferred revenues reported in the Company’s condensed consolidated balance sheets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2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advances and outstanding performance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7"/>
              </w:rPr>
              <w:t>3,044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7"/>
              </w:rPr>
              <w:t>2,815</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Initial unearned franchise fees from franchisees</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left="1470"/>
              <w:spacing w:after="0"/>
              <w:rPr>
                <w:sz w:val="20"/>
                <w:szCs w:val="20"/>
                <w:color w:val="auto"/>
              </w:rPr>
            </w:pPr>
            <w:r>
              <w:rPr>
                <w:rFonts w:ascii="Arial" w:cs="Arial" w:eastAsia="Arial" w:hAnsi="Arial"/>
                <w:sz w:val="18"/>
                <w:szCs w:val="18"/>
                <w:color w:val="auto"/>
                <w:w w:val="97"/>
              </w:rPr>
              <w:t>2,576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left="1430"/>
              <w:spacing w:after="0"/>
              <w:rPr>
                <w:sz w:val="20"/>
                <w:szCs w:val="20"/>
                <w:color w:val="auto"/>
              </w:rPr>
            </w:pPr>
            <w:r>
              <w:rPr>
                <w:rFonts w:ascii="Arial" w:cs="Arial" w:eastAsia="Arial" w:hAnsi="Arial"/>
                <w:sz w:val="18"/>
                <w:szCs w:val="18"/>
                <w:color w:val="auto"/>
                <w:w w:val="97"/>
              </w:rPr>
              <w:t>2,547</w:t>
            </w: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revenue, customer advances and sales to distributors</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7"/>
              </w:rPr>
              <w:t>5,620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7"/>
              </w:rPr>
              <w:t>5,362</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left="145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168"/>
        </w:trPr>
        <w:tc>
          <w:tcPr>
            <w:tcW w:w="634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8"/>
                <w:szCs w:val="18"/>
                <w:color w:val="auto"/>
              </w:rPr>
              <w:t>Deferred revenue, net of current portion, customer advances and sales to</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vMerge w:val="restart"/>
            <w:shd w:val="clear" w:color="auto" w:fill="CCEEFF"/>
          </w:tcPr>
          <w:p>
            <w:pPr>
              <w:jc w:val="center"/>
              <w:ind w:left="1470"/>
              <w:spacing w:after="0"/>
              <w:rPr>
                <w:sz w:val="20"/>
                <w:szCs w:val="20"/>
                <w:color w:val="auto"/>
              </w:rPr>
            </w:pPr>
            <w:r>
              <w:rPr>
                <w:rFonts w:ascii="Arial" w:cs="Arial" w:eastAsia="Arial" w:hAnsi="Arial"/>
                <w:sz w:val="18"/>
                <w:szCs w:val="18"/>
                <w:color w:val="auto"/>
                <w:w w:val="97"/>
              </w:rPr>
              <w:t>2,124</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vMerge w:val="restart"/>
            <w:shd w:val="clear" w:color="auto" w:fill="CCEEFF"/>
          </w:tcPr>
          <w:p>
            <w:pPr>
              <w:jc w:val="center"/>
              <w:ind w:left="1430"/>
              <w:spacing w:after="0"/>
              <w:rPr>
                <w:sz w:val="20"/>
                <w:szCs w:val="20"/>
                <w:color w:val="auto"/>
              </w:rPr>
            </w:pPr>
            <w:r>
              <w:rPr>
                <w:rFonts w:ascii="Arial" w:cs="Arial" w:eastAsia="Arial" w:hAnsi="Arial"/>
                <w:sz w:val="18"/>
                <w:szCs w:val="18"/>
                <w:color w:val="auto"/>
                <w:w w:val="97"/>
              </w:rPr>
              <w:t>3,713</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distributors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2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2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from initial unearned franchise fees was as follows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Earned franchise fees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Shop Acquisitions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2021, the Company repurchased the franchise rights and assets of seven coffee shops from two separate franchisees in Washington. For the year ended December 31, 2020, the Company repurchased the franchise rights and assets of five shops from a franchisee in Colorado. The following table summarizes the allocations of the purchase prices to the estimated fair values of assets acquired and liabilities assumed. The 2021 acquisitions are considered preliminary and subject to change within the measurement period (up to one year from the acquisition dates):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212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consideration:</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29"/>
        </w:trPr>
        <w:tc>
          <w:tcPr>
            <w:tcW w:w="6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Purchase price consideration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r>
      <w:tr>
        <w:trPr>
          <w:trHeight w:val="223"/>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 and fixtures</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Building and leasehold improvements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Reacquired franchise rights</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Gift card liability</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3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Reacquired franchise rights acquired have weighted-average useful lives of 6.0 and 4.7 years at the time of purchase for the nine months ended September 30, 2021 and year ended December 31, 2020, respectively. The excess of the purchase price over the aggregate fair value of net assets acquired was allocated to goodwill and is attributable to the benefits expected as a result of the acquisitions, including sales and growth opportunities, and is expected to be fully deductible for tax purposes. Goodwill is allocated entirely to the Company-operated shops segment.</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fair value measurement of tangible and intangible assets and liabilities as of the acquisition dates is based on significant inputs not observed in the market and thus represents a Level 3 fair value measurement. Fair value measurements for reacquired franchise rights were determined using the income approach. Fair value measurements for property and equipment were determined using the cost approach.</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for the 2021 acquisitions are included in the Company’s condensed consolidated statements of operations beginning on the date of acquisition. Revenues of approximately $3.3 million and net income of approximately $0.2 million are included in the Company’s condensed consolidated statements of operations for the nine months ended September 30, 2021.</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the unaudited pro forma results of the Company and the seven shops purchased in 2021 as if the acquisitions had taken place as of January 1, 2020:</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243,869</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(110,959)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revolving loans approximates their carrying amounts as the Company’s cost of borrowing is variable and approximates current market rates.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78"/>
        </w:trPr>
        <w:tc>
          <w:tcPr>
            <w:tcW w:w="6100" w:type="dxa"/>
            <w:vAlign w:val="bottom"/>
            <w:gridSpan w:val="2"/>
          </w:tcPr>
          <w:p>
            <w:pPr>
              <w:spacing w:after="0"/>
              <w:rPr>
                <w:sz w:val="20"/>
                <w:szCs w:val="20"/>
                <w:color w:val="auto"/>
              </w:rPr>
            </w:pPr>
            <w:r>
              <w:rPr>
                <w:rFonts w:ascii="Arial" w:cs="Arial" w:eastAsia="Arial" w:hAnsi="Arial"/>
                <w:sz w:val="18"/>
                <w:szCs w:val="18"/>
                <w:color w:val="auto"/>
              </w:rPr>
              <w:t>Inventories, net consists of the following:</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56"/>
        </w:trPr>
        <w:tc>
          <w:tcPr>
            <w:tcW w:w="6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As of</w:t>
            </w:r>
          </w:p>
        </w:tc>
        <w:tc>
          <w:tcPr>
            <w:tcW w:w="2140" w:type="dxa"/>
            <w:vAlign w:val="bottom"/>
            <w:tcBorders>
              <w:bottom w:val="single" w:sz="8" w:color="auto"/>
            </w:tcBorders>
          </w:tcPr>
          <w:p>
            <w:pPr>
              <w:spacing w:after="0"/>
              <w:rPr>
                <w:sz w:val="22"/>
                <w:szCs w:val="22"/>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29"/>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w:t>
            </w:r>
          </w:p>
        </w:tc>
      </w:tr>
      <w:tr>
        <w:trPr>
          <w:trHeight w:val="248"/>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reserves for inventories were $2,182 and $2,240,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gridSpan w:val="4"/>
          </w:tcPr>
          <w:p>
            <w:pPr>
              <w:spacing w:after="0"/>
              <w:rPr>
                <w:sz w:val="20"/>
                <w:szCs w:val="20"/>
                <w:color w:val="auto"/>
              </w:rPr>
            </w:pPr>
            <w:r>
              <w:rPr>
                <w:rFonts w:ascii="Arial" w:cs="Arial" w:eastAsia="Arial" w:hAnsi="Arial"/>
                <w:sz w:val="18"/>
                <w:szCs w:val="18"/>
                <w:color w:val="auto"/>
              </w:rPr>
              <w:t>Property and equipment consists of the following:</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As of</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 xml:space="preserve">Useful Life </w:t>
            </w:r>
            <w:r>
              <w:rPr>
                <w:rFonts w:ascii="Arial" w:cs="Arial" w:eastAsia="Arial" w:hAnsi="Arial"/>
                <w:sz w:val="14"/>
                <w:szCs w:val="14"/>
                <w:color w:val="auto"/>
                <w:w w:val="99"/>
              </w:rPr>
              <w:t>(Years)</w:t>
            </w:r>
          </w:p>
        </w:tc>
        <w:tc>
          <w:tcPr>
            <w:tcW w:w="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19"/>
                <w:szCs w:val="19"/>
                <w:color w:val="auto"/>
              </w:rPr>
            </w:pPr>
          </w:p>
        </w:tc>
        <w:tc>
          <w:tcPr>
            <w:tcW w:w="2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8"/>
        </w:trPr>
        <w:tc>
          <w:tcPr>
            <w:tcW w:w="2040" w:type="dxa"/>
            <w:vAlign w:val="bottom"/>
          </w:tcPr>
          <w:p>
            <w:pPr>
              <w:ind w:left="20"/>
              <w:spacing w:after="0"/>
              <w:rPr>
                <w:sz w:val="20"/>
                <w:szCs w:val="20"/>
                <w:color w:val="auto"/>
              </w:rPr>
            </w:pPr>
            <w:r>
              <w:rPr>
                <w:rFonts w:ascii="Arial" w:cs="Arial" w:eastAsia="Arial" w:hAnsi="Arial"/>
                <w:sz w:val="18"/>
                <w:szCs w:val="18"/>
                <w:color w:val="auto"/>
              </w:rPr>
              <w:t>Vehicles</w:t>
            </w:r>
          </w:p>
        </w:tc>
        <w:tc>
          <w:tcPr>
            <w:tcW w:w="2860" w:type="dxa"/>
            <w:vAlign w:val="bottom"/>
            <w:gridSpan w:val="3"/>
          </w:tcPr>
          <w:p>
            <w:pPr>
              <w:jc w:val="center"/>
              <w:ind w:left="2316"/>
              <w:spacing w:after="0"/>
              <w:rPr>
                <w:sz w:val="20"/>
                <w:szCs w:val="20"/>
                <w:color w:val="auto"/>
              </w:rPr>
            </w:pPr>
            <w:r>
              <w:rPr>
                <w:rFonts w:ascii="Arial" w:cs="Arial" w:eastAsia="Arial" w:hAnsi="Arial"/>
                <w:sz w:val="18"/>
                <w:szCs w:val="18"/>
                <w:color w:val="auto"/>
                <w:w w:val="99"/>
              </w:rPr>
              <w:t>5</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fixtures</w:t>
            </w:r>
          </w:p>
        </w:tc>
        <w:tc>
          <w:tcPr>
            <w:tcW w:w="2860" w:type="dxa"/>
            <w:vAlign w:val="bottom"/>
            <w:tcBorders>
              <w:bottom w:val="single" w:sz="8" w:color="CCEEFF"/>
            </w:tcBorders>
            <w:gridSpan w:val="3"/>
            <w:shd w:val="clear" w:color="auto" w:fill="CCEEFF"/>
          </w:tcPr>
          <w:p>
            <w:pPr>
              <w:jc w:val="center"/>
              <w:ind w:left="2316"/>
              <w:spacing w:after="0"/>
              <w:rPr>
                <w:sz w:val="20"/>
                <w:szCs w:val="20"/>
                <w:color w:val="auto"/>
              </w:rPr>
            </w:pPr>
            <w:r>
              <w:rPr>
                <w:rFonts w:ascii="Arial" w:cs="Arial" w:eastAsia="Arial" w:hAnsi="Arial"/>
                <w:sz w:val="18"/>
                <w:szCs w:val="18"/>
                <w:color w:val="auto"/>
                <w:w w:val="99"/>
              </w:rPr>
              <w:t>3</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0" w:type="dxa"/>
            <w:vAlign w:val="bottom"/>
          </w:tcPr>
          <w:p>
            <w:pPr>
              <w:spacing w:after="0"/>
              <w:rPr>
                <w:sz w:val="1"/>
                <w:szCs w:val="1"/>
                <w:color w:val="auto"/>
              </w:rPr>
            </w:pPr>
          </w:p>
        </w:tc>
      </w:tr>
      <w:tr>
        <w:trPr>
          <w:trHeight w:val="248"/>
        </w:trPr>
        <w:tc>
          <w:tcPr>
            <w:tcW w:w="2040" w:type="dxa"/>
            <w:vAlign w:val="bottom"/>
          </w:tcPr>
          <w:p>
            <w:pPr>
              <w:ind w:left="20"/>
              <w:spacing w:after="0"/>
              <w:rPr>
                <w:sz w:val="20"/>
                <w:szCs w:val="20"/>
                <w:color w:val="auto"/>
              </w:rPr>
            </w:pPr>
            <w:r>
              <w:rPr>
                <w:rFonts w:ascii="Arial" w:cs="Arial" w:eastAsia="Arial" w:hAnsi="Arial"/>
                <w:sz w:val="18"/>
                <w:szCs w:val="18"/>
                <w:color w:val="auto"/>
                <w:w w:val="99"/>
              </w:rPr>
              <w:t>Leasehold improvements</w:t>
            </w:r>
          </w:p>
        </w:tc>
        <w:tc>
          <w:tcPr>
            <w:tcW w:w="2860" w:type="dxa"/>
            <w:vAlign w:val="bottom"/>
            <w:gridSpan w:val="3"/>
          </w:tcPr>
          <w:p>
            <w:pPr>
              <w:jc w:val="center"/>
              <w:ind w:left="2316"/>
              <w:spacing w:after="0"/>
              <w:rPr>
                <w:sz w:val="20"/>
                <w:szCs w:val="20"/>
                <w:color w:val="auto"/>
              </w:rPr>
            </w:pPr>
            <w:r>
              <w:rPr>
                <w:rFonts w:ascii="Arial" w:cs="Arial" w:eastAsia="Arial" w:hAnsi="Arial"/>
                <w:sz w:val="18"/>
                <w:szCs w:val="18"/>
                <w:color w:val="auto"/>
                <w:w w:val="99"/>
              </w:rPr>
              <w:t>5</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860" w:type="dxa"/>
            <w:vAlign w:val="bottom"/>
            <w:tcBorders>
              <w:bottom w:val="single" w:sz="8" w:color="CCEEFF"/>
            </w:tcBorders>
            <w:gridSpan w:val="3"/>
            <w:shd w:val="clear" w:color="auto" w:fill="CCEEFF"/>
          </w:tcPr>
          <w:p>
            <w:pPr>
              <w:jc w:val="center"/>
              <w:ind w:left="2336"/>
              <w:spacing w:after="0"/>
              <w:rPr>
                <w:sz w:val="20"/>
                <w:szCs w:val="20"/>
                <w:color w:val="auto"/>
              </w:rPr>
            </w:pPr>
            <w:r>
              <w:rPr>
                <w:rFonts w:ascii="Arial" w:cs="Arial" w:eastAsia="Arial" w:hAnsi="Arial"/>
                <w:sz w:val="18"/>
                <w:szCs w:val="18"/>
                <w:color w:val="auto"/>
                <w:w w:val="99"/>
              </w:rPr>
              <w:t>10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112,106</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Land</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180" w:type="dxa"/>
            <w:vAlign w:val="bottom"/>
            <w:shd w:val="clear" w:color="auto" w:fill="CCEEFF"/>
          </w:tcPr>
          <w:p>
            <w:pPr>
              <w:jc w:val="right"/>
              <w:ind w:right="1956"/>
              <w:spacing w:after="0"/>
              <w:rPr>
                <w:sz w:val="20"/>
                <w:szCs w:val="20"/>
                <w:color w:val="auto"/>
              </w:rPr>
            </w:pPr>
            <w:r>
              <w:rPr>
                <w:rFonts w:ascii="Arial" w:cs="Arial" w:eastAsia="Arial" w:hAnsi="Arial"/>
                <w:sz w:val="12"/>
                <w:szCs w:val="12"/>
                <w:color w:val="auto"/>
                <w:w w:val="81"/>
              </w:rPr>
              <w:t>(1)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Property and equipment, gross</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200,182</w:t>
            </w:r>
          </w:p>
        </w:tc>
        <w:tc>
          <w:tcPr>
            <w:tcW w:w="0" w:type="dxa"/>
            <w:vAlign w:val="bottom"/>
          </w:tcPr>
          <w:p>
            <w:pPr>
              <w:spacing w:after="0"/>
              <w:rPr>
                <w:sz w:val="1"/>
                <w:szCs w:val="1"/>
                <w:color w:val="auto"/>
              </w:rPr>
            </w:pPr>
          </w:p>
        </w:tc>
      </w:tr>
      <w:tr>
        <w:trPr>
          <w:trHeight w:val="27"/>
        </w:trPr>
        <w:tc>
          <w:tcPr>
            <w:tcW w:w="4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5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(34,759)</w:t>
            </w:r>
          </w:p>
        </w:tc>
        <w:tc>
          <w:tcPr>
            <w:tcW w:w="0" w:type="dxa"/>
            <w:vAlign w:val="bottom"/>
          </w:tcPr>
          <w:p>
            <w:pPr>
              <w:spacing w:after="0"/>
              <w:rPr>
                <w:sz w:val="1"/>
                <w:szCs w:val="1"/>
                <w:color w:val="auto"/>
              </w:rPr>
            </w:pPr>
          </w:p>
        </w:tc>
      </w:tr>
      <w:tr>
        <w:trPr>
          <w:trHeight w:val="263"/>
        </w:trPr>
        <w:tc>
          <w:tcPr>
            <w:tcW w:w="4900" w:type="dxa"/>
            <w:vAlign w:val="bottom"/>
            <w:gridSpan w:val="4"/>
          </w:tcPr>
          <w:p>
            <w:pPr>
              <w:ind w:left="140"/>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165,423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Construction-in-progress primarily consists of construction and equipment costs for new and existing shops.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included in the Company’s condensed consolidated statements of operations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r>
      <w:tr>
        <w:trPr>
          <w:trHeight w:val="230"/>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43"/>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(8) Intangible Assets and Goodwill</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80" w:type="dxa"/>
            <w:vAlign w:val="bottom"/>
            <w:gridSpan w:val="2"/>
          </w:tcPr>
          <w:p>
            <w:pPr>
              <w:spacing w:after="0"/>
              <w:rPr>
                <w:sz w:val="20"/>
                <w:szCs w:val="20"/>
                <w:color w:val="auto"/>
              </w:rPr>
            </w:pPr>
            <w:r>
              <w:rPr>
                <w:rFonts w:ascii="Arial" w:cs="Arial" w:eastAsia="Arial" w:hAnsi="Arial"/>
                <w:sz w:val="18"/>
                <w:szCs w:val="18"/>
                <w:i w:val="1"/>
                <w:iCs w:val="1"/>
                <w:color w:val="auto"/>
              </w:rPr>
              <w:t>Intangible Assets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80" w:type="dxa"/>
            <w:vAlign w:val="bottom"/>
            <w:gridSpan w:val="2"/>
          </w:tcPr>
          <w:p>
            <w:pPr>
              <w:spacing w:after="0"/>
              <w:rPr>
                <w:sz w:val="20"/>
                <w:szCs w:val="20"/>
                <w:color w:val="auto"/>
              </w:rPr>
            </w:pPr>
            <w:r>
              <w:rPr>
                <w:rFonts w:ascii="Arial" w:cs="Arial" w:eastAsia="Arial" w:hAnsi="Arial"/>
                <w:sz w:val="18"/>
                <w:szCs w:val="18"/>
                <w:color w:val="auto"/>
              </w:rPr>
              <w:t>The details of the intangible assets are as follows: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Weighted-average</w:t>
            </w: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ind w:left="1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2021</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 xml:space="preserve">amortization period </w:t>
            </w:r>
            <w:r>
              <w:rPr>
                <w:rFonts w:ascii="Arial" w:cs="Arial" w:eastAsia="Arial" w:hAnsi="Arial"/>
                <w:sz w:val="14"/>
                <w:szCs w:val="14"/>
                <w:color w:val="auto"/>
              </w:rPr>
              <w:t>(in years)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rPr>
              <w:t>25,314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8"/>
              </w:rPr>
              <w:t>22,000</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8"/>
              </w:rPr>
              <w:t>(13,260)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rPr>
              <w:t>12,054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8"/>
              </w:rPr>
              <w:t>11,323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included in the Company’s condensed consolidated statements of operations was as follows: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30"/>
        </w:trPr>
        <w:tc>
          <w:tcPr>
            <w:tcW w:w="23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19"/>
                <w:szCs w:val="19"/>
                <w:color w:val="auto"/>
              </w:rPr>
            </w:pPr>
          </w:p>
        </w:tc>
      </w:tr>
      <w:tr>
        <w:trPr>
          <w:trHeight w:val="223"/>
        </w:trPr>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940" w:space="720"/>
            <w:col w:w="5580"/>
          </w:cols>
          <w:pgMar w:left="320" w:top="144" w:right="33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Goodwill is allocated entirely to the company-operated shops segment. The carrying amount and activity of goodwill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3"/>
        </w:trPr>
        <w:tc>
          <w:tcPr>
            <w:tcW w:w="9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w:t>
            </w:r>
          </w:p>
        </w:tc>
      </w:tr>
      <w:tr>
        <w:trPr>
          <w:trHeight w:val="230"/>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Business combinations</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2021</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were recognized for the nine months ended September 30, 2021 and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2021, the Company is obligated under multiple building capital leases that expire at various dates through 2036. Capital leases reported in the Company’s condensed consolidated balance sheets were as follows:</w:t>
      </w: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As of</w:t>
            </w:r>
          </w:p>
        </w:tc>
        <w:tc>
          <w:tcPr>
            <w:tcW w:w="214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56,283</w:t>
            </w:r>
          </w:p>
        </w:tc>
      </w:tr>
      <w:tr>
        <w:trPr>
          <w:trHeight w:val="230"/>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w:t>
            </w:r>
          </w:p>
        </w:tc>
      </w:tr>
      <w:tr>
        <w:trPr>
          <w:trHeight w:val="248"/>
        </w:trPr>
        <w:tc>
          <w:tcPr>
            <w:tcW w:w="61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Capital leased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Future minimum lease payments under noncancellable operating leases and capital lease obligations were as follows at September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Operating</w:t>
            </w:r>
          </w:p>
        </w:tc>
      </w:tr>
      <w:tr>
        <w:trPr>
          <w:trHeight w:val="26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10,587</w:t>
            </w: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9,855</w:t>
            </w: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r>
      <w:tr>
        <w:trPr>
          <w:trHeight w:val="270"/>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84,345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96,916</w:t>
            </w:r>
          </w:p>
        </w:tc>
      </w:tr>
      <w:tr>
        <w:trPr>
          <w:trHeight w:val="243"/>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115,333</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660" w:type="dxa"/>
            <w:vAlign w:val="bottom"/>
            <w:tcBorders>
              <w:bottom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(39,925)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223"/>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 value of minimum capital lease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48"/>
        </w:trPr>
        <w:tc>
          <w:tcPr>
            <w:tcW w:w="5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447"/>
        </w:trPr>
        <w:tc>
          <w:tcPr>
            <w:tcW w:w="9200" w:type="dxa"/>
            <w:vAlign w:val="bottom"/>
            <w:gridSpan w:val="10"/>
          </w:tcPr>
          <w:p>
            <w:pPr>
              <w:spacing w:after="0"/>
              <w:rPr>
                <w:sz w:val="20"/>
                <w:szCs w:val="20"/>
                <w:color w:val="auto"/>
              </w:rPr>
            </w:pPr>
            <w:r>
              <w:rPr>
                <w:rFonts w:ascii="Arial" w:cs="Arial" w:eastAsia="Arial" w:hAnsi="Arial"/>
                <w:sz w:val="18"/>
                <w:szCs w:val="18"/>
                <w:color w:val="auto"/>
              </w:rPr>
              <w:t>Rent expense included in the Company’s condensed consolidated statements of operations was as follows: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7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Nine Months Ended September</w:t>
            </w:r>
          </w:p>
        </w:tc>
      </w:t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6,978</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Credit Facility</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the Company entered into a new credit facility with a total capacity of $350.0 million, of which $150.0 million is available for revolving loans and $200.0 million is available for term loans, all of which have a maturity date of May 2026. The new credit facility also includes a $30.0 million letter of credit sub-facility and a $10.0 million swing-line loan sub-facility. As of September 30, 2021, $35.0 million and $0.0 million were outstanding on the revolving loans and term loans, respectively, and $115.0 million and $200.0 million were available for borrowing on the revolving loans and term loans, respectively. The Company was in compliance with its financial covenants as of September 30, 2021.</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17, 2021, the Company completed its IPO. Subsequent to the closing of the IPO, the Company paid in full $198.8 million of term loans, and also expensed in full the related prepaid debt issuance costs of $1.3 million. See Note 12 for additional information related to the IPO.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the Company entered into an unsecured note payable with a former franchisee for a principal balance of approximately $1.0 million which bears interest at a rate of 6% and matures April 1, 2027. As of September 30, 2021, the balance outstanding was approximately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Company’s long-term debt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r>
      <w:tr>
        <w:trPr>
          <w:trHeight w:val="223"/>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29"/>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Note payable</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23"/>
        </w:trPr>
        <w:tc>
          <w:tcPr>
            <w:tcW w:w="9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29"/>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9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portion</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the sole managing member of Dutch Bros OpCo, which is treated as a partnership for U.S. federal and certain state and local income taxes. As a partnership, Dutch Bros OpCo is not subject to U.S. federal and certain state and local income taxes. Any taxable income or loss generated by Dutch Bros OpCo is passed through to and included in the taxable income or loss of its members, including the Company, in accordance with the Amended Dutch Bros OpCo Agreement (as defined in Note 12).</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U.S. federal income taxes, in addition to state and local income taxes with respect to its allocable share of any taxable income of Dutch Bros OpCo. Dutch Bros OpCo is also subject to certain state taxes assessed at the entity level. The Company recorded $(1.3) million and $0 of income tax (benefit) expense for the three months ended September 30, 2021 and 2020, respectively, and $(0.7) million and $0.3 million for the nine months ended September 30, 2021 and 2020, respectively. The Company’s effective tax rate was approximately 1.08% and 0.64% for the three and nine months ended September 30, 2021, respectively. The Company’s estimated annual effective tax rate is less than the statutory rate of 21% primarily because the Company is not liable for income taxes on the portion of earnings that are attributable to non-controlling interests.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the Company recognized deferred tax assets of approximately $ 158.7 million, net of a valuation allowance of approximately $0.9 million. The deferred tax assets are primarily due to the tax effects of temporary differences in the book basis as compared to the tax basis of the Company’s investment in Dutch Bros OpCo as a result of the IPO, reorganization transactions, and TRAs. The valuation allowance is primarily related to the Company’s charitable contributions.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September 30, 2021, that if recognized, would affect the annual effective tax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Agreements</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Reorganization Transactions and the IPO, the Company entered into (i) the Exchange Tax Receivable Agreement with the holders of Class B common stock and Class C common stock (the “Exchange Reorganization Agreement”), and (ii) the Reorganization Tax Receivable Agreement with the holders of Class D common stock (the “Reorganization Tax Receivable Agreement and together with the Exchange Tax Receivable Agreement, the “Tax Receivable Agreements” or “TRAs”). These TRAs provide for the payment by Dutch Bros Inc. or any member of its affiliated, consolidated, combined, or unitary tax group (collectively, the “Dutch Bros Tax Group”) to such Pre -IPO Owners of 85.0% of the benefits, if any, the Dutch Bros Tax Group actually realizes, or is deemed to realize in certain circumstances, as a result of certain tax attributes and benefits covered by the Tax Receivable Agreements. The Exchange Tax Receivable Agreement provides for the payment by members of the Dutch Bros Tax Group to certain Pre-IPO Dutch Bros OpCo Unitholders of 85% of the benefits, if any, that the Dutch Bros Tax Group realizes as a result of (i) the Dutch Bros Tax Group’s allocable share of existing tax basis acquired in the IPO and</w:t>
      </w:r>
    </w:p>
    <w:p>
      <w:pPr>
        <w:spacing w:after="0" w:line="1" w:lineRule="exact"/>
        <w:rPr>
          <w:sz w:val="20"/>
          <w:szCs w:val="20"/>
          <w:color w:val="auto"/>
        </w:rPr>
      </w:pPr>
    </w:p>
    <w:p>
      <w:pPr>
        <w:ind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Dutch Bros Tax Group’s allocable share of existing tax basis and tax basis adjustments that will increase the tax basis of the tangible and intangible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Dutch Bros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Dutch Bros Inc. to the Pre-IPO Blocker Holders of 85% of the benefits, if any, that the Dutch Bros Tax Group realizes as a result of the Dutch Bros Tax Group’s utilization of certain tax attributes of the Blocker Companies (including the Dutch Bros Tax Group’s allocable share of existing tax basis acquired in the Reorganization Transactions), and certain other tax benefits, including tax benefits attributable to payments under the Reorganization Tax Receivable Agreement. The Company expects to benefit from the remaining 15% of any cash savings that it realizes.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to obtain an increase in its share of the tax basis in the net assets of Dutch Bros OpCo when Dutch Bros OpCo Units are exchanged by Pre-IPO Dutch Bros OpCo Unitholders. The Company intends to treat any redemptions and exchanges of Dutch Bros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the Company had a liability of approximately $109.7 million related to its projected obligations under the TRAs in connection with the Reorganization Transactions and OpCo Units exchanged. TRAs-related liabilities are classified as current or non-current based on the expected date of payment and are included in the Company’s condensed consolidated balance sheets under the captions “Current portion of tax receivable agreements liability” and “Tax receivable agreements liability, net of current portion,”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and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14, 2021, the Company amended and restated its certificate of incorporation to, among other things, provide for the authorization to issue five classes of stock, designated as follows:</w:t>
      </w:r>
    </w:p>
    <w:p>
      <w:pPr>
        <w:spacing w:after="0" w:line="203"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5126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6355" cy="8890"/>
                    </a:xfrm>
                    <a:prstGeom prst="rect">
                      <a:avLst/>
                    </a:prstGeom>
                    <a:noFill/>
                  </pic:spPr>
                </pic:pic>
              </a:graphicData>
            </a:graphic>
          </wp:anchor>
        </w:drawing>
      </w:r>
    </w:p>
    <w:p>
      <w:pPr>
        <w:spacing w:after="0" w:line="21" w:lineRule="exact"/>
        <w:rPr>
          <w:sz w:val="20"/>
          <w:szCs w:val="20"/>
          <w:color w:val="auto"/>
        </w:rPr>
      </w:pPr>
    </w:p>
    <w:tbl>
      <w:tblPr>
        <w:tblLayout w:type="fixed"/>
        <w:tblInd w:w="1580" w:type="dxa"/>
        <w:tblCellMar>
          <w:top w:w="0" w:type="dxa"/>
          <w:left w:w="0" w:type="dxa"/>
          <w:bottom w:w="0" w:type="dxa"/>
          <w:right w:w="0" w:type="dxa"/>
        </w:tblCellMar>
      </w:tblPr>
      <w:tr>
        <w:trPr>
          <w:trHeight w:val="239"/>
        </w:trPr>
        <w:tc>
          <w:tcPr>
            <w:tcW w:w="2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Class of Stock</w:t>
            </w:r>
          </w:p>
        </w:tc>
        <w:tc>
          <w:tcPr>
            <w:tcW w:w="2740" w:type="dxa"/>
            <w:vAlign w:val="bottom"/>
            <w:gridSpan w:val="2"/>
          </w:tcPr>
          <w:p>
            <w:pPr>
              <w:ind w:left="520"/>
              <w:spacing w:after="0"/>
              <w:rPr>
                <w:sz w:val="20"/>
                <w:szCs w:val="20"/>
                <w:color w:val="auto"/>
              </w:rPr>
            </w:pPr>
            <w:r>
              <w:rPr>
                <w:rFonts w:ascii="Arial" w:cs="Arial" w:eastAsia="Arial" w:hAnsi="Arial"/>
                <w:sz w:val="18"/>
                <w:szCs w:val="18"/>
                <w:b w:val="1"/>
                <w:bCs w:val="1"/>
                <w:color w:val="auto"/>
              </w:rPr>
              <w:t>Authorized Shares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9"/>
              </w:rPr>
              <w:t>Par Value Per Share</w:t>
            </w:r>
          </w:p>
        </w:tc>
      </w:tr>
      <w:tr>
        <w:trPr>
          <w:trHeight w:val="27"/>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3"/>
        </w:trPr>
        <w:tc>
          <w:tcPr>
            <w:tcW w:w="2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Preferred stock</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$0.00001</w:t>
            </w:r>
          </w:p>
        </w:tc>
      </w:tr>
      <w:tr>
        <w:trPr>
          <w:trHeight w:val="243"/>
        </w:trPr>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Class A common stock</w:t>
            </w:r>
          </w:p>
        </w:tc>
        <w:tc>
          <w:tcPr>
            <w:tcW w:w="2640" w:type="dxa"/>
            <w:vAlign w:val="bottom"/>
          </w:tcPr>
          <w:p>
            <w:pPr>
              <w:jc w:val="center"/>
              <w:spacing w:after="0"/>
              <w:rPr>
                <w:sz w:val="20"/>
                <w:szCs w:val="20"/>
                <w:color w:val="auto"/>
              </w:rPr>
            </w:pPr>
            <w:r>
              <w:rPr>
                <w:rFonts w:ascii="Arial" w:cs="Arial" w:eastAsia="Arial" w:hAnsi="Arial"/>
                <w:sz w:val="18"/>
                <w:szCs w:val="18"/>
                <w:color w:val="auto"/>
                <w:w w:val="98"/>
              </w:rPr>
              <w:t>400,000</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Class B common stock</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144,000</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$0.00001</w:t>
            </w:r>
          </w:p>
        </w:tc>
      </w:tr>
      <w:tr>
        <w:trPr>
          <w:trHeight w:val="243"/>
        </w:trPr>
        <w:tc>
          <w:tcPr>
            <w:tcW w:w="2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Class C common stock</w:t>
            </w:r>
          </w:p>
        </w:tc>
        <w:tc>
          <w:tcPr>
            <w:tcW w:w="2640" w:type="dxa"/>
            <w:vAlign w:val="bottom"/>
          </w:tcPr>
          <w:p>
            <w:pPr>
              <w:jc w:val="center"/>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8"/>
              </w:rPr>
              <w:t>$0.00001</w:t>
            </w: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2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Class D common stock</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$0.00001</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Class A common stock are entitled to one vote per share, Class B common stockholders are entitled to ten votes per share, and Class C and D common stockholders are entitled to three votes per share. All holders of outstanding shares of common stock will vote together as a single class on all matters on which stockholders generally are entitled to vote, except as otherwise required.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 current plans to pay dividends on Class A common stock or Class D common stock. Holders of Class B common stock and Class C common stock do not have any right to receive dividends, or to receive a distribution upon a liquidation, dissolution or winding up of the Company with respect to their Class B common stock and Class C common stock. The declaration, amount, and payment of any future dividends on shares of Class A common stock or Class D common stock will be at the sole discretion of the Company’s board of directors.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Dutch Bros OpCo Units owned by the Company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certain exceptions for treasury shares and shares underlying certain convertible or exchangeable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 1, on September 17, 2021, the Company completed its IPO in which it issued and sold approximately 24.2 million shares of Class A common stock (including approximately 3.2 million shares sold pursuant to the full exercise of the underwriters option to purchase additional shares) at an offering price of $23.00 per share, resulting in proceeds of approximately $520.8 million, net of offering costs. The proceeds were used to purchase approximately 10.9 million newly-issued Class A common units from Dutch Bros OpCo for approximately $234.4 million. The proceeds were also used to purchase approximately 11.7 million Class A common units from the Continuing Members for approximately $253.3 million, and approximately 1.6 million shares of Class D common stock from the Pre-IPO Blocker Holders for approximately $34.4 million.</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IPO, the Company issued approximately 64.7 million shares of Class B common stock and approximately 49.0 million shares of Class C common stock to the Continuing Members.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Recapitalization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 1, on September 14, 2021, the Company amended and restated the Second Limited Liability Company Agreement (the “Dutch Bros OpCo Agreement”) to, among other things, effect a recapitalization in which (i) the outstanding common units were converted into Class A common units paired with an equal number of either Class B voting units or Class C voting units, and (ii) the outstanding Profits Interest (“PI”) Units were converted into Class A common units. Subsequent to the amendment and Reorganization Transactions, approximately 152.4 million Dutch Bros OpCo Class A common units were outstanding, of which approximately 6.5% were held by the Company, and the remaining 93.5% were held by the Continuing Members.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Transactions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Third Amended and Restated Limited Liability Company Agreement (the “Amended Dutch Bros OpCo Agreement”) between the Company and the Continuing Members, the Continuing Members have the right, from time to time and subject to the terms of the Amended Dutch Bros OpCo Agreement, to exchange their Class A common units, along with a corresponding number of shares of Class B common stock or Class C common stock, for shares of Class A common stock (or cash at the option of the Company which is required to come from a follow-on equity offering) on a one-for-one basis, subject to customary conversion rate adjustments for stock splits, stock dividends, reclassifications and similar transactions. In connection with any exchange of Class A common units for shares of Class A common stock by a Continuing Member, the number of Class A common units held by the Company is correspondingly increased as it acquires the exchanged Class A common units, and a corresponding number of shares of Class B common stock or Class C common stock are canceled.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IPO, certain existing holders of Class A common units exercised their exchange rights and exchanged approximately 11.7 million Class A common units for cash. Simultaneously, and in connection with these exchanges, approximately 6.7 million shares of Class B common stock and approximately 5.1 million shares of Class C common stock were surrendered by Class A common units holders and canceled. Additionally, in connection with these exchanges, the Company received approximately 11.7 million Class A common units, increasing its total ownership interest in Dutch Bros OpCo.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transactions, as of September 30, 2021:</w:t>
      </w:r>
    </w:p>
    <w:p>
      <w:pPr>
        <w:spacing w:after="0" w:line="171"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Holders of the Company’s Class A common stock and Class D common stock owned approximately 34.4 million shares and 15.4 million shares, respectively, representing a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of the voting power in the Company and, through the Company, approximately 45.9 million Class A common units representing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28.7% of the economic interest in Dutch Bros OpCo; and</w:t>
      </w:r>
    </w:p>
    <w:p>
      <w:pPr>
        <w:spacing w:after="0" w:line="171" w:lineRule="exact"/>
        <w:rPr>
          <w:sz w:val="20"/>
          <w:szCs w:val="20"/>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Continuing Members collectively owned approximately 113.7 million Class A common units, representing 71.3% of the economic interest in the Dutch Bros OpCo, approximately 64.7 million shares of the Company’s Class B common stock, and approximately 49.0 million shares of the Company’s Class C common stock, representing a combined 90.8% of the voting power in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August 2021, the Company’s Board of Directors (the “Board”) adopted the 2021 Equity Incentive Plan (the “2021 Plan”), and the stockholders approved the 2021 Plan, effective upon the execution of the underwriting agreement for the Company’s IPO. The 2021 Plan provides for potential grants of the following awards with respect to shares of the Company’s Class A common stock: (i) incentive stock options (“ISOs”) qualified as such under U.S. federal income tax laws; (ii) non-qualified stock options (“NSOs”); (iii) stock appreciation rights;</w:t>
      </w:r>
    </w:p>
    <w:p>
      <w:pPr>
        <w:spacing w:after="0" w:line="2" w:lineRule="exact"/>
        <w:rPr>
          <w:sz w:val="20"/>
          <w:szCs w:val="20"/>
          <w:color w:val="auto"/>
        </w:rPr>
      </w:pPr>
    </w:p>
    <w:p>
      <w:pPr>
        <w:ind w:right="20" w:firstLine="8"/>
        <w:spacing w:after="0" w:line="261"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restricted stock awards; (v) restricted stock units; (vi) performance-based awards, and (vii) other awards as determined by the compensation committee of the Board or any properly delegated subcommittee.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maximum aggregate number of shares of the Company’s Class A common stock that may be issued pursuant to awards under the 2021 Plan shall not exceed approximately 17.0 million shares. The number of shares of Class A common stock reserved for issuance under the 2021 Plan will automatically increase on January 1 of each calendar year, beginning on January 1, 2022, and continuing through and including January 1, 2031, by (i) 1% of the aggregate number of shares of common stock of all classes issued and outstanding on December 31 of the immediately preceding calendar year, or (ii) a lesser number of shares determined by the Board prior to the applicable January 1. The maximum number of shares that may be issued upon the exercise of ISOs under the 2021 Plan is approximately 51.1 million shares.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Reorganization Transactions and the IPO, approximately 0.8 million PI Units held directly by employees of the Company were converted into approximately 9.8 million restricted stock awards (“RSAs”), based on their respective participation thresholds and the IPO price of $23.00 per share. As of the IPO date, approximately 5.8 million of the total 9.8 million RSAs were vested, including approximately 3.4 million performance-based RSAs, which resulted in the Company incurring incremental stock-based compensation expense of approximately $ 78.6 million. The remaining 4.0 million unvested time-based RSAs issued upon the conversion remain, in general, subject to the same service vesting requirements of the original PI Units.</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2021, the Company had equity-based compensation awards outstanding consisting of restricted stock awards and restricted stock units (“RSUs”).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Unless indicated otherwise, the equity-based compensation awards described below are subject to time-based service requirements. The service vesting condition is currently over three years on a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RSAs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 except per share amounts)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Reorganization Transactions and IPO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Vestings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September 30,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Activity for the Company’s RSUs was as follows: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 except per share amounts)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Reorganization Transactions and IPO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Vestings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63"/>
        </w:trPr>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0"/>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-359410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-710565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2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64"/>
        </w:trPr>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0"/>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-359410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-711200</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60"/>
          </w:cols>
          <w:pgMar w:left="320" w:top="144" w:right="339" w:bottom="1440" w:gutter="0" w:footer="0" w:header="0"/>
        </w:sectPr>
      </w:pPr>
    </w:p>
    <w:p>
      <w:pPr>
        <w:spacing w:after="0" w:line="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and nine months September 30, 2021, the total fair value of RSAs and RSUs vested was approximately $134.2 million and $25.8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included in the Company’s condensed consolidated statements of operations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147,761</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2021, total unrecognized stock-based compensation related to unvested stock awards was $89.3 million, which will be recognized as follows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43"/>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39,393</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39,259</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9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unrecognized stock-based compensation expense</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89,256</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OpCo Units may, from time to time, require Dutch Bros OpCo to redeem all or a portion of its OpCo Units for newly-issued shares of Class A common shares on a one-for-one basis. In connection with any redemption or exchange, the Company will receive a corresponding number of OpCo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OpCo Units in Dutch Bros OpCo by the other members of Dutch Bros OpCo will result in a change in ownership and reduce the amount recorded as non-controlling interest and increase additional paid-in-capital.</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2021, the Company completed its IPO of approximately 24.2 million shares of new Class A common shares, resulting in approximately $520.8 million of proceeds, net of offering costs. The proceeds were used to purchase approximately 10.9 million newly-issued Class A common units from Dutch Bros OpCo for approximately $234.4 million. The proceeds were also used to purchase approximately 11.7 million Class A common units from the Continuing Members for approximately $253.3 million, and approximately 1.6 million shares of Class D common stock from the Pre-IPO Blocker Holders for approximately $34.4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Dutch Bros OpCo as of September 30,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OpCo Units</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Ownership %</w:t>
            </w: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units held by Dutch Bros Inc.</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Class A common units held by non-controlling interest holders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113,705</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71.3 %</w:t>
            </w:r>
          </w:p>
        </w:tc>
      </w:tr>
      <w:tr>
        <w:trPr>
          <w:trHeight w:val="248"/>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Class A common units outstanding</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159,579</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weighted-average ownership percentage for the applicable reporting period is used to attribute net income (loss) to Dutch Bros Inc. and the non-controlling interest holders. The non-controlling interest holders’ weighted-average ownership percentage for the period from the September 15, 2021 IPO date to September 30, 2021 was 81.9%.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changes in ownership of Dutch Bros OpCo on the Company’s equity: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Dutch Bros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Decrease in additional paid-in capital as a result of the Reorganization Transactions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Decrease in additional paid-in capital as a result of the purchase of Dutch Bros OpCo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 w:lineRule="exact"/>
        <w:rPr>
          <w:sz w:val="20"/>
          <w:szCs w:val="20"/>
          <w:color w:val="auto"/>
        </w:rPr>
      </w:pPr>
    </w:p>
    <w:p>
      <w:pPr>
        <w:ind w:left="20" w:right="2220"/>
        <w:spacing w:after="0" w:line="234" w:lineRule="auto"/>
        <w:rPr>
          <w:sz w:val="20"/>
          <w:szCs w:val="20"/>
          <w:color w:val="auto"/>
        </w:rPr>
      </w:pPr>
      <w:r>
        <w:rPr>
          <w:rFonts w:ascii="Arial" w:cs="Arial" w:eastAsia="Arial" w:hAnsi="Arial"/>
          <w:sz w:val="18"/>
          <w:szCs w:val="18"/>
          <w:b w:val="1"/>
          <w:bCs w:val="1"/>
          <w:color w:val="auto"/>
        </w:rPr>
        <w:t>Change from net loss attributable to Dutch Bros Inc. and transfers to non-controlling interests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w:t>
      </w:r>
    </w:p>
    <w:p>
      <w:pPr>
        <w:jc w:val="center"/>
        <w:spacing w:after="0"/>
        <w:rPr>
          <w:sz w:val="20"/>
          <w:szCs w:val="20"/>
          <w:color w:val="auto"/>
        </w:rPr>
      </w:pPr>
      <w:r>
        <w:rPr>
          <w:rFonts w:ascii="Arial" w:cs="Arial" w:eastAsia="Arial" w:hAnsi="Arial"/>
          <w:sz w:val="18"/>
          <w:szCs w:val="18"/>
          <w:b w:val="1"/>
          <w:bCs w:val="1"/>
          <w:color w:val="auto"/>
        </w:rPr>
        <w:t>Ended September 30, 2021</w:t>
      </w:r>
    </w:p>
    <w:p>
      <w:pPr>
        <w:spacing w:after="0" w:line="3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(6,738)</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(178,474)</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(257,278)</w:t>
      </w:r>
    </w:p>
    <w:p>
      <w:pPr>
        <w:spacing w:after="0" w:line="17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(442,490)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645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120" w:space="540"/>
            <w:col w:w="258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(Loss) per Share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Basic earnings (loss) per share of Class A and Class D common stock is computed by dividing net income (loss) attributable to Dutch Bros Inc. by the weighted-average number of shares of Class A and Class D common stock outstanding during the period. Diluted earnings per share of Class A and Class D common stock is computed by dividing net income (loss)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earnings per share calculations are adjusted for the deemed repurchases provided for in the treasury stock method.</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IPO, the Dutch Bros OpCo membership structure included common units, redeemable common units, and PI units. The Company analyzed the calculation of earnings (loss) per unit for periods prior to the IPO and determined that it resulted in values that would not be meaningful to the users of these unaudited condensed consolidated financial statements. Therefore, earnings (loss) per unit information has not been presented for the three and nine months ended September 30, 2020.</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earnings (loss) per share of Class A and Class D common stock for the three and nine months ended September 30, 2021. The basic and diluted loss per share period for the three and nine months ended September 30, 2021 reflects only the period from September 14, 2021 to September 30, 2021, which represents the period from the IPO date during which the Company had outstanding Class A and Class D common stock.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29"/>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(117,138)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(111,299)</w:t>
            </w:r>
          </w:p>
        </w:tc>
      </w:tr>
      <w:tr>
        <w:trPr>
          <w:trHeight w:val="188"/>
        </w:trPr>
        <w:tc>
          <w:tcPr>
            <w:tcW w:w="62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Less: net loss attributable to Dutch Bros OpCo before Reorganization</w:t>
            </w:r>
          </w:p>
        </w:tc>
        <w:tc>
          <w:tcPr>
            <w:tcW w:w="2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217"/>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(68,602)</w:t>
            </w:r>
          </w:p>
        </w:tc>
      </w:tr>
      <w:tr>
        <w:trPr>
          <w:trHeight w:val="230"/>
        </w:trPr>
        <w:tc>
          <w:tcPr>
            <w:tcW w:w="6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(35,959)</w:t>
            </w:r>
          </w:p>
        </w:tc>
      </w:tr>
      <w:tr>
        <w:trPr>
          <w:trHeight w:val="248"/>
        </w:trPr>
        <w:tc>
          <w:tcPr>
            <w:tcW w:w="6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loss attributable to Dutch Bros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of Class A and Class D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Three Months Ended</w:t>
            </w:r>
          </w:p>
        </w:tc>
        <w:tc>
          <w:tcPr>
            <w:tcW w:w="2460" w:type="dxa"/>
            <w:vAlign w:val="bottom"/>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Borders>
              <w:bottom w:val="single" w:sz="8" w:color="CCEEFF"/>
            </w:tcBorders>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September 30, 2021</w:t>
            </w:r>
          </w:p>
        </w:tc>
        <w:tc>
          <w:tcPr>
            <w:tcW w:w="10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September 30, 2021</w:t>
            </w:r>
          </w:p>
        </w:tc>
      </w:tr>
      <w:tr>
        <w:trPr>
          <w:trHeight w:val="237"/>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share attributable to common stockholders</w:t>
            </w:r>
          </w:p>
        </w:tc>
        <w:tc>
          <w:tcPr>
            <w:tcW w:w="2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26" w:lineRule="exact"/>
        <w:rPr>
          <w:sz w:val="20"/>
          <w:szCs w:val="20"/>
          <w:color w:val="auto"/>
        </w:rPr>
      </w:pPr>
    </w:p>
    <w:p>
      <w:pPr>
        <w:sectPr>
          <w:pgSz w:w="11900" w:h="16838" w:orient="portrait"/>
          <w:cols w:equalWidth="0" w:num="1">
            <w:col w:w="11240"/>
          </w:cols>
          <w:pgMar w:left="320" w:top="144" w:right="339" w:bottom="1440" w:gutter="0" w:footer="0" w:header="0"/>
        </w:sectPr>
      </w:pPr>
    </w:p>
    <w:p>
      <w:pPr>
        <w:ind w:left="18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tabs>
          <w:tab w:leader="none" w:pos="6160" w:val="left"/>
        </w:tabs>
        <w:rPr>
          <w:sz w:val="20"/>
          <w:szCs w:val="20"/>
          <w:color w:val="auto"/>
        </w:rPr>
      </w:pPr>
      <w:r>
        <w:rPr>
          <w:rFonts w:ascii="Arial" w:cs="Arial" w:eastAsia="Arial" w:hAnsi="Arial"/>
          <w:sz w:val="18"/>
          <w:szCs w:val="18"/>
          <w:color w:val="auto"/>
        </w:rPr>
        <w:t>Allocation of net loss attributable to Dutch Bros Inc.</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360" w:right="1440"/>
        <w:spacing w:after="0" w:line="261" w:lineRule="auto"/>
        <w:rPr>
          <w:sz w:val="20"/>
          <w:szCs w:val="20"/>
          <w:color w:val="auto"/>
        </w:rPr>
      </w:pPr>
      <w:r>
        <w:rPr>
          <w:rFonts w:ascii="Arial" w:cs="Arial" w:eastAsia="Arial" w:hAnsi="Arial"/>
          <w:sz w:val="18"/>
          <w:szCs w:val="18"/>
          <w:color w:val="auto"/>
        </w:rPr>
        <w:t>Weighted-average number of shares of Class A and Class D common stock outstanding</w:t>
      </w:r>
    </w:p>
    <w:p>
      <w:pPr>
        <w:spacing w:after="0" w:line="49" w:lineRule="exact"/>
        <w:rPr>
          <w:sz w:val="20"/>
          <w:szCs w:val="20"/>
          <w:color w:val="auto"/>
        </w:rPr>
      </w:pPr>
    </w:p>
    <w:p>
      <w:pPr>
        <w:ind w:left="20"/>
        <w:spacing w:after="0"/>
        <w:tabs>
          <w:tab w:leader="none" w:pos="6160" w:val="left"/>
        </w:tabs>
        <w:rPr>
          <w:sz w:val="20"/>
          <w:szCs w:val="20"/>
          <w:color w:val="auto"/>
        </w:rPr>
      </w:pPr>
      <w:r>
        <w:rPr>
          <w:rFonts w:ascii="Arial" w:cs="Arial" w:eastAsia="Arial" w:hAnsi="Arial"/>
          <w:sz w:val="18"/>
          <w:szCs w:val="18"/>
          <w:color w:val="auto"/>
        </w:rPr>
        <w:t>Basic net loss per share attributable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(6,738)</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(6,738)</w:t>
            </w:r>
          </w:p>
        </w:tc>
      </w:tr>
      <w:tr>
        <w:trPr>
          <w:trHeight w:val="756"/>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44,991</w:t>
            </w:r>
          </w:p>
        </w:tc>
        <w:tc>
          <w:tcPr>
            <w:tcW w:w="9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44,991</w:t>
            </w:r>
          </w:p>
        </w:tc>
      </w:tr>
      <w:tr>
        <w:trPr>
          <w:trHeight w:val="237"/>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-33655</wp:posOffset>
            </wp:positionV>
            <wp:extent cx="1603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-8255</wp:posOffset>
            </wp:positionV>
            <wp:extent cx="1603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-213995</wp:posOffset>
            </wp:positionV>
            <wp:extent cx="1603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18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6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September 30, 2021</w:t>
            </w:r>
          </w:p>
        </w:tc>
      </w:tr>
      <w:tr>
        <w:trPr>
          <w:trHeight w:val="24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per share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Undistributed loss for basic computation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r>
      <w:tr>
        <w:trPr>
          <w:trHeight w:val="242"/>
        </w:trPr>
        <w:tc>
          <w:tcPr>
            <w:tcW w:w="6200" w:type="dxa"/>
            <w:vAlign w:val="bottom"/>
            <w:gridSpan w:val="2"/>
          </w:tcPr>
          <w:p>
            <w:pPr>
              <w:ind w:left="360"/>
              <w:spacing w:after="0"/>
              <w:rPr>
                <w:sz w:val="20"/>
                <w:szCs w:val="20"/>
                <w:color w:val="auto"/>
              </w:rPr>
            </w:pPr>
            <w:r>
              <w:rPr>
                <w:rFonts w:ascii="Arial" w:cs="Arial" w:eastAsia="Arial" w:hAnsi="Arial"/>
                <w:sz w:val="18"/>
                <w:szCs w:val="18"/>
                <w:color w:val="auto"/>
              </w:rPr>
              <w:t>Increase in net loss attributable to common shareholders upon</w:t>
            </w: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7"/>
        </w:trPr>
        <w:tc>
          <w:tcPr>
            <w:tcW w:w="6200" w:type="dxa"/>
            <w:vAlign w:val="bottom"/>
            <w:gridSpan w:val="2"/>
          </w:tcPr>
          <w:p>
            <w:pPr>
              <w:ind w:left="360"/>
              <w:spacing w:after="0"/>
              <w:rPr>
                <w:sz w:val="20"/>
                <w:szCs w:val="20"/>
                <w:color w:val="auto"/>
              </w:rPr>
            </w:pPr>
            <w:r>
              <w:rPr>
                <w:rFonts w:ascii="Arial" w:cs="Arial" w:eastAsia="Arial" w:hAnsi="Arial"/>
                <w:sz w:val="18"/>
                <w:szCs w:val="18"/>
                <w:color w:val="auto"/>
              </w:rPr>
              <w:t>conversion of potentially dilutive instruments</w:t>
            </w:r>
          </w:p>
        </w:tc>
        <w:tc>
          <w:tcPr>
            <w:tcW w:w="2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6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89"/>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Allocation of undistributed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50"/>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gridSpan w:val="2"/>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44,991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44,991</w:t>
            </w: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Add: weighted-average 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gridSpan w:val="2"/>
          </w:tcPr>
          <w:p>
            <w:pPr>
              <w:ind w:left="5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7"/>
        </w:trPr>
        <w:tc>
          <w:tcPr>
            <w:tcW w:w="6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22"/>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Weighted-average number of shares of Class A and Class D common</w:t>
            </w:r>
          </w:p>
        </w:tc>
        <w:tc>
          <w:tcPr>
            <w:tcW w:w="2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44"/>
        </w:trPr>
        <w:tc>
          <w:tcPr>
            <w:tcW w:w="6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 outstanding used to calculate diluted net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47,232</w:t>
            </w:r>
          </w:p>
        </w:tc>
      </w:tr>
      <w:tr>
        <w:trPr>
          <w:trHeight w:val="26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Diluted net loss per share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1"/>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approximately 0.6 million common stock equivalents related to restricted stock units that were anti-dilutive and excluded from diluted loss per common share for the three and nine months ended September 30, 2021, respectively, because they were out-of-the-money for the periods.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Shares of the Company’s Class B and Class C common stock do not participate in the earnings or losses of Dutch Bros Inc. and are therefore not participating securities. As such, separate presentation of basic and diluted earnings (loss) per share of Class B and Class C common stock under the two-class method has not been presented.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periodically provides guarantees to franchisees for lease payments. Annually, the Company determines if a liability needs to be recorded related to these guarantees. As of September 30, 2021, the Company has guaranteed approximately $1.8 million in franchisee lease payments and has not established a liability for these guarantees as any liability arising from the guarantees is not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a party to legal actions arising in the ordinary course of its business. These claims, legal proceedings and litigation principally arise from alleged casualty, employment, and other disputes. 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While any claim, proceeding or litigation has an element of uncertainty, the Company believes the outcome of any of these that are pending or threatened will not have a material adverse effect on its financial condition,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donations to Dutch Bros Foundation, a not-for-profit founded by the Company that provides philanthropy to coffee farmers and local communities and for which the Company’s chief executive officer serves on the board of directors,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Pr>
          <w:p>
            <w:pPr>
              <w:spacing w:after="0"/>
              <w:rPr>
                <w:sz w:val="19"/>
                <w:szCs w:val="19"/>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Donations to Dutch Bros Foundation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Segment information is prepared on the same basis that the Company’s chief executive officer, who is the chief operating decision maker (“CODM”), manages the segments, evaluates financial results and makes key operating decisions.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CODM reviews segment performance and allocates resources based upon segment contribution, which is defined as segment gross profit before depreciation and amortization.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changes have been made to the Company’s segments during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reportable segments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74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39"/>
        </w:trPr>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r>
      <w:tr>
        <w:trPr>
          <w:trHeight w:val="27"/>
        </w:trPr>
        <w:tc>
          <w:tcPr>
            <w:tcW w:w="56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66,695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289,548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175,767</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61,750</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237,517</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129,392</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147,431</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53,282</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46,840</w:t>
            </w:r>
          </w:p>
        </w:tc>
      </w:tr>
      <w:tr>
        <w:trPr>
          <w:trHeight w:val="263"/>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segment contribution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100,122</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6,907</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10,036</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(74,497)</w:t>
            </w: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63"/>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12,270</w:t>
            </w: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customer represents more than 10% of total accounts receivable or revenues as of and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interim condensed consolidated financial statements and the related notes included elsewhere in this Form 10-Q, and our final prospectus filed with the Securities and Exchange Commission pursuant to Rule 424(b)(4) under the Securities Act of 1933, as amended, dated September 16, 2021 (the “Prospectus”). Some of the information contained in this discussion and analysis or set forth elsewhere in this document, includes forward looking statements that involve risks, uncertainties, and assumptions. You should carefully read the “Cautionary Statement Regarding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jc w:val="both"/>
        <w:ind w:right="20"/>
        <w:spacing w:after="0" w:line="253"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The following discussion contains references to calendar year 2020 and the three months and nine months ended September 30, 2020 and September 30, 2021, which represents the condensed consolidated financial results of Dutch Bros OpCo and its subsidiaries for the year ended December 31, 2020 and the three months and the nine months ended September 30, 2020 and 2021,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and Overview</w:t>
      </w:r>
    </w:p>
    <w:p>
      <w:pPr>
        <w:spacing w:after="0" w:line="2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Dutch Bros Inc. is a high growth operator and franchisor of drive-thru coffee shops that focuses on serving high quality, hand-crafted beverages with unparalleled speed and superior service. Founded in 1992 by brothers Dane and Travis Boersma, Dutch Bros began with a double-head espresso machine and a pushcart in Grants Pass, Oregon. Our innovative, hand-crafted beverage-focused lineup features hot and cold espresso-based beverages, cold brew coffee products, proprietary energy drinks, tea, lemonade, smoothies and other beverages. We believe Dutch Bros is more than just the products we serve—we are dedicated to making a massive difference in the lives of our employees, customers and communities, one cup at a time.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we had over 500 company-operated and franchised shops, an increase of approximately 21% from the prior year. For the nine months ended September 30, 2021, we generated $357.8 million of revenue, a $(111.3) million net loss, and $(0.15) loss per diluted share. We have two reportable operating segments: Company-operated shops, and Franchising and other.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Dutch Bros, Inc. was incorporated in June 2021 for the purpose of facilitating an initial public offering in order to carry on the Company’s business. On September 17, 2021, we completed our IPO in which we issued and sold approximately 24.2 million shares of Class A common stock (including approximately 3.2 million shares sold pursuant to the full exercise of the underwriters option to purchase additional shares) at an offering price of $23.00 per share, resulting in net proceeds of approximately $520.8 million after deducting underwriting discounts, commissions and offering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our IPO, see Note 12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impact of COVID-19 continues to evolve, and we cannot easily predict the future potential impacts of the pandemic on our business or operations or on the United States or global economy in general. For example, there have been global delays in shipping that have affected deliveries of supplies to our shops. This also may include any recurrence of the disease, actions taken in response to the evolving pandemic, any ongoing effects on consumer demand and spending patterns or other impacts of the pandemic. Whether these or other currently unanticipated consequences of the pandemic are reasonably likely to materially affect our results of operations, cash flows or financial condition is yet to be determined.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our operating results and explanation of changes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statements of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9"/>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24"/>
                <w:szCs w:val="24"/>
                <w:color w:val="auto"/>
              </w:rPr>
            </w:pPr>
          </w:p>
        </w:tc>
        <w:tc>
          <w:tcPr>
            <w:tcW w:w="22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4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Company-operated stores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108,661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66,695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289,548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175,767</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61,750</w:t>
            </w:r>
          </w:p>
        </w:tc>
      </w:tr>
      <w:tr>
        <w:trPr>
          <w:trHeight w:val="237"/>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237,517</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147,431</w:t>
            </w: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153,727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74,497</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244,787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221,928</w:t>
            </w:r>
          </w:p>
        </w:tc>
      </w:tr>
      <w:tr>
        <w:trPr>
          <w:trHeight w:val="236"/>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15,589</w:t>
            </w:r>
          </w:p>
        </w:tc>
      </w:tr>
      <w:tr>
        <w:trPr>
          <w:trHeight w:val="257"/>
        </w:trPr>
        <w:tc>
          <w:tcPr>
            <w:tcW w:w="5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37"/>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12,270</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(117,138)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11,932</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Net loss attributable to Dutch Bros OpCo prior to the Reorganization</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Transactions</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DUTCH BROS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Segment financials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0"/>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74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39"/>
        </w:trPr>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r>
      <w:tr>
        <w:trPr>
          <w:trHeight w:val="27"/>
        </w:trPr>
        <w:tc>
          <w:tcPr>
            <w:tcW w:w="56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66,695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289,548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175,767</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61,750</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237,517</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129,392</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147,431</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46,375</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43,711</w:t>
            </w:r>
          </w:p>
        </w:tc>
      </w:tr>
      <w:tr>
        <w:trPr>
          <w:trHeight w:val="237"/>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90,086</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(74,497)</w:t>
            </w: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12,270</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6,907</w:t>
            </w: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key performance indicators (“KPIs”) that we use to effectively manage and evaluate our business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9"/>
              </w:rPr>
              <w:t>Three Months Ended September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shop count data)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Shop count,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Company-operated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Franchised</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Company-operated new openings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Franchised new openings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Ownership transfers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 xml:space="preserve">Closures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Shop count, end of period</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Company-operated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Franchised</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3"/>
        </w:trPr>
        <w:tc>
          <w:tcPr>
            <w:tcW w:w="5080" w:type="dxa"/>
            <w:vAlign w:val="bottom"/>
            <w:gridSpan w:val="2"/>
          </w:tcPr>
          <w:p>
            <w:pPr>
              <w:ind w:left="520"/>
              <w:spacing w:after="0"/>
              <w:rPr>
                <w:sz w:val="20"/>
                <w:szCs w:val="20"/>
                <w:color w:val="auto"/>
              </w:rPr>
            </w:pPr>
            <w:r>
              <w:rPr>
                <w:rFonts w:ascii="Arial" w:cs="Arial" w:eastAsia="Arial" w:hAnsi="Arial"/>
                <w:sz w:val="18"/>
                <w:szCs w:val="18"/>
                <w:color w:val="auto"/>
              </w:rPr>
              <w:t>Total shop count</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 xml:space="preserve">Average unit volume (AUV) </w:t>
            </w:r>
            <w:r>
              <w:rPr>
                <w:rFonts w:ascii="Arial" w:cs="Arial" w:eastAsia="Arial" w:hAnsi="Arial"/>
                <w:sz w:val="23"/>
                <w:szCs w:val="23"/>
                <w:color w:val="auto"/>
                <w:vertAlign w:val="superscript"/>
              </w:rPr>
              <w:t>2</w:t>
            </w:r>
          </w:p>
        </w:tc>
        <w:tc>
          <w:tcPr>
            <w:tcW w:w="120" w:type="dxa"/>
            <w:vAlign w:val="bottom"/>
          </w:tcPr>
          <w:p>
            <w:pPr>
              <w:spacing w:after="0"/>
              <w:rPr>
                <w:sz w:val="24"/>
                <w:szCs w:val="24"/>
                <w:color w:val="auto"/>
              </w:rPr>
            </w:pPr>
          </w:p>
        </w:tc>
        <w:tc>
          <w:tcPr>
            <w:tcW w:w="1440" w:type="dxa"/>
            <w:vAlign w:val="bottom"/>
            <w:gridSpan w:val="2"/>
            <w:vMerge w:val="restart"/>
          </w:tcPr>
          <w:p>
            <w:pPr>
              <w:ind w:left="8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4"/>
                <w:szCs w:val="24"/>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1,808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Company-operated shops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Same shop sales growth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98"/>
        </w:trPr>
        <w:tc>
          <w:tcPr>
            <w:tcW w:w="4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Company-operated shops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8.3 %</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Company-operated shop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108,661</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66,695</w:t>
            </w:r>
          </w:p>
        </w:tc>
        <w:tc>
          <w:tcPr>
            <w:tcW w:w="1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289,548</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175,767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Company-operated gross profit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22,808</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19,321</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69,038</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46,375</w:t>
            </w:r>
          </w:p>
        </w:tc>
        <w:tc>
          <w:tcPr>
            <w:tcW w:w="0" w:type="dxa"/>
            <w:vAlign w:val="bottom"/>
          </w:tcPr>
          <w:p>
            <w:pPr>
              <w:spacing w:after="0"/>
              <w:rPr>
                <w:sz w:val="1"/>
                <w:szCs w:val="1"/>
                <w:color w:val="auto"/>
              </w:rPr>
            </w:pPr>
          </w:p>
        </w:tc>
      </w:tr>
      <w:tr>
        <w:trPr>
          <w:trHeight w:val="98"/>
        </w:trPr>
        <w:tc>
          <w:tcPr>
            <w:tcW w:w="4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 xml:space="preserve">Company-operated shop contribution </w:t>
            </w:r>
            <w:r>
              <w:rPr>
                <w:rFonts w:ascii="Arial" w:cs="Arial" w:eastAsia="Arial" w:hAnsi="Arial"/>
                <w:sz w:val="23"/>
                <w:szCs w:val="23"/>
                <w:color w:val="auto"/>
                <w:vertAlign w:val="superscript"/>
              </w:rPr>
              <w:t>4</w:t>
            </w:r>
          </w:p>
        </w:tc>
        <w:tc>
          <w:tcPr>
            <w:tcW w:w="120" w:type="dxa"/>
            <w:vAlign w:val="bottom"/>
          </w:tcPr>
          <w:p>
            <w:pPr>
              <w:spacing w:after="0"/>
              <w:rPr>
                <w:sz w:val="24"/>
                <w:szCs w:val="2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27,102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21,885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80,076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53,282</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of company-operated shop revenue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(117,138)</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6,656</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(111,299)</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98"/>
        </w:trPr>
        <w:tc>
          <w:tcPr>
            <w:tcW w:w="4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4</w:t>
            </w:r>
          </w:p>
        </w:tc>
        <w:tc>
          <w:tcPr>
            <w:tcW w:w="120" w:type="dxa"/>
            <w:vAlign w:val="bottom"/>
          </w:tcPr>
          <w:p>
            <w:pPr>
              <w:spacing w:after="0"/>
              <w:rPr>
                <w:sz w:val="24"/>
                <w:szCs w:val="2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20,647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21,195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68,803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56,720</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of revenue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Systemwide sales </w:t>
            </w:r>
            <w:r>
              <w:rPr>
                <w:rFonts w:ascii="Arial" w:cs="Arial" w:eastAsia="Arial" w:hAnsi="Arial"/>
                <w:sz w:val="23"/>
                <w:szCs w:val="23"/>
                <w:color w:val="auto"/>
                <w:vertAlign w:val="superscript"/>
              </w:rPr>
              <w:t>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241,254</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182,094</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673,297</w:t>
            </w:r>
          </w:p>
        </w:tc>
        <w:tc>
          <w:tcPr>
            <w:tcW w:w="14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511,866</w:t>
            </w:r>
          </w:p>
        </w:tc>
        <w:tc>
          <w:tcPr>
            <w:tcW w:w="0" w:type="dxa"/>
            <w:vAlign w:val="bottom"/>
          </w:tcPr>
          <w:p>
            <w:pPr>
              <w:spacing w:after="0"/>
              <w:rPr>
                <w:sz w:val="1"/>
                <w:szCs w:val="1"/>
                <w:color w:val="auto"/>
              </w:rPr>
            </w:pPr>
          </w:p>
        </w:tc>
      </w:tr>
      <w:tr>
        <w:trPr>
          <w:trHeight w:val="98"/>
        </w:trPr>
        <w:tc>
          <w:tcPr>
            <w:tcW w:w="4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 xml:space="preserve">Dutch Rewards member registrations </w:t>
            </w:r>
            <w:r>
              <w:rPr>
                <w:rFonts w:ascii="Arial" w:cs="Arial" w:eastAsia="Arial" w:hAnsi="Arial"/>
                <w:sz w:val="23"/>
                <w:szCs w:val="23"/>
                <w:color w:val="auto"/>
                <w:vertAlign w:val="superscript"/>
              </w:rPr>
              <w:t>6</w:t>
            </w:r>
          </w:p>
        </w:tc>
        <w:tc>
          <w:tcPr>
            <w:tcW w:w="120" w:type="dxa"/>
            <w:vAlign w:val="bottom"/>
          </w:tcPr>
          <w:p>
            <w:pPr>
              <w:spacing w:after="0"/>
              <w:rPr>
                <w:sz w:val="24"/>
                <w:szCs w:val="2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2,738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30" w:lineRule="exact"/>
        <w:rPr>
          <w:sz w:val="20"/>
          <w:szCs w:val="20"/>
          <w:color w:val="auto"/>
        </w:rPr>
      </w:pPr>
    </w:p>
    <w:p>
      <w:pPr>
        <w:ind w:left="80" w:hanging="72"/>
        <w:spacing w:after="0"/>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Represents a temporary shop closure in 2021 and a permanent shop closure in 2020.</w:t>
      </w:r>
    </w:p>
    <w:p>
      <w:pPr>
        <w:spacing w:after="0" w:line="152" w:lineRule="exact"/>
        <w:rPr>
          <w:sz w:val="20"/>
          <w:szCs w:val="20"/>
          <w:color w:val="auto"/>
        </w:rPr>
      </w:pPr>
    </w:p>
    <w:p>
      <w:pPr>
        <w:jc w:val="both"/>
        <w:ind w:left="80" w:hanging="72"/>
        <w:spacing w:after="0" w:line="220" w:lineRule="auto"/>
        <w:tabs>
          <w:tab w:leader="none" w:pos="9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At Dutch Bros we track systemwide and company-operated shop AUVs. AUVs for any trailing twelve-month period consist of the net sales of systemwide and company-operated shops, respectively, for all shops that have been open for the entire 15-month measurement period. AUVs are calculated by dividing the total net sales by the total number of systemwide and company-operated shops, respectively, that were open for 15 months at the time of AUV calculation.</w:t>
      </w:r>
    </w:p>
    <w:p>
      <w:pPr>
        <w:spacing w:after="0" w:line="153" w:lineRule="exact"/>
        <w:rPr>
          <w:sz w:val="20"/>
          <w:szCs w:val="20"/>
          <w:color w:val="auto"/>
        </w:rPr>
      </w:pPr>
    </w:p>
    <w:p>
      <w:pPr>
        <w:jc w:val="both"/>
        <w:ind w:left="80" w:hanging="72"/>
        <w:spacing w:after="0" w:line="220" w:lineRule="auto"/>
        <w:tabs>
          <w:tab w:leader="none" w:pos="8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Same shop sales growth reflects the change in year-over-year sales for the comparable shop base, which we define as shops open for 15 complete months or longer. For the three months ended September 30, 2021 and 2020, there were 145 and 97 shops in our company-operated comparable shop base, respectively, and 384 and 332 shops in our systemwide shop base, respectively.</w:t>
      </w:r>
    </w:p>
    <w:p>
      <w:pPr>
        <w:sectPr>
          <w:pgSz w:w="11900" w:h="16838" w:orient="portrait"/>
          <w:cols w:equalWidth="0" w:num="1">
            <w:col w:w="11240"/>
          </w:cols>
          <w:pgMar w:left="320" w:top="144" w:right="33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612"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line="258" w:lineRule="auto"/>
        <w:rPr>
          <w:sz w:val="20"/>
          <w:szCs w:val="20"/>
          <w:color w:val="auto"/>
        </w:rPr>
      </w:pPr>
      <w:r>
        <w:rPr>
          <w:rFonts w:ascii="Arial" w:cs="Arial" w:eastAsia="Arial" w:hAnsi="Arial"/>
          <w:sz w:val="14"/>
          <w:szCs w:val="14"/>
          <w:color w:val="auto"/>
        </w:rPr>
        <w:t>For the nine months ended September 30, 2021 and 2020, we accounted for 120 and 89 shops in our company-operated comparable shop base, respectively, and 354 and 315 shops in our systemwide shop base, respectively.</w:t>
      </w:r>
    </w:p>
    <w:p>
      <w:pPr>
        <w:spacing w:after="0" w:line="94" w:lineRule="exact"/>
        <w:rPr>
          <w:sz w:val="20"/>
          <w:szCs w:val="20"/>
          <w:color w:val="auto"/>
        </w:rPr>
      </w:pPr>
    </w:p>
    <w:p>
      <w:pPr>
        <w:ind w:left="80" w:hanging="72"/>
        <w:spacing w:after="0"/>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Reconciliation of GAAP to non-GAAP results is provided in the section “Non-GAAP Financial Metrics”.</w:t>
      </w:r>
    </w:p>
    <w:p>
      <w:pPr>
        <w:spacing w:after="0" w:line="152" w:lineRule="exact"/>
        <w:rPr>
          <w:sz w:val="20"/>
          <w:szCs w:val="20"/>
          <w:color w:val="auto"/>
        </w:rPr>
      </w:pPr>
    </w:p>
    <w:p>
      <w:pPr>
        <w:jc w:val="both"/>
        <w:ind w:left="80" w:hanging="72"/>
        <w:spacing w:after="0" w:line="225" w:lineRule="auto"/>
        <w:tabs>
          <w:tab w:leader="none" w:pos="7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Systemwide sales and systemwide same shop sales include company-operated shop revenue and sales at franchised shops during the comparable periods noted. As these metrics include sales reported to us by our non-consolidated franchise partners, these metrics should be considered as a supplement to, not a substitute for, our results as reported under GAAP.</w:t>
      </w:r>
    </w:p>
    <w:p>
      <w:pPr>
        <w:spacing w:after="0" w:line="152" w:lineRule="exact"/>
        <w:rPr>
          <w:sz w:val="20"/>
          <w:szCs w:val="20"/>
          <w:color w:val="auto"/>
        </w:rPr>
      </w:pPr>
    </w:p>
    <w:p>
      <w:pPr>
        <w:ind w:left="80" w:hanging="72"/>
        <w:spacing w:after="0" w:line="211" w:lineRule="auto"/>
        <w:tabs>
          <w:tab w:leader="none" w:pos="91"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Dutch Rewards, a digitally-based rewards program available exclusively through the Dutch Rewards app, was launched February 2021. As such, there is no information for the comparable periods of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Shop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our company-operated shops segment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10"/>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560" w:type="dxa"/>
            <w:vAlign w:val="bottom"/>
            <w:gridSpan w:val="9"/>
          </w:tcPr>
          <w:p>
            <w:pPr>
              <w:jc w:val="right"/>
              <w:ind w:right="2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Company-operated shop revenue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289,548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175,767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Labor costs</w:t>
            </w:r>
          </w:p>
        </w:tc>
        <w:tc>
          <w:tcPr>
            <w:tcW w:w="960" w:type="dxa"/>
            <w:vAlign w:val="bottom"/>
          </w:tcPr>
          <w:p>
            <w:pPr>
              <w:jc w:val="right"/>
              <w:spacing w:after="0"/>
              <w:rPr>
                <w:sz w:val="20"/>
                <w:szCs w:val="20"/>
                <w:color w:val="auto"/>
              </w:rPr>
            </w:pPr>
            <w:r>
              <w:rPr>
                <w:rFonts w:ascii="Arial" w:cs="Arial" w:eastAsia="Arial" w:hAnsi="Arial"/>
                <w:sz w:val="18"/>
                <w:szCs w:val="18"/>
                <w:color w:val="auto"/>
              </w:rPr>
              <w:t>33,610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Occupancy and other costs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Pre-opening costs</w:t>
            </w:r>
          </w:p>
        </w:tc>
        <w:tc>
          <w:tcPr>
            <w:tcW w:w="960" w:type="dxa"/>
            <w:vAlign w:val="bottom"/>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Company-operated shop gross profit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19,321</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46,375</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Company-operated shop contribution </w:t>
            </w:r>
            <w:r>
              <w:rPr>
                <w:rFonts w:ascii="Arial" w:cs="Arial" w:eastAsia="Arial" w:hAnsi="Arial"/>
                <w:sz w:val="23"/>
                <w:szCs w:val="23"/>
                <w:color w:val="auto"/>
                <w:vertAlign w:val="superscript"/>
              </w:rPr>
              <w:t>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80,076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53,282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91"/>
        </w:trPr>
        <w:tc>
          <w:tcPr>
            <w:tcW w:w="3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 w:hanging="92"/>
        <w:spacing w:after="0"/>
        <w:tabs>
          <w:tab w:leader="none" w:pos="10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Reconciliation of GAAP to non-GAAP results is provided in “Non-GAAP Financial Metrics” section.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Shop Segment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Shop Revenue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September 30, 2021, company-operated shop revenue grew 62.9% to $108.7 million, as compared to $66.7 million in the corresponding prior year period or an increase of $42.0 million. Company-operated shops in the comparable shop base contributed $3.0 million to this increase (4.7% same shop sales), while new company-operated shops opened during 2020 and 2021 contributed $39.0 million to this increase. For purposes of calculating company-operated same shop revenue growth, company-operated shop revenue for 145 shops was included in the comparable shop base.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September 30, 2021, company-operated shop revenue grew 64.7% to $ 289.5 million, as compared to $ 175.8 million in the corresponding prior year period or an increase of $113.8 million. Company-operated shops in the comparable shop base contributed $11.7 million to this increase (8.3% same shop sales), while new company-operated shops opened during 2020 and 2021 contributed $102.1 million to this increase. For purposes of calculating company-operated same shop revenue growth, company-operated shop revenue for 120 shops was included in the comparable shop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implementing a spend-based digital rewards program through the Dutch Bros app, we used a paper-based stamp card as our loyalty program. For each beverage purchased customers received one stamp. After accumulating 10 stamps they were eligible to redeem a completed card for any size free beverage. In February of 2021, we implemented the digital rewards program.</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the COVID-19 pandemic began in 2020, we suspended stamping the paper-based loyalty card, resulting in a reduction of our sales and promotional discount rate to single digits. These changes significantly altered our sales and promotional discounts. As a percentage of gross sales, the sales and promotional discounts were 11.1% and 4.9% for the three months ended September 30, 2021 and 2020, respectively, and 11.6% and 8.3% for the nine months ended September 30, 2021 and 2020, respectively. After absorbing the costs associated with registering over 2 million Dutch Rewards program members in the first quarter of 2021, sales and promotional discounts are now settling to our targeted go-forward rate, with our longer term run rate expected to be in the low double digits.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Beverage, Food and Packaging Costs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three months ended September 30, 2021, beverage, food and packaging costs grew 90.5% to $27.8 million, compared to $14.6 million in the corresponding prior year period. This growth was primarily driven by a 53.7% increase in store operating weeks due to the opening of new company-operated shops as well comparable sales growth prior to any change in sales and promotional discounts. Changes in sales and promotional discounts are excluded from this analysis as they do not impact the usage of beverage, food and packaging ingredients. The remainder of the increase was driven by ingredient cost increases as well as a shift in the mix of products sold. As a percentage of company-operated shop sales, beverage, food and packaging costs increased to 25.6% in the three months ended September 30, 2021, compared to 21.9% in the corresponding prior year period, or a 370 “basis points” increase. Changes in sales and promotional discounts accounted for approximately 170 “basis points” of this increase. The remainder of the increase was driven by ingredient cost increases and mix shift.</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beverage, food and packaging costs grew 83.3% to $71.6 million, compared to $39.0 million in the corresponding prior year period. This growth was primarily driven by a 47.2% increase in store operating weeks due to the opening of new company-operated shops during both 2020 and 2021 as well as the portion of comparable sales growth driven by factors other than changes in the discount rate. The remainder of the increase was driven by ingredient cost increases as well as a shift in the mix of products sold. As a percentage of company-operated shop sales, beverage, food and packaging costs increased to 24.7% in the nine months ended September 30, 2021, compared to 22.2% in the corresponding prior year period, or 250 “basis points” increase. Changes in sales and promotional discounts accounted for approximately 90 “basis points” of this increase. The remainder of the increase was driven by ingredient cost increases and mix shift.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Costs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September 30, 2021, labor costs grew 78.8% to $33.6 million, compared to $18.8 million in the corresponding prior year period. This growth was primarily driven by a 53.7% increase in store operating weeks due to the opening of new company-operated shops during both 2020 and 2021. As a percentage of company-operated shop sales, labor costs increased to 30.9% in the three months ended September 30, 2021, compared to 28.2% in the corresponding prior year period, or a 270 “basis points” increase. Changes in sales and promotional discounts accounted for approximately 200 “basis points” of this increase. The remainder increase was driven by increases in minimum wage in our West Coast shops and updated minimum staffing standards across all shops.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2021, labor costs grew 73.4% to $88.8 million, compared to $51.2 million in the corresponding prior year period. This growth was primarily driven by a 47.2% increase in store operating weeks due to the opening of new company-operated shops during both 2020 and 2021. As a percentage of company-operated shop sales, labor costs increased to 30.7% in the nine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ended September 30, 2021, compared to 29.1% in the corresponding prior year period, or a 150 “basis points” increase. Changes in sales and promotional discounts accounted for approximately 110 “basis points” of this increase. The remainder increase was driven by increases in minimum wage in our West Coast shops and updated minimum staffing standards across all shops.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Costs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September 30, 2021, occupancy and other costs grew 74.1% to $ 17.0 million, compared to $9.8 million in the corresponding prior year period. This growth was primarily driven by a 53.7% increase in store operating weeks due to the opening of new company-operated shops during both 2020 and 2021. As a percentage of company-operated shop sales, occupancy and other costs increased to 15.7% in the three months ended September 30, 2021, compared to 14.7% in the corresponding prior year period, or a 100 “basis points” increase. Sales leverage from comparable sales growth accounted for a 200 “basis points” increase, and changes in sales and promotional discounts from the launch of Dutch Rewards in February 2021 drove a 160 “basis points” increase, were offset by lower credit card fees from reinstituting cash as a form of tender starting in March 2021 resulting in a 260 “basis points” decrease.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occupancy and other costs grew 60.0% to $42.5 million, compared to $26.5 million in the corresponding prior year period. This growth was primarily driven by a 47.2% increase in store operating weeks due to the opening of new company-operated shops during both 2020 and 2021. As a percentage of company-operated shop sales, occupancy and other costs decreased to 14.7% in the nine months ended September 30, 2021, compared to 15.1% in the corresponding prior year period, or a 40 “basis points” decrease. Higher average unit volumes of new units drove a 100 “basis points” decrease, and lower credit card fees from reinstituting cash as a form of tender starting in March 2021 resulted in a 50 “basis points” decrease, which were offset by changes in sales and promotional discounts from the launch of Dutch Rewards in February 2021 accounting for 110 “basis points” increase.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September 30, 2021, pre-opening costs grew 91.0% to $3.1 million, compared to $1.6 million in the corresponding prior year period. This growth was primarily driven by the opening of 30 new company-operated shops during the three months ended September 30, 2021 as opposed to the opening of 11 company-operated shops during the corresponding prior year period.</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nine months ended September 30, 2021, pre -opening costs grew 16.6% to $6.6 million, compared to $5.7 million in the corresponding prior year period. This growth was primarily driven by the opening of 52 new company-operated shops during the nine months ended September 30, 2021 as opposed to the opening of 39 company-operated shops during the corresponding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September 30, 2021, depreciation and amortization grew 67.5% to $4.3 million, compared to $2.6 million in the corresponding prior year period. This growth was primarily driven by the opening of new company-operated shops during both 2021 and 2020. As a percentage of company-operated shop sales, depreciation and amortization increased to 4.0% in the three months ended September 30, 2021, compared to 3.8% in the corresponding prior year period. Changes in sales and promotional discounts accounted for all of this increase.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September 30, 2021, depreciation and amortization grew 59.8% to $11.0 million, compared to $6.9 million in the corresponding prior year period. This growth was primarily driven by the opening of new company-operated shops during both 2021 and 2020. As a percentage of company-operated shop sales, depreciation and amortization decreased to 3.8% in the nine months ended September 30, 2021, compared to 3.9% in the corresponding prior year period. Changes in sales and promotional discounts accounted for all of this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Shop Contribution</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September 30, 2021, Company-operated shop contribution grew 23.8% to $27.1 million, compared to $21.9 million in the corresponding prior year period. As a percentage of company-operated shop sales, company-operated shop contribution decreased to 24.9% in the three months ended September 30, 2021, compared to 32.8% in corresponding prior year period.</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Company-operated shop contribution grew 50.3% to $80.1 million, compared to $53.3 million in the corresponding prior year period. As a percentage of company-operated shop sales, company-operated shop contribution decreased to 27.7% in the nine months ended September 30, 2021, compared to 30.3% in corresponding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Franchising and Other Segment Performance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September 30, 2021, franchising and other revenue increased 5.9% to $ 21.1 million, compared to $20.0 million in the corresponding prior year period. This was a result of same shop sales growth ($1.7 million) and additional store weeks from franchised shops opened in 2021 and 2020 ($ 0.9 million). This was offset by timing of franchisee orders within the quarter. Franchising and other gross profit grew 7.4% to $15.9 million in the three months ended September 30, 2021, compared to $ 14.8 million in the corresponding prior year period. The net increase in revenue noted above drove an increase in franchising and other gross profit.</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franchising and other revenue grew 10.5% to $68.2 million, compared to $ 61.8 million in the corresponding prior year period. The increase in revenue was a result of same shop sales growth ($4.9 million), additional store weeks from franchise shops opened in 2021 and 2020 ($2.0 million) and the rollover of the royalty abatement in April of 2020 ($1.4 million). This was partially offset by reduced revenue in 2021 as a result of the strategic decision related to Dutch-branded goods in 2020 as well as timing of franchisee orders within the period. Franchising and other gross profit grew 11.8% to $48.9 million in the nine months ended September 30, 2021, compared to $43.7 million in the corresponding prior year period. The net increase in revenue noted above drove an increase in franchising and other gross profit.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September 30, 2021, selling, general and administrative expenses increased 486.8% to $153.7 million, compared to $26.2 million in the corresponding prior year period. As a percentage of revenue, selling, general and administrative increased to 118.4% in the three months ended September 30, 2021, compared to 30.2% in corresponding prior year period. We recognized equity-based compensation charges of $124.8 million in the three months ended September 30, 2021 and $9.8 million in the corresponding prior year period. The remainder of the increase was primarily driven by IPO costs, which were partially offset by leverage from our investment in infrastructure and above-shop headcount.</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selling, general and administrative expenses increased 200.1% to $223.6 million, compared to $74.5 million in the corresponding prior year period. As a percentage of revenue, selling, general and administrative expenses increased to 62.5% in the nine months ended September 30, 2021, compared to 31.4% in corresponding prior year period. We recognized equity-based compensation charges of $147.8 million in the nine months ended September 30, 2021 and $23.4 million in the corresponding prior year period. The remainder of the increase was primarily driven by IPO costs, which were partially offset by leverage from our investment in infrastructure and above-shop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net consists of interest on the Senior Secured Credit Facility and our Term Loan (as defined below) as well as the amortization of deferred financing costs incurred in connection with the Senior Secured Credit Facility.</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three months ended September 30, 2021, interest expense, net grew 151.9%, to $2.4 million, compared to $1.0 million in the corresponding prior year period. This increase was primarily driven by increased borrowings under our 2018 Credit Agreement and interest on capital leases.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interest expense, net grew 98.0%, to $5.2 million, compared to $2.7 million in the corresponding prior year period. This increase was primarily driven by increased borrowings under our 2018 Credit Agreement and interest on capital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includes miscellaneous expenses.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three months ended September 30, 2021, other expense was $(1.0) million, compared to $(0.4) million in the corresponding prior year period.</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nine months ended September 30, 2021, other expense was $(1.1) million, compared to $(0.7) million in the corresponding prior 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September 30, 2021, income tax expense (benefit) was $(1.3) million, compared to $0 in the corresponding prior year period. The tax benefit was primarily driven by losses allocated from Dutch Bros OpCo to the Company, partially offset by state taxes and the tax expense of the corporate subsidiary.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income tax expense (benefit) was $(0.7) million, compared to $0.3 million in the corresponding prior year period. The tax benefit was primarily driven by losses allocated from Dutch Bros OpCo to the Company, partially offset by state taxes and the tax expense of the corporate subsidiary.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$25.9 million and $31.6 million as of September 30, 2021 and December 31, 2020, respectively.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our principal sources of liquidity were cash flows from operations, proceeds from our initial public offering and our Senior Secured Credit Facility (as defined below). Our principal uses of liquidity for the nine months ended September 30, 2021 were to pay off our term loans and fund our working capital needs.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cash provided by operating activities, cash on hand, and our Senior Secured Credit Facility are adequate to fund our debt service requirements, operating lease obligations, capital expenditures and working capital obligations for at least the next 12 months. However, we may need to raise additional capital to fund our operations. Our future capital requirements may vary materially from period to period and will depend on many factors, including our expansion and growth by opening additional company-operated stores and/or reacquiring existing franchised stores. In addition, the payments that we may be required to make under the TRAs that we entered into may be significant, and we are currently unable to estimate the amounts and timing of the payments that may be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From time to time, we may explore additional financing sources which could include equity, equity</w:t>
      </w:r>
      <w:r>
        <w:rPr>
          <w:rFonts w:ascii="MS PGothic" w:cs="MS PGothic" w:eastAsia="MS PGothic" w:hAnsi="MS PGothic"/>
          <w:sz w:val="18"/>
          <w:szCs w:val="18"/>
          <w:color w:val="auto"/>
        </w:rPr>
        <w:t>‑</w:t>
      </w:r>
      <w:r>
        <w:rPr>
          <w:rFonts w:ascii="Arial" w:cs="Arial" w:eastAsia="Arial" w:hAnsi="Arial"/>
          <w:sz w:val="18"/>
          <w:szCs w:val="18"/>
          <w:color w:val="auto"/>
        </w:rPr>
        <w:t>linked and debt 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37465</wp:posOffset>
            </wp:positionV>
            <wp:extent cx="2065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42,664</w:t>
            </w: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(25,488)</w:t>
            </w:r>
          </w:p>
        </w:tc>
      </w:tr>
      <w:tr>
        <w:trPr>
          <w:trHeight w:val="27"/>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r>
      <w:tr>
        <w:trPr>
          <w:trHeight w:val="23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21,870</w:t>
            </w:r>
          </w:p>
        </w:tc>
      </w:tr>
      <w:tr>
        <w:trPr>
          <w:trHeight w:val="27"/>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15,584</w:t>
            </w:r>
          </w:p>
        </w:tc>
      </w:tr>
      <w:tr>
        <w:trPr>
          <w:trHeight w:val="26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37,454</w:t>
            </w:r>
          </w:p>
        </w:tc>
      </w:tr>
      <w:tr>
        <w:trPr>
          <w:trHeight w:val="21"/>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net cash provided by operating activities was $72.3 million, compared to $42.7 million for the same period of 2020, an increase of $29.6 million, primarily related to increased accounts payable, deferred revenue, accrued expenses and other current liabilities as a result of strong growth year-over-year.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net cash used in investing activities was $76.8 million, compared to $ 25.5 million for the same period of 2020, an increase of $51.3 million, primarily related to investment in capital expenditures as a result of new company-operated shop openings.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2021, net cash used in financing activities was $1.3 million, compared to $4.7 million for the same period of 2020, a decrease of $6.0 million, primarily due to payments to repurchase equity and members’ units, payoff of term loans under our Senior Secured Credit Facility, and distributions to members, partially offset by the net proceeds from our initial public offering and draws from term loans under our Senior Secured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Credit Facility</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12, 2021, we entered into a credit agreement with JPMorgan Chase Bank, N.A. as administrative agent and other financial institutions as the lenders party thereto (the “Senior Secured Credit Facility”). The Senior Secured Credit Facility consists of a $200 million term loan credit facility, a $150 million revolving credit facility and an uncommitted incremental facility of up to $100 million. Upon entering into the Senior Secured Credit Facility, we drew a $200 million term loan to pay a distribution to existing pre-IPO shareholders and a $25 million revolving loan.</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under the Senior Secured Credit Facility will mature and all amounts outstanding will be due and payable on May 12, 2026. The principal balance of the term loans amortizes each quarter at a rate between 2.5% and 12.5% per annum. Loans under the Senior Secured Credit Facility bear interest at a rate equal to either the adjusted LIBOR rate or an alternate base rate, plus an applicable spread based on our net lease-adjusted total leverage ratio. Our obligations under the Senior Secured Credit Facility are guaranteed by our subsidiaries and secured by substantially all of our and such subsidiary guarantors’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Senior Secured Credit Facility contains financial covenants that require us to not exceed a maximum net lease-adjusted total leverage ratio and maintain a minimum fixed charge coverage ratio. The Senior Secured Credit Facility also contains certain negative covenants that, among other things, restrict our ability to: incur additional debt; grant liens on assets; sell or dispose of assets; merge with or acquire other companies, or make other investments; liquidate or dissolve ourselves; engage in businesses that are not in a related line of business; and pay dividends or make other distributions. As of the date of this Form 10-Q, we were in compliance with all covenants under the Senior Secured Credit Facility.</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17, 2021, we completed the IPO and subsequently paid in full our term loans which totaled $198.8 million. As of September 30, 2021, we had no outstanding term loans and $35.0 million of outstanding revolving loans under the Senior Secured Credit Facility.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other than operating leases entered into in the normal course of business, we did not have any other off-balance sheet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business is subject to seasonal fluctuations in that our system sales are typically nominally higher during the summer months affecting the second and third quarters.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related to revenue recognition and leases have not materially changed from those disclosed in our final prospectus filed with the SEC pursuant to Rule 424(b)(4) under the Securities Act of 1933, as amended, dated September 16, 2021. Our critical accounting policies related to income taxes and equity-based compensation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U.S. federal income taxes, in addition to state and local income taxes with respect to our allocable share of any taxable income of Dutch Bros OpCo. Our estimated annual effective tax rate is less than the statutory rate of 21% primarily because we are not liable for income taxes on the portion of earnings that are attributable to non-controlling interests.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Dutch Bros OpCo is treated as a partnership for U.S. federal and certain state and local income taxes. As a partnership, Dutch Bros OpCo is not subject to U.S. federal and certain state and local income taxes. Any taxable income or loss generated by Dutch Bros OpCo is passed through to and included in the taxable income or loss of its members, including us, in accordance with the Amended Dutch Bros OpCo Agreement.</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deferred tax assets relating primarily to the tax effects of temporary differences in the book basis as compared to the tax basis of our investment in Dutch Bros OpCo as a result of the IPO, Reorganization Transactions and TRAs. We do not believe we have any significant uncertain tax positions and therefore has no unrecognized tax benefits as of September 30, 2021, that if recognized, would affect the annual effective tax rate.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Reorganization Transactions and the IPO, we entered into TRAs that provide for the payment by us or any member of our Dutch Bros Tax Group to certain pre-IPO owners of 85.0% of the benefits, if any, the Dutch Bros Tax Group actually realizes, or is deemed to realize in certain circumstances, as a result of certain tax attributes and benefits covered by the TRAs. For additional information see Note 11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granted time-based restricted stock awards and restricted stock units to certain officers, directors and employees. These awards are accounted for as equity-classified awards and are granted at the fair value of the underlying common stock as of the award date and vest over time. Equity-based compensation expense is recognized on a straight-line basis over the requisite service period. For additional information see Note 12 to the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GAAP results, this Form 10-Q contains references to the non-GAAP financial measures below. We use these non-GAAP measures to help us evaluate our business, measure our performance, identify trends affecting our business, formulate business plans and make strategic decisions. In addition to our results determined in accordance with GAAP, we believe that providing these non-GAAP financial measures are useful to our investors as they present an informative supplemental view of our results from period to period by removing the effect of non-recurring items.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GAAP results in addition to using these non-GAAP financial measures. The non-GAAP financial measures should not be construed as an inference that our future results will be unaffected by unusual or non-recurring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shop contribution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Company-operated shop contribution, a non-GAAP financial measure, is defined as net sales less beverage, food and packaging costs, labor and other costs, including pre-opening costs. Company-operated shop contribution is included in this Form 10-Q because it is a key metric used by management and our board of directors to assess our financial performance, and is frequently used by analysts, investors and other interested parties to evaluate companies in our industry.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define EBITDA, a non-GAAP financial measure, as GAAP net income (loss) adjusted for interest expense (income), income tax expense (benefit), and depreciation and amortization. Additionally, we define Adjusted EBITDA, a non-GAAP financial measure, as EBITDA adjusted for equity-based compensation, expenses related to equity and other offerings, pandemic-related costs, and other non-recurring items as determined by management. EBITDA and Adjusted EBITDA are included in this Form 10-Q because they are key metrics used by management and our board of directors to assess our financial performance, and are frequently used by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reconciliations of the most comparable GAAP metric to non-GAAP metrics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3620" w:type="dxa"/>
            <w:vAlign w:val="bottom"/>
            <w:gridSpan w:val="9"/>
          </w:tcPr>
          <w:p>
            <w:pPr>
              <w:ind w:left="34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68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r>
      <w:tr>
        <w:trPr>
          <w:trHeight w:val="27"/>
        </w:trPr>
        <w:tc>
          <w:tcPr>
            <w:tcW w:w="3940" w:type="dxa"/>
            <w:vAlign w:val="bottom"/>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4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shop gross profit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69,038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9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940" w:type="dxa"/>
            <w:vAlign w:val="bottom"/>
          </w:tcPr>
          <w:p>
            <w:pPr>
              <w:ind w:left="320"/>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9"/>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shop contribution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80,076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2720" w:type="dxa"/>
            <w:vAlign w:val="bottom"/>
            <w:gridSpan w:val="8"/>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39"/>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(109,329)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70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1</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124,779</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147,761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84"/>
        </w:trPr>
        <w:tc>
          <w:tcPr>
            <w:tcW w:w="56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gridSpan w:val="2"/>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gridSpan w:val="2"/>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gridSpan w:val="2"/>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gridSpan w:val="2"/>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Expenses associated with equity offering </w:t>
            </w:r>
            <w:r>
              <w:rPr>
                <w:rFonts w:ascii="Arial" w:cs="Arial" w:eastAsia="Arial" w:hAnsi="Arial"/>
                <w:sz w:val="23"/>
                <w:szCs w:val="23"/>
                <w:color w:val="auto"/>
                <w:vertAlign w:val="superscript"/>
              </w:rPr>
              <w:t>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3,332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5,661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5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Donation associated with equity offering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4"/>
        </w:trPr>
        <w:tc>
          <w:tcPr>
            <w:tcW w:w="5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0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COVID-19: "thank you” pay and catastrophic leave </w:t>
            </w:r>
            <w:r>
              <w:rPr>
                <w:rFonts w:ascii="Arial" w:cs="Arial" w:eastAsia="Arial" w:hAnsi="Arial"/>
                <w:sz w:val="23"/>
                <w:szCs w:val="23"/>
                <w:color w:val="auto"/>
                <w:vertAlign w:val="superscript"/>
              </w:rPr>
              <w:t>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3,029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77"/>
        </w:trPr>
        <w:tc>
          <w:tcPr>
            <w:tcW w:w="5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COVID-19: royalty abatement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84"/>
        </w:trPr>
        <w:tc>
          <w:tcPr>
            <w:tcW w:w="56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3"/>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3"/>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gridSpan w:val="3"/>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COVID-19: first responders donation </w:t>
            </w:r>
            <w:r>
              <w:rPr>
                <w:rFonts w:ascii="Arial" w:cs="Arial" w:eastAsia="Arial" w:hAnsi="Arial"/>
                <w:sz w:val="23"/>
                <w:szCs w:val="23"/>
                <w:color w:val="auto"/>
                <w:vertAlign w:val="superscript"/>
              </w:rPr>
              <w:t>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77"/>
        </w:trPr>
        <w:tc>
          <w:tcPr>
            <w:tcW w:w="5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Dutch Rewards transition </w:t>
            </w:r>
            <w:r>
              <w:rPr>
                <w:rFonts w:ascii="Arial" w:cs="Arial" w:eastAsia="Arial" w:hAnsi="Arial"/>
                <w:sz w:val="23"/>
                <w:szCs w:val="23"/>
                <w:color w:val="auto"/>
                <w:vertAlign w:val="superscript"/>
              </w:rPr>
              <w:t>7</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84"/>
        </w:trPr>
        <w:tc>
          <w:tcPr>
            <w:tcW w:w="56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3"/>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gridSpan w:val="2"/>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gridSpan w:val="3"/>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Dutchwear merchandising adjustment </w:t>
            </w:r>
            <w:r>
              <w:rPr>
                <w:rFonts w:ascii="Arial" w:cs="Arial" w:eastAsia="Arial" w:hAnsi="Arial"/>
                <w:sz w:val="23"/>
                <w:szCs w:val="23"/>
                <w:color w:val="auto"/>
                <w:vertAlign w:val="superscript"/>
              </w:rPr>
              <w:t>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77"/>
        </w:trPr>
        <w:tc>
          <w:tcPr>
            <w:tcW w:w="5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80" w:hanging="72"/>
        <w:spacing w:after="0" w:line="219" w:lineRule="auto"/>
        <w:tabs>
          <w:tab w:leader="none" w:pos="81"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non-cash expenses related to the grant and vesting of stock awards, restricted stock awards and restricted stock units in Dutch Bros Inc. and/or Profits Interest Units in Dutch Bros OpCo to certain employees. These awards are accounted for in accordance with guidance prescribed for accounting for share-based compensation.</w:t>
      </w:r>
    </w:p>
    <w:p>
      <w:pPr>
        <w:spacing w:after="0" w:line="153" w:lineRule="exact"/>
        <w:rPr>
          <w:sz w:val="20"/>
          <w:szCs w:val="20"/>
          <w:color w:val="auto"/>
        </w:rPr>
      </w:pPr>
    </w:p>
    <w:p>
      <w:pPr>
        <w:ind w:left="80" w:hanging="72"/>
        <w:spacing w:after="0" w:line="217" w:lineRule="auto"/>
        <w:tabs>
          <w:tab w:leader="none" w:pos="77"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costs incurred as a result of our IPO. These costs include legal fees, consulting fees, tax and accounting fees, and payroll taxes related to the grant and vesting of stock awards for certain employees.</w:t>
      </w:r>
    </w:p>
    <w:p>
      <w:pPr>
        <w:spacing w:after="0" w:line="153" w:lineRule="exact"/>
        <w:rPr>
          <w:sz w:val="20"/>
          <w:szCs w:val="20"/>
          <w:color w:val="auto"/>
        </w:rPr>
      </w:pPr>
    </w:p>
    <w:p>
      <w:pPr>
        <w:ind w:left="80" w:right="180" w:hanging="72"/>
        <w:spacing w:after="0" w:line="217" w:lineRule="auto"/>
        <w:tabs>
          <w:tab w:leader="none" w:pos="77"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 part of our IPO, we made a donation to the Dutch Bros Foundation. This donation is separate from other donations to the Dutch Bros Foundation that we may periodically make.</w:t>
      </w:r>
    </w:p>
    <w:p>
      <w:pPr>
        <w:spacing w:after="0" w:line="153" w:lineRule="exact"/>
        <w:rPr>
          <w:sz w:val="20"/>
          <w:szCs w:val="20"/>
          <w:color w:val="auto"/>
        </w:rPr>
      </w:pPr>
    </w:p>
    <w:p>
      <w:pPr>
        <w:jc w:val="both"/>
        <w:ind w:left="80" w:hanging="72"/>
        <w:spacing w:after="0" w:line="231" w:lineRule="auto"/>
        <w:tabs>
          <w:tab w:leader="none" w:pos="77"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Represents 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spacing w:after="0" w:line="153" w:lineRule="exact"/>
        <w:rPr>
          <w:sz w:val="20"/>
          <w:szCs w:val="20"/>
          <w:color w:val="auto"/>
        </w:rPr>
      </w:pPr>
    </w:p>
    <w:p>
      <w:pPr>
        <w:ind w:left="80" w:hanging="72"/>
        <w:spacing w:after="0"/>
        <w:tabs>
          <w:tab w:leader="none" w:pos="1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 April 2020, we permitted franchise partners to skip one month of royalty payments to support their cash flow needs. We discontinued this support one month later in May 2020.</w:t>
      </w:r>
    </w:p>
    <w:p>
      <w:pPr>
        <w:spacing w:after="0" w:line="268" w:lineRule="exact"/>
        <w:rPr>
          <w:sz w:val="20"/>
          <w:szCs w:val="20"/>
          <w:color w:val="auto"/>
        </w:rPr>
      </w:pPr>
    </w:p>
    <w:p>
      <w:pPr>
        <w:ind w:left="80" w:right="20" w:hanging="72"/>
        <w:spacing w:after="0" w:line="211" w:lineRule="auto"/>
        <w:tabs>
          <w:tab w:leader="none" w:pos="98"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During 2021 and 2020, we made specific donations to the First Responders First organization to support the acquisition and distribution of personal protective equipment for first responders.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hanging="92"/>
        <w:spacing w:after="0"/>
        <w:tabs>
          <w:tab w:leader="none" w:pos="10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We recorded a benefit related to our transition from a paper-based stamp card loyalty program to our current app-based loyalty rewards program.</w:t>
      </w:r>
    </w:p>
    <w:p>
      <w:pPr>
        <w:spacing w:after="0" w:line="152" w:lineRule="exact"/>
        <w:rPr>
          <w:sz w:val="20"/>
          <w:szCs w:val="20"/>
          <w:color w:val="auto"/>
        </w:rPr>
      </w:pPr>
    </w:p>
    <w:p>
      <w:pPr>
        <w:jc w:val="both"/>
        <w:ind w:left="80" w:hanging="72"/>
        <w:spacing w:after="0"/>
        <w:tabs>
          <w:tab w:leader="none" w:pos="91"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During 2020, we incurred a series of one-time costs associated with the strategic decision to exit our internal merchandising business related to Dutch-branded goods such as mugs and cups. These costs include write-off and disposal of obsolete inventory and severance for staff dedicated to in-house support services related to our Dutchwear business.</w:t>
      </w:r>
    </w:p>
    <w:p>
      <w:pPr>
        <w:spacing w:after="0" w:line="241" w:lineRule="exact"/>
        <w:rPr>
          <w:sz w:val="20"/>
          <w:szCs w:val="20"/>
          <w:color w:val="auto"/>
        </w:rPr>
      </w:pPr>
    </w:p>
    <w:p>
      <w:pPr>
        <w:ind w:right="4240"/>
        <w:spacing w:after="0" w:line="45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Commodity Risks</w:t>
      </w:r>
    </w:p>
    <w:p>
      <w:pPr>
        <w:jc w:val="both"/>
        <w:spacing w:after="0" w:line="252" w:lineRule="auto"/>
        <w:rPr>
          <w:sz w:val="20"/>
          <w:szCs w:val="20"/>
          <w:color w:val="auto"/>
        </w:rPr>
      </w:pPr>
      <w:r>
        <w:rPr>
          <w:rFonts w:ascii="Arial" w:cs="Arial" w:eastAsia="Arial" w:hAnsi="Arial"/>
          <w:sz w:val="18"/>
          <w:szCs w:val="18"/>
          <w:color w:val="auto"/>
        </w:rPr>
        <w:t>Our profitability is dependent on, among other things, our ability to anticipate and react to changes in the costs of key operating resources, including beverage,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could impact our operating results to the extent that such increases cannot be offset by menu price increases.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Benefits Costs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our company-operated shops, our starting wage has historically been the minimum wage in place for that particular state with broistas receiving tips from customers in addition to the wages. We do not, however, reduce the wages we pay to broistas to offset tips. We believe this combination of security and upside earning potential, in addition to our strong culture and focus on development, enables us to attract a higher caliber employee and this directly translates to better customer service.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minimum wage increases in several states over the past two years, including: Washington, Oregon, California, Nevada, Idaho, Colorado, and Arizona. As we consider the potential for future federal and state or local minimum wage increases, our first step is to partially offset such increases with operational efficiencies and cost reduction measures in our supply chain and elsewhere before increasing our menu prices. In the future, we may or may not be able to offset with operational efficiencies or menu price increases. As of September 30, 2021, we employed approximately 8,550 hourly workers in our shops.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been exposed to interest rate risk through fluctuations in interest rates on our debt obligations. Our Senior Secured Credit Facility carries interest at a floating rate. We seek to manage exposure to adverse interest rate changes through our normal operating and financing activities. As of September 30, 2021, we had no outstanding term loans and $35.0 million of outstanding revolving loans under the Senior Secured Credit Facility. A hypothetical increase of interest rates up to 1% on our outstanding revolving loans would result in an increase in our annual interest expense of approximately $0.4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inflation factions affecting our operations are commodity and supplies, energy costs, and materials used in the construction of company-operated shops. Our leases require us to pay taxes, maintenance, repairs, insurance, and utilities, all of which are generally subject to inflationary increases. Finally, the cost of constructing our restaurants is subject to inflation, increasing the costs of labor and materials, and resulting in higher rent expense on new shops.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been able to partially offset inflation and other changes in the costs of core operating resources by gradually increasing menu prices, coupled with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make additional menu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imprudent. There can be no assurance that future cost increases can be offset by increased menu prices or that increased menu prices will be fully absorbed by our guests without any resulting change to their visit frequencies or purchasing patterns. In addition, there can be no assurance that we will generate same shop sales growth in an amount sufficient to offset inflationary or other cost pressures.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end of the period covered by this Form 10-Q, our management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reported, in connection with the audit of our consolidated financial statements for the years ended December 31, 2020 and 2019, our management and auditors determined that a material weakness existed in our internal control over financial reporting due to limited accounting department personnel capable of appropriately accounting for complex transactions undertaken by our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continue to take remediation steps, including hiring additional personnel subsequent to December 31, 2020, we have not concluded that the material weakness has been remediated as of September 30, 2021, and therefore have concluded that our disclosure controls and procedures were not effective as of September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13a-15(d) and 15d-15(d) under the Exchange Act) during the three months ended September 30, 2021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Internal Control</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Control systems, including ours, no matter how well designed and operated, can provide only reasonable, not absolute, assurance that the control systems’ objectives are being met. Further, the design of any control systems must reflect the fact that there are resource constraints, and the benefits of all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Control systems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policies or procedures.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involved in any material legal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Below is a summary of the principal factors that make an investment in our Class A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investment decisions regarding our Class A common stock. See “Cautionary Statement Regarding Forward-Looking Statements.” Unless we state otherwise or the context otherwise requires, the terms “we,” “us,” and “our,” and similar references in this Section “Risk Factors” and in Part II – Other Information refers to Dutch Bros Inc. and its subsidiary, Dutch Bros OpCo. The principal factors and uncertainties that make investing in our Class A common stock speculative or risky include, among others:</w:t>
      </w:r>
    </w:p>
    <w:p>
      <w:pPr>
        <w:spacing w:after="0" w:line="2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Evolving consumer preferences and tastes may adversely affect our business.</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compete successfully with other shops, QSRs and convenience shops, including the growing number of coffee delivery options. Intense competition in the foodservice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manage our growth effectively could harm our business and operating results.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identify, recruit and retain qualified individuals for our shops could slow our growth and adversely impact our ability to operate.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shops are geographically concentrated in the Western United States, and we could be negatively affected by conditions specific to that region.</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the cost of high-quality arabica coffee beans or other commodities or decreases in the availability of high-quality arabica coffee beans or other commodities could have an adverse impact on our business and financial results.</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increasingly dependent on information technology and our ability to process data in order to operate and sell our goods and services, and if we (or our vendors)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goods and services could be interrupted, our reputation may be harmed and we may be exposed to liability and loss of customers and business.</w:t>
      </w:r>
    </w:p>
    <w:p>
      <w:pPr>
        <w:spacing w:after="0" w:line="15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Pandemics or disease outbreaks such as COVID-19 have had, and may continue to have, an effect on our business and results of operations.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depends substantially on the value of our brands and failure to preserve their value could have a negative impact on our financial results.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availability of and the cost of labor could harm our business.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Co-Founder and Sponsor continue to have significant influence over us, which could limit your ability to influence the outcome of matters submitted to stockholders for a vote.</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growth strategy depends in part on opening new shops in existing and new markets. We may be unsuccessful in opening new shops or establishing new markets, which could adversely affect our growth.</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remedy our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Investing in our Class A common stock involves a high degree of risk because our business is subject to numerous risks and uncertainties, as further described below, as well as other information included in this Form 10-Q, including the sections titled “Cautionary Statement Regarding Forward-Looking Statements” and “Management’s Discussion and Analysis of Financial Condition and Results of Operations” and our condensed consolidated financial statements and related notes appearing elsewhere in this Form 10-Q, before making an investment decision. The risks described below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 In such an event, the market price of our Class A common stock could decline and you may lose all or part of your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consumer preferences and tastes may adversely affect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Dutch Bros’ continued success depends on our ability to attract and retain customers. Our financial results could be adversely affected by a shift in consumer spending away from Dutch Bros’ hand-crafted beverages,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and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of consumption of various food and beverage products. While we offer alternatives, including reduced sugar and sugar-free items, an unfavorable report on the health effects of sugar, caffeine or other ingredients in our products or changes in public perception of these ingredients could significantly reduce the demand for our beverages. A decrease in customer traffic as a result of these health concerns or negative publicity could significantly reduce the demand for Dutch Bros’ hand-crafted beverages and could harm our business.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quarterly results of operations and key metrics may vary significantly in the future as they have in the past, and period-to-period comparisons of our results of operations and key metrics may not be meaningful. Accordingly, the results of any one quarter should not be relied upon as an indication of future performance. Our quarterly results of operations and key metrics may fluctuate as a result of a variety of factors, many of which are outside of our control, and as a result, may not fully reflect the underlying performance of our business. Fluctuations in quarterly results may negatively impact the value of our securities. Factors that may cause fluctuations in our quarterly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5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real estate or labor costs 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consumer preferences, including those described above;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severe weather or other natural or man-made disasters affecting a large market or several closely located markets that may temporarily but significantly affect our business in such markets;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especially in our large markets, labor discord or disruption, geopolitical events, social unrest, war, terrorism, political instability, acts of public violence, boycotts, hostilities and social unrest and other health pandemics that lead to avoidance of public places or cause people to stay at home;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outcomes of litigation.</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and advertising campaigns may not generate increased sales or profits.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incur costs and expend other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greater financial resources than we do, which enable them to spend significantly more on marketing and advertising and other initiatives than we can. Should our competitors increase spending on marketing and advertising and other initiatives or our marketing funds decrease for any reason, or should our advertising, promotions and new menu items be less effective than our competitors, there could be an adverse effect on our results of operations and financial condition.</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may not be able to compete successfully with other coffee shops, QSRs and convenience shops, including the growing number of coffee delivery options. Intense competition in the foodservice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foodservice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if our competitors begin to evolve their business strategies and adopt aspects of the Dutch Bros business model, such as our drive-thru convenience and digital ordering, our customers may be drawn to those competitors for their beverage needs and our business could be harmed.</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growth strategy depends in part on opening new shops in existing and new markets. We may be unsuccessful in opening new shops or establishing new markets, which could adversely affect our growth.</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Dutch Bros had 503 shops across 11 states, of which 241 were company-operated and 262 were franchised. One of the key means to achieving our growth strategy will be through opening new shops and operating those shops on a profitable basis. In the first nine months of 2021, we opened 52 new company-operated shops, and we plan to open approximately 30 new company-operated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shops before the end of 2021. In the first nine months of 2021, our franchise partners opened 11 new franchise partner operated shops and are projected to open approximately three new franchise partner operated shops before the end of 2021. Our ability to open new shops is dependent upon a number of factors, many of which are beyond our control, including our and our franchise partners’ ability to:</w:t>
      </w:r>
    </w:p>
    <w:p>
      <w:pPr>
        <w:spacing w:after="0" w:line="14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available and suitable sites, specifically for drive-thru locations;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compete for such sites;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reach acceptable agreements regarding the lease of locations;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shop, including construction and opening costs, which includes access to build-to-suit leases and ground lease construction arrangements;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the impact of inclement weather, natural disasters and other calamities;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 and respond effectively to any changes in local, state or federal law and regulations that adversely affect our and our franchise partners’ costs or ability to open new shops; and</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shops and secure the services of qualified contractors and subcontractors in an increasingly competitive environment.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 the use of certain branding or increase the cost of development;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shops in areas where we have existing shops. The operating results and comparable shop sales could be adversely affected due to close proximity with our other shops and market saturation.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shops, once opened, may not be profitable or may close, and the increases in average per shop revenue and comparable sales that we have experienced in the past may not be indicative of future results.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results have been, and in the future may continue to be, significantly impacted by the timing of new shop openings, which is subject to a number of factors, many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including landlord delays,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shops profitably and increase average shop revenue and comparable shop sales will depend on many factors, some of which are beyond our control, including:</w:t>
      </w:r>
    </w:p>
    <w:p>
      <w:pPr>
        <w:spacing w:after="0" w:line="1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consumer awareness and understanding of the Dutch Bros brand;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which can affect shop traffic, local labor costs and prices we pay for the beverage and other supplies we use;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consumption patterns and beverage preferences that differ from region to region;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consumer preferences and discretionary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obtaining or maintaining adequate relationships with distributors or suppliers in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prices for commodities, including coffee, milk and flavored syrups;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inefficiency in our labor costs as the staff gains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either from our competitors in the beverage industry or our own shops;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temporary and permanent site characteristics of new shops;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government regulation;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unanticipated increases in costs, any of which could give rise to delays or cost overruns.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our new shops do not perform as planned or close, our business and future prospects could be harmed. In addition, an inability to achieve our expected average shop revenue could harm our business.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As a result, the opening of a new shop 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near markets in which we or our franchise partners already have shops could adversely impact sales at these existing shops while growing the overall AUV in a region.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could affect our sales growth, which could, in turn, harm our business.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expand, we may not be able to maintain our current average shop and our business may be harmed. Although we have specific target operating and financial metrics, new shops may not meet these targets or may take longer than anticipated to do so. Any new Dutch Bros shops we open may not be profitable or achieve operating results similar to those of our existing shops, which could adversely affect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manage our growth effectively could harm our business and operating results.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including a decline in financial performance, could be harmed. If we experience a decline in financial performance, we may decrease the number of or discontinue new Dutch Bros shop openings, or we may decide to close shops that we are unable to operate in a profitable manner.</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brand or reputation or negative publicity could negatively impact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from time to time, be faced with negative publicity, regardless of its accuracy, relating to beverage quality; the safety, sanitation and welfare of our shops; customer complaints or litigation alleging illness or injury; health inspection scores; integrity of our or our suppliers’ food processing, employment practices and other policies, practices and procedures; or employee relationships and welfare or other matters. Negative publicity may adversely affect us, regardless of whether the allegations are substantiated or whether we are held to be responsible. In addition, the negative impact of adverse publicity relating to one shop may extend far beyond the shop involved, to affect some or all of our other shops, including our franchise partner shops. The risk of negative publicity is particularly great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Ultimately, the risks associated with any such negative publicity or incorrect information cannot be completely eliminated or mitigated and may harm our business.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inability to identify, recruit and retain qualified individuals for our shops could slow our growth and adversely impact our ability to operate.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success also depends substantially on the contributions and abilities of our broistas on whom we rely to give customers a superior experience and elevate our brand. At Dutch Bros, it’s about having fun and giving customers our special brand of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will likely require us to pay higher wages and provide greater benefits, especially if there is continued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domestic markets may present increased risks, which could affect our profitability.</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plan to open additional company-operated Dutch Bros shops in domestic markets where we have little or no operating experience. The target consumer base of our shops varies by location, depending on a number of factors, including population density, other local coffee and convenience beverage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distributors, area demographics and geography. Shops we open in new markets may take longer to reach expected sales and profit levels on a consistent basis. New markets may have competitive or regulatory conditions, consumer tastes and discretionary spending patterns that are more difficult to predict or satisfy than our existing markets. We may need to make greater investments than we originally planned in advertising and promotional activity in new markets to build brand awareness. We may find it more difficult in new markets to hire, motivate and keep qualified employees who share our values. We may also incur higher costs from entering new markets if, for example, we assign operators to manage comparatively fewer shops than we assign in more developed markets. Also, until we attain a critical mass in a market, the shops we do open will have reduced operating leverage. As a result, these new shops may be less successful or may achieve target operating profit margins at a slower rate than existing shops did, if ever. If we do not successfully execute our plans to enter new markets, our business could be harmed.</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the risks associated with leasing space subject to long-term non-cancelable lease and, with respect to the real property that we own, owning real estate.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leases generally have initial terms of 15 years with renewal options. Shop leases provide for a specified annual rent, typically at a fixed rate for the first five years with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approximately 52%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shops are geographically concentrated in the Western United States, and we could be negatively affected by conditions specific to that region.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2021, our company-operated and franchised shops in the Western United States represent approximately 95% of our total shops. Adverse changes in demographic, unemployment, economic, regulatory or weather conditions in the Western United States have,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the current and any future wildfires may have a similar impact.</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material interruption in our supply chain, such as material interruption of the supply of coffee, flavored syrups, dairy, coffee machines and other restaurant equipment or packaging for our proprietary products due to the casualty loss of any of our roasting plant,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our relationship with Portland Bottling Co. to manufacture and bottle these drinks. Sales of Dutch Bros. Blue Rebel accounted for approximately 24% of our systemwide sales in 2021. Failures by Portland Bottling Co. or any of our other suppliers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Increases in the cost of high-quality arabica coffee beans or other commodities or decreases in the availability of high-quality arabica coffee beans or other commodities could have an adverse impact on our business and financial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availability and prices of coffee beans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purchase significant amounts of dairy products, particularly milk, to support the needs of our shops. Additionally, and although less significant to our operations than coffee or dairy, other commodities, including but not limited to plant-based “milks,” tea, sugar, syrups, energy and packaging material, such as plastics, corrugate, and canning materials, are important to our operations. Increases in the cost of dairy products and other commodities, such as petroleum which in turn may increase the cost of our packing materials, or lack of availability, whether due to supply shortages, delays or interruptions in processing, or otherwise, especially in international markets,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continuous growth and expansion has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ability to process data in order to operate and sell our goods and services, and if we (or our vendors)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goods and services could be interrupted, our reputation may be harmed and we may be exposed to liability and loss of customers and business.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information technology networks and systems and data processing (some of which are managed by third-party service providers) to market, sell and deliver our products and services, to fulfill orders, to collect, receive, store, process, generate, use, transfer, disclose, make accessible, protect, secure, dispose of and share (“Process” or “Processing”) personal information, confidential or proprietary information, financial information and other information, to manage a variety of business processes and activities, for financial reporting purposes, to operate our business, to process orders, for legal and marketing purposes and to comply with regulatory, legal and tax requirements (“Business Functions”). These information technology networks and systems, and the Processing they perform, may be vulnerable to data security and privacy threats, cyber and otherwise. Moreover, the risk of unauthorized circumvention of our security measures or those of our third parties on whom we rely has been heightened by advances in computer and software capabilities and the increasing sophistication of hackers who employ complex techniques, including, without limitation, “phishing” or social engineering incidents, ransomware, extortion, account takeover attacks, denial or degradation of service attacks and malware. Further, breaches experienced by other companies may also be leveraged against us.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example, credential stuffing attacks are becoming increasingly common and sophisticated actors can mask their attacks, making them increasingly difficult to identify and prevent.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suffers damage, security breaches, vulnerabilities, disruption or shutdown, and we do not effectively resolve the issues in a timely manner, they could cause a material adverse impact to, our Business Functions and our business, reputation and financial condition.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Hackers and data thieves are increasingly sophisticated and operate large-scale and complex automated attacks, which may remain undetected until after they occur. Despite our efforts to protect our information technology networks and systems, Processing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if, for example, third parties attempt to fraudulently induce our personnel or our customers to disclose information or user names and/or passwords, or otherwise compromise the security of our networks, systems and/or physical facilities.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products and services are more widely adopted, and as we continue to expand the features and functionality of existing products and services and introduce new products and services.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actual or perceived breach of our security systems or those of our third-party service providers may require notification under applicable data privacy regulations or for customer relations or publicity purposes, which could result in reputational harm, costly litigation (including class action litigation), material contract breaches, liability, settlement costs, loss of sales, regulatory scrutiny, actions or investigations, a loss of confidence in our business, systems and Processing, a diversion of management’s time and attention, and significant fines, penalties, assessments, fees and expenses.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breach or related regulatory actions or litigation, which could have an adverse effect on our business. Additionally,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Moreover, our privacy risks are likely to increase as we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to expand, grow our customer base, and process, store, and transmit increasingly large amounts of personal and/or sensitive data.</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Pandemics or disease outbreaks such as the COVID-19 pandemic have had, and may continue to have, an effect on our business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increase commodity costs. COVID-19 has impacted all global economies, and in the United States has resulted in varying levels of restrictions and shutdowns implemented by national, state, and local authorities.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Even though we have been deemed an “essential business” during this COVID-19 pandemic and have been allowed to remain in operation, even while some of our competitors were not, there is no guarantee that in the event of a future pandemic or resurgence of the COVID-19 pandemic that we will receive the same designation. Regardless of our status as an essential business during the COVID-19 pandemic, 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and mitigation measures have also had an adverse impact on global economic conditions generally, which have had an adverse effect on our business and financial condition. Our sales and operating results may be affected by uncertain or changing economic and market conditions arising in connection with and in response to the COVID-19 pandemic, including prolonged periods of high unemployment, inflation, deflation, prolonged weak consumer demand, a decrease in consumer discretionary spending, political instability or other changes.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This has led to, and may continue to lead to, write-offs of amounts we have currently due from our franchise partners beyond amounts we have reserved, as well as decreased future collections from franchise partners. Additionally, in certain instances, we have offered grace periods for certain near-term payments due to us by our franchise partners who needed more access to capital and were in good standing with Dutch Bros. If we need to extend such grace periods again in the future, it will negatively impact our cash flows in the near-term and there is no guarantee that our franchise partners will ultimately pay amounts due. Additionally, our franchise partners may not be able to make payments to landlords, distributors and key suppliers, as well as payments to service any debt they may have outstanding. Franchise partners’ financial distress has also led to, and may continue to lead to, permanent shop closures and delayed or reduced new franchise partners development which would further harm our results and liquidity going forward. Further, in some cases, we are contingently liable for franchise partner lease or supplier obligations, and a failure by a franchise partner to perform its obligations under such lease could result in direct payment obligations for us.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yet know the full extent of potential delays or impacts on our business, operations or the global economy as a whole. While the spread of COVID-19 may eventually be contained or mitigated, we do not yet know how our business, our customers or our franchise partners will operate in a post COVID-19 environment. In addition, new strains and variants of the virus have caused a resurgence and an increase in reported infection rates, particularly in areas with lower vaccination rates, which may impact the general economic recovery. There is no guarantee that a future outbreak of this or any other widespread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Brands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substantially on the value of our brands and failure to preserve their value could have a negative impact on our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in large part upon our and our franchise partners’ ability to maintain and enhance our corporate reputation and the value and perception of our brands.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including trademarks, trade names, and service marks, which, in turn, could harm the value of our brand and adversely affect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trademark, copyright, and trade secret laws, as well as license agreements, nondisclosure agreements, and confidentiality and other contractual provisions to protect our intellectual property. Nevertheless, our competitors may develop similar menu items and concepts, and adequate remedies may not be available in the event of an unauthorized use or disclosure of our trade secrets and other intellectual property.</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U.S. trademark applications will be approved in a timely manner or at all, or that such registrations will effectively protect our brand names and trademarks.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the steps we have taken to protect our intellectual property in the United States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brands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also from time to time be required to institute litigation to enforce our trademarks, service marks and other intellectual property. Such litigation could result in substantial costs and diversion of resources and could negatively affect our sales, profitability and prospects regardless of whether we can successfully enforce our rights.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may oppose our trademark and service mark applications, or otherwise challenge our use of the trademarks and service marks. In the event that these or other intellectual property rights are successfully challenged, we could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our franchise partners are unable to protect our customers’ credit and debit card data or confidential information in connection with process the same or confidential employee information, we could be exposed to data loss, litigation, liability and reputational damage.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accept payments using credit cards and debit cards and, as such, are subject to payment card association operating rules and certification requirements, including the Payment Card Industry Data Security Standard, which is a security standard applicable to companies like ours that collect, store or transmit certain data regarding credit and debit cards, holders and transactions. We are also subject to rules governing electronic funds transfers.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goods and services, which could materially impact our operations and financial performance.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People and Culture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availability of and the cost of labor could harm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could be harmed by increases in labor costs, including those increases triggered by regulatory actions regarding wages, scheduling and benefits, increased health care and workers’ compensation insurance costs, which, in a retail business such as ours, are our most significant costs. In particular, our broistas are paid wage rates at or based on the applicable federal or state minimum wage, and increases in the applicable minimum wage will increase labor costs. From time to time, legislative proposals are made to increase the minimum wage at the federal or state level. As federal, state or other applicable minimum wage rates increase, we may be required to increase not only the wage rates of minimum wage broistas or other employees, but also the wages paid to other hourly employees. We may not choose to increase prices in order to pass future increased labor costs on to customers, in which case our margins would be negatively affected. If we do not increase prices to cover increased labor costs, the higher prices could result in lower revenue, which may also reduce margins.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Furthermore, due to the COVID-19 pandemic, we could experience a shortage of labor for shop positions as concern over exposure to COVID-19 and other factors could decrease the pool of available qualified talent for key functions. In addition, our wages and benefits programs, combined with the challenging conditions due to the COVID-19 pandemic, may be insufficient to attract and retain the best talent.</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marketing, sales, customer experience, and selling, general and administrative. From time to time, there may be changes in our executive management team resulting from the hiring or departure of executives, which could disrupt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loss of one or more of our executive officers or key employees could harm our business. Changes in our executive management team may also cause disruptions in, and harm to, our business.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activities may disrupt our operations and affect our profitability.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statutory, regulatory, accounting, and other legal requirements, including changes in accounting principles generally accepted in the United States, could potentially impact our operating and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Fluctuations in our tax obligations and effective tax rate and realization of our deferred tax assets may result in volatility of our operating results and adversely affect our financial condition.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5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earnings being lower than anticipated in jurisdictions where we have lower statutory tax rates and higher than anticipated earnings in jurisdictions where we have higher statutory tax rates.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is both costly and complex.</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beverage industry is subject to extensive federal, state and local laws and regulations, including the recently enacted comprehensive health care reform legislation discussed above, those relating to building and zoning requirements and those relating to the preparation and sale of food and beverages 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subject to the Fair Labor Standards Act and various other federal, state and local laws that regulate the wages and hours of employees. These laws commonly apply a strict liability standard so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licensing sales and our relationships with our licensees.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(and our vendors) are subject to stringent and changing laws, regulations, industry standards, related to data Processing, protection, privacy and security. The actual or perceived failure by us, our customers or vendors to comply with such laws, regulations, industry standards,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Process personal information, confidential information and other information necessary to provide our products and service and ensure that they are delivered effectively, to operate our business, for legal and marketing purposes, and for other business-related purposes.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Data privacy and regulation of privacy, information security and Processing has become a significant issue in the United States. The legal and regulatory framework for privacy and security issues is rapidly evolving and is expected to increase our compliance costs and exposure to liability. There are numerous federal, state, local laws, orders, codes, regulations and regulatory guidance regarding privacy, information security and Processing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customers for Processing is obtained, could increase our costs and require us to modify our operations, possibly in a material manner, which we may be unable to complete and may limit our ability to store and process customer data and operate our business.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Data Protection Laws are, and are likely to remain, uncertain for the foreseeable future, and our actual or perceived failure to address or comply with these laws could: increase our compliance and operational costs; limit our ability to market our products or services and attract new and retain current customers; limit or eliminate our ability to Process; expose us to regulatory scrutiny, actions, investigations, fines and penalties; result in reputational harm; lead to a loss of customers; reduce the use of our products or services; result in litigation and liability, including class action litigation; cause to incur significant costs, expenses and fees (including attorney fees); cause a material adverse impact to business operations or financial results, and; otherwise result in other material harm to our business (“Adverse Data Protection Impact”).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or may also be subject to the terms of our external and internal privacy and security policies, codes, representations, certifications, industry standards, publications and frameworks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(“Data Protection Obligations”).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employees, partners or vendors do not comply with applicable Data Protection Laws, Privacy Policies and Data Protection Obligations. We may be subject to, and suffer an Adverse Data Protection Impact if we fail (or are perceived to have failed) to comply with applicable Data Protection Laws, Privacy Policies and Data Protection Obligations, if our Privacy Policies are, in whole or part, found to be inaccurate, incomplete, deceptive, unfair or misrepresentative of our actual practices. In addition, any such failure or perceived failure could result in public statements against us by consumer advocacy groups, the media or others, which may cause us material reputational harm. Our actual or perceived failure to comply with Data Protection Laws, Privacy Policies and Data Protection Obligations could also subject us to litigation, claims, proceedings, actions or investigations by governmental entities, authorities or regulators, which could result in an Adverse Data Protection Impact, including required changes to our business practices, the diversion of resources and the attention of management from our business, regulatory oversights and audits, discontinuance of necessary Processing or other remedies that adversely affect our business.</w:t>
      </w:r>
    </w:p>
    <w:p>
      <w:pPr>
        <w:spacing w:after="0" w:line="1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the Computer Fraud and Abuse Act, the California Consumer Privacy Act (the “CCPA”), and other state and federal laws relating to privacy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data security. The CCPA, which among other things, establishes a privacy framework for covered businesses, including an expansive definition of personal data and data privacy rights. The CCPA provides individual privacy rights for California residents and places increased privacy and security obligations on covered businesses processing personal data. The CCPA requires covered businesses to provide new disclosures to California residents and provide such individuals with ways to opt-out of certain sales of personal data. The CCPA also provides a private right of action and statutory damages for violations, including for data breaches. To the extent applicable to our business and operations, the CCPA may impact our business activities by increasing our compliance costs and potential liability with respect to personal information that we or third parties with whom we contract to provide services maintain about California residents. It is anticipated that the CCPA will be expanded on January 1, 2023, when the California Privacy Rights Act of 2020 (the “CPRA”) becomes operative. The CPRA will, among other things, give California residents the ability to limit use of certain sensitive personal data, further restrict the use of cross-contextual advertising, establish restrictions on the retention of personal data, expand the types of data breaches subject to the CCPA’s private right of action, provide for increased penalties for CPRA violations concerning California residents under the age of 16, and establish a new California Privacy Protection Agency to implement and enforce the law. These Data Protection Laws (such as the CCPA and CPRA) exemplify the vulnerability of our business to the evolving regulatory environment related to personal data.</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across the United States, laws and regulations governing data privacy and security continue to develop and evolve. For example, Virginia enacted the Consumer Data Protection Act (“CDPA”) that may impose obligations similar to or more stringent than those we may face under other Data Protection Laws. Compliance with the CPRA, the CCPA, the CDPA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 The Data Protection Laws, Privacy Policies and Data Protection Obligations to which we are subject may significantly affect our business activities and many of these obligations may contain ambiguous provisions creating uncertainty. Compliance with the requirements imposed by such Data Protection Laws and Data Protection Obligations may require us to revise our business practices, allocate more resources to privacy and security, and implement new technologies. Such efforts may result in significant costs to our business. Noncompliance could result in Adverse Data Protection Impact, including proceedings against us by governmental and regulatory entities, collaborators, individuals or others.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a variety of marketing techniques and practices, including email and social media marketing, online targeted advertising, and cookie-based Processing, to sell our products and services and to attract new customers,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Additionally, some providers of consumer devices, web browsers and application shops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Laws and regulations regarding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which, in turn, could have an adverse effect on our business, financial condition, results of operations and prospects.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and our franchise partners are subject to extensive government regulations that could result in claims leading to increased costs and restrict our ability to operate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thereby increasing the possibility of Dutch Bros being held liable for our franchise partners’ employment practices.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While we have not been a party to any of these types of lawsuits in the past, there can be no assurance that we will not be named in any such lawsuit in the future or that we would not be required to pay substantial expenses and/or damages.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beverage and restaurant industry has also been subject to a growing number of claims that their menus and actions have led to the obesity of certain of their customers.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Occasionally, we and our franchise partners are involved in disputes with neighbors, government officials and landlords over the lines of cars attempting to visit our shops. These disputes have led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beverage industry in general.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anticipate that Dutch Bros OpCo will continue to be treated as a partnership for U.S. federal income tax purposes and, as such, generally will not be subject to any entity-level U.S. federal income tax. Instead, taxable income will be allocated to holders of Class A common units. Accordingly, Dutch Bros Inc. will incur income taxes on its allocable share of any net taxable income of Dutch Bros OpCo and will also incur expenses related to its operations, including payments under the Tax Receivable Agreements entered into in connection with the IPO, which we expect could be significant. Furthermore, Dutch Bros Inc.’s allocable share of Dutch Bros OpCo’s net taxable income will increase over time as the Continuing Members redeem or exchange their Class A common units for shares of Class A common stock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intend, through Dutch Bros Inc.’s role as managing member, to cause Dutch Bros OpCo to make cash distributions to the holders of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Class A common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adjustments to the exchange ratio of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Class A common units or lends such cash to Dutch Bros OpCo, this may result in shares of Class A common stock increasing in value relative to the Class A common units. The holders of Class A common units may benefit from any value attributable to such cash balances if they receive shares of Class A common stock on redemption or exchange of their Class A common units or if Dutch Bros Inc. acquires additional Class A common units (whether from Dutch Bros OpCo or from holders of Class A common units) at a price based on the market price of our Class A common stock at the time.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IPO, Dutch Bros Inc. entered into two Tax Receivable Agreements. It entered into (i) the Exchange Tax Receivable Agreement with the Continuing Members and (ii) the Reorganization Tax Receivable Agreement with the Pre-IPO Blocker Holders.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Class A common units (including certain transactions in connection with the IPO) which tax basis is allocated to such redeemed or exchanged Class A common units acquired by Dutch Bros Inc., (ii) adjustments that will increase the tax basis of the tangible and intangible assets of the Dutch Bros OpCo and its subsidiaries as a result of Dutch Bros Inc.’s taxable acquisition of Class A common units from the Continuing Members in connection with the IPO and in connection with future redemptions or exchanges of Class A common units for shares of Class A common stock (or a corresponding amount of cash), (iii) disproportionate allocations (if any) of tax benefits to Dutch Bros Inc. under Section 704(c) of the Code as a result of Dutch Bros Inc.’s acquisition of Class A common units from Dutch Bros OpCo and PI Unit holders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Class A common units acquired by Dutch Bros Inc.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Class A common units or the Pre-IPO Blocker Holders.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Payments under the Tax Receivable Agreements will be based on the tax reporting positions that we determine, and the Internal Revenue Service (“IRS”) or another tax authority may challenge all or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may be accelerated and/or significantly exceed the actual benefits Dutch Bros Inc. realizes in respect of the tax attributes subject to the Tax Receivable Agreements.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Additional stock issuances (including pursuant to the redemption of Class A common units from our Continuing Members) could result in significant dilution to our stockholders and cause the trading price of our Class A common stock to decline.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a financing, acquisition, investments or otherwise (including pursuant to the redemption of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following the issuance of shares of Class A common stock in connection with the redemption of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 and the trading price of our Class A common stock may be volatile, and you could lose all or part of your investment.</w:t>
      </w:r>
    </w:p>
    <w:p>
      <w:pPr>
        <w:spacing w:after="0" w:line="10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only recently completed our IPO, so there is a limited history regarding the public market and trading of our Class A common stock. We cannot predict the extent to which investor interest in us will lead to the development of an active trading market on that exchange or otherwise or how liquid that market might become. An active public market for our Class A common stock may not develop or be sustained. If an active public market does not develop or is not sustained, it may be difficult for you to sell your shares of Class A common stock at a price at or above the price per share of the IPO or at a price that is attractive to you or at all. Further, an inactive market may also impair our ability to raise capital by selling shares of our Class A common stock and may impair our ability to enter into strategic collaborations or acquire companies or products by using our shares of Class A common stock as consideration. Likewise, the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39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competitors’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companies generally, or those in our industry in particular;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including the Continuing Members;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franchises or other assets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political and economic conditions and slow or negative growth of our markets.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Continuing Members, limiting your ability to influence corporate matters.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newly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Also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multi-class capital structure make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Co-Founder and Sponsor have significant influence over us, which could limit your ability to influence the outcome of matters submitted to stockholders for a vote.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Co-Founder beneficially owns approximately 74.0% of the combined voting power of our Class A common stock, Class B common stock, Class C common stock and Class D common stock, and our Sponsor, directly and through affiliated investment funds, beneficially owns approximately 22.1% of the combined voting power of our Class A common stock, Class B common stock, Class C common stock and Class D common stock. Each share of Class A common stock entitling the holder to one vote, each share of Class B common stock entitling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our aggregate voting power of Dutch Bros Inc. at any time) and each share of Class C common stock and Class D common stock entitling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Co-Founder and Sponsor own approximately 71.3% of the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Class A common units and their preferences as to the timing and amount of any such distributions may differ from those of our public stockholders. The Continuing Members may also have different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positions from Dutch Bros Inc. that could influence their decisions regarding whether and when to dispose of assets, especially in light of the existence of the Tax Receivable Agreements entered into in connection with the IPO,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tax or other considerations even where no similar benefit would accrue to us.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affiliates of our Co-Founder beneficially own approximately 74.0%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5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New York Stock Exchange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intend to continue to utilize these exemptions until we are no longer eligible for them. Accordingly, you will not have the same protections afforded to stockholders of companies that are subject to all the corporate governance requirements of the New York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our Sponsor, which may cause conflicts of interest with respect to our business.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Two of our directors are affiliated with our Sponsor. Our Sponsor-affiliated directors have fiduciary duties to us and, in addition, have duties to our Sponsor. As a result, these directors may face real or apparent conflicts of interest with respect to matters affecting both us and our Sponsor, whose interests may be adverse to ours in some circumstances.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the market price of our Class A common stock.</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predict whether our multi-class structure, combined with the concentrated control of our stockholders who held our capital stock prior to the completion of the IPO, including our executive officers, employees, and directors and their affiliates, will result in a lower or more volatile market price of our Class A common stock or in adverse publicity or other adverse consequences. For example, as mentioned above certain index providers have announced restrictions on including companies with multiple class share structures in certain of their indices. Under the announced policies, our multi-class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structure makes us ineligible for inclusion in many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Class A or Class D common stock cause the market price of our Class A common stock to decline.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Subject to the terms of the Third Dutch Bros OpCo Agreement, an aggregate of 113,705,346 Class A common units may be redeemed in exchange for shares of our Class A common stock and an aggregate of 15,441,243 shares of Class D common stock may be converted into shares of our Class A common stock. Any shares we issue upon redemption or exchange of Class A common units or upon the conversion of shares of Class D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our Class D common stock, and the holders of substantially all our outstanding OpCo Units have agreed, subject to certain exceptions, not to dispose of or hedge any shares of our Class A common stock (including shares issued upon redemption or exchange of Class A common units or upon conversion of shares of Class D common stock, as applicable) or securities convertible into or exchangeable for shares of our Class A common stock, including our Class B, Class C and Class D common stock, for the lock-up period following the date of our IPO, except with certain underwriters’ prior written consent.</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Upon the expiration of the lock-up agreements described above, all such shares will be eligible for resale in the public market, subject, in the case of shares held by our affiliates, to volume, manner of sale, and other limitations under Rule 144.</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As a newly public company, we incur increased costs and demands upon management as a result of complying with the laws and regulations affecting public companies in the United States, which may harm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rules and regulations could also make it more difficult for us to attract and retain qualified persons to serve on our board of directors or our board committees or as executive officers. Our management and other personnel devote a substantial amount of time to these compliance initiatives and, as a result, management’s attention may be diverted from other business concerns, which could harm our business and operating results. As we hire more employees to aid us in compliance with these requirements, our costs and expenses may increase.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are implementing new internal controls and procedures and hiring accounting or internal audit staff, which will require us to incur additional expenses and harm our results of operations.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are permitted by SEC rules and plan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the IPO, (b) in which we have total annual gross revenue of over $1.07 billion or (c) in which we are deemed to be a large accelerated filer, which means the market value of our Class A common stock held by non-affiliates exceeds $ 700 million as of the prior June 30 and (2) the date on which we have issued more than $1.0 billion in non-convertible debt during the prior three-year period. We cannot predict if investors will find our Class A common stock less attractive because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quarterly results of operations, including the levels of our revenue, deferred revenue, working capital, and cash flows, may vary significantly in the future, such that period-to-period comparisons of our results of operations may not be meaningful. Our quarterly financial results may fluctuate due to a variety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factors, many of which are outside of our control and may be difficult to predict, including, but not limited to:</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consumer tastes and nutritional and dietary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 identification and acquisition of appropriate sites and timely develop and expand our number of profitable shops;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protection of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dependence on a small number of suppliers, including for roasting;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regarding our future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management and continued growth of our workforce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retain, and motivate skilled personnel, including key members of our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generation of projected same shop sales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dependence on long-term non-cancelable 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employees and the status of our workers;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maintain good relationships with our franchising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vulnerability to global financial market conditions, including the continuing effects from the recent recession;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weather conditions in local or regional areas where our shops are located;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realization of any benefit from the Tax Receivable Agreements and our organizational structure.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outstanding indebtedness could materially adversely affect our financial condition and our ability to operate our business, pursue our growth strategy, and react to changes in the economy or industry.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we had $ 35.0 million in revolving loans. Although we used a portion of the proceeds from the IPO to pay down part of our loans, we will continue to have a significant amount of indebtedness. In addition, subject to certain restrictions under the Credit Agreement we entered into in May 2021 with JPMorgan Chase Bank, N.A. as administrative agent and other financial institutions as the lenders party thereto (referred to as the “Senior Secured Credit Facility”), we may incur additional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debt could have important consequences to you, including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may be difficult for us to satisfy our obligations, including debt service requirements under our outstanding debt, resulting in possible defaults on and acceleration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debt service requirements or other general corporate purposes may be impaired;</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capitalize on business opportunities and to react to competitive pressures, as compared to our competitors, may be compromised due to our level of debt;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borrow additional funds or to refinance debt may be limited.</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Furthermore, all of our debt under our Senior Secured Credit Facility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Restrictions imposed by our outstanding indebtedness and any future indebtedness may limit our ability to operate our business, execute our growth strategy, and to finance our future operations or capital needs or to engage in other business activities.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2021, we entered into the Senior Secured Credit Facility, which restricts us from engaging in specified types of transactions. These covenants restrict our ability, among other things, to:</w:t>
      </w:r>
    </w:p>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 or 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merge with or acquire other companies, or make other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liquidate or dissolve ourselves; engage in businesses that are not in a related line of business;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or make other distribution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Senior Secured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breach of any of the covenants in the Senior Secured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Senior Secured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Senior Secured Credit Facility or any applicable law. Our obligations under the Senior Secured Credit Facility are guaranteed by our subsidiaries and secured by substantially all of our and such subsidiary guarantors’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Senior Secured Credit Facility or the exercise by the applicable lenders of their rights and remedies would likely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restrictions, we may be:</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restrictions may affect our ability to grow in accordance with our strategy.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remedy our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Prior to the IPO, we were a private company and had limited accounting and financial reporting personnel and other resources with which to address our internal controls and related procedures. In connection with the audit of our consolidated financial statements for the year ended December 31, 2019 and 2020, our management and auditors determined that a material weakness existed in the internal control over financial reporting due to limited accounting department personnel capable of appropriately accounting for complex transactions we undertake. Additionally, there were insufficient controls over the review and approval of manual journal entries, including appropriate segregation of duties.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this material weakness. While we continue to take remediation steps, including hiring additional personnel subsequent to December 31, 2020,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December 31, 2020.</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fail to remediate our existing material weakness or identify new material weaknesses in our internal controls over financial reporting, if we are unable to comply with the requirements of Section 404 of the Sarbanes-Oxley Act in a timely manner, if we are unable to conclude that our internal controls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engage in merger and acquisition activities or strategic partnerships, which would require significant management attention, disrupt our business, dilute stockholder value, and adversely affect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Historically, we have financed our operations and capital expenditures primarily through sales of Dutch Bros OpCo Units that are convertible into our capital stock.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spacing w:after="0" w:line="14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claim or cause of action for a breach of fiduciary duty owed by any of our current or former directors, officers or other employees to us or our stockholders;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to the Court of Chancery of the State of Delaware;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governed by the internal-affairs doctrine.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that directors may only be removed pursuant to the provisions of Section 141(k) of the Delaware General Corporation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the holders of our Class C common stock, voting as a separate class, to elect up to two directors, subject to the limitations set forth in our amended and restated certificate;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multi-class common stock structure as described above.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Class A common stock and our Class D common stock is currently limited by the covenants of our Senior Secured Credit Facility and may be further restricted by the terms of any future debt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Holders of our Class B common stock and Class C common stock do not have any right to receive dividends, or to receive a distribution upon a liquidation, dissolution or winding up of Dutch Bros Inc., with respect to their Class B common stock or Class C common stock. Accordingly, stockholders must rely on sales of their Class A common stock after price appreciation, which may never occur, as the only way to realize any future gains on their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Labor discord or disruption, geopolitical events, social unrest, war,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the COVID-19 pandemic, including the reactions of governments, markets, and the general public, may result in a number of adverse consequences for our business, operations, and results of operations, many of which are beyond our control. 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spacing w:after="0" w:line="135" w:lineRule="exact"/>
        <w:rPr>
          <w:sz w:val="20"/>
          <w:szCs w:val="20"/>
          <w:color w:val="auto"/>
        </w:rPr>
      </w:pPr>
    </w:p>
    <w:p>
      <w:pPr>
        <w:ind w:right="4100"/>
        <w:spacing w:after="0" w:line="451"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Recent Sales of Unregistered Securities</w:t>
      </w:r>
    </w:p>
    <w:p>
      <w:pPr>
        <w:spacing w:after="0"/>
        <w:rPr>
          <w:sz w:val="20"/>
          <w:szCs w:val="20"/>
          <w:color w:val="auto"/>
        </w:rPr>
      </w:pPr>
      <w:r>
        <w:rPr>
          <w:rFonts w:ascii="Arial" w:cs="Arial" w:eastAsia="Arial" w:hAnsi="Arial"/>
          <w:sz w:val="18"/>
          <w:szCs w:val="18"/>
          <w:color w:val="auto"/>
        </w:rPr>
        <w:t>In connection with the Reorganization Transactions and our IPO we made the following issuances of unregistered securities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p>
      <w:pPr>
        <w:spacing w:after="0" w:line="171" w:lineRule="exact"/>
        <w:rPr>
          <w:sz w:val="20"/>
          <w:szCs w:val="20"/>
          <w:color w:val="auto"/>
        </w:rPr>
      </w:pPr>
    </w:p>
    <w:p>
      <w:pPr>
        <w:jc w:val="both"/>
        <w:ind w:firstLine="8"/>
        <w:spacing w:after="0" w:line="253"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outstanding approximately 142.5 million Common Units (as defined in Note 1 to the Condensed Consolidated Financial Statements, unaudited) were converted into Class A common units paired with an equal number of either Class B voting units or Class C voting units and issued to Continuing Members and the approximately 9.8 million outstanding PI Units (as defined in Note 1 to the Condensed Consolidated Financial Statements, unaudited) were converted into Class A common units and issued to such holders of PI Units immediately prior to the conversion;</w:t>
      </w:r>
    </w:p>
    <w:p>
      <w:pPr>
        <w:spacing w:after="0" w:line="151" w:lineRule="exact"/>
        <w:rPr>
          <w:rFonts w:ascii="Arial" w:cs="Arial" w:eastAsia="Arial" w:hAnsi="Arial"/>
          <w:sz w:val="18"/>
          <w:szCs w:val="18"/>
          <w:color w:val="auto"/>
        </w:rPr>
      </w:pPr>
    </w:p>
    <w:p>
      <w:pPr>
        <w:jc w:val="both"/>
        <w:ind w:firstLine="8"/>
        <w:spacing w:after="0" w:line="253"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issued approximately (x) 71.4 million shares of Class B common stock to certain Continuing Members affiliated with our Co-Founder in exchange for their contribution of same number of Class B voting units, (y) approximately 71.1 million shares of Class C common stock to certain Continuing Members affiliated with our Sponsor in exchange for their contribution the same number of Class C voting units, and (z) approximately 17.0 million shares of Class D common stock to certain Continuing Members affiliated with our Sponsor in exchange for their contribution the same number of Class A common units;</w:t>
      </w:r>
    </w:p>
    <w:p>
      <w:pPr>
        <w:spacing w:after="0" w:line="151" w:lineRule="exact"/>
        <w:rPr>
          <w:rFonts w:ascii="Arial" w:cs="Arial" w:eastAsia="Arial" w:hAnsi="Arial"/>
          <w:sz w:val="18"/>
          <w:szCs w:val="18"/>
          <w:color w:val="auto"/>
        </w:rPr>
      </w:pPr>
    </w:p>
    <w:p>
      <w:pPr>
        <w:jc w:val="both"/>
        <w:ind w:firstLine="8"/>
        <w:spacing w:after="0" w:line="256" w:lineRule="auto"/>
        <w:tabs>
          <w:tab w:leader="none" w:pos="2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issued 25,427 shares of Class A common stock to certain Continuing Members affiliated with our Co-Founder in exchange for their contribution of same number of Class A common units and 18,050 to a Continuing Member affiliated with our Sponsor in exchange for its contribution of same number of Class A common units.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w:t>
      </w:r>
    </w:p>
    <w:p>
      <w:pPr>
        <w:spacing w:after="0" w:line="1" w:lineRule="exact"/>
        <w:rPr>
          <w:sz w:val="20"/>
          <w:szCs w:val="20"/>
          <w:color w:val="auto"/>
        </w:rPr>
      </w:pPr>
    </w:p>
    <w:p>
      <w:pPr>
        <w:jc w:val="both"/>
        <w:ind w:firstLine="8"/>
        <w:spacing w:after="0" w:line="253"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issued in these transactions. All recipients had adequate access, through their relationships with us, to information about us. The sales of these securities were made without any general solicitation or advertising.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Class A Common Stock</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14, 2021, our Registration Statement on Form S-1 (File No. 333- 258988) relating to our IPO of common stock was declared effective. The Registration Statement registered the issuance of up to approximately 24.2 million shares, which included approximately 3.2 million shares issued pursuant to the exercise in full of the underwriters’ option to purchase additional shares, at a public offering price of $23.00 per share, with an aggregate offering price of approximately $556.8 million.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17, 2021, we issued and sold approximately 24.2 million shares of Class A common stock under the Registration Statement at a public offering price of $23.00 per share, for aggregate gross proceeds of approximately $556.8 million, resulting in net proceeds to us of approximately $520.8 million, after deducting underwriting discounts and commissions of approximately $33.4 million and other offering expenses of approximately $2.6 million. Upon completion of the sale of the shares of our common stock referenced in the preceding sentence, our IPO terminated. BofA Securities, J.P. Morgan Securities LLC, Jefferies LLC, Barclays Capital Inc., and Piper Sandler &amp; Co. acted as lead book-running managers for the proposed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used the net proceeds of the IPO to purchase:</w:t>
      </w:r>
    </w:p>
    <w:p>
      <w:pPr>
        <w:spacing w:after="0" w:line="171"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10.9 million newly-issued Class A common units from Dutch Bros OpCo for approximately $234.4 million;</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11.7 million Class A common units from the Continuing Members for approximately $253.3 million; and</w:t>
      </w:r>
    </w:p>
    <w:p>
      <w:pPr>
        <w:spacing w:after="0" w:line="171" w:lineRule="exact"/>
        <w:rPr>
          <w:rFonts w:ascii="Arial" w:cs="Arial" w:eastAsia="Arial" w:hAnsi="Arial"/>
          <w:sz w:val="18"/>
          <w:szCs w:val="18"/>
          <w:color w:val="auto"/>
        </w:rPr>
      </w:pPr>
    </w:p>
    <w:p>
      <w:pPr>
        <w:ind w:firstLine="8"/>
        <w:spacing w:after="0" w:line="261" w:lineRule="auto"/>
        <w:tabs>
          <w:tab w:leader="none" w:pos="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1.6 million shares Class D common stock from certain Continuing Members affiliated with our Sponsor the Pre-IPO Blocker Holders for approximately $34.4 million.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payments were made by us to directors, officers or persons owning 10% or more of our common stock or to their associates, or to our affiliates, other than payments from our net proceeds in connection with the Reorganization Transactions, the ordinary course of business to officers for salaries and to non-employee directors as compensation for service on the board of directors or committees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planned use of proceeds from our IPO as described in the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herein or incorporated herein by reference: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20" w:type="dxa"/>
            <w:vAlign w:val="bottom"/>
            <w:gridSpan w:val="5"/>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24"/>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File No.</w:t>
            </w: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60" w:type="dxa"/>
            <w:vAlign w:val="bottom"/>
            <w:tcBorders>
              <w:bottom w:val="single" w:sz="8" w:color="0000FF"/>
            </w:tcBorders>
            <w:gridSpan w:val="22"/>
          </w:tcPr>
          <w:p>
            <w:pPr>
              <w:spacing w:after="0"/>
              <w:rPr>
                <w:rFonts w:ascii="Arial" w:cs="Arial" w:eastAsia="Arial" w:hAnsi="Arial"/>
                <w:sz w:val="16"/>
                <w:szCs w:val="16"/>
                <w:color w:val="0000FF"/>
                <w:w w:val="99"/>
              </w:rPr>
            </w:pPr>
            <w:hyperlink r:id="rId120">
              <w:r>
                <w:rPr>
                  <w:rFonts w:ascii="Arial" w:cs="Arial" w:eastAsia="Arial" w:hAnsi="Arial"/>
                  <w:sz w:val="16"/>
                  <w:szCs w:val="16"/>
                  <w:color w:val="0000FF"/>
                  <w:w w:val="99"/>
                </w:rPr>
                <w:t>Certificate of Incorporation of Registrant, as amended, as</w:t>
              </w:r>
            </w:hyperlink>
          </w:p>
        </w:tc>
        <w:tc>
          <w:tcPr>
            <w:tcW w:w="22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20">
              <w:r>
                <w:rPr>
                  <w:rFonts w:ascii="Arial" w:cs="Arial" w:eastAsia="Arial" w:hAnsi="Arial"/>
                  <w:sz w:val="16"/>
                  <w:szCs w:val="16"/>
                  <w:color w:val="0000FF"/>
                </w:rPr>
                <w:t>currently in effect.</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80" w:type="dxa"/>
            <w:vAlign w:val="bottom"/>
            <w:gridSpan w:val="25"/>
          </w:tcPr>
          <w:p>
            <w:pPr>
              <w:spacing w:after="0"/>
              <w:rPr>
                <w:rFonts w:ascii="Arial" w:cs="Arial" w:eastAsia="Arial" w:hAnsi="Arial"/>
                <w:sz w:val="16"/>
                <w:szCs w:val="16"/>
                <w:color w:val="0000FF"/>
              </w:rPr>
            </w:pPr>
            <w:hyperlink r:id="rId121">
              <w:r>
                <w:rPr>
                  <w:rFonts w:ascii="Arial" w:cs="Arial" w:eastAsia="Arial" w:hAnsi="Arial"/>
                  <w:sz w:val="16"/>
                  <w:szCs w:val="16"/>
                  <w:color w:val="0000FF"/>
                </w:rPr>
                <w:t>Amended and Restated Bylaws of Registrant</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S-1</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August 20, 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80" w:type="dxa"/>
            <w:vAlign w:val="bottom"/>
            <w:gridSpan w:val="25"/>
          </w:tcPr>
          <w:p>
            <w:pPr>
              <w:spacing w:after="0"/>
              <w:rPr>
                <w:rFonts w:ascii="Arial" w:cs="Arial" w:eastAsia="Arial" w:hAnsi="Arial"/>
                <w:sz w:val="16"/>
                <w:szCs w:val="16"/>
                <w:color w:val="0000FF"/>
              </w:rPr>
            </w:pPr>
            <w:hyperlink r:id="rId122">
              <w:r>
                <w:rPr>
                  <w:rFonts w:ascii="Arial" w:cs="Arial" w:eastAsia="Arial" w:hAnsi="Arial"/>
                  <w:sz w:val="16"/>
                  <w:szCs w:val="16"/>
                  <w:color w:val="0000FF"/>
                </w:rPr>
                <w:t>Form of Common Stock Certificate</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13, 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80" w:type="dxa"/>
            <w:vAlign w:val="bottom"/>
            <w:tcBorders>
              <w:bottom w:val="single" w:sz="8" w:color="0000FF"/>
            </w:tcBorders>
            <w:gridSpan w:val="18"/>
          </w:tcPr>
          <w:p>
            <w:pPr>
              <w:spacing w:after="0"/>
              <w:rPr>
                <w:rFonts w:ascii="Arial" w:cs="Arial" w:eastAsia="Arial" w:hAnsi="Arial"/>
                <w:sz w:val="16"/>
                <w:szCs w:val="16"/>
                <w:color w:val="0000FF"/>
              </w:rPr>
            </w:pPr>
            <w:hyperlink r:id="rId123">
              <w:r>
                <w:rPr>
                  <w:rFonts w:ascii="Arial" w:cs="Arial" w:eastAsia="Arial" w:hAnsi="Arial"/>
                  <w:sz w:val="16"/>
                  <w:szCs w:val="16"/>
                  <w:color w:val="0000FF"/>
                </w:rPr>
                <w:t>Third Amended and Restated Limited Liability Company</w:t>
              </w:r>
            </w:hyperlink>
          </w:p>
        </w:tc>
        <w:tc>
          <w:tcPr>
            <w:tcW w:w="300" w:type="dxa"/>
            <w:vAlign w:val="bottom"/>
            <w:gridSpan w:val="7"/>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23">
              <w:r>
                <w:rPr>
                  <w:rFonts w:ascii="Arial" w:cs="Arial" w:eastAsia="Arial" w:hAnsi="Arial"/>
                  <w:sz w:val="16"/>
                  <w:szCs w:val="16"/>
                  <w:color w:val="0000FF"/>
                </w:rPr>
                <w:t>Agreement of Dutch Mafia, LLC, dated September 14,</w:t>
              </w:r>
            </w:hyperlink>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080" w:type="dxa"/>
            <w:vAlign w:val="bottom"/>
            <w:gridSpan w:val="3"/>
          </w:tcPr>
          <w:p>
            <w:pPr>
              <w:ind w:left="20"/>
              <w:spacing w:after="0" w:line="169" w:lineRule="exact"/>
              <w:rPr>
                <w:rFonts w:ascii="Arial" w:cs="Arial" w:eastAsia="Arial" w:hAnsi="Arial"/>
                <w:sz w:val="16"/>
                <w:szCs w:val="16"/>
                <w:color w:val="0000FF"/>
              </w:rPr>
            </w:pPr>
            <w:hyperlink r:id="rId123">
              <w:r>
                <w:rPr>
                  <w:rFonts w:ascii="Arial" w:cs="Arial" w:eastAsia="Arial" w:hAnsi="Arial"/>
                  <w:sz w:val="16"/>
                  <w:szCs w:val="16"/>
                  <w:color w:val="0000FF"/>
                </w:rPr>
                <w:t>2021.</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80" w:type="dxa"/>
            <w:vAlign w:val="bottom"/>
            <w:gridSpan w:val="14"/>
            <w:vMerge w:val="restart"/>
          </w:tcPr>
          <w:p>
            <w:pPr>
              <w:spacing w:after="0"/>
              <w:rPr>
                <w:rFonts w:ascii="Arial" w:cs="Arial" w:eastAsia="Arial" w:hAnsi="Arial"/>
                <w:sz w:val="16"/>
                <w:szCs w:val="16"/>
                <w:color w:val="0000FF"/>
              </w:rPr>
            </w:pPr>
            <w:hyperlink r:id="rId124">
              <w:r>
                <w:rPr>
                  <w:rFonts w:ascii="Arial" w:cs="Arial" w:eastAsia="Arial" w:hAnsi="Arial"/>
                  <w:sz w:val="16"/>
                  <w:szCs w:val="16"/>
                  <w:color w:val="0000FF"/>
                </w:rPr>
                <w:t>Tax Receivable Agreement (Reorganization), dated</w:t>
              </w:r>
            </w:hyperlink>
          </w:p>
        </w:tc>
        <w:tc>
          <w:tcPr>
            <w:tcW w:w="600" w:type="dxa"/>
            <w:vAlign w:val="bottom"/>
            <w:gridSpan w:val="11"/>
            <w:vMerge w:val="restart"/>
          </w:tcPr>
          <w:p>
            <w:pPr>
              <w:spacing w:after="0"/>
              <w:rPr>
                <w:sz w:val="15"/>
                <w:szCs w:val="15"/>
                <w:color w:val="auto"/>
              </w:rPr>
            </w:pPr>
          </w:p>
        </w:tc>
        <w:tc>
          <w:tcPr>
            <w:tcW w:w="8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tcBorders>
              <w:bottom w:val="single" w:sz="8" w:color="0000FF"/>
            </w:tcBorders>
            <w:gridSpan w:val="14"/>
            <w:vMerge w:val="continue"/>
          </w:tcPr>
          <w:p>
            <w:pPr>
              <w:spacing w:after="0"/>
              <w:rPr>
                <w:sz w:val="22"/>
                <w:szCs w:val="22"/>
                <w:color w:val="auto"/>
              </w:rPr>
            </w:pPr>
          </w:p>
        </w:tc>
        <w:tc>
          <w:tcPr>
            <w:tcW w:w="600" w:type="dxa"/>
            <w:vAlign w:val="bottom"/>
            <w:gridSpan w:val="11"/>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24">
              <w:r>
                <w:rPr>
                  <w:rFonts w:ascii="Arial" w:cs="Arial" w:eastAsia="Arial" w:hAnsi="Arial"/>
                  <w:sz w:val="16"/>
                  <w:szCs w:val="16"/>
                  <w:color w:val="0000FF"/>
                </w:rPr>
                <w:t>September 14, 2021.</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10"/>
            <w:vMerge w:val="restart"/>
          </w:tcPr>
          <w:p>
            <w:pPr>
              <w:spacing w:after="0"/>
              <w:rPr>
                <w:rFonts w:ascii="Arial" w:cs="Arial" w:eastAsia="Arial" w:hAnsi="Arial"/>
                <w:sz w:val="16"/>
                <w:szCs w:val="16"/>
                <w:color w:val="0000FF"/>
                <w:w w:val="98"/>
              </w:rPr>
            </w:pPr>
            <w:hyperlink r:id="rId125">
              <w:r>
                <w:rPr>
                  <w:rFonts w:ascii="Arial" w:cs="Arial" w:eastAsia="Arial" w:hAnsi="Arial"/>
                  <w:sz w:val="16"/>
                  <w:szCs w:val="16"/>
                  <w:color w:val="0000FF"/>
                  <w:w w:val="98"/>
                </w:rPr>
                <w:t>Tax Receivable Agreement (Exchanges), dated</w:t>
              </w:r>
            </w:hyperlink>
          </w:p>
        </w:tc>
        <w:tc>
          <w:tcPr>
            <w:tcW w:w="940" w:type="dxa"/>
            <w:vAlign w:val="bottom"/>
            <w:gridSpan w:val="15"/>
            <w:vMerge w:val="restart"/>
          </w:tcPr>
          <w:p>
            <w:pPr>
              <w:spacing w:after="0"/>
              <w:rPr>
                <w:sz w:val="15"/>
                <w:szCs w:val="15"/>
                <w:color w:val="auto"/>
              </w:rPr>
            </w:pPr>
          </w:p>
        </w:tc>
        <w:tc>
          <w:tcPr>
            <w:tcW w:w="8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40" w:type="dxa"/>
            <w:vAlign w:val="bottom"/>
            <w:tcBorders>
              <w:bottom w:val="single" w:sz="8" w:color="0000FF"/>
            </w:tcBorders>
            <w:gridSpan w:val="10"/>
            <w:vMerge w:val="continue"/>
          </w:tcPr>
          <w:p>
            <w:pPr>
              <w:spacing w:after="0"/>
              <w:rPr>
                <w:sz w:val="22"/>
                <w:szCs w:val="22"/>
                <w:color w:val="auto"/>
              </w:rPr>
            </w:pPr>
          </w:p>
        </w:tc>
        <w:tc>
          <w:tcPr>
            <w:tcW w:w="940" w:type="dxa"/>
            <w:vAlign w:val="bottom"/>
            <w:gridSpan w:val="15"/>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25">
              <w:r>
                <w:rPr>
                  <w:rFonts w:ascii="Arial" w:cs="Arial" w:eastAsia="Arial" w:hAnsi="Arial"/>
                  <w:sz w:val="16"/>
                  <w:szCs w:val="16"/>
                  <w:color w:val="0000FF"/>
                </w:rPr>
                <w:t>September 14, 2021.</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80" w:type="dxa"/>
            <w:vAlign w:val="bottom"/>
            <w:gridSpan w:val="25"/>
            <w:vMerge w:val="restart"/>
          </w:tcPr>
          <w:p>
            <w:pPr>
              <w:spacing w:after="0"/>
              <w:rPr>
                <w:rFonts w:ascii="Arial" w:cs="Arial" w:eastAsia="Arial" w:hAnsi="Arial"/>
                <w:sz w:val="16"/>
                <w:szCs w:val="16"/>
                <w:color w:val="0000FF"/>
              </w:rPr>
            </w:pPr>
            <w:hyperlink r:id="rId126">
              <w:r>
                <w:rPr>
                  <w:rFonts w:ascii="Arial" w:cs="Arial" w:eastAsia="Arial" w:hAnsi="Arial"/>
                  <w:sz w:val="16"/>
                  <w:szCs w:val="16"/>
                  <w:color w:val="0000FF"/>
                </w:rPr>
                <w:t>Registration Rights Agreement, by and between the</w:t>
              </w:r>
            </w:hyperlink>
          </w:p>
        </w:tc>
        <w:tc>
          <w:tcPr>
            <w:tcW w:w="8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80" w:type="dxa"/>
            <w:vAlign w:val="bottom"/>
            <w:gridSpan w:val="25"/>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80" w:type="dxa"/>
            <w:vAlign w:val="bottom"/>
            <w:tcBorders>
              <w:bottom w:val="single" w:sz="8" w:color="0000FF"/>
            </w:tcBorders>
            <w:gridSpan w:val="18"/>
          </w:tcPr>
          <w:p>
            <w:pPr>
              <w:spacing w:after="0" w:line="169" w:lineRule="exact"/>
              <w:rPr>
                <w:rFonts w:ascii="Arial" w:cs="Arial" w:eastAsia="Arial" w:hAnsi="Arial"/>
                <w:sz w:val="16"/>
                <w:szCs w:val="16"/>
                <w:color w:val="0000FF"/>
                <w:w w:val="99"/>
              </w:rPr>
            </w:pPr>
            <w:hyperlink r:id="rId126">
              <w:r>
                <w:rPr>
                  <w:rFonts w:ascii="Arial" w:cs="Arial" w:eastAsia="Arial" w:hAnsi="Arial"/>
                  <w:sz w:val="16"/>
                  <w:szCs w:val="16"/>
                  <w:color w:val="0000FF"/>
                  <w:w w:val="99"/>
                </w:rPr>
                <w:t>Registrant and the Sponsor, dated September 17, 2021.</w:t>
              </w:r>
            </w:hyperlink>
          </w:p>
        </w:tc>
        <w:tc>
          <w:tcPr>
            <w:tcW w:w="300" w:type="dxa"/>
            <w:vAlign w:val="bottom"/>
            <w:gridSpan w:val="7"/>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gridSpan w:val="21"/>
            <w:vMerge w:val="restart"/>
          </w:tcPr>
          <w:p>
            <w:pPr>
              <w:spacing w:after="0"/>
              <w:rPr>
                <w:rFonts w:ascii="Arial" w:cs="Arial" w:eastAsia="Arial" w:hAnsi="Arial"/>
                <w:sz w:val="16"/>
                <w:szCs w:val="16"/>
                <w:color w:val="0000FF"/>
              </w:rPr>
            </w:pPr>
            <w:hyperlink r:id="rId127">
              <w:r>
                <w:rPr>
                  <w:rFonts w:ascii="Arial" w:cs="Arial" w:eastAsia="Arial" w:hAnsi="Arial"/>
                  <w:sz w:val="16"/>
                  <w:szCs w:val="16"/>
                  <w:color w:val="0000FF"/>
                </w:rPr>
                <w:t>Stockholders Agreement, by and between the Registrant</w:t>
              </w:r>
            </w:hyperlink>
          </w:p>
        </w:tc>
        <w:tc>
          <w:tcPr>
            <w:tcW w:w="240" w:type="dxa"/>
            <w:vAlign w:val="bottom"/>
            <w:gridSpan w:val="4"/>
            <w:vMerge w:val="restart"/>
          </w:tcPr>
          <w:p>
            <w:pPr>
              <w:spacing w:after="0"/>
              <w:rPr>
                <w:sz w:val="15"/>
                <w:szCs w:val="15"/>
                <w:color w:val="auto"/>
              </w:rPr>
            </w:pPr>
          </w:p>
        </w:tc>
        <w:tc>
          <w:tcPr>
            <w:tcW w:w="8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40" w:type="dxa"/>
            <w:vAlign w:val="bottom"/>
            <w:tcBorders>
              <w:bottom w:val="single" w:sz="8" w:color="0000FF"/>
            </w:tcBorders>
            <w:gridSpan w:val="21"/>
            <w:vMerge w:val="continue"/>
          </w:tcPr>
          <w:p>
            <w:pPr>
              <w:spacing w:after="0"/>
              <w:rPr>
                <w:sz w:val="22"/>
                <w:szCs w:val="22"/>
                <w:color w:val="auto"/>
              </w:rPr>
            </w:pPr>
          </w:p>
        </w:tc>
        <w:tc>
          <w:tcPr>
            <w:tcW w:w="240" w:type="dxa"/>
            <w:vAlign w:val="bottom"/>
            <w:gridSpan w:val="4"/>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and the Sponsor, dated September 17, 2021.</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001-40798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17,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80" w:type="dxa"/>
            <w:vAlign w:val="bottom"/>
            <w:gridSpan w:val="25"/>
            <w:vMerge w:val="restart"/>
          </w:tcPr>
          <w:p>
            <w:pPr>
              <w:spacing w:after="0"/>
              <w:rPr>
                <w:rFonts w:ascii="Arial" w:cs="Arial" w:eastAsia="Arial" w:hAnsi="Arial"/>
                <w:sz w:val="16"/>
                <w:szCs w:val="16"/>
                <w:color w:val="0000FF"/>
              </w:rPr>
            </w:pPr>
            <w:hyperlink r:id="rId128">
              <w:r>
                <w:rPr>
                  <w:rFonts w:ascii="Arial" w:cs="Arial" w:eastAsia="Arial" w:hAnsi="Arial"/>
                  <w:sz w:val="16"/>
                  <w:szCs w:val="16"/>
                  <w:color w:val="0000FF"/>
                </w:rPr>
                <w:t>Form of Director and Officer Indemnification Agreement.</w:t>
              </w:r>
            </w:hyperlink>
          </w:p>
        </w:tc>
        <w:tc>
          <w:tcPr>
            <w:tcW w:w="8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80" w:type="dxa"/>
            <w:vAlign w:val="bottom"/>
            <w:gridSpan w:val="25"/>
            <w:vMerge w:val="continue"/>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S-1</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August 20, 2021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80" w:type="dxa"/>
            <w:vAlign w:val="bottom"/>
            <w:gridSpan w:val="25"/>
          </w:tcPr>
          <w:p>
            <w:pPr>
              <w:spacing w:after="0"/>
              <w:rPr>
                <w:rFonts w:ascii="Arial" w:cs="Arial" w:eastAsia="Arial" w:hAnsi="Arial"/>
                <w:sz w:val="16"/>
                <w:szCs w:val="16"/>
                <w:color w:val="0000FF"/>
              </w:rPr>
            </w:pPr>
            <w:hyperlink r:id="rId129">
              <w:r>
                <w:rPr>
                  <w:rFonts w:ascii="Arial" w:cs="Arial" w:eastAsia="Arial" w:hAnsi="Arial"/>
                  <w:sz w:val="16"/>
                  <w:szCs w:val="16"/>
                  <w:color w:val="0000FF"/>
                </w:rPr>
                <w:t>2021 Equity Incentive Plan.</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7, 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60" w:type="dxa"/>
            <w:vAlign w:val="bottom"/>
            <w:tcBorders>
              <w:bottom w:val="single" w:sz="8" w:color="0000FF"/>
            </w:tcBorders>
            <w:gridSpan w:val="12"/>
          </w:tcPr>
          <w:p>
            <w:pPr>
              <w:spacing w:after="0"/>
              <w:rPr>
                <w:rFonts w:ascii="Arial" w:cs="Arial" w:eastAsia="Arial" w:hAnsi="Arial"/>
                <w:sz w:val="16"/>
                <w:szCs w:val="16"/>
                <w:color w:val="0000FF"/>
                <w:w w:val="99"/>
              </w:rPr>
            </w:pPr>
            <w:hyperlink r:id="rId130">
              <w:r>
                <w:rPr>
                  <w:rFonts w:ascii="Arial" w:cs="Arial" w:eastAsia="Arial" w:hAnsi="Arial"/>
                  <w:sz w:val="16"/>
                  <w:szCs w:val="16"/>
                  <w:color w:val="0000FF"/>
                  <w:w w:val="99"/>
                </w:rPr>
                <w:t>Form of Stock Option Grant Notice, Stock Option</w:t>
              </w:r>
            </w:hyperlink>
          </w:p>
        </w:tc>
        <w:tc>
          <w:tcPr>
            <w:tcW w:w="820" w:type="dxa"/>
            <w:vAlign w:val="bottom"/>
            <w:gridSpan w:val="13"/>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Agreement and Notice of Exercise under the 2021 Equity</w:t>
              </w:r>
            </w:hyperlink>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4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Incentive Plan.</w:t>
              </w:r>
            </w:hyperlink>
          </w:p>
        </w:tc>
        <w:tc>
          <w:tcPr>
            <w:tcW w:w="240" w:type="dxa"/>
            <w:vAlign w:val="bottom"/>
            <w:gridSpan w:val="4"/>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80" w:type="dxa"/>
            <w:vAlign w:val="bottom"/>
            <w:gridSpan w:val="25"/>
          </w:tcPr>
          <w:p>
            <w:pPr>
              <w:spacing w:after="0"/>
              <w:rPr>
                <w:rFonts w:ascii="Arial" w:cs="Arial" w:eastAsia="Arial" w:hAnsi="Arial"/>
                <w:sz w:val="16"/>
                <w:szCs w:val="16"/>
                <w:color w:val="0000FF"/>
              </w:rPr>
            </w:pPr>
            <w:hyperlink r:id="rId131">
              <w:r>
                <w:rPr>
                  <w:rFonts w:ascii="Arial" w:cs="Arial" w:eastAsia="Arial" w:hAnsi="Arial"/>
                  <w:sz w:val="16"/>
                  <w:szCs w:val="16"/>
                  <w:color w:val="0000FF"/>
                </w:rPr>
                <w:t>Form of RSU Award Grant Notice and Award Agreement</w:t>
              </w:r>
            </w:hyperlink>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under the 2021 Equity Incentive Plan.</w:t>
              </w:r>
            </w:hyperlink>
          </w:p>
        </w:tc>
        <w:tc>
          <w:tcPr>
            <w:tcW w:w="280" w:type="dxa"/>
            <w:vAlign w:val="bottom"/>
            <w:gridSpan w:val="6"/>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tcBorders>
              <w:bottom w:val="single" w:sz="8" w:color="0000FF"/>
            </w:tcBorders>
            <w:gridSpan w:val="15"/>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Form of Restricted Stock Grant Notice and Restricted</w:t>
              </w:r>
            </w:hyperlink>
          </w:p>
        </w:tc>
        <w:tc>
          <w:tcPr>
            <w:tcW w:w="460" w:type="dxa"/>
            <w:vAlign w:val="bottom"/>
            <w:gridSpan w:val="10"/>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10.10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Stock Agreement under the 2021 Equity Incentive Plan.</w:t>
              </w:r>
            </w:hyperlink>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333-258988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10.10</w:t>
            </w:r>
          </w:p>
        </w:tc>
        <w:tc>
          <w:tcPr>
            <w:tcW w:w="100" w:type="dxa"/>
            <w:vAlign w:val="bottom"/>
          </w:tcPr>
          <w:p>
            <w:pPr>
              <w:spacing w:after="0"/>
              <w:rPr>
                <w:sz w:val="14"/>
                <w:szCs w:val="14"/>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September 7, 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tcBorders>
              <w:bottom w:val="single" w:sz="8" w:color="0000FF"/>
            </w:tcBorders>
            <w:gridSpan w:val="20"/>
          </w:tcPr>
          <w:p>
            <w:pPr>
              <w:spacing w:after="0"/>
              <w:rPr>
                <w:rFonts w:ascii="Arial" w:cs="Arial" w:eastAsia="Arial" w:hAnsi="Arial"/>
                <w:sz w:val="16"/>
                <w:szCs w:val="16"/>
                <w:color w:val="0000FF"/>
                <w:w w:val="99"/>
              </w:rPr>
            </w:pPr>
            <w:hyperlink w:anchor="page96">
              <w:r>
                <w:rPr>
                  <w:rFonts w:ascii="Arial" w:cs="Arial" w:eastAsia="Arial" w:hAnsi="Arial"/>
                  <w:sz w:val="16"/>
                  <w:szCs w:val="16"/>
                  <w:color w:val="0000FF"/>
                  <w:w w:val="99"/>
                </w:rPr>
                <w:t>Certification of Chief Executive Officer Pursuant to Rules</w:t>
              </w:r>
            </w:hyperlink>
          </w:p>
        </w:tc>
        <w:tc>
          <w:tcPr>
            <w:tcW w:w="260" w:type="dxa"/>
            <w:vAlign w:val="bottom"/>
            <w:gridSpan w:val="5"/>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13a-14(a) and 15d-14(a) of the Securities Exchange Act of</w:t>
              </w:r>
            </w:hyperlink>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4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1934, as Adopted Pursuant to Section 302 of the</w:t>
              </w:r>
            </w:hyperlink>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w w:val="97"/>
              </w:rPr>
            </w:pPr>
            <w:hyperlink w:anchor="page96">
              <w:r>
                <w:rPr>
                  <w:rFonts w:ascii="Arial" w:cs="Arial" w:eastAsia="Arial" w:hAnsi="Arial"/>
                  <w:sz w:val="16"/>
                  <w:szCs w:val="16"/>
                  <w:color w:val="0000FF"/>
                  <w:w w:val="97"/>
                </w:rPr>
                <w:t>Sarbanes-Oxley Act of 2002</w:t>
              </w:r>
            </w:hyperlink>
          </w:p>
        </w:tc>
        <w:tc>
          <w:tcPr>
            <w:tcW w:w="1460" w:type="dxa"/>
            <w:vAlign w:val="bottom"/>
            <w:tcBorders>
              <w:top w:val="single" w:sz="8" w:color="0000FF"/>
            </w:tcBorders>
            <w:gridSpan w:val="5"/>
          </w:tcPr>
          <w:p>
            <w:pPr>
              <w:spacing w:after="0"/>
              <w:rPr>
                <w:sz w:val="14"/>
                <w:szCs w:val="14"/>
                <w:color w:val="auto"/>
              </w:rPr>
            </w:pPr>
          </w:p>
        </w:tc>
        <w:tc>
          <w:tcPr>
            <w:tcW w:w="840" w:type="dxa"/>
            <w:vAlign w:val="bottom"/>
            <w:gridSpan w:val="14"/>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gridSpan w:val="17"/>
            <w:vMerge w:val="restart"/>
          </w:tcPr>
          <w:p>
            <w:pPr>
              <w:spacing w:after="0"/>
              <w:rPr>
                <w:rFonts w:ascii="Arial" w:cs="Arial" w:eastAsia="Arial" w:hAnsi="Arial"/>
                <w:sz w:val="16"/>
                <w:szCs w:val="16"/>
                <w:color w:val="0000FF"/>
                <w:w w:val="99"/>
              </w:rPr>
            </w:pPr>
            <w:hyperlink w:anchor="page98">
              <w:r>
                <w:rPr>
                  <w:rFonts w:ascii="Arial" w:cs="Arial" w:eastAsia="Arial" w:hAnsi="Arial"/>
                  <w:sz w:val="16"/>
                  <w:szCs w:val="16"/>
                  <w:color w:val="0000FF"/>
                  <w:w w:val="99"/>
                </w:rPr>
                <w:t>Certification of Chief Financial Officer Pursuant to Rules</w:t>
              </w:r>
            </w:hyperlink>
          </w:p>
        </w:tc>
        <w:tc>
          <w:tcPr>
            <w:tcW w:w="320" w:type="dxa"/>
            <w:vAlign w:val="bottom"/>
            <w:gridSpan w:val="8"/>
            <w:vMerge w:val="restart"/>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60" w:type="dxa"/>
            <w:vAlign w:val="bottom"/>
            <w:tcBorders>
              <w:bottom w:val="single" w:sz="8" w:color="0000FF"/>
            </w:tcBorders>
            <w:gridSpan w:val="17"/>
            <w:vMerge w:val="continue"/>
          </w:tcPr>
          <w:p>
            <w:pPr>
              <w:spacing w:after="0"/>
              <w:rPr>
                <w:sz w:val="22"/>
                <w:szCs w:val="22"/>
                <w:color w:val="auto"/>
              </w:rPr>
            </w:pPr>
          </w:p>
        </w:tc>
        <w:tc>
          <w:tcPr>
            <w:tcW w:w="320" w:type="dxa"/>
            <w:vAlign w:val="bottom"/>
            <w:gridSpan w:val="8"/>
            <w:vMerge w:val="continue"/>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25"/>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13a-14(a) and 15d-14(a) of the Securities Exchange Act of</w:t>
              </w:r>
            </w:hyperlink>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4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1934, as Adopted Pursuant to Section 302 of the</w:t>
              </w:r>
            </w:hyperlink>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Sarbanes-Oxley Act of 2002</w:t>
              </w:r>
            </w:hyperlink>
          </w:p>
        </w:tc>
        <w:tc>
          <w:tcPr>
            <w:tcW w:w="840" w:type="dxa"/>
            <w:vAlign w:val="bottom"/>
            <w:gridSpan w:val="14"/>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-4718685</wp:posOffset>
            </wp:positionV>
            <wp:extent cx="28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560" w:type="dxa"/>
            <w:vAlign w:val="bottom"/>
            <w:tcBorders>
              <w:bottom w:val="single" w:sz="8" w:color="0000FF"/>
            </w:tcBorders>
            <w:gridSpan w:val="2"/>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Certifications of Chief Executive Officer and Chief</w:t>
              </w:r>
            </w:hyperlink>
          </w:p>
        </w:tc>
        <w:tc>
          <w:tcPr>
            <w:tcW w:w="3280" w:type="dxa"/>
            <w:vAlign w:val="bottom"/>
            <w:gridSpan w:val="3"/>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06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Financial Officer Pursuant to 18 U.S.C. Section 1350, as</w:t>
              </w:r>
            </w:hyperlink>
          </w:p>
        </w:tc>
        <w:tc>
          <w:tcPr>
            <w:tcW w:w="2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840" w:type="dxa"/>
            <w:vAlign w:val="bottom"/>
            <w:gridSpan w:val="5"/>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Adopted Pursuant to Section 906 of the Sarbanes-Oxley</w:t>
              </w:r>
            </w:hyperlink>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jc w:val="right"/>
              <w:ind w:right="359"/>
              <w:spacing w:after="0"/>
              <w:rPr>
                <w:sz w:val="20"/>
                <w:szCs w:val="20"/>
                <w:color w:val="auto"/>
              </w:rPr>
            </w:pPr>
            <w:r>
              <w:rPr>
                <w:rFonts w:ascii="Arial" w:cs="Arial" w:eastAsia="Arial" w:hAnsi="Arial"/>
                <w:sz w:val="16"/>
                <w:szCs w:val="16"/>
                <w:color w:val="auto"/>
              </w:rPr>
              <w:t>32.1*</w:t>
            </w:r>
          </w:p>
        </w:tc>
        <w:tc>
          <w:tcPr>
            <w:tcW w:w="4040" w:type="dxa"/>
            <w:vAlign w:val="bottom"/>
            <w:tcBorders>
              <w:top w:val="single" w:sz="8" w:color="0000FF"/>
            </w:tcBorders>
            <w:gridSpan w:val="3"/>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Act of 2002</w:t>
              </w:r>
            </w:hyperlink>
          </w:p>
        </w:tc>
        <w:tc>
          <w:tcPr>
            <w:tcW w:w="2800" w:type="dxa"/>
            <w:vAlign w:val="bottom"/>
            <w:gridSpan w:val="2"/>
          </w:tcPr>
          <w:p>
            <w:pPr>
              <w:spacing w:after="0"/>
              <w:rPr>
                <w:sz w:val="14"/>
                <w:szCs w:val="14"/>
                <w:color w:val="auto"/>
              </w:rPr>
            </w:pPr>
          </w:p>
        </w:tc>
        <w:tc>
          <w:tcPr>
            <w:tcW w:w="2800" w:type="dxa"/>
            <w:vAlign w:val="bottom"/>
            <w:vMerge w:val="restart"/>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7"/>
        </w:trPr>
        <w:tc>
          <w:tcPr>
            <w:tcW w:w="960" w:type="dxa"/>
            <w:vAlign w:val="bottom"/>
            <w:vMerge w:val="continue"/>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center"/>
              <w:ind w:right="239"/>
              <w:spacing w:after="0"/>
              <w:rPr>
                <w:sz w:val="20"/>
                <w:szCs w:val="20"/>
                <w:color w:val="auto"/>
              </w:rPr>
            </w:pPr>
            <w:r>
              <w:rPr>
                <w:rFonts w:ascii="Arial" w:cs="Arial" w:eastAsia="Arial" w:hAnsi="Arial"/>
                <w:sz w:val="16"/>
                <w:szCs w:val="16"/>
                <w:color w:val="auto"/>
              </w:rPr>
              <w:t>101.INS</w:t>
            </w:r>
          </w:p>
        </w:tc>
        <w:tc>
          <w:tcPr>
            <w:tcW w:w="68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7"/>
        </w:trPr>
        <w:tc>
          <w:tcPr>
            <w:tcW w:w="960" w:type="dxa"/>
            <w:vAlign w:val="bottom"/>
          </w:tcPr>
          <w:p>
            <w:pPr>
              <w:jc w:val="center"/>
              <w:ind w:right="239"/>
              <w:spacing w:after="0"/>
              <w:rPr>
                <w:sz w:val="20"/>
                <w:szCs w:val="20"/>
                <w:color w:val="auto"/>
              </w:rPr>
            </w:pPr>
            <w:r>
              <w:rPr>
                <w:rFonts w:ascii="Arial" w:cs="Arial" w:eastAsia="Arial" w:hAnsi="Arial"/>
                <w:sz w:val="16"/>
                <w:szCs w:val="16"/>
                <w:color w:val="auto"/>
                <w:w w:val="98"/>
              </w:rPr>
              <w:t>101.SCH</w:t>
            </w:r>
          </w:p>
        </w:tc>
        <w:tc>
          <w:tcPr>
            <w:tcW w:w="684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4"/>
                <w:szCs w:val="24"/>
                <w:color w:val="auto"/>
              </w:rPr>
            </w:pPr>
          </w:p>
        </w:tc>
        <w:tc>
          <w:tcPr>
            <w:tcW w:w="684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60" w:type="dxa"/>
            <w:vAlign w:val="bottom"/>
          </w:tcPr>
          <w:p>
            <w:pPr>
              <w:jc w:val="center"/>
              <w:ind w:right="239"/>
              <w:spacing w:after="0"/>
              <w:rPr>
                <w:sz w:val="20"/>
                <w:szCs w:val="20"/>
                <w:color w:val="auto"/>
              </w:rPr>
            </w:pPr>
            <w:r>
              <w:rPr>
                <w:rFonts w:ascii="Arial" w:cs="Arial" w:eastAsia="Arial" w:hAnsi="Arial"/>
                <w:sz w:val="16"/>
                <w:szCs w:val="16"/>
                <w:color w:val="auto"/>
              </w:rPr>
              <w:t>101.CAL</w:t>
            </w:r>
          </w:p>
        </w:tc>
        <w:tc>
          <w:tcPr>
            <w:tcW w:w="68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7"/>
        </w:trPr>
        <w:tc>
          <w:tcPr>
            <w:tcW w:w="960" w:type="dxa"/>
            <w:vAlign w:val="bottom"/>
          </w:tcPr>
          <w:p>
            <w:pPr>
              <w:jc w:val="center"/>
              <w:ind w:right="239"/>
              <w:spacing w:after="0"/>
              <w:rPr>
                <w:sz w:val="20"/>
                <w:szCs w:val="20"/>
                <w:color w:val="auto"/>
              </w:rPr>
            </w:pPr>
            <w:r>
              <w:rPr>
                <w:rFonts w:ascii="Arial" w:cs="Arial" w:eastAsia="Arial" w:hAnsi="Arial"/>
                <w:sz w:val="16"/>
                <w:szCs w:val="16"/>
                <w:color w:val="auto"/>
              </w:rPr>
              <w:t>101.DEF</w:t>
            </w:r>
          </w:p>
        </w:tc>
        <w:tc>
          <w:tcPr>
            <w:tcW w:w="68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7"/>
        </w:trPr>
        <w:tc>
          <w:tcPr>
            <w:tcW w:w="960" w:type="dxa"/>
            <w:vAlign w:val="bottom"/>
          </w:tcPr>
          <w:p>
            <w:pPr>
              <w:jc w:val="center"/>
              <w:ind w:right="219"/>
              <w:spacing w:after="0"/>
              <w:rPr>
                <w:sz w:val="20"/>
                <w:szCs w:val="20"/>
                <w:color w:val="auto"/>
              </w:rPr>
            </w:pPr>
            <w:r>
              <w:rPr>
                <w:rFonts w:ascii="Arial" w:cs="Arial" w:eastAsia="Arial" w:hAnsi="Arial"/>
                <w:sz w:val="16"/>
                <w:szCs w:val="16"/>
                <w:color w:val="auto"/>
              </w:rPr>
              <w:t>101.LAB</w:t>
            </w:r>
          </w:p>
        </w:tc>
        <w:tc>
          <w:tcPr>
            <w:tcW w:w="684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 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4"/>
                <w:szCs w:val="24"/>
                <w:color w:val="auto"/>
              </w:rPr>
            </w:pPr>
          </w:p>
        </w:tc>
        <w:tc>
          <w:tcPr>
            <w:tcW w:w="68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60" w:type="dxa"/>
            <w:vAlign w:val="bottom"/>
          </w:tcPr>
          <w:p>
            <w:pPr>
              <w:jc w:val="center"/>
              <w:ind w:right="239"/>
              <w:spacing w:after="0"/>
              <w:rPr>
                <w:sz w:val="20"/>
                <w:szCs w:val="20"/>
                <w:color w:val="auto"/>
              </w:rPr>
            </w:pPr>
            <w:r>
              <w:rPr>
                <w:rFonts w:ascii="Arial" w:cs="Arial" w:eastAsia="Arial" w:hAnsi="Arial"/>
                <w:sz w:val="16"/>
                <w:szCs w:val="16"/>
                <w:color w:val="auto"/>
                <w:w w:val="99"/>
              </w:rPr>
              <w:t>101.PRE</w:t>
            </w:r>
          </w:p>
        </w:tc>
        <w:tc>
          <w:tcPr>
            <w:tcW w:w="684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6840" w:type="dxa"/>
            <w:vAlign w:val="bottom"/>
            <w:gridSpan w:val="5"/>
          </w:tcPr>
          <w:p>
            <w:pPr>
              <w:spacing w:after="0"/>
              <w:rPr>
                <w:sz w:val="20"/>
                <w:szCs w:val="20"/>
                <w:color w:val="auto"/>
              </w:rPr>
            </w:pPr>
            <w:r>
              <w:rPr>
                <w:rFonts w:ascii="Arial" w:cs="Arial" w:eastAsia="Arial" w:hAnsi="Arial"/>
                <w:sz w:val="16"/>
                <w:szCs w:val="16"/>
                <w:color w:val="auto"/>
              </w:rPr>
              <w:t>Cover Page with Interactive Data File (formatted as Inline</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6840" w:type="dxa"/>
            <w:vAlign w:val="bottom"/>
            <w:gridSpan w:val="5"/>
          </w:tcPr>
          <w:p>
            <w:pPr>
              <w:spacing w:after="0" w:line="175" w:lineRule="exact"/>
              <w:rPr>
                <w:sz w:val="20"/>
                <w:szCs w:val="20"/>
                <w:color w:val="auto"/>
              </w:rPr>
            </w:pPr>
            <w:r>
              <w:rPr>
                <w:rFonts w:ascii="Arial" w:cs="Arial" w:eastAsia="Arial" w:hAnsi="Arial"/>
                <w:sz w:val="16"/>
                <w:szCs w:val="16"/>
                <w:color w:val="auto"/>
              </w:rPr>
              <w:t>XBRL with applicable taxonomy extension information</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60" w:type="dxa"/>
            <w:vAlign w:val="bottom"/>
          </w:tcPr>
          <w:p>
            <w:pPr>
              <w:jc w:val="right"/>
              <w:ind w:right="419"/>
              <w:spacing w:after="0"/>
              <w:rPr>
                <w:sz w:val="20"/>
                <w:szCs w:val="20"/>
                <w:color w:val="auto"/>
              </w:rPr>
            </w:pPr>
            <w:r>
              <w:rPr>
                <w:rFonts w:ascii="Arial" w:cs="Arial" w:eastAsia="Arial" w:hAnsi="Arial"/>
                <w:sz w:val="16"/>
                <w:szCs w:val="16"/>
                <w:color w:val="auto"/>
              </w:rPr>
              <w:t>104</w:t>
            </w:r>
          </w:p>
        </w:tc>
        <w:tc>
          <w:tcPr>
            <w:tcW w:w="6840" w:type="dxa"/>
            <w:vAlign w:val="bottom"/>
            <w:gridSpan w:val="5"/>
          </w:tcPr>
          <w:p>
            <w:pPr>
              <w:spacing w:after="0"/>
              <w:rPr>
                <w:sz w:val="20"/>
                <w:szCs w:val="20"/>
                <w:color w:val="auto"/>
              </w:rPr>
            </w:pPr>
            <w:r>
              <w:rPr>
                <w:rFonts w:ascii="Arial" w:cs="Arial" w:eastAsia="Arial" w:hAnsi="Arial"/>
                <w:sz w:val="16"/>
                <w:szCs w:val="16"/>
                <w:color w:val="auto"/>
              </w:rPr>
              <w:t>contained in Exhibits 101)</w:t>
            </w:r>
          </w:p>
        </w:tc>
        <w:tc>
          <w:tcPr>
            <w:tcW w:w="2800" w:type="dxa"/>
            <w:vAlign w:val="bottom"/>
          </w:tcPr>
          <w:p>
            <w:pPr>
              <w:ind w:left="26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4" w:lineRule="exact"/>
        <w:rPr>
          <w:sz w:val="20"/>
          <w:szCs w:val="20"/>
          <w:color w:val="auto"/>
        </w:rPr>
      </w:pPr>
    </w:p>
    <w:p>
      <w:pPr>
        <w:ind w:left="180" w:hanging="172"/>
        <w:spacing w:after="0" w:line="258" w:lineRule="auto"/>
        <w:tabs>
          <w:tab w:leader="none" w:pos="2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520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b w:val="1"/>
                <w:bCs w:val="1"/>
                <w:color w:val="auto"/>
              </w:rPr>
              <w:t>DUTCH BROS INC.</w:t>
            </w:r>
          </w:p>
        </w:tc>
      </w:tr>
      <w:tr>
        <w:trPr>
          <w:trHeight w:val="270"/>
        </w:trPr>
        <w:tc>
          <w:tcPr>
            <w:tcW w:w="1420" w:type="dxa"/>
            <w:vAlign w:val="bottom"/>
          </w:tcPr>
          <w:p>
            <w:pPr>
              <w:spacing w:after="0"/>
              <w:rPr>
                <w:sz w:val="23"/>
                <w:szCs w:val="23"/>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color w:val="auto"/>
              </w:rPr>
              <w:t>(Registrant)</w:t>
            </w:r>
          </w:p>
        </w:tc>
      </w:tr>
      <w:tr>
        <w:trPr>
          <w:trHeight w:val="558"/>
        </w:trPr>
        <w:tc>
          <w:tcPr>
            <w:tcW w:w="1420" w:type="dxa"/>
            <w:vAlign w:val="bottom"/>
          </w:tcPr>
          <w:p>
            <w:pPr>
              <w:ind w:left="20"/>
              <w:spacing w:after="0"/>
              <w:rPr>
                <w:sz w:val="20"/>
                <w:szCs w:val="20"/>
                <w:color w:val="auto"/>
              </w:rPr>
            </w:pPr>
            <w:r>
              <w:rPr>
                <w:rFonts w:ascii="Arial" w:cs="Arial" w:eastAsia="Arial" w:hAnsi="Arial"/>
                <w:sz w:val="18"/>
                <w:szCs w:val="18"/>
                <w:color w:val="auto"/>
              </w:rPr>
              <w:t>November 12,</w:t>
            </w:r>
          </w:p>
        </w:tc>
        <w:tc>
          <w:tcPr>
            <w:tcW w:w="462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239"/>
        </w:trPr>
        <w:tc>
          <w:tcPr>
            <w:tcW w:w="1420" w:type="dxa"/>
            <w:vAlign w:val="bottom"/>
          </w:tcPr>
          <w:p>
            <w:pPr>
              <w:ind w:left="20"/>
              <w:spacing w:after="0"/>
              <w:rPr>
                <w:sz w:val="20"/>
                <w:szCs w:val="20"/>
                <w:color w:val="auto"/>
              </w:rPr>
            </w:pPr>
            <w:r>
              <w:rPr>
                <w:rFonts w:ascii="Arial" w:cs="Arial" w:eastAsia="Arial" w:hAnsi="Arial"/>
                <w:sz w:val="18"/>
                <w:szCs w:val="18"/>
                <w:color w:val="auto"/>
              </w:rPr>
              <w:t>2021</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9"/>
              </w:rPr>
              <w:t>/s/ Jonathan Ricci</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auto"/>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69"/>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Chief Executive Officer and</w:t>
            </w:r>
          </w:p>
        </w:tc>
      </w:tr>
      <w:tr>
        <w:trPr>
          <w:trHeight w:val="217"/>
        </w:trPr>
        <w:tc>
          <w:tcPr>
            <w:tcW w:w="1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President</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760"/>
        </w:trPr>
        <w:tc>
          <w:tcPr>
            <w:tcW w:w="1420" w:type="dxa"/>
            <w:vAlign w:val="bottom"/>
          </w:tcPr>
          <w:p>
            <w:pPr>
              <w:ind w:left="20"/>
              <w:spacing w:after="0"/>
              <w:rPr>
                <w:sz w:val="20"/>
                <w:szCs w:val="20"/>
                <w:color w:val="auto"/>
              </w:rPr>
            </w:pPr>
            <w:r>
              <w:rPr>
                <w:rFonts w:ascii="Arial" w:cs="Arial" w:eastAsia="Arial" w:hAnsi="Arial"/>
                <w:sz w:val="18"/>
                <w:szCs w:val="18"/>
                <w:color w:val="auto"/>
              </w:rPr>
              <w:t>November 12,</w:t>
            </w:r>
          </w:p>
        </w:tc>
        <w:tc>
          <w:tcPr>
            <w:tcW w:w="462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239"/>
        </w:trPr>
        <w:tc>
          <w:tcPr>
            <w:tcW w:w="1420" w:type="dxa"/>
            <w:vAlign w:val="bottom"/>
          </w:tcPr>
          <w:p>
            <w:pPr>
              <w:ind w:left="20"/>
              <w:spacing w:after="0"/>
              <w:rPr>
                <w:sz w:val="20"/>
                <w:szCs w:val="20"/>
                <w:color w:val="auto"/>
              </w:rPr>
            </w:pPr>
            <w:r>
              <w:rPr>
                <w:rFonts w:ascii="Arial" w:cs="Arial" w:eastAsia="Arial" w:hAnsi="Arial"/>
                <w:sz w:val="18"/>
                <w:szCs w:val="18"/>
                <w:color w:val="auto"/>
              </w:rPr>
              <w:t>2021</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auto"/>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51"/>
        </w:trPr>
        <w:tc>
          <w:tcPr>
            <w:tcW w:w="1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w:t>
            </w:r>
          </w:p>
        </w:tc>
      </w:tr>
      <w:tr>
        <w:trPr>
          <w:trHeight w:val="235"/>
        </w:trPr>
        <w:tc>
          <w:tcPr>
            <w:tcW w:w="1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auto"/>
                <w:w w:val="99"/>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14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DUTCH BROS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RULE 13a-14(a) AND RULE 15d-14(a)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 Jonathan Ricci, certify that:</w:t>
      </w:r>
    </w:p>
    <w:p>
      <w:pPr>
        <w:spacing w:after="0" w:line="247" w:lineRule="exact"/>
        <w:rPr>
          <w:sz w:val="20"/>
          <w:szCs w:val="20"/>
          <w:color w:val="auto"/>
        </w:rPr>
      </w:pPr>
    </w:p>
    <w:p>
      <w:pPr>
        <w:ind w:left="660" w:hanging="328"/>
        <w:spacing w:after="0" w:line="249" w:lineRule="auto"/>
        <w:tabs>
          <w:tab w:leader="none" w:pos="6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for the period ended September 30, 2021 of Dutch Bros Inc.;</w:t>
      </w:r>
    </w:p>
    <w:p>
      <w:pPr>
        <w:spacing w:after="0" w:line="231"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34" w:lineRule="exact"/>
        <w:rPr>
          <w:rFonts w:ascii="Arial" w:cs="Arial" w:eastAsia="Arial" w:hAnsi="Arial"/>
          <w:sz w:val="22"/>
          <w:szCs w:val="22"/>
          <w:color w:val="auto"/>
        </w:rPr>
      </w:pPr>
    </w:p>
    <w:p>
      <w:pPr>
        <w:jc w:val="both"/>
        <w:ind w:left="660" w:hanging="4"/>
        <w:spacing w:after="0" w:line="245" w:lineRule="auto"/>
        <w:tabs>
          <w:tab w:leader="none" w:pos="997" w:val="left"/>
        </w:tabs>
        <w:numPr>
          <w:ilvl w:val="1"/>
          <w:numId w:val="4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Arial" w:cs="Arial" w:eastAsia="Arial" w:hAnsi="Arial"/>
          <w:sz w:val="22"/>
          <w:szCs w:val="22"/>
          <w:color w:val="auto"/>
        </w:rPr>
      </w:pPr>
    </w:p>
    <w:p>
      <w:pPr>
        <w:jc w:val="both"/>
        <w:ind w:left="660" w:hanging="4"/>
        <w:spacing w:after="0" w:line="246" w:lineRule="auto"/>
        <w:tabs>
          <w:tab w:leader="none" w:pos="1015" w:val="left"/>
        </w:tabs>
        <w:numPr>
          <w:ilvl w:val="1"/>
          <w:numId w:val="4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4" w:lineRule="exact"/>
        <w:rPr>
          <w:rFonts w:ascii="Arial" w:cs="Arial" w:eastAsia="Arial" w:hAnsi="Arial"/>
          <w:sz w:val="22"/>
          <w:szCs w:val="22"/>
          <w:color w:val="auto"/>
        </w:rPr>
      </w:pPr>
    </w:p>
    <w:p>
      <w:pPr>
        <w:jc w:val="both"/>
        <w:ind w:left="660" w:hanging="4"/>
        <w:spacing w:after="0" w:line="245" w:lineRule="auto"/>
        <w:tabs>
          <w:tab w:leader="none" w:pos="982" w:val="left"/>
        </w:tabs>
        <w:numPr>
          <w:ilvl w:val="1"/>
          <w:numId w:val="4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Arial" w:cs="Arial" w:eastAsia="Arial" w:hAnsi="Arial"/>
          <w:sz w:val="22"/>
          <w:szCs w:val="22"/>
          <w:color w:val="auto"/>
        </w:rPr>
      </w:pPr>
    </w:p>
    <w:p>
      <w:pPr>
        <w:ind w:left="660" w:right="20" w:hanging="328"/>
        <w:spacing w:after="0" w:line="249" w:lineRule="auto"/>
        <w:tabs>
          <w:tab w:leader="none" w:pos="6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w:t>
      </w:r>
    </w:p>
    <w:p>
      <w:pPr>
        <w:sectPr>
          <w:pgSz w:w="11900" w:h="16838" w:orient="portrait"/>
          <w:cols w:equalWidth="0" w:num="1">
            <w:col w:w="11240"/>
          </w:cols>
          <w:pgMar w:left="320" w:top="121" w:right="339" w:bottom="1440" w:gutter="0" w:footer="0" w:header="0"/>
        </w:sectPr>
      </w:pPr>
    </w:p>
    <w:bookmarkStart w:id="96" w:name="page97"/>
    <w:bookmarkEnd w:id="96"/>
    <w:p>
      <w:pPr>
        <w:spacing w:after="0" w:line="3" w:lineRule="exact"/>
        <w:rPr>
          <w:sz w:val="20"/>
          <w:szCs w:val="20"/>
          <w:color w:val="auto"/>
        </w:rPr>
      </w:pPr>
    </w:p>
    <w:p>
      <w:pPr>
        <w:ind w:left="660"/>
        <w:spacing w:after="0" w:line="249" w:lineRule="auto"/>
        <w:rPr>
          <w:sz w:val="20"/>
          <w:szCs w:val="20"/>
          <w:color w:val="auto"/>
        </w:rPr>
      </w:pPr>
      <w:r>
        <w:rPr>
          <w:rFonts w:ascii="Arial" w:cs="Arial" w:eastAsia="Arial" w:hAnsi="Arial"/>
          <w:sz w:val="22"/>
          <w:szCs w:val="22"/>
          <w:color w:val="auto"/>
        </w:rPr>
        <w:t>auditors and the audit committee of the registrant’s board of directors (or persons performing the equivalent functions):</w:t>
      </w:r>
    </w:p>
    <w:p>
      <w:pPr>
        <w:spacing w:after="0" w:line="231" w:lineRule="exact"/>
        <w:rPr>
          <w:sz w:val="20"/>
          <w:szCs w:val="20"/>
          <w:color w:val="auto"/>
        </w:rPr>
      </w:pPr>
    </w:p>
    <w:p>
      <w:pPr>
        <w:jc w:val="both"/>
        <w:ind w:left="660" w:hanging="4"/>
        <w:spacing w:after="0" w:line="246" w:lineRule="auto"/>
        <w:tabs>
          <w:tab w:leader="none" w:pos="10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4" w:lineRule="exact"/>
        <w:rPr>
          <w:rFonts w:ascii="Arial" w:cs="Arial" w:eastAsia="Arial" w:hAnsi="Arial"/>
          <w:sz w:val="22"/>
          <w:szCs w:val="22"/>
          <w:color w:val="auto"/>
        </w:rPr>
      </w:pPr>
    </w:p>
    <w:p>
      <w:pPr>
        <w:ind w:left="660" w:hanging="4"/>
        <w:spacing w:after="0" w:line="249" w:lineRule="auto"/>
        <w:tabs>
          <w:tab w:leader="none" w:pos="1001"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12, 2021</w:t>
            </w:r>
          </w:p>
        </w:tc>
        <w:tc>
          <w:tcPr>
            <w:tcW w:w="3460" w:type="dxa"/>
            <w:vAlign w:val="bottom"/>
          </w:tcPr>
          <w:p>
            <w:pPr>
              <w:spacing w:after="0"/>
              <w:rPr>
                <w:sz w:val="24"/>
                <w:szCs w:val="24"/>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/s/ Jonathan Ricci</w:t>
            </w:r>
          </w:p>
        </w:tc>
      </w:tr>
      <w:tr>
        <w:trPr>
          <w:trHeight w:val="262"/>
        </w:trPr>
        <w:tc>
          <w:tcPr>
            <w:tcW w:w="6340" w:type="dxa"/>
            <w:vAlign w:val="bottom"/>
            <w:gridSpan w:val="2"/>
          </w:tcPr>
          <w:p>
            <w:pPr>
              <w:ind w:left="20"/>
              <w:spacing w:after="0"/>
              <w:rPr>
                <w:sz w:val="20"/>
                <w:szCs w:val="20"/>
                <w:color w:val="auto"/>
              </w:rPr>
            </w:pPr>
            <w:r>
              <w:rPr>
                <w:rFonts w:ascii="Arial" w:cs="Arial" w:eastAsia="Arial" w:hAnsi="Arial"/>
                <w:sz w:val="22"/>
                <w:szCs w:val="22"/>
                <w:color w:val="auto"/>
              </w:rPr>
              <w:t>Date</w:t>
            </w:r>
          </w:p>
        </w:tc>
        <w:tc>
          <w:tcPr>
            <w:tcW w:w="4900" w:type="dxa"/>
            <w:vAlign w:val="bottom"/>
          </w:tcPr>
          <w:p>
            <w:pPr>
              <w:jc w:val="center"/>
              <w:spacing w:after="0"/>
              <w:rPr>
                <w:sz w:val="20"/>
                <w:szCs w:val="20"/>
                <w:color w:val="auto"/>
              </w:rPr>
            </w:pPr>
            <w:r>
              <w:rPr>
                <w:rFonts w:ascii="Arial" w:cs="Arial" w:eastAsia="Arial" w:hAnsi="Arial"/>
                <w:sz w:val="22"/>
                <w:szCs w:val="22"/>
                <w:color w:val="auto"/>
                <w:w w:val="98"/>
              </w:rPr>
              <w:t>Jonathan Ricci</w:t>
            </w:r>
          </w:p>
        </w:tc>
      </w:tr>
      <w:tr>
        <w:trPr>
          <w:trHeight w:val="259"/>
        </w:trPr>
        <w:tc>
          <w:tcPr>
            <w:tcW w:w="28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900" w:type="dxa"/>
            <w:vAlign w:val="bottom"/>
          </w:tcPr>
          <w:p>
            <w:pPr>
              <w:jc w:val="center"/>
              <w:spacing w:after="0"/>
              <w:rPr>
                <w:sz w:val="20"/>
                <w:szCs w:val="20"/>
                <w:color w:val="auto"/>
              </w:rPr>
            </w:pPr>
            <w:r>
              <w:rPr>
                <w:rFonts w:ascii="Arial" w:cs="Arial" w:eastAsia="Arial" w:hAnsi="Arial"/>
                <w:sz w:val="22"/>
                <w:szCs w:val="22"/>
                <w:color w:val="auto"/>
                <w:w w:val="97"/>
              </w:rPr>
              <w:t>Chief Executive Officer and President</w:t>
            </w:r>
          </w:p>
        </w:tc>
      </w:tr>
      <w:tr>
        <w:trPr>
          <w:trHeight w:val="281"/>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22"/>
                <w:szCs w:val="22"/>
                <w:i w:val="1"/>
                <w:iCs w:val="1"/>
                <w:color w:val="auto"/>
                <w:w w:val="97"/>
              </w:rPr>
              <w:t>(Principal Executive Officer)</w:t>
            </w:r>
          </w:p>
        </w:tc>
      </w:tr>
    </w:tbl>
    <w:p>
      <w:pPr>
        <w:sectPr>
          <w:pgSz w:w="11900" w:h="16838" w:orient="portrait"/>
          <w:cols w:equalWidth="0" w:num="1">
            <w:col w:w="11240"/>
          </w:cols>
          <w:pgMar w:left="320" w:top="144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DUTCH BROS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RULE 13a-14(a) AND RULE 15d-14(a)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 Charles L. Jemley, certify that:</w:t>
      </w:r>
    </w:p>
    <w:p>
      <w:pPr>
        <w:spacing w:after="0" w:line="247" w:lineRule="exact"/>
        <w:rPr>
          <w:sz w:val="20"/>
          <w:szCs w:val="20"/>
          <w:color w:val="auto"/>
        </w:rPr>
      </w:pPr>
    </w:p>
    <w:p>
      <w:pPr>
        <w:ind w:left="660" w:hanging="328"/>
        <w:spacing w:after="0" w:line="249"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for the period ended September 30, 2021 of Dutch Bros Inc.;</w:t>
      </w:r>
    </w:p>
    <w:p>
      <w:pPr>
        <w:spacing w:after="0" w:line="231"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22"/>
          <w:szCs w:val="22"/>
          <w:color w:val="auto"/>
        </w:rPr>
      </w:pPr>
    </w:p>
    <w:p>
      <w:pPr>
        <w:jc w:val="both"/>
        <w:ind w:left="660" w:hanging="328"/>
        <w:spacing w:after="0" w:line="246"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34" w:lineRule="exact"/>
        <w:rPr>
          <w:rFonts w:ascii="Arial" w:cs="Arial" w:eastAsia="Arial" w:hAnsi="Arial"/>
          <w:sz w:val="22"/>
          <w:szCs w:val="22"/>
          <w:color w:val="auto"/>
        </w:rPr>
      </w:pPr>
    </w:p>
    <w:p>
      <w:pPr>
        <w:jc w:val="both"/>
        <w:ind w:left="660" w:hanging="4"/>
        <w:spacing w:after="0" w:line="245" w:lineRule="auto"/>
        <w:tabs>
          <w:tab w:leader="none" w:pos="997" w:val="left"/>
        </w:tabs>
        <w:numPr>
          <w:ilvl w:val="1"/>
          <w:numId w:val="5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Arial" w:cs="Arial" w:eastAsia="Arial" w:hAnsi="Arial"/>
          <w:sz w:val="22"/>
          <w:szCs w:val="22"/>
          <w:color w:val="auto"/>
        </w:rPr>
      </w:pPr>
    </w:p>
    <w:p>
      <w:pPr>
        <w:jc w:val="both"/>
        <w:ind w:left="660" w:hanging="4"/>
        <w:spacing w:after="0" w:line="246" w:lineRule="auto"/>
        <w:tabs>
          <w:tab w:leader="none" w:pos="1015" w:val="left"/>
        </w:tabs>
        <w:numPr>
          <w:ilvl w:val="1"/>
          <w:numId w:val="5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4" w:lineRule="exact"/>
        <w:rPr>
          <w:rFonts w:ascii="Arial" w:cs="Arial" w:eastAsia="Arial" w:hAnsi="Arial"/>
          <w:sz w:val="22"/>
          <w:szCs w:val="22"/>
          <w:color w:val="auto"/>
        </w:rPr>
      </w:pPr>
    </w:p>
    <w:p>
      <w:pPr>
        <w:jc w:val="both"/>
        <w:ind w:left="660" w:hanging="4"/>
        <w:spacing w:after="0" w:line="245" w:lineRule="auto"/>
        <w:tabs>
          <w:tab w:leader="none" w:pos="982" w:val="left"/>
        </w:tabs>
        <w:numPr>
          <w:ilvl w:val="1"/>
          <w:numId w:val="5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Arial" w:cs="Arial" w:eastAsia="Arial" w:hAnsi="Arial"/>
          <w:sz w:val="22"/>
          <w:szCs w:val="22"/>
          <w:color w:val="auto"/>
        </w:rPr>
      </w:pPr>
    </w:p>
    <w:p>
      <w:pPr>
        <w:ind w:left="660" w:right="20" w:hanging="328"/>
        <w:spacing w:after="0" w:line="249"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w:t>
      </w:r>
    </w:p>
    <w:p>
      <w:pPr>
        <w:sectPr>
          <w:pgSz w:w="11900" w:h="16838" w:orient="portrait"/>
          <w:cols w:equalWidth="0" w:num="1">
            <w:col w:w="11240"/>
          </w:cols>
          <w:pgMar w:left="320" w:top="121" w:right="339" w:bottom="1440" w:gutter="0" w:footer="0" w:header="0"/>
        </w:sectPr>
      </w:pPr>
    </w:p>
    <w:bookmarkStart w:id="98" w:name="page99"/>
    <w:bookmarkEnd w:id="98"/>
    <w:p>
      <w:pPr>
        <w:spacing w:after="0" w:line="3" w:lineRule="exact"/>
        <w:rPr>
          <w:sz w:val="20"/>
          <w:szCs w:val="20"/>
          <w:color w:val="auto"/>
        </w:rPr>
      </w:pPr>
    </w:p>
    <w:p>
      <w:pPr>
        <w:ind w:left="660"/>
        <w:spacing w:after="0" w:line="249" w:lineRule="auto"/>
        <w:rPr>
          <w:sz w:val="20"/>
          <w:szCs w:val="20"/>
          <w:color w:val="auto"/>
        </w:rPr>
      </w:pPr>
      <w:r>
        <w:rPr>
          <w:rFonts w:ascii="Arial" w:cs="Arial" w:eastAsia="Arial" w:hAnsi="Arial"/>
          <w:sz w:val="22"/>
          <w:szCs w:val="22"/>
          <w:color w:val="auto"/>
        </w:rPr>
        <w:t>auditors and the audit committee of the registrant’s board of directors (or persons performing the equivalent functions):</w:t>
      </w:r>
    </w:p>
    <w:p>
      <w:pPr>
        <w:spacing w:after="0" w:line="231" w:lineRule="exact"/>
        <w:rPr>
          <w:sz w:val="20"/>
          <w:szCs w:val="20"/>
          <w:color w:val="auto"/>
        </w:rPr>
      </w:pPr>
    </w:p>
    <w:p>
      <w:pPr>
        <w:jc w:val="both"/>
        <w:ind w:left="660" w:hanging="4"/>
        <w:spacing w:after="0" w:line="246" w:lineRule="auto"/>
        <w:tabs>
          <w:tab w:leader="none" w:pos="10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4" w:lineRule="exact"/>
        <w:rPr>
          <w:rFonts w:ascii="Arial" w:cs="Arial" w:eastAsia="Arial" w:hAnsi="Arial"/>
          <w:sz w:val="22"/>
          <w:szCs w:val="22"/>
          <w:color w:val="auto"/>
        </w:rPr>
      </w:pPr>
    </w:p>
    <w:p>
      <w:pPr>
        <w:ind w:left="660" w:hanging="4"/>
        <w:spacing w:after="0" w:line="249" w:lineRule="auto"/>
        <w:tabs>
          <w:tab w:leader="none" w:pos="1001"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12, 2021</w:t>
            </w:r>
          </w:p>
        </w:tc>
        <w:tc>
          <w:tcPr>
            <w:tcW w:w="2740" w:type="dxa"/>
            <w:vAlign w:val="bottom"/>
          </w:tcPr>
          <w:p>
            <w:pPr>
              <w:spacing w:after="0"/>
              <w:rPr>
                <w:sz w:val="24"/>
                <w:szCs w:val="24"/>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/s/ Charles L. Jemley</w:t>
            </w:r>
          </w:p>
        </w:tc>
      </w:tr>
      <w:tr>
        <w:trPr>
          <w:trHeight w:val="262"/>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Date</w:t>
            </w:r>
          </w:p>
        </w:tc>
        <w:tc>
          <w:tcPr>
            <w:tcW w:w="5660" w:type="dxa"/>
            <w:vAlign w:val="bottom"/>
          </w:tcPr>
          <w:p>
            <w:pPr>
              <w:jc w:val="center"/>
              <w:spacing w:after="0"/>
              <w:rPr>
                <w:sz w:val="20"/>
                <w:szCs w:val="20"/>
                <w:color w:val="auto"/>
              </w:rPr>
            </w:pPr>
            <w:r>
              <w:rPr>
                <w:rFonts w:ascii="Arial" w:cs="Arial" w:eastAsia="Arial" w:hAnsi="Arial"/>
                <w:sz w:val="22"/>
                <w:szCs w:val="22"/>
                <w:color w:val="auto"/>
                <w:w w:val="98"/>
              </w:rPr>
              <w:t>Charles L. Jemley</w:t>
            </w:r>
          </w:p>
        </w:tc>
      </w:tr>
      <w:tr>
        <w:trPr>
          <w:trHeight w:val="259"/>
        </w:trPr>
        <w:tc>
          <w:tcPr>
            <w:tcW w:w="27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Arial" w:cs="Arial" w:eastAsia="Arial" w:hAnsi="Arial"/>
                <w:sz w:val="22"/>
                <w:szCs w:val="22"/>
                <w:color w:val="auto"/>
                <w:w w:val="97"/>
              </w:rPr>
              <w:t>Chief Financial Officer</w:t>
            </w:r>
          </w:p>
        </w:tc>
      </w:tr>
      <w:tr>
        <w:trPr>
          <w:trHeight w:val="281"/>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i w:val="1"/>
                <w:iCs w:val="1"/>
                <w:color w:val="auto"/>
                <w:w w:val="98"/>
              </w:rPr>
              <w:t>(Principal Financial and Accounting Officer)</w:t>
            </w:r>
          </w:p>
        </w:tc>
      </w:tr>
    </w:tbl>
    <w:p>
      <w:pPr>
        <w:sectPr>
          <w:pgSz w:w="11900" w:h="16838" w:orient="portrait"/>
          <w:cols w:equalWidth="0" w:num="1">
            <w:col w:w="11240"/>
          </w:cols>
          <w:pgMar w:left="320" w:top="144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DUTCH BROS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CHIEF EXECUTIVE OFFICER AND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 SECTION 906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SARBANES-OXLEY ACT OF 2002</w:t>
      </w:r>
    </w:p>
    <w:p>
      <w:pPr>
        <w:spacing w:after="0" w:line="24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connection with the Quarterly Report of Dutch Bros Inc. (the “Company”) on Form 10-Q for the period ended September 30, 2021, as filed with the Securities and Exchange Commission on the date of the signatures below (the "Report"), Jonathan Ricci, Chief Executive Officer and President, and Charles L. Jemley, Chief Financial Officer of the Company, each hereby certifies, pursuant to 18 U.S.C. Section 1350, as adopted pursuant to Section 906 of the Sarbanes-Oxley Act of 2002, that, to the best of their respective knowledge:</w:t>
      </w:r>
    </w:p>
    <w:p>
      <w:pPr>
        <w:spacing w:after="0" w:line="240" w:lineRule="exact"/>
        <w:rPr>
          <w:sz w:val="20"/>
          <w:szCs w:val="20"/>
          <w:color w:val="auto"/>
        </w:rPr>
      </w:pPr>
    </w:p>
    <w:p>
      <w:pPr>
        <w:ind w:left="660" w:hanging="328"/>
        <w:spacing w:after="0" w:line="243" w:lineRule="auto"/>
        <w:tabs>
          <w:tab w:leader="none" w:pos="65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Section 15(d) of the Securities Exchange Act of 1934; and</w:t>
      </w:r>
    </w:p>
    <w:p>
      <w:pPr>
        <w:ind w:left="660" w:right="20" w:hanging="328"/>
        <w:spacing w:after="0" w:line="249" w:lineRule="auto"/>
        <w:tabs>
          <w:tab w:leader="none" w:pos="65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12, 2021</w:t>
            </w:r>
          </w:p>
        </w:tc>
        <w:tc>
          <w:tcPr>
            <w:tcW w:w="2700" w:type="dxa"/>
            <w:vAlign w:val="bottom"/>
          </w:tcPr>
          <w:p>
            <w:pPr>
              <w:spacing w:after="0"/>
              <w:rPr>
                <w:sz w:val="24"/>
                <w:szCs w:val="24"/>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/s/ Jonathan Ricci</w:t>
            </w:r>
          </w:p>
        </w:tc>
      </w:tr>
      <w:tr>
        <w:trPr>
          <w:trHeight w:val="262"/>
        </w:trPr>
        <w:tc>
          <w:tcPr>
            <w:tcW w:w="5580" w:type="dxa"/>
            <w:vAlign w:val="bottom"/>
            <w:gridSpan w:val="2"/>
          </w:tcPr>
          <w:p>
            <w:pPr>
              <w:ind w:left="20"/>
              <w:spacing w:after="0"/>
              <w:rPr>
                <w:sz w:val="20"/>
                <w:szCs w:val="20"/>
                <w:color w:val="auto"/>
              </w:rPr>
            </w:pPr>
            <w:r>
              <w:rPr>
                <w:rFonts w:ascii="Arial" w:cs="Arial" w:eastAsia="Arial" w:hAnsi="Arial"/>
                <w:sz w:val="22"/>
                <w:szCs w:val="22"/>
                <w:color w:val="auto"/>
              </w:rPr>
              <w:t>Date</w:t>
            </w:r>
          </w:p>
        </w:tc>
        <w:tc>
          <w:tcPr>
            <w:tcW w:w="5660" w:type="dxa"/>
            <w:vAlign w:val="bottom"/>
          </w:tcPr>
          <w:p>
            <w:pPr>
              <w:jc w:val="center"/>
              <w:spacing w:after="0"/>
              <w:rPr>
                <w:sz w:val="20"/>
                <w:szCs w:val="20"/>
                <w:color w:val="auto"/>
              </w:rPr>
            </w:pPr>
            <w:r>
              <w:rPr>
                <w:rFonts w:ascii="Arial" w:cs="Arial" w:eastAsia="Arial" w:hAnsi="Arial"/>
                <w:sz w:val="22"/>
                <w:szCs w:val="22"/>
                <w:color w:val="auto"/>
                <w:w w:val="98"/>
              </w:rPr>
              <w:t>Jonathan Ricci</w:t>
            </w:r>
          </w:p>
        </w:tc>
      </w:tr>
      <w:tr>
        <w:trPr>
          <w:trHeight w:val="259"/>
        </w:trPr>
        <w:tc>
          <w:tcPr>
            <w:tcW w:w="28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Arial" w:cs="Arial" w:eastAsia="Arial" w:hAnsi="Arial"/>
                <w:sz w:val="22"/>
                <w:szCs w:val="22"/>
                <w:color w:val="auto"/>
                <w:w w:val="97"/>
              </w:rPr>
              <w:t>Chief Executive Officer and President</w:t>
            </w:r>
          </w:p>
        </w:tc>
      </w:tr>
      <w:tr>
        <w:trPr>
          <w:trHeight w:val="281"/>
        </w:trPr>
        <w:tc>
          <w:tcPr>
            <w:tcW w:w="2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i w:val="1"/>
                <w:iCs w:val="1"/>
                <w:color w:val="auto"/>
                <w:w w:val="97"/>
              </w:rPr>
              <w:t>(Principal Executive Officer)</w:t>
            </w: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November 12, 2021</w:t>
            </w:r>
          </w:p>
        </w:tc>
        <w:tc>
          <w:tcPr>
            <w:tcW w:w="2700" w:type="dxa"/>
            <w:vAlign w:val="bottom"/>
          </w:tcPr>
          <w:p>
            <w:pPr>
              <w:spacing w:after="0"/>
              <w:rPr>
                <w:sz w:val="24"/>
                <w:szCs w:val="24"/>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/s/ Charles L. Jemley</w:t>
            </w:r>
          </w:p>
        </w:tc>
      </w:tr>
      <w:tr>
        <w:trPr>
          <w:trHeight w:val="262"/>
        </w:trPr>
        <w:tc>
          <w:tcPr>
            <w:tcW w:w="5580" w:type="dxa"/>
            <w:vAlign w:val="bottom"/>
            <w:gridSpan w:val="2"/>
          </w:tcPr>
          <w:p>
            <w:pPr>
              <w:ind w:left="20"/>
              <w:spacing w:after="0"/>
              <w:rPr>
                <w:sz w:val="20"/>
                <w:szCs w:val="20"/>
                <w:color w:val="auto"/>
              </w:rPr>
            </w:pPr>
            <w:r>
              <w:rPr>
                <w:rFonts w:ascii="Arial" w:cs="Arial" w:eastAsia="Arial" w:hAnsi="Arial"/>
                <w:sz w:val="22"/>
                <w:szCs w:val="22"/>
                <w:color w:val="auto"/>
              </w:rPr>
              <w:t>Date</w:t>
            </w:r>
          </w:p>
        </w:tc>
        <w:tc>
          <w:tcPr>
            <w:tcW w:w="5660" w:type="dxa"/>
            <w:vAlign w:val="bottom"/>
          </w:tcPr>
          <w:p>
            <w:pPr>
              <w:jc w:val="center"/>
              <w:spacing w:after="0"/>
              <w:rPr>
                <w:sz w:val="20"/>
                <w:szCs w:val="20"/>
                <w:color w:val="auto"/>
              </w:rPr>
            </w:pPr>
            <w:r>
              <w:rPr>
                <w:rFonts w:ascii="Arial" w:cs="Arial" w:eastAsia="Arial" w:hAnsi="Arial"/>
                <w:sz w:val="22"/>
                <w:szCs w:val="22"/>
                <w:color w:val="auto"/>
                <w:w w:val="98"/>
              </w:rPr>
              <w:t>Charles L. Jemley</w:t>
            </w:r>
          </w:p>
        </w:tc>
      </w:tr>
      <w:tr>
        <w:trPr>
          <w:trHeight w:val="259"/>
        </w:trPr>
        <w:tc>
          <w:tcPr>
            <w:tcW w:w="28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Arial" w:cs="Arial" w:eastAsia="Arial" w:hAnsi="Arial"/>
                <w:sz w:val="22"/>
                <w:szCs w:val="22"/>
                <w:color w:val="auto"/>
                <w:w w:val="97"/>
              </w:rPr>
              <w:t>Chief Financial Officer</w:t>
            </w:r>
          </w:p>
        </w:tc>
      </w:tr>
      <w:tr>
        <w:trPr>
          <w:trHeight w:val="281"/>
        </w:trPr>
        <w:tc>
          <w:tcPr>
            <w:tcW w:w="2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i w:val="1"/>
                <w:iCs w:val="1"/>
                <w:color w:val="auto"/>
                <w:w w:val="98"/>
              </w:rPr>
              <w:t>(Principal Financial and Accounting Officer)</w:t>
            </w:r>
          </w:p>
        </w:tc>
      </w:tr>
    </w:tbl>
    <w:p>
      <w:pPr>
        <w:spacing w:after="0" w:line="3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certification accompanies the Form 10-Q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Roman"/>
      <w:start w:val="3"/>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lowerRoman"/>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Roman"/>
      <w:start w:val="4"/>
    </w:lvl>
  </w:abstractNum>
  <w:abstractNum w:abstractNumId="12">
    <w:nsid w:val="4516DDE9"/>
    <w:multiLevelType w:val="hybridMultilevel"/>
    <w:lvl w:ilvl="0">
      <w:lvlJc w:val="left"/>
      <w:lvlText w:val="1"/>
      <w:numFmt w:val="bullet"/>
      <w:start w:val="1"/>
    </w:lvl>
  </w:abstractNum>
  <w:abstractNum w:abstractNumId="13">
    <w:nsid w:val="3006C83E"/>
    <w:multiLevelType w:val="hybridMultilevel"/>
    <w:lvl w:ilvl="0">
      <w:lvlJc w:val="left"/>
      <w:lvlText w:val="2"/>
      <w:numFmt w:val="bullet"/>
      <w:start w:val="1"/>
    </w:lvl>
  </w:abstractNum>
  <w:abstractNum w:abstractNumId="14">
    <w:nsid w:val="614FD4A1"/>
    <w:multiLevelType w:val="hybridMultilevel"/>
    <w:lvl w:ilvl="0">
      <w:lvlJc w:val="left"/>
      <w:lvlText w:val="3"/>
      <w:numFmt w:val="bullet"/>
      <w:start w:val="1"/>
    </w:lvl>
  </w:abstractNum>
  <w:abstractNum w:abstractNumId="15">
    <w:nsid w:val="419AC241"/>
    <w:multiLevelType w:val="hybridMultilevel"/>
    <w:lvl w:ilvl="0">
      <w:lvlJc w:val="left"/>
      <w:lvlText w:val="4"/>
      <w:numFmt w:val="bullet"/>
      <w:start w:val="1"/>
    </w:lvl>
  </w:abstractNum>
  <w:abstractNum w:abstractNumId="16">
    <w:nsid w:val="5577F8E1"/>
    <w:multiLevelType w:val="hybridMultilevel"/>
    <w:lvl w:ilvl="0">
      <w:lvlJc w:val="left"/>
      <w:lvlText w:val="5"/>
      <w:numFmt w:val="bullet"/>
      <w:start w:val="1"/>
    </w:lvl>
  </w:abstractNum>
  <w:abstractNum w:abstractNumId="17">
    <w:nsid w:val="440BADFC"/>
    <w:multiLevelType w:val="hybridMultilevel"/>
    <w:lvl w:ilvl="0">
      <w:lvlJc w:val="left"/>
      <w:lvlText w:val="6"/>
      <w:numFmt w:val="bullet"/>
      <w:start w:val="1"/>
    </w:lvl>
  </w:abstractNum>
  <w:abstractNum w:abstractNumId="18">
    <w:nsid w:val="5072367"/>
    <w:multiLevelType w:val="hybridMultilevel"/>
    <w:lvl w:ilvl="0">
      <w:lvlJc w:val="left"/>
      <w:lvlText w:val="1"/>
      <w:numFmt w:val="bullet"/>
      <w:start w:val="1"/>
    </w:lvl>
  </w:abstractNum>
  <w:abstractNum w:abstractNumId="19">
    <w:nsid w:val="3804823E"/>
    <w:multiLevelType w:val="hybridMultilevel"/>
    <w:lvl w:ilvl="0">
      <w:lvlJc w:val="left"/>
      <w:lvlText w:val="1"/>
      <w:numFmt w:val="bullet"/>
      <w:start w:val="1"/>
    </w:lvl>
  </w:abstractNum>
  <w:abstractNum w:abstractNumId="20">
    <w:nsid w:val="77465F01"/>
    <w:multiLevelType w:val="hybridMultilevel"/>
    <w:lvl w:ilvl="0">
      <w:lvlJc w:val="left"/>
      <w:lvlText w:val="2"/>
      <w:numFmt w:val="bullet"/>
      <w:start w:val="1"/>
    </w:lvl>
  </w:abstractNum>
  <w:abstractNum w:abstractNumId="21">
    <w:nsid w:val="7724C67E"/>
    <w:multiLevelType w:val="hybridMultilevel"/>
    <w:lvl w:ilvl="0">
      <w:lvlJc w:val="left"/>
      <w:lvlText w:val="3"/>
      <w:numFmt w:val="bullet"/>
      <w:start w:val="1"/>
    </w:lvl>
  </w:abstractNum>
  <w:abstractNum w:abstractNumId="22">
    <w:nsid w:val="5C482A97"/>
    <w:multiLevelType w:val="hybridMultilevel"/>
    <w:lvl w:ilvl="0">
      <w:lvlJc w:val="left"/>
      <w:lvlText w:val="4"/>
      <w:numFmt w:val="bullet"/>
      <w:start w:val="1"/>
    </w:lvl>
  </w:abstractNum>
  <w:abstractNum w:abstractNumId="23">
    <w:nsid w:val="2463B9EA"/>
    <w:multiLevelType w:val="hybridMultilevel"/>
    <w:lvl w:ilvl="0">
      <w:lvlJc w:val="left"/>
      <w:lvlText w:val="5"/>
      <w:numFmt w:val="bullet"/>
      <w:start w:val="1"/>
    </w:lvl>
  </w:abstractNum>
  <w:abstractNum w:abstractNumId="24">
    <w:nsid w:val="5E884ADC"/>
    <w:multiLevelType w:val="hybridMultilevel"/>
    <w:lvl w:ilvl="0">
      <w:lvlJc w:val="left"/>
      <w:lvlText w:val="6"/>
      <w:numFmt w:val="bullet"/>
      <w:start w:val="1"/>
    </w:lvl>
  </w:abstractNum>
  <w:abstractNum w:abstractNumId="25">
    <w:nsid w:val="51EAD36B"/>
    <w:multiLevelType w:val="hybridMultilevel"/>
    <w:lvl w:ilvl="0">
      <w:lvlJc w:val="left"/>
      <w:lvlText w:val="7"/>
      <w:numFmt w:val="bullet"/>
      <w:start w:val="1"/>
    </w:lvl>
  </w:abstractNum>
  <w:abstractNum w:abstractNumId="26">
    <w:nsid w:val="2D517796"/>
    <w:multiLevelType w:val="hybridMultilevel"/>
    <w:lvl w:ilvl="0">
      <w:lvlJc w:val="left"/>
      <w:lvlText w:val="8"/>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2"/>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20" Type="http://schemas.openxmlformats.org/officeDocument/2006/relationships/hyperlink" Target="http://www.sec.gov/Archives/edgar/data/1866581/000162828021017441/exhibit31-sx1.htm" TargetMode="External"/><Relationship Id="rId121" Type="http://schemas.openxmlformats.org/officeDocument/2006/relationships/hyperlink" Target="https://www.sec.gov/Archives/edgar/data/1866581/000162828021017441/exhibit34-sx1.htm" TargetMode="External"/><Relationship Id="rId122" Type="http://schemas.openxmlformats.org/officeDocument/2006/relationships/hyperlink" Target="http://www.sec.gov/Archives/edgar/data/0001866581/000162828021018116/exhibit41.htm" TargetMode="External"/><Relationship Id="rId123" Type="http://schemas.openxmlformats.org/officeDocument/2006/relationships/hyperlink" Target="http://www.sec.gov/Archives/edgar/data/0001866581/000162828021018861/exhibit101-8xk.htm" TargetMode="External"/><Relationship Id="rId124" Type="http://schemas.openxmlformats.org/officeDocument/2006/relationships/hyperlink" Target="http://www.sec.gov/Archives/edgar/data/0001866581/000162828021018861/exhibit102-8xk.htm" TargetMode="External"/><Relationship Id="rId125" Type="http://schemas.openxmlformats.org/officeDocument/2006/relationships/hyperlink" Target="http://www.sec.gov/Archives/edgar/data/0001866581/000162828021018861/exhibit103-8xk.htm" TargetMode="External"/><Relationship Id="rId126" Type="http://schemas.openxmlformats.org/officeDocument/2006/relationships/hyperlink" Target="http://www.sec.gov/Archives/edgar/data/0001866581/000162828021018861/exhibit104-8xk.htm" TargetMode="External"/><Relationship Id="rId127" Type="http://schemas.openxmlformats.org/officeDocument/2006/relationships/hyperlink" Target="http://www.sec.gov/Archives/edgar/data/0001866581/000162828021018861/exhibit105-8xk.htm" TargetMode="External"/><Relationship Id="rId128" Type="http://schemas.openxmlformats.org/officeDocument/2006/relationships/hyperlink" Target="http://www.sec.gov/Archives/edgar/data/0001866581/000162828021017441/exhibit102-sx1.htm" TargetMode="External"/><Relationship Id="rId129" Type="http://schemas.openxmlformats.org/officeDocument/2006/relationships/hyperlink" Target="http://www.sec.gov/Archives/edgar/data/0001866581/000162828021018116/exhibit107-sx1a1.htm" TargetMode="External"/><Relationship Id="rId130" Type="http://schemas.openxmlformats.org/officeDocument/2006/relationships/hyperlink" Target="http://www.sec.gov/Archives/edgar/data/0001866581/000162828021018116/exhibit108-sx1a1.htm" TargetMode="External"/><Relationship Id="rId131" Type="http://schemas.openxmlformats.org/officeDocument/2006/relationships/hyperlink" Target="https://www.sec.gov/Archives/edgar/data/0001866581/000162828021018116/exhibit109-sx1a1.htm" TargetMode="External"/><Relationship Id="rId132" Type="http://schemas.openxmlformats.org/officeDocument/2006/relationships/hyperlink" Target="http://www.sec.gov/Archives/edgar/data/0001866581/000162828021018116/exhibit1010-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2021-11-12T19:05:25Z</dcterms:created>
  <dcterms:modified xsi:type="dcterms:W3CDTF">2021-11-12T19:05:25Z</dcterms:modified>
</cp:coreProperties>
</file>