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0" w:after="0"/>
        <w:jc w:val="left"/>
        <w:rPr>
          <w:rFonts w:ascii="Arial;sans-serif" w:hAnsi="Arial;sans-serif"/>
          <w:b/>
          <w:color w:val="131E29"/>
          <w:sz w:val="20"/>
        </w:rPr>
      </w:pPr>
      <w:r>
        <w:rPr>
          <w:rFonts w:ascii="Arial;sans-serif" w:hAnsi="Arial;sans-serif"/>
          <w:b/>
          <w:color w:val="131E29"/>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131E29"/>
              </w:rPr>
            </w:pPr>
            <w:r>
              <w:rPr>
                <w:color w:val="131E2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QUARTERLY REPORT PURSUANT TO SECTION 13 OR 15(d) OF THE SECURITIES EXCHANGE ACT OF 1934</w:t>
            </w:r>
          </w:p>
        </w:tc>
      </w:tr>
    </w:tbl>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For the Quarterly Period ended June 30, 2024</w:t>
      </w:r>
    </w:p>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131E29"/>
              </w:rPr>
            </w:pPr>
            <w:r>
              <w:rPr>
                <w:color w:val="131E2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TRANSITION REPORT PURSUANT TO SECTION 13 OR 15(d) OF THE SECURITIES EXCHANGE ACT OF 1934</w:t>
            </w:r>
          </w:p>
        </w:tc>
      </w:tr>
    </w:tbl>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For the transition period from ________ to ________</w:t>
      </w:r>
    </w:p>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Commission file number 001-40798</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before="0" w:after="0"/>
        <w:jc w:val="center"/>
        <w:rPr/>
      </w:pPr>
      <w:r>
        <w:rPr/>
        <w:drawing>
          <wp:inline distT="0" distB="0" distL="0" distR="0">
            <wp:extent cx="15144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762000"/>
                    </a:xfrm>
                    <a:prstGeom prst="rect">
                      <a:avLst/>
                    </a:prstGeom>
                  </pic:spPr>
                </pic:pic>
              </a:graphicData>
            </a:graphic>
          </wp:inline>
        </w:drawing>
      </w:r>
    </w:p>
    <w:p>
      <w:pPr>
        <w:pStyle w:val="TextBody"/>
        <w:bidi w:val="0"/>
        <w:spacing w:lineRule="auto" w:line="288" w:before="60" w:after="283"/>
        <w:jc w:val="center"/>
        <w:rPr>
          <w:rFonts w:ascii="Arial;sans-serif" w:hAnsi="Arial;sans-serif"/>
          <w:b/>
          <w:color w:val="131E29"/>
          <w:sz w:val="36"/>
        </w:rPr>
      </w:pPr>
      <w:r>
        <w:rPr>
          <w:rFonts w:ascii="Arial;sans-serif" w:hAnsi="Arial;sans-serif"/>
          <w:b/>
          <w:color w:val="131E29"/>
          <w:sz w:val="36"/>
        </w:rPr>
        <w:t>DUTCH BROS INC.</w:t>
      </w:r>
    </w:p>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tbl>
      <w:tblPr>
        <w:tblW w:w="6007" w:type="dxa"/>
        <w:jc w:val="center"/>
        <w:tblInd w:w="0" w:type="dxa"/>
        <w:tblLayout w:type="fixed"/>
        <w:tblCellMar>
          <w:top w:w="28" w:type="dxa"/>
          <w:left w:w="28" w:type="dxa"/>
          <w:bottom w:w="28" w:type="dxa"/>
          <w:right w:w="28" w:type="dxa"/>
        </w:tblCellMar>
      </w:tblPr>
      <w:tblGrid>
        <w:gridCol w:w="289"/>
        <w:gridCol w:w="253"/>
        <w:gridCol w:w="253"/>
        <w:gridCol w:w="468"/>
        <w:gridCol w:w="468"/>
        <w:gridCol w:w="468"/>
        <w:gridCol w:w="270"/>
        <w:gridCol w:w="270"/>
        <w:gridCol w:w="287"/>
        <w:gridCol w:w="109"/>
        <w:gridCol w:w="109"/>
        <w:gridCol w:w="109"/>
        <w:gridCol w:w="775"/>
        <w:gridCol w:w="775"/>
        <w:gridCol w:w="1104"/>
      </w:tblGrid>
      <w:tr>
        <w:trPr/>
        <w:tc>
          <w:tcPr>
            <w:tcW w:w="2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3026"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87-1041305</w:t>
            </w:r>
          </w:p>
        </w:tc>
      </w:tr>
      <w:tr>
        <w:trPr/>
        <w:tc>
          <w:tcPr>
            <w:tcW w:w="302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(State or other jurisdiction of</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(I.R.S. Employer Identification No.)</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300 N Valley 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131E29"/>
                <w:sz w:val="20"/>
              </w:rPr>
            </w:pPr>
            <w:r>
              <w:rPr>
                <w:rFonts w:ascii="Arial;sans-serif" w:hAnsi="Arial;sans-serif"/>
                <w:b/>
                <w:color w:val="131E29"/>
                <w:sz w:val="20"/>
              </w:rPr>
              <w:t xml:space="preserve">Grants Pass, </w:t>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Oregon</w:t>
            </w:r>
          </w:p>
        </w:tc>
        <w:tc>
          <w:tcPr>
            <w:tcW w:w="327"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97526</w:t>
            </w:r>
          </w:p>
        </w:tc>
      </w:tr>
      <w:tr>
        <w:trPr/>
        <w:tc>
          <w:tcPr>
            <w:tcW w:w="3026"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(Zip Code)</w:t>
            </w:r>
          </w:p>
        </w:tc>
      </w:tr>
    </w:tbl>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(541) 955-4700</w:t>
      </w:r>
    </w:p>
    <w:p>
      <w:pPr>
        <w:pStyle w:val="TextBody"/>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131E29"/>
          <w:sz w:val="20"/>
        </w:rPr>
      </w:pPr>
      <w:r>
        <w:rPr>
          <w:rFonts w:ascii="Arial;sans-serif" w:hAnsi="Arial;sans-serif"/>
          <w:b/>
          <w:color w:val="131E29"/>
          <w:sz w:val="20"/>
        </w:rPr>
        <w:t>Securities registered pursuant to Section 12(b) of the Act:</w:t>
      </w:r>
    </w:p>
    <w:tbl>
      <w:tblPr>
        <w:tblW w:w="8098" w:type="dxa"/>
        <w:jc w:val="left"/>
        <w:tblInd w:w="0" w:type="dxa"/>
        <w:tblLayout w:type="fixed"/>
        <w:tblCellMar>
          <w:top w:w="28" w:type="dxa"/>
          <w:left w:w="28" w:type="dxa"/>
          <w:bottom w:w="28" w:type="dxa"/>
          <w:right w:w="28" w:type="dxa"/>
        </w:tblCellMar>
      </w:tblPr>
      <w:tblGrid>
        <w:gridCol w:w="954"/>
        <w:gridCol w:w="841"/>
        <w:gridCol w:w="845"/>
        <w:gridCol w:w="534"/>
        <w:gridCol w:w="534"/>
        <w:gridCol w:w="536"/>
        <w:gridCol w:w="1128"/>
        <w:gridCol w:w="1128"/>
        <w:gridCol w:w="1598"/>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Trading Symbol</w:t>
            </w:r>
          </w:p>
        </w:tc>
        <w:tc>
          <w:tcPr>
            <w:tcW w:w="38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Name of Exchange on which Registered</w:t>
            </w:r>
          </w:p>
        </w:tc>
      </w:tr>
      <w:tr>
        <w:trPr/>
        <w:tc>
          <w:tcPr>
            <w:tcW w:w="26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 xml:space="preserve">Class A Common Stock, </w:t>
              <w:br/>
              <w:t>par value $0.00001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BROS</w:t>
            </w:r>
          </w:p>
        </w:tc>
        <w:tc>
          <w:tcPr>
            <w:tcW w:w="38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The New York Stock Exchange</w:t>
            </w:r>
          </w:p>
        </w:tc>
      </w:tr>
    </w:tbl>
    <w:p>
      <w:pPr>
        <w:pStyle w:val="TextBody"/>
        <w:bidi w:val="0"/>
        <w:spacing w:before="0" w:after="0"/>
        <w:jc w:val="center"/>
        <w:rPr/>
      </w:pPr>
      <w:r>
        <w:rPr/>
      </w:r>
    </w:p>
    <w:p>
      <w:pPr>
        <w:pStyle w:val="TextBody"/>
        <w:bidi w:val="0"/>
        <w:spacing w:lineRule="auto" w:line="288" w:before="0" w:after="180"/>
        <w:jc w:val="both"/>
        <w:rPr/>
      </w:pPr>
      <w:r>
        <w:rPr>
          <w:rFonts w:ascii="Arial;sans-serif" w:hAnsi="Arial;sans-serif"/>
          <w:b w:val="false"/>
          <w:color w:val="131E29"/>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bidi w:val="0"/>
        <w:spacing w:lineRule="auto" w:line="288" w:before="0" w:after="180"/>
        <w:jc w:val="both"/>
        <w:rPr/>
      </w:pPr>
      <w:r>
        <w:rPr>
          <w:rFonts w:ascii="Arial;sans-serif" w:hAnsi="Arial;sans-serif"/>
          <w:b w:val="false"/>
          <w:color w:val="131E29"/>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bl>
    <w:p>
      <w:pPr>
        <w:pStyle w:val="TextBody"/>
        <w:bidi w:val="0"/>
        <w:spacing w:lineRule="auto" w:line="288" w:before="0" w:after="180"/>
        <w:jc w:val="both"/>
        <w:rPr/>
      </w:pPr>
      <w:r>
        <w:rPr>
          <w:rFonts w:ascii="Arial;sans-serif" w:hAnsi="Arial;sans-serif"/>
          <w:b w:val="false"/>
          <w:color w:val="131E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131E29"/>
          <w:sz w:val="20"/>
        </w:rPr>
        <w:t>o</w:t>
      </w:r>
    </w:p>
    <w:p>
      <w:pPr>
        <w:pStyle w:val="TextBody"/>
        <w:bidi w:val="0"/>
        <w:spacing w:lineRule="auto" w:line="288" w:before="0" w:after="180"/>
        <w:jc w:val="both"/>
        <w:rPr/>
      </w:pPr>
      <w:r>
        <w:rPr>
          <w:rFonts w:ascii="Arial;sans-serif" w:hAnsi="Arial;sans-serif"/>
          <w:b w:val="false"/>
          <w:color w:val="131E29"/>
          <w:sz w:val="20"/>
        </w:rPr>
        <w:t>Indicate by check mark whether the registrant is a shell company (as defined in Rule 12b-2 of the Act). Yes  </w:t>
      </w:r>
      <w:r>
        <w:rPr>
          <w:rFonts w:ascii="Wingdings;sans-serif" w:hAnsi="Wingdings;sans-serif"/>
          <w:b w:val="false"/>
          <w:color w:val="131E29"/>
          <w:sz w:val="20"/>
        </w:rPr>
        <w:t>o</w:t>
      </w:r>
      <w:r>
        <w:rPr>
          <w:color w:val="131E29"/>
        </w:rPr>
        <w:t>  </w:t>
      </w:r>
      <w:r>
        <w:rPr>
          <w:rFonts w:ascii="Arial;sans-serif" w:hAnsi="Arial;sans-serif"/>
          <w:b w:val="false"/>
          <w:color w:val="131E29"/>
          <w:sz w:val="20"/>
        </w:rPr>
        <w:t>No  </w:t>
      </w:r>
      <w:r>
        <w:rPr>
          <w:rFonts w:ascii="Wingdings;sans-serif" w:hAnsi="Wingdings;sans-serif"/>
          <w:b w:val="false"/>
          <w:color w:val="131E29"/>
          <w:sz w:val="20"/>
        </w:rPr>
        <w:t>x</w:t>
      </w:r>
    </w:p>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As of August 1, 2024, the registrant’s outstanding shares of common stock were as follows:</w:t>
      </w:r>
    </w:p>
    <w:p>
      <w:pPr>
        <w:pStyle w:val="TextBody"/>
        <w:bidi w:val="0"/>
        <w:spacing w:before="0" w:after="0"/>
        <w:jc w:val="center"/>
        <w:rPr/>
      </w:pPr>
      <w:r>
        <w:rPr/>
      </w:r>
    </w:p>
    <w:tbl>
      <w:tblPr>
        <w:tblW w:w="3545" w:type="dxa"/>
        <w:jc w:val="center"/>
        <w:tblInd w:w="0" w:type="dxa"/>
        <w:tblLayout w:type="fixed"/>
        <w:tblCellMar>
          <w:top w:w="28" w:type="dxa"/>
          <w:left w:w="28" w:type="dxa"/>
          <w:bottom w:w="28" w:type="dxa"/>
          <w:right w:w="28" w:type="dxa"/>
        </w:tblCellMar>
      </w:tblPr>
      <w:tblGrid>
        <w:gridCol w:w="781"/>
        <w:gridCol w:w="687"/>
        <w:gridCol w:w="692"/>
        <w:gridCol w:w="615"/>
        <w:gridCol w:w="61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A common stock</w:t>
            </w:r>
          </w:p>
        </w:tc>
        <w:tc>
          <w:tcPr>
            <w:tcW w:w="12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113,819,371 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B common stock</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35,226,680 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C common stock</w:t>
            </w:r>
          </w:p>
        </w:tc>
        <w:tc>
          <w:tcPr>
            <w:tcW w:w="12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5,142,050 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20"/>
        <w:jc w:val="center"/>
        <w:rPr>
          <w:rFonts w:ascii="Arial;sans-serif" w:hAnsi="Arial;sans-serif"/>
          <w:b w:val="false"/>
          <w:color w:val="131E29"/>
          <w:sz w:val="20"/>
        </w:rPr>
      </w:pPr>
      <w:r>
        <w:rPr>
          <w:rFonts w:ascii="Arial;sans-serif" w:hAnsi="Arial;sans-serif"/>
          <w:b w:val="false"/>
          <w:color w:val="131E29"/>
          <w:sz w:val="20"/>
        </w:rPr>
        <w:t>QUARTERLY REPORT ON FORM 10-Q</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TABLE OF CONTENTS</w:t>
      </w:r>
    </w:p>
    <w:tbl>
      <w:tblPr>
        <w:tblW w:w="8213" w:type="dxa"/>
        <w:jc w:val="left"/>
        <w:tblInd w:w="0" w:type="dxa"/>
        <w:tblLayout w:type="fixed"/>
        <w:tblCellMar>
          <w:top w:w="28" w:type="dxa"/>
          <w:left w:w="28" w:type="dxa"/>
          <w:bottom w:w="28" w:type="dxa"/>
          <w:right w:w="28" w:type="dxa"/>
        </w:tblCellMar>
      </w:tblPr>
      <w:tblGrid>
        <w:gridCol w:w="483"/>
        <w:gridCol w:w="422"/>
        <w:gridCol w:w="422"/>
        <w:gridCol w:w="2060"/>
        <w:gridCol w:w="2060"/>
        <w:gridCol w:w="2150"/>
        <w:gridCol w:w="180"/>
        <w:gridCol w:w="180"/>
        <w:gridCol w:w="256"/>
      </w:tblGrid>
      <w:tr>
        <w:trPr/>
        <w:tc>
          <w:tcPr>
            <w:tcW w:w="48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Page</w:t>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7" w:type="dxa"/>
            <w:gridSpan w:val="6"/>
            <w:tcBorders>
              <w:bottom w:val="single" w:sz="8" w:space="0" w:color="D2DCE5"/>
            </w:tcBorders>
            <w:tcMar>
              <w:top w:w="0" w:type="dxa"/>
              <w:left w:w="0" w:type="dxa"/>
              <w:bottom w:w="30" w:type="dxa"/>
              <w:right w:w="0" w:type="dxa"/>
            </w:tcMar>
            <w:vAlign w:val="center"/>
          </w:tcPr>
          <w:p>
            <w:pPr>
              <w:pStyle w:val="TableContents"/>
              <w:bidi w:val="0"/>
              <w:spacing w:lineRule="auto" w:line="288" w:before="0" w:after="180"/>
              <w:jc w:val="left"/>
              <w:rPr/>
            </w:pPr>
            <w:hyperlink w:anchor="iee59f8afe2f54daf922cb2458f1cbce7_22">
              <w:r>
                <w:rPr>
                  <w:rStyle w:val="InternetLink"/>
                  <w:rFonts w:ascii="Arial;sans-serif" w:hAnsi="Arial;sans-serif"/>
                  <w:b w:val="false"/>
                  <w:strike w:val="false"/>
                  <w:dstrike w:val="false"/>
                  <w:color w:val="131E29"/>
                  <w:sz w:val="20"/>
                  <w:u w:val="none"/>
                  <w:effect w:val="none"/>
                </w:rPr>
                <w:t>Glossary</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e59f8afe2f54daf922cb2458f1cbce7_22">
              <w:r>
                <w:rPr>
                  <w:rStyle w:val="InternetLink"/>
                  <w:rFonts w:ascii="Arial;sans-serif" w:hAnsi="Arial;sans-serif"/>
                  <w:b w:val="false"/>
                  <w:strike w:val="false"/>
                  <w:dstrike w:val="false"/>
                  <w:color w:val="131E29"/>
                  <w:sz w:val="20"/>
                  <w:u w:val="none"/>
                  <w:effect w:val="none"/>
                </w:rPr>
                <w:t>1</w:t>
              </w:r>
            </w:hyperlink>
          </w:p>
        </w:tc>
      </w:tr>
      <w:tr>
        <w:trPr/>
        <w:tc>
          <w:tcPr>
            <w:tcW w:w="7597" w:type="dxa"/>
            <w:gridSpan w:val="6"/>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28">
              <w:r>
                <w:rPr>
                  <w:rStyle w:val="InternetLink"/>
                  <w:rFonts w:ascii="Arial;sans-serif" w:hAnsi="Arial;sans-serif"/>
                  <w:b w:val="false"/>
                  <w:strike w:val="false"/>
                  <w:dstrike w:val="false"/>
                  <w:color w:val="131E29"/>
                  <w:sz w:val="20"/>
                  <w:u w:val="none"/>
                  <w:effect w:val="none"/>
                </w:rPr>
                <w:t>Forward-Looking Statements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28">
              <w:r>
                <w:rPr>
                  <w:rStyle w:val="InternetLink"/>
                  <w:rFonts w:ascii="Arial;sans-serif" w:hAnsi="Arial;sans-serif"/>
                  <w:b w:val="false"/>
                  <w:strike w:val="false"/>
                  <w:dstrike w:val="false"/>
                  <w:color w:val="131E29"/>
                  <w:sz w:val="20"/>
                  <w:u w:val="none"/>
                  <w:effect w:val="none"/>
                </w:rPr>
                <w:t>2</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PART I</w:t>
            </w:r>
          </w:p>
        </w:tc>
        <w:tc>
          <w:tcPr>
            <w:tcW w:w="627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e59f8afe2f54daf922cb2458f1cbce7_34">
              <w:r>
                <w:rPr>
                  <w:rStyle w:val="InternetLink"/>
                  <w:rFonts w:ascii="Arial;sans-serif" w:hAnsi="Arial;sans-serif"/>
                  <w:b/>
                  <w:strike w:val="false"/>
                  <w:dstrike w:val="false"/>
                  <w:color w:val="006098"/>
                  <w:sz w:val="20"/>
                  <w:u w:val="none"/>
                  <w:effect w:val="none"/>
                </w:rPr>
                <w:t>FINANCIAL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e59f8afe2f54daf922cb2458f1cbce7_34">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ITEM 1.</w:t>
            </w:r>
          </w:p>
        </w:tc>
        <w:tc>
          <w:tcPr>
            <w:tcW w:w="627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e59f8afe2f54daf922cb2458f1cbce7_37">
              <w:r>
                <w:rPr>
                  <w:rStyle w:val="InternetLink"/>
                  <w:rFonts w:ascii="Arial;sans-serif" w:hAnsi="Arial;sans-serif"/>
                  <w:b w:val="false"/>
                  <w:strike w:val="false"/>
                  <w:dstrike w:val="false"/>
                  <w:color w:val="131E29"/>
                  <w:sz w:val="20"/>
                  <w:u w:val="none"/>
                  <w:effect w:val="none"/>
                </w:rPr>
                <w:t>Financial Statements</w:t>
              </w:r>
            </w:hyperlink>
            <w:r>
              <w:rPr>
                <w:rFonts w:ascii="Arial;sans-serif" w:hAnsi="Arial;sans-serif"/>
                <w:b w:val="false"/>
                <w:color w:val="131E29"/>
                <w:sz w:val="20"/>
              </w:rPr>
              <w:t xml:space="preserve"> (Unaudited)</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e59f8afe2f54daf922cb2458f1cbce7_37">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46">
              <w:r>
                <w:rPr>
                  <w:rStyle w:val="InternetLink"/>
                  <w:rFonts w:ascii="Arial;sans-serif" w:hAnsi="Arial;sans-serif"/>
                  <w:b w:val="false"/>
                  <w:strike w:val="false"/>
                  <w:dstrike w:val="false"/>
                  <w:color w:val="131E29"/>
                  <w:sz w:val="20"/>
                  <w:u w:val="none"/>
                  <w:effect w:val="none"/>
                </w:rPr>
                <w:t>Condensed Consolidated Balance Sheets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46">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52">
              <w:r>
                <w:rPr>
                  <w:rStyle w:val="InternetLink"/>
                  <w:rFonts w:ascii="Arial;sans-serif" w:hAnsi="Arial;sans-serif"/>
                  <w:b w:val="false"/>
                  <w:strike w:val="false"/>
                  <w:dstrike w:val="false"/>
                  <w:color w:val="131E29"/>
                  <w:sz w:val="20"/>
                  <w:u w:val="none"/>
                  <w:effect w:val="none"/>
                </w:rPr>
                <w:t>Condensed Consolidated Statements of Operations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52">
              <w:r>
                <w:rPr>
                  <w:rStyle w:val="InternetLink"/>
                  <w:rFonts w:ascii="Arial;sans-serif" w:hAnsi="Arial;sans-serif"/>
                  <w:b w:val="false"/>
                  <w:strike w:val="false"/>
                  <w:dstrike w:val="false"/>
                  <w:color w:val="131E29"/>
                  <w:sz w:val="20"/>
                  <w:u w:val="none"/>
                  <w:effect w:val="none"/>
                </w:rPr>
                <w:t>5</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55">
              <w:r>
                <w:rPr>
                  <w:rStyle w:val="InternetLink"/>
                  <w:rFonts w:ascii="Arial;sans-serif" w:hAnsi="Arial;sans-serif"/>
                  <w:b w:val="false"/>
                  <w:strike w:val="false"/>
                  <w:dstrike w:val="false"/>
                  <w:color w:val="131E29"/>
                  <w:sz w:val="20"/>
                  <w:u w:val="none"/>
                  <w:effect w:val="none"/>
                </w:rPr>
                <w:t>Condensed Consolidated Statements of Comprehensive Income (Loss)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55">
              <w:r>
                <w:rPr>
                  <w:rStyle w:val="InternetLink"/>
                  <w:rFonts w:ascii="Arial;sans-serif" w:hAnsi="Arial;sans-serif"/>
                  <w:b w:val="false"/>
                  <w:strike w:val="false"/>
                  <w:dstrike w:val="false"/>
                  <w:color w:val="131E29"/>
                  <w:sz w:val="20"/>
                  <w:u w:val="none"/>
                  <w:effect w:val="none"/>
                </w:rPr>
                <w:t>6</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58">
              <w:r>
                <w:rPr>
                  <w:rStyle w:val="InternetLink"/>
                  <w:rFonts w:ascii="Arial;sans-serif" w:hAnsi="Arial;sans-serif"/>
                  <w:b w:val="false"/>
                  <w:strike w:val="false"/>
                  <w:dstrike w:val="false"/>
                  <w:color w:val="131E29"/>
                  <w:sz w:val="20"/>
                  <w:u w:val="none"/>
                  <w:effect w:val="none"/>
                </w:rPr>
                <w:t>Condensed Consolidated Statements of Stockholders’ Equity</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58">
              <w:r>
                <w:rPr>
                  <w:rStyle w:val="InternetLink"/>
                  <w:rFonts w:ascii="Arial;sans-serif" w:hAnsi="Arial;sans-serif"/>
                  <w:b w:val="false"/>
                  <w:strike w:val="false"/>
                  <w:dstrike w:val="false"/>
                  <w:color w:val="131E29"/>
                  <w:sz w:val="20"/>
                  <w:u w:val="none"/>
                  <w:effect w:val="none"/>
                </w:rPr>
                <w:t>7</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85">
              <w:r>
                <w:rPr>
                  <w:rStyle w:val="InternetLink"/>
                  <w:rFonts w:ascii="Arial;sans-serif" w:hAnsi="Arial;sans-serif"/>
                  <w:b w:val="false"/>
                  <w:strike w:val="false"/>
                  <w:dstrike w:val="false"/>
                  <w:color w:val="131E29"/>
                  <w:sz w:val="20"/>
                  <w:u w:val="none"/>
                  <w:effect w:val="none"/>
                </w:rPr>
                <w:t>Condensed Consolidated Statements of Cash Flows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85">
              <w:r>
                <w:rPr>
                  <w:rStyle w:val="InternetLink"/>
                  <w:rFonts w:ascii="Arial;sans-serif" w:hAnsi="Arial;sans-serif"/>
                  <w:b w:val="false"/>
                  <w:strike w:val="false"/>
                  <w:dstrike w:val="false"/>
                  <w:color w:val="131E29"/>
                  <w:sz w:val="20"/>
                  <w:u w:val="none"/>
                  <w:effect w:val="none"/>
                </w:rPr>
                <w:t>11</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91">
              <w:r>
                <w:rPr>
                  <w:rStyle w:val="InternetLink"/>
                  <w:rFonts w:ascii="Arial;sans-serif" w:hAnsi="Arial;sans-serif"/>
                  <w:b w:val="false"/>
                  <w:strike w:val="false"/>
                  <w:dstrike w:val="false"/>
                  <w:color w:val="131E29"/>
                  <w:sz w:val="20"/>
                  <w:u w:val="none"/>
                  <w:effect w:val="none"/>
                </w:rPr>
                <w:t>Notes to Condensed Consolidated Financial Statements</w:t>
              </w:r>
            </w:hyperlink>
            <w:r>
              <w:rPr>
                <w:rFonts w:ascii="Arial;sans-serif" w:hAnsi="Arial;sans-serif"/>
                <w:b w:val="false"/>
                <w:color w:val="131E29"/>
                <w:sz w:val="20"/>
              </w:rPr>
              <w:t xml:space="preserve"> </w:t>
            </w:r>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91">
              <w:r>
                <w:rPr>
                  <w:rStyle w:val="InternetLink"/>
                  <w:rFonts w:ascii="Arial;sans-serif" w:hAnsi="Arial;sans-serif"/>
                  <w:b w:val="false"/>
                  <w:strike w:val="false"/>
                  <w:dstrike w:val="false"/>
                  <w:color w:val="131E29"/>
                  <w:sz w:val="20"/>
                  <w:u w:val="none"/>
                  <w:effect w:val="none"/>
                </w:rPr>
                <w:t>13</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ITEM 2.</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ee59f8afe2f54daf922cb2458f1cbce7_478">
              <w:r>
                <w:rPr>
                  <w:rStyle w:val="InternetLink"/>
                  <w:rFonts w:ascii="Arial;sans-serif" w:hAnsi="Arial;sans-serif"/>
                  <w:b w:val="false"/>
                  <w:strike w:val="false"/>
                  <w:dstrike w:val="false"/>
                  <w:color w:val="131E29"/>
                  <w:sz w:val="20"/>
                  <w:u w:val="none"/>
                  <w:effect w:val="none"/>
                </w:rPr>
                <w:t xml:space="preserve">Management’s Discussion and Analysis of Financial Condition and </w:t>
              </w:r>
            </w:hyperlink>
          </w:p>
          <w:p>
            <w:pPr>
              <w:pStyle w:val="TableContents"/>
              <w:bidi w:val="0"/>
              <w:spacing w:lineRule="auto" w:line="288" w:before="0" w:after="0"/>
              <w:jc w:val="left"/>
              <w:rPr/>
            </w:pPr>
            <w:hyperlink w:anchor="iee59f8afe2f54daf922cb2458f1cbce7_478">
              <w:r>
                <w:rPr>
                  <w:rStyle w:val="InternetLink"/>
                  <w:rFonts w:ascii="Arial;sans-serif" w:hAnsi="Arial;sans-serif"/>
                  <w:b w:val="false"/>
                  <w:strike w:val="false"/>
                  <w:dstrike w:val="false"/>
                  <w:color w:val="131E29"/>
                  <w:sz w:val="20"/>
                  <w:u w:val="none"/>
                  <w:effect w:val="none"/>
                </w:rPr>
                <w:t>Results of Operations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478">
              <w:r>
                <w:rPr>
                  <w:rStyle w:val="InternetLink"/>
                  <w:rFonts w:ascii="Arial;sans-serif" w:hAnsi="Arial;sans-serif"/>
                  <w:b w:val="false"/>
                  <w:strike w:val="false"/>
                  <w:dstrike w:val="false"/>
                  <w:color w:val="131E29"/>
                  <w:sz w:val="20"/>
                  <w:u w:val="none"/>
                  <w:effect w:val="none"/>
                </w:rPr>
                <w:t>33</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ITEM 3.</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751">
              <w:r>
                <w:rPr>
                  <w:rStyle w:val="InternetLink"/>
                  <w:rFonts w:ascii="Arial;sans-serif" w:hAnsi="Arial;sans-serif"/>
                  <w:b w:val="false"/>
                  <w:strike w:val="false"/>
                  <w:dstrike w:val="false"/>
                  <w:color w:val="131E29"/>
                  <w:sz w:val="20"/>
                  <w:u w:val="none"/>
                  <w:effect w:val="none"/>
                </w:rPr>
                <w:t>Quantitative and Qualitative Disclosures About Market Risk</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751">
              <w:r>
                <w:rPr>
                  <w:rStyle w:val="InternetLink"/>
                  <w:rFonts w:ascii="Arial;sans-serif" w:hAnsi="Arial;sans-serif"/>
                  <w:b w:val="false"/>
                  <w:strike w:val="false"/>
                  <w:dstrike w:val="false"/>
                  <w:color w:val="131E29"/>
                  <w:sz w:val="20"/>
                  <w:u w:val="none"/>
                  <w:effect w:val="none"/>
                </w:rPr>
                <w:t>52</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ITEM 4.</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760">
              <w:r>
                <w:rPr>
                  <w:rStyle w:val="InternetLink"/>
                  <w:rFonts w:ascii="Arial;sans-serif" w:hAnsi="Arial;sans-serif"/>
                  <w:b w:val="false"/>
                  <w:strike w:val="false"/>
                  <w:dstrike w:val="false"/>
                  <w:color w:val="131E29"/>
                  <w:sz w:val="20"/>
                  <w:u w:val="none"/>
                  <w:effect w:val="none"/>
                </w:rPr>
                <w:t>Controls and Procedures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760">
              <w:r>
                <w:rPr>
                  <w:rStyle w:val="InternetLink"/>
                  <w:rFonts w:ascii="Arial;sans-serif" w:hAnsi="Arial;sans-serif"/>
                  <w:b w:val="false"/>
                  <w:strike w:val="false"/>
                  <w:dstrike w:val="false"/>
                  <w:color w:val="131E29"/>
                  <w:sz w:val="20"/>
                  <w:u w:val="none"/>
                  <w:effect w:val="none"/>
                </w:rPr>
                <w:t>53</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PART II</w:t>
            </w:r>
          </w:p>
        </w:tc>
        <w:tc>
          <w:tcPr>
            <w:tcW w:w="627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e59f8afe2f54daf922cb2458f1cbce7_778">
              <w:r>
                <w:rPr>
                  <w:rStyle w:val="InternetLink"/>
                  <w:rFonts w:ascii="Arial;sans-serif" w:hAnsi="Arial;sans-serif"/>
                  <w:b/>
                  <w:strike w:val="false"/>
                  <w:dstrike w:val="false"/>
                  <w:color w:val="006098"/>
                  <w:sz w:val="20"/>
                  <w:u w:val="none"/>
                  <w:effect w:val="non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778">
              <w:r>
                <w:rPr>
                  <w:rStyle w:val="InternetLink"/>
                  <w:rFonts w:ascii="Arial;sans-serif" w:hAnsi="Arial;sans-serif"/>
                  <w:b w:val="false"/>
                  <w:strike w:val="false"/>
                  <w:dstrike w:val="false"/>
                  <w:color w:val="000000"/>
                  <w:sz w:val="20"/>
                  <w:u w:val="none"/>
                  <w:effect w:val="none"/>
                </w:rPr>
                <w:t>54</w:t>
              </w:r>
            </w:hyperlink>
          </w:p>
        </w:tc>
      </w:tr>
      <w:tr>
        <w:trP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ITEM 1.</w:t>
            </w:r>
          </w:p>
        </w:tc>
        <w:tc>
          <w:tcPr>
            <w:tcW w:w="627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e59f8afe2f54daf922cb2458f1cbce7_781">
              <w:r>
                <w:rPr>
                  <w:rStyle w:val="InternetLink"/>
                  <w:rFonts w:ascii="Arial;sans-serif" w:hAnsi="Arial;sans-serif"/>
                  <w:b w:val="false"/>
                  <w:strike w:val="false"/>
                  <w:dstrike w:val="false"/>
                  <w:color w:val="131E29"/>
                  <w:sz w:val="20"/>
                  <w:u w:val="none"/>
                  <w:effect w:val="non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e59f8afe2f54daf922cb2458f1cbce7_781">
              <w:r>
                <w:rPr>
                  <w:rStyle w:val="InternetLink"/>
                  <w:rFonts w:ascii="Arial;sans-serif" w:hAnsi="Arial;sans-serif"/>
                  <w:b w:val="false"/>
                  <w:strike w:val="false"/>
                  <w:dstrike w:val="false"/>
                  <w:color w:val="131E29"/>
                  <w:sz w:val="20"/>
                  <w:u w:val="none"/>
                  <w:effect w:val="none"/>
                </w:rPr>
                <w:t>54</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ITEM 1A.</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793">
              <w:r>
                <w:rPr>
                  <w:rStyle w:val="InternetLink"/>
                  <w:rFonts w:ascii="Arial;sans-serif" w:hAnsi="Arial;sans-serif"/>
                  <w:b w:val="false"/>
                  <w:strike w:val="false"/>
                  <w:dstrike w:val="false"/>
                  <w:color w:val="131E29"/>
                  <w:sz w:val="20"/>
                  <w:u w:val="none"/>
                  <w:effect w:val="none"/>
                </w:rPr>
                <w:t>Risk Factors</w:t>
              </w:r>
            </w:hyperlink>
            <w:r>
              <w:rPr>
                <w:rFonts w:ascii="Arial;sans-serif" w:hAnsi="Arial;sans-serif"/>
                <w:b w:val="false"/>
                <w:color w:val="131E29"/>
                <w:sz w:val="20"/>
              </w:rPr>
              <w:t xml:space="preserve"> </w:t>
            </w:r>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793">
              <w:r>
                <w:rPr>
                  <w:rStyle w:val="InternetLink"/>
                  <w:rFonts w:ascii="Arial;sans-serif" w:hAnsi="Arial;sans-serif"/>
                  <w:b w:val="false"/>
                  <w:strike w:val="false"/>
                  <w:dstrike w:val="false"/>
                  <w:color w:val="131E29"/>
                  <w:sz w:val="20"/>
                  <w:u w:val="none"/>
                  <w:effect w:val="none"/>
                </w:rPr>
                <w:t>54</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ITEM 2.</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838">
              <w:r>
                <w:rPr>
                  <w:rStyle w:val="InternetLink"/>
                  <w:rFonts w:ascii="Arial;sans-serif" w:hAnsi="Arial;sans-serif"/>
                  <w:b w:val="false"/>
                  <w:strike w:val="false"/>
                  <w:dstrike w:val="false"/>
                  <w:color w:val="131E29"/>
                  <w:sz w:val="20"/>
                  <w:u w:val="none"/>
                  <w:effect w:val="none"/>
                </w:rPr>
                <w:t>Unregistered Sales of Equity Securities and Use of Proceeds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838">
              <w:r>
                <w:rPr>
                  <w:rStyle w:val="InternetLink"/>
                  <w:rFonts w:ascii="Arial;sans-serif" w:hAnsi="Arial;sans-serif"/>
                  <w:b w:val="false"/>
                  <w:strike w:val="false"/>
                  <w:dstrike w:val="false"/>
                  <w:color w:val="131E29"/>
                  <w:sz w:val="20"/>
                  <w:u w:val="none"/>
                  <w:effect w:val="none"/>
                </w:rPr>
                <w:t>100</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ITEM 3.</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865">
              <w:r>
                <w:rPr>
                  <w:rStyle w:val="InternetLink"/>
                  <w:rFonts w:ascii="Arial;sans-serif" w:hAnsi="Arial;sans-serif"/>
                  <w:b w:val="false"/>
                  <w:strike w:val="false"/>
                  <w:dstrike w:val="false"/>
                  <w:color w:val="131E29"/>
                  <w:sz w:val="20"/>
                  <w:u w:val="none"/>
                  <w:effect w:val="none"/>
                </w:rPr>
                <w:t>Defaults Upon Senior Securities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865">
              <w:r>
                <w:rPr>
                  <w:rStyle w:val="InternetLink"/>
                  <w:rFonts w:ascii="Arial;sans-serif" w:hAnsi="Arial;sans-serif"/>
                  <w:b w:val="false"/>
                  <w:strike w:val="false"/>
                  <w:dstrike w:val="false"/>
                  <w:color w:val="131E29"/>
                  <w:sz w:val="20"/>
                  <w:u w:val="none"/>
                  <w:effect w:val="none"/>
                </w:rPr>
                <w:t>100</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ITEM 4.</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868">
              <w:r>
                <w:rPr>
                  <w:rStyle w:val="InternetLink"/>
                  <w:rFonts w:ascii="Arial;sans-serif" w:hAnsi="Arial;sans-serif"/>
                  <w:b w:val="false"/>
                  <w:strike w:val="false"/>
                  <w:dstrike w:val="false"/>
                  <w:color w:val="131E29"/>
                  <w:sz w:val="20"/>
                  <w:u w:val="none"/>
                  <w:effect w:val="none"/>
                </w:rPr>
                <w:t>Mine Safety Disclosure</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868">
              <w:r>
                <w:rPr>
                  <w:rStyle w:val="InternetLink"/>
                  <w:rFonts w:ascii="Arial;sans-serif" w:hAnsi="Arial;sans-serif"/>
                  <w:b w:val="false"/>
                  <w:strike w:val="false"/>
                  <w:dstrike w:val="false"/>
                  <w:color w:val="131E29"/>
                  <w:sz w:val="20"/>
                  <w:u w:val="none"/>
                  <w:effect w:val="none"/>
                </w:rPr>
                <w:t>100</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ITEM 5.</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871">
              <w:r>
                <w:rPr>
                  <w:rStyle w:val="InternetLink"/>
                  <w:rFonts w:ascii="Arial;sans-serif" w:hAnsi="Arial;sans-serif"/>
                  <w:b w:val="false"/>
                  <w:strike w:val="false"/>
                  <w:dstrike w:val="false"/>
                  <w:color w:val="131E29"/>
                  <w:sz w:val="20"/>
                  <w:u w:val="none"/>
                  <w:effect w:val="none"/>
                </w:rPr>
                <w:t>Other Information</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871">
              <w:r>
                <w:rPr>
                  <w:rStyle w:val="InternetLink"/>
                  <w:rFonts w:ascii="Arial;sans-serif" w:hAnsi="Arial;sans-serif"/>
                  <w:b w:val="false"/>
                  <w:strike w:val="false"/>
                  <w:dstrike w:val="false"/>
                  <w:color w:val="131E29"/>
                  <w:sz w:val="20"/>
                  <w:u w:val="none"/>
                  <w:effect w:val="none"/>
                </w:rPr>
                <w:t>100</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ITEM 6.</w:t>
            </w:r>
          </w:p>
        </w:tc>
        <w:tc>
          <w:tcPr>
            <w:tcW w:w="6270"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left"/>
              <w:rPr/>
            </w:pPr>
            <w:hyperlink w:anchor="iee59f8afe2f54daf922cb2458f1cbce7_976">
              <w:r>
                <w:rPr>
                  <w:rStyle w:val="InternetLink"/>
                  <w:rFonts w:ascii="Arial;sans-serif" w:hAnsi="Arial;sans-serif"/>
                  <w:b w:val="false"/>
                  <w:strike w:val="false"/>
                  <w:dstrike w:val="false"/>
                  <w:color w:val="131E29"/>
                  <w:sz w:val="20"/>
                  <w:u w:val="none"/>
                  <w:effect w:val="none"/>
                </w:rPr>
                <w:t>Exhibits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180"/>
              <w:jc w:val="center"/>
              <w:rPr/>
            </w:pPr>
            <w:hyperlink w:anchor="iee59f8afe2f54daf922cb2458f1cbce7_883">
              <w:r>
                <w:rPr>
                  <w:rStyle w:val="InternetLink"/>
                  <w:rFonts w:ascii="Arial;sans-serif" w:hAnsi="Arial;sans-serif"/>
                  <w:b w:val="false"/>
                  <w:strike w:val="false"/>
                  <w:dstrike w:val="false"/>
                  <w:color w:val="131E29"/>
                  <w:sz w:val="20"/>
                  <w:u w:val="none"/>
                  <w:effect w:val="none"/>
                </w:rPr>
                <w:t>101</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7" w:type="dxa"/>
            <w:gridSpan w:val="6"/>
            <w:tcBorders/>
            <w:tcMar>
              <w:top w:w="0" w:type="dxa"/>
              <w:left w:w="0" w:type="dxa"/>
              <w:bottom w:w="0" w:type="dxa"/>
              <w:right w:w="0" w:type="dxa"/>
            </w:tcMar>
            <w:vAlign w:val="center"/>
          </w:tcPr>
          <w:p>
            <w:pPr>
              <w:pStyle w:val="TableContents"/>
              <w:bidi w:val="0"/>
              <w:spacing w:lineRule="auto" w:line="288" w:before="0" w:after="180"/>
              <w:jc w:val="left"/>
              <w:rPr/>
            </w:pPr>
            <w:hyperlink w:anchor="iee59f8afe2f54daf922cb2458f1cbce7_886">
              <w:r>
                <w:rPr>
                  <w:rStyle w:val="InternetLink"/>
                  <w:rFonts w:ascii="Arial;sans-serif" w:hAnsi="Arial;sans-serif"/>
                  <w:b/>
                  <w:strike w:val="false"/>
                  <w:dstrike w:val="false"/>
                  <w:color w:val="006098"/>
                  <w:sz w:val="20"/>
                  <w:u w:val="none"/>
                  <w:effect w:val="non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e59f8afe2f54daf922cb2458f1cbce7_886">
              <w:r>
                <w:rPr>
                  <w:rStyle w:val="InternetLink"/>
                  <w:rFonts w:ascii="Arial;sans-serif" w:hAnsi="Arial;sans-serif"/>
                  <w:b w:val="false"/>
                  <w:strike w:val="false"/>
                  <w:dstrike w:val="false"/>
                  <w:color w:val="131E29"/>
                  <w:sz w:val="20"/>
                  <w:u w:val="none"/>
                  <w:effect w:val="none"/>
                </w:rPr>
                <w:t>103</w:t>
              </w:r>
            </w:hyperlink>
          </w:p>
        </w:tc>
      </w:tr>
      <w:tr>
        <w:trP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GLOSSARY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 </w:t>
      </w:r>
    </w:p>
    <w:tbl>
      <w:tblPr>
        <w:tblW w:w="10205" w:type="dxa"/>
        <w:jc w:val="left"/>
        <w:tblInd w:w="0" w:type="dxa"/>
        <w:tblLayout w:type="fixed"/>
        <w:tblCellMar>
          <w:top w:w="28" w:type="dxa"/>
          <w:left w:w="28" w:type="dxa"/>
          <w:bottom w:w="28" w:type="dxa"/>
          <w:right w:w="28" w:type="dxa"/>
        </w:tblCellMar>
      </w:tblPr>
      <w:tblGrid>
        <w:gridCol w:w="904"/>
        <w:gridCol w:w="541"/>
        <w:gridCol w:w="545"/>
        <w:gridCol w:w="109"/>
        <w:gridCol w:w="109"/>
        <w:gridCol w:w="109"/>
        <w:gridCol w:w="2429"/>
        <w:gridCol w:w="2256"/>
        <w:gridCol w:w="3203"/>
      </w:tblGrid>
      <w:tr>
        <w:trPr/>
        <w:tc>
          <w:tcPr>
            <w:tcW w:w="90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r>
      <w:tr>
        <w:trPr/>
        <w:tc>
          <w:tcPr>
            <w:tcW w:w="1990"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both"/>
              <w:rPr>
                <w:rFonts w:ascii="Arial;sans-serif" w:hAnsi="Arial;sans-serif"/>
                <w:b/>
                <w:color w:val="006098"/>
                <w:sz w:val="20"/>
              </w:rPr>
            </w:pPr>
            <w:r>
              <w:rPr>
                <w:rFonts w:ascii="Arial;sans-serif" w:hAnsi="Arial;sans-serif"/>
                <w:b/>
                <w:color w:val="006098"/>
                <w:sz w:val="20"/>
              </w:rPr>
              <w:t>DEFINITION</w:t>
            </w:r>
          </w:p>
        </w:tc>
      </w:tr>
      <w:tr>
        <w:trPr/>
        <w:tc>
          <w:tcPr>
            <w:tcW w:w="199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2022 Credit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Has the meaning set forth in NOTE 9 — Debt to the condensed consolidated financial statements, included elsewhere in this Form 10-Q</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Accumulated Other Comprehensive Income</w:t>
            </w:r>
          </w:p>
        </w:tc>
      </w:tr>
      <w:tr>
        <w:trPr/>
        <w:tc>
          <w:tcPr>
            <w:tcW w:w="19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ASU</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Accounting Standards Update</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AUV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Average Unit Volume</w:t>
            </w:r>
          </w:p>
        </w:tc>
      </w:tr>
      <w:tr>
        <w:trPr/>
        <w:tc>
          <w:tcPr>
            <w:tcW w:w="19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Blocker Companies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TSG7 A AIV VI Holdings, LLC and DG Coinvestor Blocker, LLC</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BPS or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Basis points, which is used to express differences in rates. One basis point is the equivalent of 1/100 of one percent.</w:t>
            </w:r>
          </w:p>
        </w:tc>
      </w:tr>
      <w:tr>
        <w:trPr/>
        <w:tc>
          <w:tcPr>
            <w:tcW w:w="19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CODM</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Chief Operating Decision Maker</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Co-Founder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Travis Boersma and affiliated entities over which he maintains voting control.</w:t>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8"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Continuing Members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The Co-Founder and the Sponsor</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Dutch Bros OpCo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Dutch Mafia, LLC, a Delaware limited liability company and direct subsidiary of Dutch Bros Inc.</w:t>
            </w:r>
          </w:p>
        </w:tc>
      </w:tr>
      <w:tr>
        <w:trPr/>
        <w:tc>
          <w:tcPr>
            <w:tcW w:w="19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 Delaware corporation, the Class A common stock of which is publicly traded on the New York Stock Exchange under the symbol “BROS”.</w:t>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8"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Financial Accounting Standards Board</w:t>
            </w:r>
          </w:p>
        </w:tc>
      </w:tr>
      <w:tr>
        <w:trPr/>
        <w:tc>
          <w:tcPr>
            <w:tcW w:w="19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GAAP</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U.S. Generally Accepted Accounting Principles</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IPO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Initial Public Offering</w:t>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8"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N/M</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A not meaningful percentage.</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OpCo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Class A common units, Class B voting units and Class C voting units of Dutch Bros OpCo, each as further defined in the Fourth Amended and Restated Limited Liability Company Agreement of Dutch Bros OpCo, collectively.</w:t>
            </w:r>
          </w:p>
        </w:tc>
      </w:tr>
      <w:tr>
        <w:trPr/>
        <w:tc>
          <w:tcPr>
            <w:tcW w:w="19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Pre-IPO Blocker 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TSG7 A AIV VI Holdings-A, L.P. and DG Coinvestor Blocker Aggregator, L.P. or their assignees or successors pursuant to the terms of the certain Reorganization Tax Receivable Agreement.</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QSR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Quick Service Restaurant</w:t>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8"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RSA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Restricted Stock Awards</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Restricted Stock Units</w:t>
            </w:r>
          </w:p>
        </w:tc>
      </w:tr>
      <w:tr>
        <w:trPr/>
        <w:tc>
          <w:tcPr>
            <w:tcW w:w="19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Secondary Offering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The registered underwritten public offering of shares of Class A common stock of Dutch Bros Inc. by our Sponsor, as described in Part II, Item 2. Unregistered Sales of Equity Securities and Use of Proceeds.</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Securities and Exchange Commission</w:t>
            </w:r>
          </w:p>
        </w:tc>
      </w:tr>
      <w:tr>
        <w:trPr/>
        <w:tc>
          <w:tcPr>
            <w:tcW w:w="19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SOFR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Secured Overnight Financing Rate</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TSG Consumer Partners, L.P. and certain of its affiliates.</w:t>
            </w:r>
          </w:p>
        </w:tc>
      </w:tr>
      <w:tr>
        <w:trPr/>
        <w:tc>
          <w:tcPr>
            <w:tcW w:w="19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Tax Receivable Agreements and TRAs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The Tax Receivable Agreement (Exchanges) and the Tax Receivable Agreement (Reorganization) that Dutch Bros Inc. entered into with the Continuing Members and the Pre-IPO Blocker Holders, respectively, in connection with the IPO.</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Western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The collection of states including Arizona, California, Colorado, Idaho, Nevada, New Mexico, Oregon, Utah and Washington.</w:t>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Arial;sans-serif" w:hAnsi="Arial;sans-serif"/>
          <w:b w:val="false"/>
          <w:i/>
          <w:color w:val="131E29"/>
          <w:sz w:val="16"/>
        </w:rPr>
        <w:t>Dutch Bros</w:t>
      </w:r>
      <w:r>
        <w:rPr>
          <w:rFonts w:ascii="Arial;sans-serif" w:hAnsi="Arial;sans-serif"/>
          <w:b w:val="false"/>
          <w:color w:val="131E29"/>
          <w:sz w:val="16"/>
        </w:rPr>
        <w:t>, our Windmill logo (</w:t>
      </w:r>
      <w:r>
        <w:rPr/>
        <w:drawing>
          <wp:inline distT="0" distB="0" distL="0" distR="0">
            <wp:extent cx="190500" cy="2667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 xml:space="preserve">), </w:t>
      </w:r>
      <w:r>
        <w:rPr>
          <w:rFonts w:ascii="Arial;sans-serif" w:hAnsi="Arial;sans-serif"/>
          <w:b w:val="false"/>
          <w:i/>
          <w:color w:val="131E29"/>
          <w:sz w:val="16"/>
        </w:rPr>
        <w:t>Dutch Bros Blue Rebel</w:t>
      </w:r>
      <w:r>
        <w:rPr>
          <w:rFonts w:ascii="Arial;sans-serif" w:hAnsi="Arial;sans-serif"/>
          <w:b w:val="false"/>
          <w:color w:val="131E29"/>
          <w:sz w:val="16"/>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63220"/>
                <wp:effectExtent l="0" t="0" r="0" b="0"/>
                <wp:wrapNone/>
                <wp:docPr id="5" name="Frame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v:textbox>
                <w10:wrap type="none"/>
              </v:rect>
            </w:pict>
          </mc:Fallback>
        </mc:AlternateContent>
      </w:r>
    </w:p>
    <w:p>
      <w:pPr>
        <w:pStyle w:val="TextBody"/>
        <w:bidi w:val="0"/>
        <w:spacing w:lineRule="auto" w:line="288" w:before="0" w:after="18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FORWARD-LOOKING STATEMENTS</w:t>
      </w:r>
    </w:p>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Certain statements in this Form 10-Q that are not historical facts, including those regarding the impact of inflation, increased minimum wages, and general macroeconomic conditions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Our statements should not be read to indicate that we have conducted an exhaustive inquiry into, or review of, all relevant information. These statements are subject to risks and uncertainties that could cause actual results to differ materially from those described in the statements. You should not place undue reliance on forward-looking statements, which speak only as of the date of this Form 10-Q.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2023, filed with the Securities and Exchange Commission on February 23, 2024.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as such risk factors may be amended, supplemented or superseded from time to time by other reports we file with the Securities and Exchange Commission.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Website Disclosure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63220"/>
                <wp:effectExtent l="0" t="0" r="0" b="0"/>
                <wp:wrapNone/>
                <wp:docPr id="8" name="Frame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18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 FINANCIAL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Balance Sheets</w:t>
      </w:r>
    </w:p>
    <w:tbl>
      <w:tblPr>
        <w:tblW w:w="7619" w:type="dxa"/>
        <w:jc w:val="center"/>
        <w:tblInd w:w="0" w:type="dxa"/>
        <w:tblLayout w:type="fixed"/>
        <w:tblCellMar>
          <w:top w:w="28" w:type="dxa"/>
          <w:left w:w="28" w:type="dxa"/>
          <w:bottom w:w="28" w:type="dxa"/>
          <w:right w:w="28" w:type="dxa"/>
        </w:tblCellMar>
      </w:tblPr>
      <w:tblGrid>
        <w:gridCol w:w="1526"/>
        <w:gridCol w:w="1340"/>
        <w:gridCol w:w="1349"/>
        <w:gridCol w:w="109"/>
        <w:gridCol w:w="109"/>
        <w:gridCol w:w="109"/>
        <w:gridCol w:w="211"/>
        <w:gridCol w:w="1021"/>
        <w:gridCol w:w="109"/>
        <w:gridCol w:w="109"/>
        <w:gridCol w:w="109"/>
        <w:gridCol w:w="109"/>
        <w:gridCol w:w="214"/>
        <w:gridCol w:w="1039"/>
        <w:gridCol w:w="156"/>
      </w:tblGrid>
      <w:tr>
        <w:trPr/>
        <w:tc>
          <w:tcPr>
            <w:tcW w:w="152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736" w:type="dxa"/>
            <w:gridSpan w:val="6"/>
            <w:tcBorders/>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2023</w:t>
            </w:r>
          </w:p>
        </w:tc>
      </w:tr>
      <w:tr>
        <w:trPr/>
        <w:tc>
          <w:tcPr>
            <w:tcW w:w="421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260,922 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9"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133,545 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Inventories,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46,651 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46,953 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current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334,611 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205,259 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542,440 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right-of-use assets,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380,999 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382,734 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199,673 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Intangibles,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3,963 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5,415 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income tax assets,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721,691 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402,995 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2,377,286 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1,764,010 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Accrued compensation and benefits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31,842 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31,405 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current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5,873 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6,423 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finance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11,927 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9,482 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long-term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14,182 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4,491 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153,097 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138,116 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7,115 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6,676 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367,775 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282,873 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191,419 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Tax receivable agreements liability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605,003 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290,920 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1,647,474 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1,088,089 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Commitments and contingencies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63220"/>
                <wp:effectExtent l="0" t="0" r="0" b="0"/>
                <wp:wrapNone/>
                <wp:docPr id="11" name="Frame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firstLine="36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Balance Sheets (continued)</w:t>
      </w:r>
    </w:p>
    <w:tbl>
      <w:tblPr>
        <w:tblW w:w="10205" w:type="dxa"/>
        <w:jc w:val="left"/>
        <w:tblInd w:w="0" w:type="dxa"/>
        <w:tblLayout w:type="fixed"/>
        <w:tblCellMar>
          <w:top w:w="28" w:type="dxa"/>
          <w:left w:w="28" w:type="dxa"/>
          <w:bottom w:w="28" w:type="dxa"/>
          <w:right w:w="28" w:type="dxa"/>
        </w:tblCellMar>
      </w:tblPr>
      <w:tblGrid>
        <w:gridCol w:w="2679"/>
        <w:gridCol w:w="2061"/>
        <w:gridCol w:w="2074"/>
        <w:gridCol w:w="109"/>
        <w:gridCol w:w="109"/>
        <w:gridCol w:w="109"/>
        <w:gridCol w:w="211"/>
        <w:gridCol w:w="1021"/>
        <w:gridCol w:w="109"/>
        <w:gridCol w:w="109"/>
        <w:gridCol w:w="109"/>
        <w:gridCol w:w="109"/>
        <w:gridCol w:w="212"/>
        <w:gridCol w:w="1027"/>
        <w:gridCol w:w="157"/>
      </w:tblGrid>
      <w:tr>
        <w:trPr/>
        <w:tc>
          <w:tcPr>
            <w:tcW w:w="2679"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723" w:type="dxa"/>
            <w:gridSpan w:val="6"/>
            <w:tcBorders/>
          </w:tcPr>
          <w:p>
            <w:pPr>
              <w:pStyle w:val="TableContents"/>
              <w:bidi w:val="0"/>
              <w:spacing w:before="0" w:after="283"/>
              <w:jc w:val="left"/>
              <w:rPr>
                <w:sz w:val="4"/>
                <w:szCs w:val="4"/>
              </w:rPr>
            </w:pPr>
            <w:r>
              <w:rPr>
                <w:sz w:val="4"/>
                <w:szCs w:val="4"/>
              </w:rPr>
            </w:r>
          </w:p>
        </w:tc>
      </w:tr>
      <w:tr>
        <w:trPr/>
        <w:tc>
          <w:tcPr>
            <w:tcW w:w="6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2023</w:t>
            </w:r>
          </w:p>
        </w:tc>
      </w:tr>
      <w:tr>
        <w:trPr/>
        <w:tc>
          <w:tcPr>
            <w:tcW w:w="6814"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Preferred stock, $0.00001 par value per share - 20,000 shares authorized; zero shares issued and outstanding as of June 30, 2024 and December 31, 2023,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7"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Class A common stock, $0.00001 par value per share - 400,000 shares authorized; 113,817 and 69,958 shares issued and outstanding as of June 30,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Class B common stock, $0.00001 par value per share - 144,000 shares authorized; 35,227 and 60,629 shares issued and outstanding as of June 30, 2024 and December 31, 2023</w:t>
            </w:r>
            <w:r>
              <w:rPr>
                <w:rFonts w:ascii="Arial;sans-serif" w:hAnsi="Arial;sans-serif"/>
                <w:b w:val="false"/>
                <w:color w:val="000000"/>
                <w:sz w:val="16"/>
              </w:rPr>
              <w:t>,</w:t>
            </w:r>
            <w:r>
              <w:rPr>
                <w:color w:val="000000"/>
              </w:rPr>
              <w:t xml:space="preserve"> </w:t>
            </w:r>
            <w:r>
              <w:rPr>
                <w:rFonts w:ascii="Arial;sans-serif" w:hAnsi="Arial;sans-serif"/>
                <w:b w:val="false"/>
                <w:color w:val="000000"/>
                <w:sz w:val="20"/>
              </w:rPr>
              <w:t>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Class C common stock, $0.00001 par value per share - 105,000 shares authorized; 5,142 and 35,864 shares issued and outstanding as of June 30, 2024 and December 31, 2023</w:t>
            </w:r>
            <w:r>
              <w:rPr>
                <w:rFonts w:ascii="Arial;sans-serif" w:hAnsi="Arial;sans-serif"/>
                <w:b w:val="false"/>
                <w:color w:val="000000"/>
                <w:sz w:val="20"/>
              </w:rPr>
              <w:t>,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Class D common stock, $0.00001 par value per share - 42,000 shares authorized; zero and 10,669 shares issued and outstanding as of June 30, 2024 and December 31, 2023</w:t>
            </w:r>
            <w:r>
              <w:rPr>
                <w:rFonts w:ascii="Arial;sans-serif" w:hAnsi="Arial;sans-serif"/>
                <w:b w:val="false"/>
                <w:color w:val="000000"/>
                <w:sz w:val="20"/>
              </w:rPr>
              <w:t>, respectivel</w:t>
            </w:r>
            <w:r>
              <w:rPr>
                <w:rFonts w:ascii="Arial;sans-serif" w:hAnsi="Arial;sans-serif"/>
                <w:b w:val="false"/>
                <w:color w:val="000000"/>
                <w:sz w:val="16"/>
              </w:rPr>
              <w: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504,657 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379,391 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Accumulated other comprehensive income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544 </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Retained earnings (accumulated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(15,592)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stockholders' equity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509,140 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364,345 </w:t>
            </w:r>
          </w:p>
        </w:tc>
        <w:tc>
          <w:tcPr>
            <w:tcW w:w="15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311,576 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equity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729,812 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675,921 </w:t>
            </w:r>
          </w:p>
        </w:tc>
        <w:tc>
          <w:tcPr>
            <w:tcW w:w="15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2,377,286 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1,764,010 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63220"/>
                <wp:effectExtent l="0" t="0" r="0" b="0"/>
                <wp:wrapNone/>
                <wp:docPr id="14" name="Frame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1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v:textbox>
                <w10:wrap type="none"/>
              </v:rect>
            </w:pict>
          </mc:Fallback>
        </mc:AlternateContent>
      </w:r>
    </w:p>
    <w:p>
      <w:pPr>
        <w:pStyle w:val="TextBody"/>
        <w:bidi w:val="0"/>
        <w:spacing w:lineRule="auto" w:line="288" w:before="0" w:after="18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before="0" w:after="60"/>
        <w:jc w:val="center"/>
        <w:rPr/>
      </w:pPr>
      <w:r>
        <w:rPr/>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Operations</w:t>
      </w:r>
    </w:p>
    <w:tbl>
      <w:tblPr>
        <w:tblW w:w="10205" w:type="dxa"/>
        <w:jc w:val="center"/>
        <w:tblInd w:w="0" w:type="dxa"/>
        <w:tblLayout w:type="fixed"/>
        <w:tblCellMar>
          <w:top w:w="28" w:type="dxa"/>
          <w:left w:w="28" w:type="dxa"/>
          <w:bottom w:w="28" w:type="dxa"/>
          <w:right w:w="28" w:type="dxa"/>
        </w:tblCellMar>
      </w:tblPr>
      <w:tblGrid>
        <w:gridCol w:w="1705"/>
        <w:gridCol w:w="1068"/>
        <w:gridCol w:w="1075"/>
        <w:gridCol w:w="109"/>
        <w:gridCol w:w="109"/>
        <w:gridCol w:w="109"/>
        <w:gridCol w:w="217"/>
        <w:gridCol w:w="882"/>
        <w:gridCol w:w="112"/>
        <w:gridCol w:w="112"/>
        <w:gridCol w:w="112"/>
        <w:gridCol w:w="112"/>
        <w:gridCol w:w="217"/>
        <w:gridCol w:w="882"/>
        <w:gridCol w:w="112"/>
        <w:gridCol w:w="109"/>
        <w:gridCol w:w="109"/>
        <w:gridCol w:w="109"/>
        <w:gridCol w:w="211"/>
        <w:gridCol w:w="856"/>
        <w:gridCol w:w="109"/>
        <w:gridCol w:w="109"/>
        <w:gridCol w:w="109"/>
        <w:gridCol w:w="109"/>
        <w:gridCol w:w="211"/>
        <w:gridCol w:w="856"/>
        <w:gridCol w:w="109"/>
        <w:gridCol w:w="109"/>
        <w:gridCol w:w="157"/>
      </w:tblGrid>
      <w:tr>
        <w:trPr/>
        <w:tc>
          <w:tcPr>
            <w:tcW w:w="170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295,268 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220,952 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29,650 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28,927 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53,030 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324,918 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249,879 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600,017 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447,146 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234,637 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178,636 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437,887 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330,159 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58,097 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51,662 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292,734 </w:t>
            </w:r>
          </w:p>
        </w:tc>
        <w:tc>
          <w:tcPr>
            <w:tcW w:w="11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230,298 </w:t>
            </w:r>
          </w:p>
        </w:tc>
        <w:tc>
          <w:tcPr>
            <w:tcW w:w="11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542,217 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427,797 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FROM OPERATIONS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32,184 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19,581 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57,800 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19,349 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829 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1,039 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6,593 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(6,168)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(8,019)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3,860 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1,851 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12,632 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4,431 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22,156 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9,711 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Less: Net income attributable to non-controlling interests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10,216 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6,959 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19,369 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NET INCOME (LOSS) ATTRIBUTABLE TO DUTCH BROS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11,940 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income (loss) per share of Class A and Class D common stock: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2"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0.12 </w:t>
            </w:r>
          </w:p>
        </w:tc>
        <w:tc>
          <w:tcPr>
            <w:tcW w:w="112" w:type="dxa"/>
            <w:tcBorders>
              <w:top w:val="doub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2"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0.05 </w:t>
            </w:r>
          </w:p>
        </w:tc>
        <w:tc>
          <w:tcPr>
            <w:tcW w:w="112" w:type="dxa"/>
            <w:tcBorders>
              <w:top w:val="doub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0.20 </w:t>
            </w:r>
          </w:p>
        </w:tc>
        <w:tc>
          <w:tcPr>
            <w:tcW w:w="109" w:type="dxa"/>
            <w:tcBorders>
              <w:top w:val="doub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(0.02)</w:t>
            </w:r>
          </w:p>
        </w:tc>
        <w:tc>
          <w:tcPr>
            <w:tcW w:w="109" w:type="dxa"/>
            <w:tcBorders>
              <w:top w:val="doub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Weighted-average shares of Class A and Class D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101,965 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56,734 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92,647 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56,699 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102,356 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57,428 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pStyle w:val="TextBody"/>
        <w:bidi w:val="0"/>
        <w:spacing w:before="0" w:after="180"/>
        <w:jc w:val="center"/>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63220"/>
                <wp:effectExtent l="0" t="0" r="0" b="0"/>
                <wp:wrapNone/>
                <wp:docPr id="17" name="Frame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1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v:textbox>
                <w10:wrap type="none"/>
              </v:rect>
            </w:pict>
          </mc:Fallback>
        </mc:AlternateContent>
      </w:r>
    </w:p>
    <w:p>
      <w:pPr>
        <w:pStyle w:val="TextBody"/>
        <w:bidi w:val="0"/>
        <w:spacing w:lineRule="auto" w:line="288" w:before="0" w:after="18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before="0" w:after="60"/>
        <w:jc w:val="center"/>
        <w:rPr/>
      </w:pPr>
      <w:r>
        <w:rPr/>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Condensed Consolidated Statements of Comprehensive Income (Loss)</w: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759"/>
        <w:gridCol w:w="1389"/>
        <w:gridCol w:w="1300"/>
        <w:gridCol w:w="109"/>
        <w:gridCol w:w="109"/>
        <w:gridCol w:w="109"/>
        <w:gridCol w:w="224"/>
        <w:gridCol w:w="797"/>
        <w:gridCol w:w="115"/>
        <w:gridCol w:w="115"/>
        <w:gridCol w:w="115"/>
        <w:gridCol w:w="115"/>
        <w:gridCol w:w="224"/>
        <w:gridCol w:w="686"/>
        <w:gridCol w:w="115"/>
        <w:gridCol w:w="109"/>
        <w:gridCol w:w="109"/>
        <w:gridCol w:w="109"/>
        <w:gridCol w:w="221"/>
        <w:gridCol w:w="788"/>
        <w:gridCol w:w="114"/>
        <w:gridCol w:w="114"/>
        <w:gridCol w:w="114"/>
        <w:gridCol w:w="114"/>
        <w:gridCol w:w="221"/>
        <w:gridCol w:w="525"/>
        <w:gridCol w:w="114"/>
        <w:gridCol w:w="109"/>
        <w:gridCol w:w="163"/>
      </w:tblGrid>
      <w:tr>
        <w:trPr/>
        <w:tc>
          <w:tcPr>
            <w:tcW w:w="175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2" w:type="dxa"/>
            <w:gridSpan w:val="2"/>
            <w:tcBorders/>
          </w:tcPr>
          <w:p>
            <w:pPr>
              <w:pStyle w:val="TableContents"/>
              <w:bidi w:val="0"/>
              <w:spacing w:before="0" w:after="283"/>
              <w:jc w:val="left"/>
              <w:rPr>
                <w:sz w:val="4"/>
                <w:szCs w:val="4"/>
              </w:rPr>
            </w:pPr>
            <w:r>
              <w:rPr>
                <w:sz w:val="4"/>
                <w:szCs w:val="4"/>
              </w:rPr>
            </w:r>
          </w:p>
        </w:tc>
      </w:tr>
      <w:tr>
        <w:trPr/>
        <w:tc>
          <w:tcPr>
            <w:tcW w:w="44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8"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22,156 </w:t>
            </w:r>
          </w:p>
        </w:tc>
        <w:tc>
          <w:tcPr>
            <w:tcW w:w="115"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8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9,711 </w:t>
            </w:r>
          </w:p>
        </w:tc>
        <w:tc>
          <w:tcPr>
            <w:tcW w:w="115"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8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38,371 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2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320 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Unrealized gain on derivative securities, effective portion, net of income tax expense (benefit) of $(15), $105, $64, and $25,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113 </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1,098 </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787 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274 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22,269 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10,809 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39,158 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comprehensive income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10,182 </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7,742 </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19,628 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1,592 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Comprehensive income (loss)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12,087 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3,067 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19,530 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(998)</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63220"/>
                <wp:effectExtent l="0" t="0" r="0" b="0"/>
                <wp:wrapNone/>
                <wp:docPr id="20" name="Frame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1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v:textbox>
                <w10:wrap type="none"/>
              </v:rect>
            </w:pict>
          </mc:Fallback>
        </mc:AlternateContent>
      </w:r>
    </w:p>
    <w:p>
      <w:pPr>
        <w:pStyle w:val="TextBody"/>
        <w:bidi w:val="0"/>
        <w:spacing w:lineRule="auto" w:line="288" w:before="0" w:after="18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w:t>
      </w:r>
    </w:p>
    <w:tbl>
      <w:tblPr>
        <w:tblW w:w="17722" w:type="dxa"/>
        <w:jc w:val="center"/>
        <w:tblInd w:w="0" w:type="dxa"/>
        <w:tblLayout w:type="fixed"/>
        <w:tblCellMar>
          <w:top w:w="28" w:type="dxa"/>
          <w:left w:w="28" w:type="dxa"/>
          <w:bottom w:w="28" w:type="dxa"/>
          <w:right w:w="28" w:type="dxa"/>
        </w:tblCellMar>
      </w:tblPr>
      <w:tblGrid>
        <w:gridCol w:w="547"/>
        <w:gridCol w:w="296"/>
        <w:gridCol w:w="298"/>
        <w:gridCol w:w="109"/>
        <w:gridCol w:w="109"/>
        <w:gridCol w:w="109"/>
        <w:gridCol w:w="109"/>
        <w:gridCol w:w="109"/>
        <w:gridCol w:w="368"/>
        <w:gridCol w:w="368"/>
        <w:gridCol w:w="211"/>
        <w:gridCol w:w="109"/>
        <w:gridCol w:w="109"/>
        <w:gridCol w:w="109"/>
        <w:gridCol w:w="237"/>
        <w:gridCol w:w="291"/>
        <w:gridCol w:w="133"/>
        <w:gridCol w:w="109"/>
        <w:gridCol w:w="109"/>
        <w:gridCol w:w="109"/>
        <w:gridCol w:w="330"/>
        <w:gridCol w:w="331"/>
        <w:gridCol w:w="211"/>
        <w:gridCol w:w="109"/>
        <w:gridCol w:w="109"/>
        <w:gridCol w:w="109"/>
        <w:gridCol w:w="196"/>
        <w:gridCol w:w="406"/>
        <w:gridCol w:w="109"/>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217"/>
        <w:gridCol w:w="817"/>
        <w:gridCol w:w="122"/>
        <w:gridCol w:w="109"/>
        <w:gridCol w:w="109"/>
        <w:gridCol w:w="109"/>
        <w:gridCol w:w="287"/>
        <w:gridCol w:w="814"/>
        <w:gridCol w:w="160"/>
        <w:gridCol w:w="327"/>
        <w:gridCol w:w="248"/>
        <w:gridCol w:w="724"/>
        <w:gridCol w:w="139"/>
        <w:gridCol w:w="327"/>
        <w:gridCol w:w="231"/>
        <w:gridCol w:w="870"/>
        <w:gridCol w:w="130"/>
        <w:gridCol w:w="327"/>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6309" w:type="dxa"/>
            <w:gridSpan w:val="7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 2024</w:t>
            </w:r>
          </w:p>
        </w:tc>
        <w:tc>
          <w:tcPr>
            <w:tcW w:w="1413"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5"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4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March 31,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86,575 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60,071 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23,879 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6,653 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424,721 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925 </w:t>
            </w:r>
          </w:p>
        </w:tc>
        <w:tc>
          <w:tcPr>
            <w:tcW w:w="1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2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(8,530)</w:t>
            </w:r>
          </w:p>
        </w:tc>
        <w:tc>
          <w:tcPr>
            <w:tcW w:w="13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278,845 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695,963 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11,940 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10,216 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22,156 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gain on derivative securities, effective portion, net of income tax benefit of $15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(193)</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147 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(34)</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(80)</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1,973 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and forfeitures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and surrender and cancellation of Class B, C , and D common stock, pursuant to secondary offerings following exchange of Dutch Bros OpCo Class A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27,235 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(18,737)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exchanges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69,708 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(69,708)</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8,448 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Class B common stock decoupled from Dutch Bros OpCo Class A common units, surrendered and cancelled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(23,000)</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113,817 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35,227 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5,142 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504,657 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1,072 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3,410 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220,672 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729,812 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63220"/>
                <wp:effectExtent l="0" t="0" r="0" b="0"/>
                <wp:wrapNone/>
                <wp:docPr id="23" name="Frame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v:textbox>
                <w10:wrap type="none"/>
              </v:rect>
            </w:pict>
          </mc:Fallback>
        </mc:AlternateContent>
      </w:r>
    </w:p>
    <w:p>
      <w:pPr>
        <w:pStyle w:val="TextBody"/>
        <w:bidi w:val="0"/>
        <w:spacing w:lineRule="auto" w:line="288" w:before="0" w:after="18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p>
      <w:pPr>
        <w:pStyle w:val="TextBody"/>
        <w:bidi w:val="0"/>
        <w:spacing w:before="0" w:after="180"/>
        <w:jc w:val="center"/>
        <w:rPr/>
      </w:pPr>
      <w:r>
        <w:rPr/>
      </w:r>
    </w:p>
    <w:tbl>
      <w:tblPr>
        <w:tblW w:w="17812" w:type="dxa"/>
        <w:jc w:val="center"/>
        <w:tblInd w:w="0" w:type="dxa"/>
        <w:tblLayout w:type="fixed"/>
        <w:tblCellMar>
          <w:top w:w="28" w:type="dxa"/>
          <w:left w:w="28" w:type="dxa"/>
          <w:bottom w:w="28" w:type="dxa"/>
          <w:right w:w="28" w:type="dxa"/>
        </w:tblCellMar>
      </w:tblPr>
      <w:tblGrid>
        <w:gridCol w:w="547"/>
        <w:gridCol w:w="296"/>
        <w:gridCol w:w="298"/>
        <w:gridCol w:w="109"/>
        <w:gridCol w:w="109"/>
        <w:gridCol w:w="109"/>
        <w:gridCol w:w="109"/>
        <w:gridCol w:w="109"/>
        <w:gridCol w:w="368"/>
        <w:gridCol w:w="368"/>
        <w:gridCol w:w="211"/>
        <w:gridCol w:w="109"/>
        <w:gridCol w:w="109"/>
        <w:gridCol w:w="109"/>
        <w:gridCol w:w="237"/>
        <w:gridCol w:w="291"/>
        <w:gridCol w:w="133"/>
        <w:gridCol w:w="109"/>
        <w:gridCol w:w="109"/>
        <w:gridCol w:w="109"/>
        <w:gridCol w:w="330"/>
        <w:gridCol w:w="331"/>
        <w:gridCol w:w="211"/>
        <w:gridCol w:w="109"/>
        <w:gridCol w:w="109"/>
        <w:gridCol w:w="109"/>
        <w:gridCol w:w="196"/>
        <w:gridCol w:w="406"/>
        <w:gridCol w:w="109"/>
        <w:gridCol w:w="109"/>
        <w:gridCol w:w="109"/>
        <w:gridCol w:w="109"/>
        <w:gridCol w:w="330"/>
        <w:gridCol w:w="331"/>
        <w:gridCol w:w="211"/>
        <w:gridCol w:w="109"/>
        <w:gridCol w:w="109"/>
        <w:gridCol w:w="109"/>
        <w:gridCol w:w="196"/>
        <w:gridCol w:w="406"/>
        <w:gridCol w:w="109"/>
        <w:gridCol w:w="109"/>
        <w:gridCol w:w="109"/>
        <w:gridCol w:w="109"/>
        <w:gridCol w:w="330"/>
        <w:gridCol w:w="331"/>
        <w:gridCol w:w="211"/>
        <w:gridCol w:w="109"/>
        <w:gridCol w:w="109"/>
        <w:gridCol w:w="109"/>
        <w:gridCol w:w="196"/>
        <w:gridCol w:w="406"/>
        <w:gridCol w:w="109"/>
        <w:gridCol w:w="109"/>
        <w:gridCol w:w="109"/>
        <w:gridCol w:w="109"/>
        <w:gridCol w:w="217"/>
        <w:gridCol w:w="817"/>
        <w:gridCol w:w="122"/>
        <w:gridCol w:w="109"/>
        <w:gridCol w:w="109"/>
        <w:gridCol w:w="109"/>
        <w:gridCol w:w="287"/>
        <w:gridCol w:w="814"/>
        <w:gridCol w:w="160"/>
        <w:gridCol w:w="327"/>
        <w:gridCol w:w="225"/>
        <w:gridCol w:w="760"/>
        <w:gridCol w:w="126"/>
        <w:gridCol w:w="327"/>
        <w:gridCol w:w="231"/>
        <w:gridCol w:w="870"/>
        <w:gridCol w:w="130"/>
        <w:gridCol w:w="327"/>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6399" w:type="dxa"/>
            <w:gridSpan w:val="7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 2024</w:t>
            </w:r>
          </w:p>
        </w:tc>
        <w:tc>
          <w:tcPr>
            <w:tcW w:w="1413"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5"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4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69,958 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60,629 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35,864 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10,669 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379,391 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544 </w:t>
            </w:r>
          </w:p>
        </w:tc>
        <w:tc>
          <w:tcPr>
            <w:tcW w:w="1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6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(15,592)</w:t>
            </w:r>
          </w:p>
        </w:tc>
        <w:tc>
          <w:tcPr>
            <w:tcW w:w="12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311,576 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675,921 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19,002 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19,369 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38,371 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gain on derivative securities, effective portion, net of income tax expense of $64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(328)</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528 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259 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459 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2,964 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2,295 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and forfeitures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65 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1,867 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(2,742)</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(875)</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and surrender and cancellation of Class B, C , and D common stock, pursuant to secondary offerings following exchange of Dutch Bros OpCo Class A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43,794 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(30,722)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exchanges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110,085 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(110,085)</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10,678 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Class B common stock decoupled from Dutch Bros OpCo Class A common units, surrendered and cancelled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(23,000)</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113,817 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35,227 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5,142 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504,657 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1,072 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3,410 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220,672 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729,812 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63220"/>
                <wp:effectExtent l="0" t="0" r="0" b="0"/>
                <wp:wrapNone/>
                <wp:docPr id="26" name="Frame1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v:textbox>
                <w10:wrap type="none"/>
              </v:rect>
            </w:pict>
          </mc:Fallback>
        </mc:AlternateContent>
      </w:r>
    </w:p>
    <w:p>
      <w:pPr>
        <w:pStyle w:val="TextBody"/>
        <w:bidi w:val="0"/>
        <w:spacing w:lineRule="auto" w:line="288" w:before="0" w:after="18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p>
      <w:pPr>
        <w:pStyle w:val="TextBody"/>
        <w:bidi w:val="0"/>
        <w:spacing w:before="0" w:after="60"/>
        <w:jc w:val="center"/>
        <w:rPr/>
      </w:pPr>
      <w:r>
        <w:rPr/>
      </w:r>
    </w:p>
    <w:tbl>
      <w:tblPr>
        <w:tblW w:w="17349" w:type="dxa"/>
        <w:jc w:val="left"/>
        <w:tblInd w:w="0" w:type="dxa"/>
        <w:tblLayout w:type="fixed"/>
        <w:tblCellMar>
          <w:top w:w="28" w:type="dxa"/>
          <w:left w:w="28" w:type="dxa"/>
          <w:bottom w:w="28" w:type="dxa"/>
          <w:right w:w="28" w:type="dxa"/>
        </w:tblCellMar>
      </w:tblPr>
      <w:tblGrid>
        <w:gridCol w:w="547"/>
        <w:gridCol w:w="296"/>
        <w:gridCol w:w="298"/>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196"/>
        <w:gridCol w:w="406"/>
        <w:gridCol w:w="109"/>
        <w:gridCol w:w="109"/>
        <w:gridCol w:w="109"/>
        <w:gridCol w:w="109"/>
        <w:gridCol w:w="323"/>
        <w:gridCol w:w="323"/>
        <w:gridCol w:w="211"/>
        <w:gridCol w:w="109"/>
        <w:gridCol w:w="109"/>
        <w:gridCol w:w="109"/>
        <w:gridCol w:w="196"/>
        <w:gridCol w:w="406"/>
        <w:gridCol w:w="109"/>
        <w:gridCol w:w="109"/>
        <w:gridCol w:w="109"/>
        <w:gridCol w:w="109"/>
        <w:gridCol w:w="217"/>
        <w:gridCol w:w="817"/>
        <w:gridCol w:w="122"/>
        <w:gridCol w:w="109"/>
        <w:gridCol w:w="109"/>
        <w:gridCol w:w="109"/>
        <w:gridCol w:w="340"/>
        <w:gridCol w:w="731"/>
        <w:gridCol w:w="190"/>
        <w:gridCol w:w="327"/>
        <w:gridCol w:w="213"/>
        <w:gridCol w:w="719"/>
        <w:gridCol w:w="119"/>
        <w:gridCol w:w="327"/>
        <w:gridCol w:w="231"/>
        <w:gridCol w:w="870"/>
        <w:gridCol w:w="130"/>
        <w:gridCol w:w="327"/>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349" w:type="dxa"/>
            <w:gridSpan w:val="8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 2023</w:t>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0"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4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March 31, 2023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45,666 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41,056 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12,411 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148,873 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590 </w:t>
            </w:r>
          </w:p>
        </w:tc>
        <w:tc>
          <w:tcPr>
            <w:tcW w:w="19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(21,152)</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120,390 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248,703 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6,959 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gain on derivative securities, effective portion, net of income tax expense of $105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315 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783 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1,097 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3,545 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6,604 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and forfeitures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Tax impact of other equity-based compensation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exchange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68 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(68)</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45,674 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41,056 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12,411 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152,900 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905 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(18,400)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134,668 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270,075 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63220"/>
                <wp:effectExtent l="0" t="0" r="0" b="0"/>
                <wp:wrapNone/>
                <wp:docPr id="29" name="Frame1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2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v:textbox>
                <w10:wrap type="none"/>
              </v:rect>
            </w:pict>
          </mc:Fallback>
        </mc:AlternateContent>
      </w:r>
    </w:p>
    <w:p>
      <w:pPr>
        <w:pStyle w:val="TextBody"/>
        <w:bidi w:val="0"/>
        <w:spacing w:lineRule="auto" w:line="288" w:before="0" w:after="18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p>
      <w:pPr>
        <w:pStyle w:val="TextBody"/>
        <w:bidi w:val="0"/>
        <w:spacing w:before="0" w:after="60"/>
        <w:jc w:val="center"/>
        <w:rPr/>
      </w:pPr>
      <w:r>
        <w:rPr/>
      </w:r>
    </w:p>
    <w:tbl>
      <w:tblPr>
        <w:tblW w:w="17349" w:type="dxa"/>
        <w:jc w:val="left"/>
        <w:tblInd w:w="0" w:type="dxa"/>
        <w:tblLayout w:type="fixed"/>
        <w:tblCellMar>
          <w:top w:w="28" w:type="dxa"/>
          <w:left w:w="28" w:type="dxa"/>
          <w:bottom w:w="28" w:type="dxa"/>
          <w:right w:w="28" w:type="dxa"/>
        </w:tblCellMar>
      </w:tblPr>
      <w:tblGrid>
        <w:gridCol w:w="547"/>
        <w:gridCol w:w="296"/>
        <w:gridCol w:w="298"/>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196"/>
        <w:gridCol w:w="406"/>
        <w:gridCol w:w="109"/>
        <w:gridCol w:w="109"/>
        <w:gridCol w:w="109"/>
        <w:gridCol w:w="109"/>
        <w:gridCol w:w="323"/>
        <w:gridCol w:w="323"/>
        <w:gridCol w:w="211"/>
        <w:gridCol w:w="109"/>
        <w:gridCol w:w="109"/>
        <w:gridCol w:w="109"/>
        <w:gridCol w:w="196"/>
        <w:gridCol w:w="406"/>
        <w:gridCol w:w="109"/>
        <w:gridCol w:w="109"/>
        <w:gridCol w:w="109"/>
        <w:gridCol w:w="109"/>
        <w:gridCol w:w="217"/>
        <w:gridCol w:w="817"/>
        <w:gridCol w:w="122"/>
        <w:gridCol w:w="109"/>
        <w:gridCol w:w="109"/>
        <w:gridCol w:w="109"/>
        <w:gridCol w:w="340"/>
        <w:gridCol w:w="731"/>
        <w:gridCol w:w="190"/>
        <w:gridCol w:w="327"/>
        <w:gridCol w:w="213"/>
        <w:gridCol w:w="719"/>
        <w:gridCol w:w="119"/>
        <w:gridCol w:w="327"/>
        <w:gridCol w:w="231"/>
        <w:gridCol w:w="870"/>
        <w:gridCol w:w="130"/>
        <w:gridCol w:w="327"/>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349" w:type="dxa"/>
            <w:gridSpan w:val="8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 2023</w:t>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0"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4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45,544 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41,056 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12,411 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145,613 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813 </w:t>
            </w:r>
          </w:p>
        </w:tc>
        <w:tc>
          <w:tcPr>
            <w:tcW w:w="19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(17,310)</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122,858 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251,976 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(1,090)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gain on derivative securities, effective portion, net of income tax expense of $25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(19)</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92 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182 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255 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6,745 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12,574 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19,319 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130 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(661)</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(1,234)</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(1,895)</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Tax impact of other equity-based compensation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exchange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1,122 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(1,122)</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45,674 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41,056 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12,411 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152,900 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905 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(18,400)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134,668 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270,075 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63220"/>
                <wp:effectExtent l="0" t="0" r="0" b="0"/>
                <wp:wrapNone/>
                <wp:docPr id="32" name="Frame1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2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v:textbox>
                <w10:wrap type="none"/>
              </v:rect>
            </w:pict>
          </mc:Fallback>
        </mc:AlternateContent>
      </w:r>
    </w:p>
    <w:p>
      <w:pPr>
        <w:pStyle w:val="TextBody"/>
        <w:bidi w:val="0"/>
        <w:spacing w:lineRule="auto" w:line="288" w:before="0" w:after="18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20"/>
        <w:jc w:val="center"/>
        <w:rPr>
          <w:rFonts w:ascii="Arial;sans-serif" w:hAnsi="Arial;sans-serif"/>
          <w:b w:val="false"/>
          <w:color w:val="131E29"/>
          <w:sz w:val="18"/>
        </w:rPr>
      </w:pPr>
      <w:r>
        <w:rPr>
          <w:rFonts w:ascii="Arial;sans-serif" w:hAnsi="Arial;sans-serif"/>
          <w:b w:val="false"/>
          <w:color w:val="131E29"/>
          <w:sz w:val="18"/>
        </w:rPr>
        <w:t>Condensed Consolidated Statements of Cash Flows</w:t>
      </w:r>
    </w:p>
    <w:tbl>
      <w:tblPr>
        <w:tblW w:w="9719" w:type="dxa"/>
        <w:jc w:val="center"/>
        <w:tblInd w:w="0" w:type="dxa"/>
        <w:tblLayout w:type="fixed"/>
        <w:tblCellMar>
          <w:top w:w="28" w:type="dxa"/>
          <w:left w:w="28" w:type="dxa"/>
          <w:bottom w:w="28" w:type="dxa"/>
          <w:right w:w="28" w:type="dxa"/>
        </w:tblCellMar>
      </w:tblPr>
      <w:tblGrid>
        <w:gridCol w:w="2394"/>
        <w:gridCol w:w="2103"/>
        <w:gridCol w:w="2118"/>
        <w:gridCol w:w="109"/>
        <w:gridCol w:w="109"/>
        <w:gridCol w:w="109"/>
        <w:gridCol w:w="211"/>
        <w:gridCol w:w="826"/>
        <w:gridCol w:w="109"/>
        <w:gridCol w:w="109"/>
        <w:gridCol w:w="109"/>
        <w:gridCol w:w="109"/>
        <w:gridCol w:w="211"/>
        <w:gridCol w:w="721"/>
        <w:gridCol w:w="109"/>
        <w:gridCol w:w="109"/>
        <w:gridCol w:w="154"/>
      </w:tblGrid>
      <w:tr>
        <w:trPr/>
        <w:tc>
          <w:tcPr>
            <w:tcW w:w="2394"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flows from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Adjustments to reconcile net income to 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interest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556 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363 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Gain on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5,259 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19,319 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Remeasurement gain on TRAs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(5,687)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(2,155)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Changes in operating assets and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Inventories,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(8,379)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(933)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Accrued compensation and benefits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437 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562 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current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(550)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(488)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Operating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(4,908)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(4,984)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45,843 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flows from investing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(121,910)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(102,307)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disposal of fixed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8,670 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249 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(113,240)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(102,058)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flows from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finance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(4,493)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(7,049)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long-term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(4,744)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(1,301)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Tax withholding payments upon vesting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139,888 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59,754 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127,377 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133,545 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20,178 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260,922 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63220"/>
                <wp:effectExtent l="0" t="0" r="0" b="0"/>
                <wp:wrapNone/>
                <wp:docPr id="35" name="Frame1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2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v:textbox>
                <w10:wrap type="none"/>
              </v:rect>
            </w:pict>
          </mc:Fallback>
        </mc:AlternateContent>
      </w:r>
    </w:p>
    <w:p>
      <w:pPr>
        <w:pStyle w:val="TextBody"/>
        <w:bidi w:val="0"/>
        <w:spacing w:lineRule="auto" w:line="288" w:before="0" w:after="18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18"/>
        </w:rPr>
      </w:pPr>
      <w:r>
        <w:rPr>
          <w:rFonts w:ascii="Arial;sans-serif" w:hAnsi="Arial;sans-serif"/>
          <w:b w:val="false"/>
          <w:color w:val="131E29"/>
          <w:sz w:val="18"/>
        </w:rPr>
        <w:t>Condensed Consolidated Statements of Cash Flows (continued)</w:t>
      </w:r>
    </w:p>
    <w:p>
      <w:pPr>
        <w:pStyle w:val="TextBody"/>
        <w:bidi w:val="0"/>
        <w:spacing w:before="0" w:after="60"/>
        <w:jc w:val="center"/>
        <w:rPr/>
      </w:pPr>
      <w:r>
        <w:rPr/>
      </w:r>
    </w:p>
    <w:tbl>
      <w:tblPr>
        <w:tblW w:w="9058" w:type="dxa"/>
        <w:jc w:val="left"/>
        <w:tblInd w:w="0" w:type="dxa"/>
        <w:tblLayout w:type="fixed"/>
        <w:tblCellMar>
          <w:top w:w="28" w:type="dxa"/>
          <w:left w:w="28" w:type="dxa"/>
          <w:bottom w:w="28" w:type="dxa"/>
          <w:right w:w="28" w:type="dxa"/>
        </w:tblCellMar>
      </w:tblPr>
      <w:tblGrid>
        <w:gridCol w:w="2192"/>
        <w:gridCol w:w="1927"/>
        <w:gridCol w:w="1940"/>
        <w:gridCol w:w="109"/>
        <w:gridCol w:w="109"/>
        <w:gridCol w:w="109"/>
        <w:gridCol w:w="211"/>
        <w:gridCol w:w="721"/>
        <w:gridCol w:w="109"/>
        <w:gridCol w:w="109"/>
        <w:gridCol w:w="109"/>
        <w:gridCol w:w="109"/>
        <w:gridCol w:w="211"/>
        <w:gridCol w:w="721"/>
        <w:gridCol w:w="109"/>
        <w:gridCol w:w="109"/>
        <w:gridCol w:w="154"/>
      </w:tblGrid>
      <w:tr>
        <w:trPr/>
        <w:tc>
          <w:tcPr>
            <w:tcW w:w="219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Interest paid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18,777 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17,310 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Income taxes paid,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noncash investing and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Additions of property and equipment accrued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63220"/>
                <wp:effectExtent l="0" t="0" r="0" b="0"/>
                <wp:wrapNone/>
                <wp:docPr id="38" name="Frame1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2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v:textbox>
                <w10:wrap type="none"/>
              </v:rect>
            </w:pict>
          </mc:Fallback>
        </mc:AlternateContent>
      </w:r>
    </w:p>
    <w:p>
      <w:pPr>
        <w:pStyle w:val="TextBody"/>
        <w:bidi w:val="0"/>
        <w:spacing w:lineRule="auto" w:line="288" w:before="0" w:after="18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Index for Notes to Condensed Consolidated Financial Statements</w:t>
      </w:r>
    </w:p>
    <w:tbl>
      <w:tblPr>
        <w:tblW w:w="8217" w:type="dxa"/>
        <w:jc w:val="left"/>
        <w:tblInd w:w="0" w:type="dxa"/>
        <w:tblLayout w:type="fixed"/>
        <w:tblCellMar>
          <w:top w:w="28" w:type="dxa"/>
          <w:left w:w="28" w:type="dxa"/>
          <w:bottom w:w="28" w:type="dxa"/>
          <w:right w:w="28" w:type="dxa"/>
        </w:tblCellMar>
      </w:tblPr>
      <w:tblGrid>
        <w:gridCol w:w="2631"/>
        <w:gridCol w:w="2309"/>
        <w:gridCol w:w="2334"/>
        <w:gridCol w:w="109"/>
        <w:gridCol w:w="109"/>
        <w:gridCol w:w="109"/>
        <w:gridCol w:w="180"/>
        <w:gridCol w:w="180"/>
        <w:gridCol w:w="256"/>
      </w:tblGrid>
      <w:tr>
        <w:trPr/>
        <w:tc>
          <w:tcPr>
            <w:tcW w:w="2631"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Page</w:t>
            </w:r>
          </w:p>
        </w:tc>
      </w:tr>
      <w:tr>
        <w:trPr/>
        <w:tc>
          <w:tcPr>
            <w:tcW w:w="7274"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 — Organization and Background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0"/>
              <w:jc w:val="center"/>
              <w:rPr/>
            </w:pPr>
            <w:hyperlink w:anchor="iee59f8afe2f54daf922cb2458f1cbce7_94">
              <w:r>
                <w:rPr>
                  <w:rStyle w:val="InternetLink"/>
                  <w:rFonts w:ascii="Arial;sans-serif" w:hAnsi="Arial;sans-serif"/>
                  <w:b w:val="false"/>
                  <w:strike w:val="false"/>
                  <w:dstrike w:val="false"/>
                  <w:color w:val="131E29"/>
                  <w:sz w:val="20"/>
                  <w:u w:val="none"/>
                  <w:effect w:val="none"/>
                </w:rPr>
                <w:t>14</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2 — Basis of Presentation and Summary of Significant Accounting Policies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106">
              <w:r>
                <w:rPr>
                  <w:rStyle w:val="InternetLink"/>
                  <w:rFonts w:ascii="Arial;sans-serif" w:hAnsi="Arial;sans-serif"/>
                  <w:b w:val="false"/>
                  <w:strike w:val="false"/>
                  <w:dstrike w:val="false"/>
                  <w:color w:val="131E29"/>
                  <w:sz w:val="20"/>
                  <w:u w:val="none"/>
                  <w:effect w:val="none"/>
                </w:rPr>
                <w:t>14</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3 — Revenue Recognition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253">
              <w:r>
                <w:rPr>
                  <w:rStyle w:val="InternetLink"/>
                  <w:rFonts w:ascii="Arial;sans-serif" w:hAnsi="Arial;sans-serif"/>
                  <w:b w:val="false"/>
                  <w:strike w:val="false"/>
                  <w:dstrike w:val="false"/>
                  <w:color w:val="131E29"/>
                  <w:sz w:val="20"/>
                  <w:u w:val="none"/>
                  <w:effect w:val="none"/>
                </w:rPr>
                <w:t>15</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4 — Organization Realignment and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274">
              <w:r>
                <w:rPr>
                  <w:rStyle w:val="InternetLink"/>
                  <w:rFonts w:ascii="Arial;sans-serif" w:hAnsi="Arial;sans-serif"/>
                  <w:b w:val="false"/>
                  <w:strike w:val="false"/>
                  <w:dstrike w:val="false"/>
                  <w:color w:val="131E29"/>
                  <w:sz w:val="20"/>
                  <w:u w:val="none"/>
                  <w:effect w:val="none"/>
                </w:rPr>
                <w:t>17</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5 — Inventories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283">
              <w:r>
                <w:rPr>
                  <w:rStyle w:val="InternetLink"/>
                  <w:rFonts w:ascii="Arial;sans-serif" w:hAnsi="Arial;sans-serif"/>
                  <w:b w:val="false"/>
                  <w:strike w:val="false"/>
                  <w:dstrike w:val="false"/>
                  <w:color w:val="131E29"/>
                  <w:sz w:val="20"/>
                  <w:u w:val="none"/>
                  <w:effect w:val="none"/>
                </w:rPr>
                <w:t>18</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6 —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286">
              <w:r>
                <w:rPr>
                  <w:rStyle w:val="InternetLink"/>
                  <w:rFonts w:ascii="Arial;sans-serif" w:hAnsi="Arial;sans-serif"/>
                  <w:b w:val="false"/>
                  <w:strike w:val="false"/>
                  <w:dstrike w:val="false"/>
                  <w:color w:val="131E29"/>
                  <w:sz w:val="20"/>
                  <w:u w:val="none"/>
                  <w:effect w:val="none"/>
                </w:rPr>
                <w:t>18</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7 — Intangible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289">
              <w:r>
                <w:rPr>
                  <w:rStyle w:val="InternetLink"/>
                  <w:rFonts w:ascii="Arial;sans-serif" w:hAnsi="Arial;sans-serif"/>
                  <w:b w:val="false"/>
                  <w:strike w:val="false"/>
                  <w:dstrike w:val="false"/>
                  <w:color w:val="131E29"/>
                  <w:sz w:val="20"/>
                  <w:u w:val="none"/>
                  <w:effect w:val="none"/>
                </w:rPr>
                <w:t>19</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8 —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298">
              <w:r>
                <w:rPr>
                  <w:rStyle w:val="InternetLink"/>
                  <w:rFonts w:ascii="Arial;sans-serif" w:hAnsi="Arial;sans-serif"/>
                  <w:b w:val="false"/>
                  <w:strike w:val="false"/>
                  <w:dstrike w:val="false"/>
                  <w:color w:val="131E29"/>
                  <w:sz w:val="20"/>
                  <w:u w:val="none"/>
                  <w:effect w:val="none"/>
                </w:rPr>
                <w:t>20</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9 —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328">
              <w:r>
                <w:rPr>
                  <w:rStyle w:val="InternetLink"/>
                  <w:rFonts w:ascii="Arial;sans-serif" w:hAnsi="Arial;sans-serif"/>
                  <w:b w:val="false"/>
                  <w:strike w:val="false"/>
                  <w:dstrike w:val="false"/>
                  <w:color w:val="131E29"/>
                  <w:sz w:val="20"/>
                  <w:u w:val="none"/>
                  <w:effect w:val="none"/>
                </w:rPr>
                <w:t>22</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10 —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364">
              <w:r>
                <w:rPr>
                  <w:rStyle w:val="InternetLink"/>
                  <w:rFonts w:ascii="Arial;sans-serif" w:hAnsi="Arial;sans-serif"/>
                  <w:b w:val="false"/>
                  <w:strike w:val="false"/>
                  <w:dstrike w:val="false"/>
                  <w:color w:val="131E29"/>
                  <w:sz w:val="20"/>
                  <w:u w:val="none"/>
                  <w:effect w:val="none"/>
                </w:rPr>
                <w:t>23</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11 —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370">
              <w:r>
                <w:rPr>
                  <w:rStyle w:val="InternetLink"/>
                  <w:rFonts w:ascii="Arial;sans-serif" w:hAnsi="Arial;sans-serif"/>
                  <w:b w:val="false"/>
                  <w:strike w:val="false"/>
                  <w:dstrike w:val="false"/>
                  <w:color w:val="131E29"/>
                  <w:sz w:val="20"/>
                  <w:u w:val="none"/>
                  <w:effect w:val="none"/>
                </w:rPr>
                <w:t>24</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12 —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403">
              <w:r>
                <w:rPr>
                  <w:rStyle w:val="InternetLink"/>
                  <w:rFonts w:ascii="Arial;sans-serif" w:hAnsi="Arial;sans-serif"/>
                  <w:b w:val="false"/>
                  <w:strike w:val="false"/>
                  <w:dstrike w:val="false"/>
                  <w:color w:val="131E29"/>
                  <w:sz w:val="20"/>
                  <w:u w:val="none"/>
                  <w:effect w:val="none"/>
                </w:rPr>
                <w:t>25</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13 —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424">
              <w:r>
                <w:rPr>
                  <w:rStyle w:val="InternetLink"/>
                  <w:rFonts w:ascii="Arial;sans-serif" w:hAnsi="Arial;sans-serif"/>
                  <w:b w:val="false"/>
                  <w:strike w:val="false"/>
                  <w:dstrike w:val="false"/>
                  <w:color w:val="131E29"/>
                  <w:sz w:val="20"/>
                  <w:u w:val="none"/>
                  <w:effect w:val="none"/>
                </w:rPr>
                <w:t>26</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14 —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439">
              <w:r>
                <w:rPr>
                  <w:rStyle w:val="InternetLink"/>
                  <w:rFonts w:ascii="Arial;sans-serif" w:hAnsi="Arial;sans-serif"/>
                  <w:b w:val="false"/>
                  <w:strike w:val="false"/>
                  <w:dstrike w:val="false"/>
                  <w:color w:val="131E29"/>
                  <w:sz w:val="20"/>
                  <w:u w:val="none"/>
                  <w:effect w:val="none"/>
                </w:rPr>
                <w:t>27</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15 — Commitments and Contingencies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448">
              <w:r>
                <w:rPr>
                  <w:rStyle w:val="InternetLink"/>
                  <w:rFonts w:ascii="Arial;sans-serif" w:hAnsi="Arial;sans-serif"/>
                  <w:b w:val="false"/>
                  <w:strike w:val="false"/>
                  <w:dstrike w:val="false"/>
                  <w:color w:val="131E29"/>
                  <w:sz w:val="20"/>
                  <w:u w:val="none"/>
                  <w:effect w:val="none"/>
                </w:rPr>
                <w:t>29</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16 — Related Party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460">
              <w:r>
                <w:rPr>
                  <w:rStyle w:val="InternetLink"/>
                  <w:rFonts w:ascii="Arial;sans-serif" w:hAnsi="Arial;sans-serif"/>
                  <w:b w:val="false"/>
                  <w:strike w:val="false"/>
                  <w:dstrike w:val="false"/>
                  <w:color w:val="131E29"/>
                  <w:sz w:val="20"/>
                  <w:u w:val="none"/>
                  <w:effect w:val="none"/>
                </w:rPr>
                <w:t>31</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17 — Segment Reporting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ee59f8afe2f54daf922cb2458f1cbce7_466">
              <w:r>
                <w:rPr>
                  <w:rStyle w:val="InternetLink"/>
                  <w:rFonts w:ascii="Arial;sans-serif" w:hAnsi="Arial;sans-serif"/>
                  <w:b w:val="false"/>
                  <w:strike w:val="false"/>
                  <w:dstrike w:val="false"/>
                  <w:color w:val="131E29"/>
                  <w:sz w:val="20"/>
                  <w:u w:val="none"/>
                  <w:effect w:val="non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63220"/>
                <wp:effectExtent l="0" t="0" r="0" b="0"/>
                <wp:wrapNone/>
                <wp:docPr id="41" name="Frame1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2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v:textbox>
                <w10:wrap type="none"/>
              </v:rect>
            </w:pict>
          </mc:Fallback>
        </mc:AlternateContent>
      </w:r>
    </w:p>
    <w:p>
      <w:pPr>
        <w:pStyle w:val="TextBody"/>
        <w:bidi w:val="0"/>
        <w:spacing w:lineRule="auto" w:line="288" w:before="0" w:after="180"/>
        <w:jc w:val="left"/>
        <w:rPr/>
      </w:pPr>
      <w:hyperlink w:anchor="iee59f8afe2f54daf922cb2458f1cbce7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240"/>
        <w:jc w:val="center"/>
        <w:rPr>
          <w:rFonts w:ascii="Arial;sans-serif" w:hAnsi="Arial;sans-serif"/>
          <w:b w:val="false"/>
          <w:color w:val="131E29"/>
          <w:sz w:val="20"/>
        </w:rPr>
      </w:pPr>
      <w:r>
        <w:rPr>
          <w:rFonts w:ascii="Arial;sans-serif" w:hAnsi="Arial;sans-serif"/>
          <w:b w:val="false"/>
          <w:color w:val="131E29"/>
          <w:sz w:val="20"/>
        </w:rPr>
        <w:t>Notes to Condensed Consolidated Financial Statements (Unaudited)</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 — Organization and Background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is in the business of operating and franchising drive-thru coffee shops as well as the wholesale and distribution of coffee, coffee-related products, and accessories. As of June 30, 2024, there were 912 shops in operation in 18 U.S. states, of which 612 were company-operated and 300 were franchised.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Organization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was formed on June 4, 2021 as a Delaware corporation for the purpose of facilitating an IPO and other related transactions in order to carry on the business of Dutch Bros OpCo. 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2024, Dutch Bros Inc. held 100.0% of the voting interest and 64.2% of the economic interest of Dutch Bros OpCo. The Continuing Members held none of the voting interest and the remaining 35.8% of the economic interest of Dutch Bros OpCo.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May 16, 2024, pursuant to a share surrender agreement, dated May 16, 2024, among the Company, Dutch Bros OpCo, and our Co-Founder, our Co-Founder surrendered 23 million shares of Class B common stock, and the shares were cancelled by the Company. The surrender and cancellation of these shares had no impact on the economic interest in Dutch Bros OpCo held by our Co-Founder.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2 — Basis of Presentation and Summary of Significant Accounting Policies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Financial Statements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Company’s condensed consolidated financial statements as of June 30, 2024 and for the three and six months ended June 30, 2024 and 2023 have been prepared in accordance with GAAP and pursuant to the rules and regulations of the SEC, consistent in all material respects with those applied in the Company’s 2023 Form 10-K and as updated by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has made estimates and judgments affecting the amounts reported in its condensed consolidated financial statements and the accompanying notes. Although management bases its estimates on historical experience and assumptions that are believed to be reasonable under the circumstances, actual results could differ from those estimates. This report should be read in conjunction with the consolidated financial statements in the Company’s 2023 Form 10-K that includes additional information on accounting estimates, policies, and the methods and assumptions used in its estimates.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the opinion of management, the accompanying condensed consolidated financial statements reflect all adjustments, consisting of normal recurring adjustments, necessary to present fairly the Company’s consolidated financial statements for the periods presented. Operating results for the three and six months ended June 30, 2024 are not necessarily indicative of the results that may be expected for the fiscal year ending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Significant Accounting Policies Updates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have been no material updates to the Company’s significant accounting policies during the six months ended June 30, 2024 from those previously reported in the Company’s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63220"/>
                <wp:effectExtent l="0" t="0" r="0" b="0"/>
                <wp:wrapNone/>
                <wp:docPr id="44" name="Frame1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3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Recently Issued Accounting Standards</w:t>
      </w:r>
    </w:p>
    <w:p>
      <w:pPr>
        <w:pStyle w:val="TextBody"/>
        <w:bidi w:val="0"/>
        <w:spacing w:lineRule="auto" w:line="288" w:before="0" w:after="180"/>
        <w:jc w:val="both"/>
        <w:rPr/>
      </w:pPr>
      <w:r>
        <w:rPr>
          <w:rFonts w:ascii="Arial;sans-serif" w:hAnsi="Arial;sans-serif"/>
          <w:b w:val="false"/>
          <w:color w:val="131E29"/>
          <w:sz w:val="20"/>
        </w:rPr>
        <w:t xml:space="preserve">In December 2023, the FASB issued ASU No. 2023-09, </w:t>
      </w:r>
      <w:r>
        <w:rPr>
          <w:rFonts w:ascii="Arial;sans-serif" w:hAnsi="Arial;sans-serif"/>
          <w:b w:val="false"/>
          <w:i/>
          <w:color w:val="131E29"/>
          <w:sz w:val="20"/>
        </w:rPr>
        <w:t xml:space="preserve">Income Taxes (Topic 740): Improvements to Income Tax Disclosures. </w:t>
      </w:r>
      <w:r>
        <w:rPr>
          <w:rFonts w:ascii="Arial;sans-serif" w:hAnsi="Arial;sans-serif"/>
          <w:b w:val="false"/>
          <w:color w:val="131E29"/>
          <w:sz w:val="20"/>
        </w:rPr>
        <w:t>The amendments in this update are intended to enhance the transparency and decision usefulness of income tax disclosures, primarily through improvements to the rate reconciliation and income taxes paid information, specifically requiring (1) consistent categories and greater disaggregation of information in the rate reconciliation, and (2) income taxes paid disaggregation by jurisdiction. These amendments are effective for public business entities' annual periods beginning after December 15, 2024, and should be applied on a prospective basis. Early adoption is permitted for annual financial statements that have not yet been issued. The Company is currently assessing the potential impacts of this standard on its income tax disclosures, and expects to provide additional detail and disclosures under the new guidance.</w:t>
      </w:r>
    </w:p>
    <w:p>
      <w:pPr>
        <w:pStyle w:val="TextBody"/>
        <w:bidi w:val="0"/>
        <w:spacing w:lineRule="auto" w:line="288" w:before="0" w:after="180"/>
        <w:jc w:val="both"/>
        <w:rPr/>
      </w:pPr>
      <w:r>
        <w:rPr>
          <w:rFonts w:ascii="Arial;sans-serif" w:hAnsi="Arial;sans-serif"/>
          <w:b w:val="false"/>
          <w:color w:val="131E29"/>
          <w:sz w:val="20"/>
        </w:rPr>
        <w:t xml:space="preserve">In November 2023, the FASB issued ASU No. 2023-07, </w:t>
      </w:r>
      <w:r>
        <w:rPr>
          <w:rFonts w:ascii="Arial;sans-serif" w:hAnsi="Arial;sans-serif"/>
          <w:b w:val="false"/>
          <w:i/>
          <w:color w:val="131E29"/>
          <w:sz w:val="20"/>
        </w:rPr>
        <w:t>Segment Reporting (Topic 280): Improvements to Reportable Segment Disclosures.</w:t>
      </w:r>
      <w:r>
        <w:rPr>
          <w:color w:val="131E29"/>
        </w:rPr>
        <w:t xml:space="preserve"> </w:t>
      </w:r>
      <w:r>
        <w:rPr>
          <w:rFonts w:ascii="Arial;sans-serif" w:hAnsi="Arial;sans-serif"/>
          <w:b w:val="false"/>
          <w:color w:val="131E29"/>
          <w:sz w:val="20"/>
        </w:rPr>
        <w:t xml:space="preserve">The amendments in this update are intended to improve reportable segment disclosure requirements, primarily through enhanced disclosures about significant segment expenses. Effective for annual periods beginning after December 15, 2023, and interim periods within fiscal years beginning after December 15, 2024, with early adoption permitted. Public entities should apply the amendments in this update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has completed its initial analysis and identified significant segment expenses primarily related to the Company’s cost of sales for disclosure commencing with the 2024 Form 10-K. Based on the Company’s initial analysis, the new standard is not expected to have a material impact on its consolidated financial statements; however, the Company expects to provide additional detail and disclosures under the new guidance.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3 — Revenue Recognition</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Revenue</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The following table disaggregates revenue by major component:</w:t>
      </w:r>
    </w:p>
    <w:tbl>
      <w:tblPr>
        <w:tblW w:w="8812" w:type="dxa"/>
        <w:jc w:val="left"/>
        <w:tblInd w:w="0" w:type="dxa"/>
        <w:tblLayout w:type="fixed"/>
        <w:tblCellMar>
          <w:top w:w="28" w:type="dxa"/>
          <w:left w:w="28" w:type="dxa"/>
          <w:bottom w:w="28" w:type="dxa"/>
          <w:right w:w="28" w:type="dxa"/>
        </w:tblCellMar>
      </w:tblPr>
      <w:tblGrid>
        <w:gridCol w:w="847"/>
        <w:gridCol w:w="743"/>
        <w:gridCol w:w="749"/>
        <w:gridCol w:w="109"/>
        <w:gridCol w:w="109"/>
        <w:gridCol w:w="109"/>
        <w:gridCol w:w="226"/>
        <w:gridCol w:w="920"/>
        <w:gridCol w:w="117"/>
        <w:gridCol w:w="117"/>
        <w:gridCol w:w="117"/>
        <w:gridCol w:w="117"/>
        <w:gridCol w:w="226"/>
        <w:gridCol w:w="920"/>
        <w:gridCol w:w="117"/>
        <w:gridCol w:w="109"/>
        <w:gridCol w:w="109"/>
        <w:gridCol w:w="109"/>
        <w:gridCol w:w="211"/>
        <w:gridCol w:w="856"/>
        <w:gridCol w:w="109"/>
        <w:gridCol w:w="109"/>
        <w:gridCol w:w="109"/>
        <w:gridCol w:w="109"/>
        <w:gridCol w:w="211"/>
        <w:gridCol w:w="856"/>
        <w:gridCol w:w="109"/>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295,268 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220,952 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543,353 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394,116 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28,080 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1,570 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1,403 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2,813 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2,861 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324,918 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249,879 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600,017 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447,146 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63220"/>
                <wp:effectExtent l="0" t="0" r="0" b="0"/>
                <wp:wrapNone/>
                <wp:docPr id="47" name="Frame1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7" descr=""/>
                                          <pic:cNvPicPr>
                                            <a:picLocks noChangeAspect="1" noChangeArrowheads="1"/>
                                          </pic:cNvPicPr>
                                        </pic:nvPicPr>
                                        <pic:blipFill>
                                          <a:blip r:embed="rId3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Deferred Revenue</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Deferred revenue activity related to the Company’s gift card and loyalty programs was as follows:</w:t>
      </w:r>
    </w:p>
    <w:tbl>
      <w:tblPr>
        <w:tblW w:w="10205" w:type="dxa"/>
        <w:jc w:val="left"/>
        <w:tblInd w:w="0" w:type="dxa"/>
        <w:tblLayout w:type="fixed"/>
        <w:tblCellMar>
          <w:top w:w="28" w:type="dxa"/>
          <w:left w:w="28" w:type="dxa"/>
          <w:bottom w:w="28" w:type="dxa"/>
          <w:right w:w="28" w:type="dxa"/>
        </w:tblCellMar>
      </w:tblPr>
      <w:tblGrid>
        <w:gridCol w:w="2640"/>
        <w:gridCol w:w="2289"/>
        <w:gridCol w:w="2284"/>
        <w:gridCol w:w="109"/>
        <w:gridCol w:w="109"/>
        <w:gridCol w:w="109"/>
        <w:gridCol w:w="223"/>
        <w:gridCol w:w="796"/>
        <w:gridCol w:w="115"/>
        <w:gridCol w:w="115"/>
        <w:gridCol w:w="115"/>
        <w:gridCol w:w="115"/>
        <w:gridCol w:w="223"/>
        <w:gridCol w:w="796"/>
        <w:gridCol w:w="167"/>
      </w:tblGrid>
      <w:tr>
        <w:trPr/>
        <w:tc>
          <w:tcPr>
            <w:tcW w:w="2640"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r>
      <w:tr>
        <w:trPr/>
        <w:tc>
          <w:tcPr>
            <w:tcW w:w="72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7213"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Beginning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34,616 </w:t>
            </w:r>
          </w:p>
        </w:tc>
        <w:tc>
          <w:tcPr>
            <w:tcW w:w="115"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26,904 </w:t>
            </w:r>
          </w:p>
        </w:tc>
        <w:tc>
          <w:tcPr>
            <w:tcW w:w="16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 deferred - gift card activations, loyalty app loads, and loyalty points and rewards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194,898 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167,556 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Revenue recognized - gift card, loyalty app, loyalty rewards redemptions, and breakage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(193,569)</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(168,598)</w:t>
            </w:r>
          </w:p>
        </w:tc>
        <w:tc>
          <w:tcPr>
            <w:tcW w:w="16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35,945 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25,862 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(30,985)</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(21,875)</w:t>
            </w:r>
          </w:p>
        </w:tc>
        <w:tc>
          <w:tcPr>
            <w:tcW w:w="16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 gift card and loyalty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4,960 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3,987 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Deferred revenue also includes initial unearned franchise fees from franchise partners. These deferred revenues reported in the Company’s condensed consolidated balance sheets were as follows:</w:t>
      </w:r>
    </w:p>
    <w:tbl>
      <w:tblPr>
        <w:tblW w:w="10205" w:type="dxa"/>
        <w:jc w:val="left"/>
        <w:tblInd w:w="0" w:type="dxa"/>
        <w:tblLayout w:type="fixed"/>
        <w:tblCellMar>
          <w:top w:w="28" w:type="dxa"/>
          <w:left w:w="28" w:type="dxa"/>
          <w:bottom w:w="28" w:type="dxa"/>
          <w:right w:w="28" w:type="dxa"/>
        </w:tblCellMar>
      </w:tblPr>
      <w:tblGrid>
        <w:gridCol w:w="2333"/>
        <w:gridCol w:w="2042"/>
        <w:gridCol w:w="2052"/>
        <w:gridCol w:w="109"/>
        <w:gridCol w:w="109"/>
        <w:gridCol w:w="109"/>
        <w:gridCol w:w="288"/>
        <w:gridCol w:w="883"/>
        <w:gridCol w:w="149"/>
        <w:gridCol w:w="109"/>
        <w:gridCol w:w="109"/>
        <w:gridCol w:w="109"/>
        <w:gridCol w:w="374"/>
        <w:gridCol w:w="1150"/>
        <w:gridCol w:w="280"/>
      </w:tblGrid>
      <w:tr>
        <w:trPr/>
        <w:tc>
          <w:tcPr>
            <w:tcW w:w="2333"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6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2131" w:type="dxa"/>
            <w:gridSpan w:val="6"/>
            <w:tcBorders/>
          </w:tcPr>
          <w:p>
            <w:pPr>
              <w:pStyle w:val="TableContents"/>
              <w:bidi w:val="0"/>
              <w:spacing w:before="0" w:after="283"/>
              <w:jc w:val="left"/>
              <w:rPr>
                <w:sz w:val="4"/>
                <w:szCs w:val="4"/>
              </w:rPr>
            </w:pPr>
            <w:r>
              <w:rPr>
                <w:sz w:val="4"/>
                <w:szCs w:val="4"/>
              </w:rPr>
            </w:r>
          </w:p>
        </w:tc>
      </w:tr>
      <w:tr>
        <w:trPr/>
        <w:tc>
          <w:tcPr>
            <w:tcW w:w="64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2023</w:t>
            </w:r>
          </w:p>
        </w:tc>
      </w:tr>
      <w:tr>
        <w:trPr/>
        <w:tc>
          <w:tcPr>
            <w:tcW w:w="6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r>
      <w:tr>
        <w:trPr/>
        <w:tc>
          <w:tcPr>
            <w:tcW w:w="6427"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deferred revenue, excluding gift card and loyalty programs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2,575 </w:t>
            </w:r>
          </w:p>
        </w:tc>
        <w:tc>
          <w:tcPr>
            <w:tcW w:w="14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5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2,409 </w:t>
            </w:r>
          </w:p>
        </w:tc>
        <w:tc>
          <w:tcPr>
            <w:tcW w:w="28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 excluding gift card and loyalty programs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2,155 </w:t>
            </w:r>
          </w:p>
        </w:tc>
        <w:tc>
          <w:tcPr>
            <w:tcW w:w="14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5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1,997 </w:t>
            </w:r>
          </w:p>
        </w:tc>
        <w:tc>
          <w:tcPr>
            <w:tcW w:w="28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Revenue recognized during the three and six months ended June 30, 2024 and 2023 that was included in the respective deferred revenue liability balances at the beginning of the period are shown below. </w:t>
      </w:r>
    </w:p>
    <w:tbl>
      <w:tblPr>
        <w:tblW w:w="8574" w:type="dxa"/>
        <w:jc w:val="left"/>
        <w:tblInd w:w="0" w:type="dxa"/>
        <w:tblLayout w:type="fixed"/>
        <w:tblCellMar>
          <w:top w:w="28" w:type="dxa"/>
          <w:left w:w="28" w:type="dxa"/>
          <w:bottom w:w="28" w:type="dxa"/>
          <w:right w:w="28" w:type="dxa"/>
        </w:tblCellMar>
      </w:tblPr>
      <w:tblGrid>
        <w:gridCol w:w="770"/>
        <w:gridCol w:w="677"/>
        <w:gridCol w:w="682"/>
        <w:gridCol w:w="109"/>
        <w:gridCol w:w="109"/>
        <w:gridCol w:w="109"/>
        <w:gridCol w:w="290"/>
        <w:gridCol w:w="888"/>
        <w:gridCol w:w="149"/>
        <w:gridCol w:w="149"/>
        <w:gridCol w:w="149"/>
        <w:gridCol w:w="149"/>
        <w:gridCol w:w="290"/>
        <w:gridCol w:w="661"/>
        <w:gridCol w:w="149"/>
        <w:gridCol w:w="109"/>
        <w:gridCol w:w="109"/>
        <w:gridCol w:w="109"/>
        <w:gridCol w:w="248"/>
        <w:gridCol w:w="759"/>
        <w:gridCol w:w="128"/>
        <w:gridCol w:w="128"/>
        <w:gridCol w:w="128"/>
        <w:gridCol w:w="128"/>
        <w:gridCol w:w="248"/>
        <w:gridCol w:w="759"/>
        <w:gridCol w:w="128"/>
        <w:gridCol w:w="109"/>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Gift card redemptions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1,083 </w:t>
            </w:r>
          </w:p>
        </w:tc>
        <w:tc>
          <w:tcPr>
            <w:tcW w:w="14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6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953 </w:t>
            </w:r>
          </w:p>
        </w:tc>
        <w:tc>
          <w:tcPr>
            <w:tcW w:w="14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5,100 </w:t>
            </w:r>
          </w:p>
        </w:tc>
        <w:tc>
          <w:tcPr>
            <w:tcW w:w="12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4,189 </w:t>
            </w:r>
          </w:p>
        </w:tc>
        <w:tc>
          <w:tcPr>
            <w:tcW w:w="12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Earned franchise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16"/>
        </w:rPr>
      </w:pPr>
      <w:r>
        <w:rPr>
          <w:rFonts w:ascii="Arial;sans-serif" w:hAnsi="Arial;sans-serif"/>
          <w:b w:val="false"/>
          <w:color w:val="131E29"/>
          <w:sz w:val="16"/>
        </w:rPr>
        <w:t>_____________________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w:t>
      </w:r>
      <w:r>
        <w:rPr>
          <w:color w:val="131E29"/>
        </w:rPr>
        <w:t xml:space="preserve"> </w:t>
      </w:r>
      <w:r>
        <w:rPr>
          <w:rFonts w:ascii="Arial;sans-serif" w:hAnsi="Arial;sans-serif"/>
          <w:b w:val="false"/>
          <w:color w:val="131E29"/>
          <w:sz w:val="16"/>
        </w:rPr>
        <w:t>Amounts exclude cash loads and transactions related to the Company’s loyalty rewards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Future recognition of initial unearned franchise fees as of June 30, 2024 is as follows:</w:t>
      </w:r>
    </w:p>
    <w:tbl>
      <w:tblPr>
        <w:tblW w:w="3093" w:type="dxa"/>
        <w:jc w:val="left"/>
        <w:tblInd w:w="0" w:type="dxa"/>
        <w:tblLayout w:type="fixed"/>
        <w:tblCellMar>
          <w:top w:w="28" w:type="dxa"/>
          <w:left w:w="28" w:type="dxa"/>
          <w:bottom w:w="28" w:type="dxa"/>
          <w:right w:w="28" w:type="dxa"/>
        </w:tblCellMar>
      </w:tblPr>
      <w:tblGrid>
        <w:gridCol w:w="636"/>
        <w:gridCol w:w="558"/>
        <w:gridCol w:w="561"/>
        <w:gridCol w:w="109"/>
        <w:gridCol w:w="109"/>
        <w:gridCol w:w="109"/>
        <w:gridCol w:w="211"/>
        <w:gridCol w:w="64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352 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2,575 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63220"/>
                <wp:effectExtent l="0" t="0" r="0" b="0"/>
                <wp:wrapNone/>
                <wp:docPr id="50" name="Frame1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3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4 — Organization Realignment and Restructuring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January 29, 2024, the Company’s Board of Directors approved an organizational realignment and restructuring plan to expand the Company’s support operations at its Phoenix, Arizona office. As part of this large-scale initiative, the Company will relocate certain of its support center staff from the Grants Pass, Oregon headquarters to the Phoenix office, and anticipates that by January 1, 2025, approximately 40% of the Company’s total support operations staff will be located in Phoenix, Arizona. All affected employees were either offered an opportunity to continue employment in the Phoenix office or were offered a severance package; these communications were largely completed by February 9, 2024. The Company expects to incur total aggregate charges of approximately $21 million to $25 million related to this initiative, consisting of (i) approximately $16 million to $20 million in employee-related costs, including relocation, retention and transition costs, termination benefits, and duplicate transition wages and benefits; and (ii) approximately $5 million in other charges, including consulting fees and costs and duplicate rent. Substantially all of the estimated charges are expected to result in current and future cash expenditures.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records severance related to this initiative as a one-time termination benefit and recognizes the expense ratably over the employees’ required future service period.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any lease terminations that may occur, the Company would write off the right-of-use assets and lease liabilities, including any applicable penalties, as of the date the parties to the lease agree to its termination. For any lease abandonments, the Company would reassess the right-of-use assets’ useful lives as of the date the Company decides to abandon the lease and would recognize accelerated amortization over the period from the decision date to the date the Company expects to cease use of the asset. Any lease liabilities related to abandoned leases would continue to be amortized over the original lease term until and unless the terms of the lease are modified.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All other costs, including other employee transition costs, recruitment and relocation costs, and third-party costs, are recognized in the period incurred.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the three and six months ended June 30, 2024, the Company recorded restructuring charges for employee-related and other costs of $6.7 million and $9.3 million, respectively, in selling, general and administrative expenses on the condensed consolidated statements of operations related to relocation costs, one-time termination benefits, and duplicate rent as follows:</w:t>
      </w:r>
    </w:p>
    <w:tbl>
      <w:tblPr>
        <w:tblW w:w="10178" w:type="dxa"/>
        <w:jc w:val="left"/>
        <w:tblInd w:w="0" w:type="dxa"/>
        <w:tblLayout w:type="fixed"/>
        <w:tblCellMar>
          <w:top w:w="28" w:type="dxa"/>
          <w:left w:w="28" w:type="dxa"/>
          <w:bottom w:w="28" w:type="dxa"/>
          <w:right w:w="28" w:type="dxa"/>
        </w:tblCellMar>
      </w:tblPr>
      <w:tblGrid>
        <w:gridCol w:w="1082"/>
        <w:gridCol w:w="949"/>
        <w:gridCol w:w="954"/>
        <w:gridCol w:w="109"/>
        <w:gridCol w:w="109"/>
        <w:gridCol w:w="109"/>
        <w:gridCol w:w="734"/>
        <w:gridCol w:w="2247"/>
        <w:gridCol w:w="379"/>
        <w:gridCol w:w="109"/>
        <w:gridCol w:w="109"/>
        <w:gridCol w:w="109"/>
        <w:gridCol w:w="663"/>
        <w:gridCol w:w="2032"/>
        <w:gridCol w:w="48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 2024</w:t>
            </w:r>
          </w:p>
        </w:tc>
      </w:tr>
      <w:tr>
        <w:trPr/>
        <w:tc>
          <w:tcPr>
            <w:tcW w:w="298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Relocation and travel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24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5,064 </w:t>
            </w:r>
          </w:p>
        </w:tc>
        <w:tc>
          <w:tcPr>
            <w:tcW w:w="37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03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7,493 </w:t>
            </w:r>
          </w:p>
        </w:tc>
        <w:tc>
          <w:tcPr>
            <w:tcW w:w="48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One-time termination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1,600 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1,796 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employee-related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6,664 </w:t>
            </w:r>
          </w:p>
        </w:tc>
        <w:tc>
          <w:tcPr>
            <w:tcW w:w="37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9,289 </w:t>
            </w:r>
          </w:p>
        </w:tc>
        <w:tc>
          <w:tcPr>
            <w:tcW w:w="48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Duplicate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37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48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restructuring costs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6,694 </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9,319 </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63220"/>
                <wp:effectExtent l="0" t="0" r="0" b="0"/>
                <wp:wrapNone/>
                <wp:docPr id="53" name="Frame1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3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2024, the accruals for corporate restructuring costs are included in accounts payable, accrued compensation and benefits, and accrued expenses on the condensed consolidated balance sheet and totaled approximately $2.6 million. The following table summarizes the activity for the restructuring liability during the six months ended June 30, 2024:</w:t>
      </w:r>
    </w:p>
    <w:tbl>
      <w:tblPr>
        <w:tblW w:w="10205" w:type="dxa"/>
        <w:jc w:val="left"/>
        <w:tblInd w:w="0" w:type="dxa"/>
        <w:tblLayout w:type="fixed"/>
        <w:tblCellMar>
          <w:top w:w="28" w:type="dxa"/>
          <w:left w:w="28" w:type="dxa"/>
          <w:bottom w:w="28" w:type="dxa"/>
          <w:right w:w="28" w:type="dxa"/>
        </w:tblCellMar>
      </w:tblPr>
      <w:tblGrid>
        <w:gridCol w:w="973"/>
        <w:gridCol w:w="690"/>
        <w:gridCol w:w="671"/>
        <w:gridCol w:w="109"/>
        <w:gridCol w:w="109"/>
        <w:gridCol w:w="109"/>
        <w:gridCol w:w="619"/>
        <w:gridCol w:w="1192"/>
        <w:gridCol w:w="321"/>
        <w:gridCol w:w="109"/>
        <w:gridCol w:w="109"/>
        <w:gridCol w:w="109"/>
        <w:gridCol w:w="211"/>
        <w:gridCol w:w="646"/>
        <w:gridCol w:w="109"/>
        <w:gridCol w:w="109"/>
        <w:gridCol w:w="109"/>
        <w:gridCol w:w="109"/>
        <w:gridCol w:w="282"/>
        <w:gridCol w:w="945"/>
        <w:gridCol w:w="146"/>
        <w:gridCol w:w="109"/>
        <w:gridCol w:w="109"/>
        <w:gridCol w:w="109"/>
        <w:gridCol w:w="109"/>
        <w:gridCol w:w="109"/>
        <w:gridCol w:w="390"/>
        <w:gridCol w:w="1194"/>
        <w:gridCol w:w="290"/>
      </w:tblGrid>
      <w:tr>
        <w:trPr/>
        <w:tc>
          <w:tcPr>
            <w:tcW w:w="97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Liability,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Cash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Liability, June 30, 2024</w:t>
            </w:r>
          </w:p>
        </w:tc>
      </w:tr>
      <w:tr>
        <w:trPr/>
        <w:tc>
          <w:tcPr>
            <w:tcW w:w="2334"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Relocation and travel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9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2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7,493 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(6,474)</w:t>
            </w:r>
          </w:p>
        </w:tc>
        <w:tc>
          <w:tcPr>
            <w:tcW w:w="14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9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1,019 </w:t>
            </w:r>
          </w:p>
        </w:tc>
        <w:tc>
          <w:tcPr>
            <w:tcW w:w="29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One-time termination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employee-related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2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9,289 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(6,702)</w:t>
            </w:r>
          </w:p>
        </w:tc>
        <w:tc>
          <w:tcPr>
            <w:tcW w:w="14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2,587 </w:t>
            </w:r>
          </w:p>
        </w:tc>
        <w:tc>
          <w:tcPr>
            <w:tcW w:w="29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Duplicate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2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w:t>
            </w:r>
          </w:p>
        </w:tc>
        <w:tc>
          <w:tcPr>
            <w:tcW w:w="14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9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(6,732)</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2,587 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5 — Inventories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Inventories, net consist of the following:</w:t>
      </w:r>
    </w:p>
    <w:tbl>
      <w:tblPr>
        <w:tblW w:w="5467" w:type="dxa"/>
        <w:jc w:val="left"/>
        <w:tblInd w:w="0" w:type="dxa"/>
        <w:tblLayout w:type="fixed"/>
        <w:tblCellMar>
          <w:top w:w="28" w:type="dxa"/>
          <w:left w:w="28" w:type="dxa"/>
          <w:bottom w:w="28" w:type="dxa"/>
          <w:right w:w="28" w:type="dxa"/>
        </w:tblCellMar>
      </w:tblPr>
      <w:tblGrid>
        <w:gridCol w:w="565"/>
        <w:gridCol w:w="496"/>
        <w:gridCol w:w="498"/>
        <w:gridCol w:w="109"/>
        <w:gridCol w:w="109"/>
        <w:gridCol w:w="109"/>
        <w:gridCol w:w="269"/>
        <w:gridCol w:w="957"/>
        <w:gridCol w:w="139"/>
        <w:gridCol w:w="109"/>
        <w:gridCol w:w="109"/>
        <w:gridCol w:w="109"/>
        <w:gridCol w:w="357"/>
        <w:gridCol w:w="1272"/>
        <w:gridCol w:w="260"/>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2023</w:t>
            </w:r>
          </w:p>
        </w:tc>
      </w:tr>
      <w:tr>
        <w:trPr/>
        <w:tc>
          <w:tcPr>
            <w:tcW w:w="155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Raw materials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25,073 </w:t>
            </w:r>
          </w:p>
        </w:tc>
        <w:tc>
          <w:tcPr>
            <w:tcW w:w="13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28,523 </w:t>
            </w:r>
          </w:p>
        </w:tc>
        <w:tc>
          <w:tcPr>
            <w:tcW w:w="2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21,578 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18,430 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inventories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46,651 </w:t>
            </w:r>
          </w:p>
        </w:tc>
        <w:tc>
          <w:tcPr>
            <w:tcW w:w="13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46,953 </w:t>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6 — Property and Equipment</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Property and equipment, net consists of the following:</w:t>
      </w:r>
    </w:p>
    <w:tbl>
      <w:tblPr>
        <w:tblW w:w="8825" w:type="dxa"/>
        <w:jc w:val="left"/>
        <w:tblInd w:w="0" w:type="dxa"/>
        <w:tblLayout w:type="fixed"/>
        <w:tblCellMar>
          <w:top w:w="28" w:type="dxa"/>
          <w:left w:w="28" w:type="dxa"/>
          <w:bottom w:w="28" w:type="dxa"/>
          <w:right w:w="28" w:type="dxa"/>
        </w:tblCellMar>
      </w:tblPr>
      <w:tblGrid>
        <w:gridCol w:w="1044"/>
        <w:gridCol w:w="915"/>
        <w:gridCol w:w="921"/>
        <w:gridCol w:w="109"/>
        <w:gridCol w:w="109"/>
        <w:gridCol w:w="109"/>
        <w:gridCol w:w="190"/>
        <w:gridCol w:w="190"/>
        <w:gridCol w:w="190"/>
        <w:gridCol w:w="190"/>
        <w:gridCol w:w="190"/>
        <w:gridCol w:w="190"/>
        <w:gridCol w:w="190"/>
        <w:gridCol w:w="190"/>
        <w:gridCol w:w="190"/>
        <w:gridCol w:w="109"/>
        <w:gridCol w:w="109"/>
        <w:gridCol w:w="109"/>
        <w:gridCol w:w="245"/>
        <w:gridCol w:w="994"/>
        <w:gridCol w:w="126"/>
        <w:gridCol w:w="109"/>
        <w:gridCol w:w="109"/>
        <w:gridCol w:w="109"/>
        <w:gridCol w:w="326"/>
        <w:gridCol w:w="1325"/>
        <w:gridCol w:w="238"/>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131E29"/>
                <w:sz w:val="20"/>
              </w:rPr>
              <w:t xml:space="preserve">Useful Life </w:t>
            </w:r>
            <w:r>
              <w:rPr>
                <w:rFonts w:ascii="Arial;sans-serif" w:hAnsi="Arial;sans-serif"/>
                <w:b w:val="false"/>
                <w:color w:val="131E29"/>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2023</w:t>
            </w:r>
          </w:p>
        </w:tc>
      </w:tr>
      <w:tr>
        <w:trPr/>
        <w:tc>
          <w:tcPr>
            <w:tcW w:w="288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Software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10,036 </w:t>
            </w:r>
          </w:p>
        </w:tc>
        <w:tc>
          <w:tcPr>
            <w:tcW w:w="12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7,212 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Equipment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188,524 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157,352 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Leasehold improvements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w:t>
            </w:r>
          </w:p>
        </w:tc>
        <w:tc>
          <w:tcPr>
            <w:tcW w:w="5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c>
          <w:tcPr>
            <w:tcW w:w="5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48,634 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42,441 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359,465 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269,186 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Land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7,781 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7,338 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Aircraft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9,195 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Construction-in-progress </w:t>
            </w:r>
            <w:r>
              <w:rPr>
                <w:rFonts w:ascii="Arial;sans-serif" w:hAnsi="Arial;sans-serif"/>
                <w:b w:val="false"/>
                <w:color w:val="131E29"/>
                <w:sz w:val="13"/>
              </w:rPr>
              <w:t>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157,186 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166,054 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771,653 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658,778 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depreciation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(144,153)</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(116,338)</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627,500 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542,440 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131E29"/>
          <w:sz w:val="16"/>
        </w:rPr>
        <w:t>Airplane sold to Company’s Co-Founder in June 2024. See NOTE 16 — Related Party Transactions for additional information.</w:t>
      </w:r>
    </w:p>
    <w:p>
      <w:pPr>
        <w:pStyle w:val="TextBody"/>
        <w:bidi w:val="0"/>
        <w:spacing w:lineRule="auto" w:line="288" w:before="0" w:after="180"/>
        <w:ind w:left="0" w:right="0" w:hanging="180"/>
        <w:jc w:val="both"/>
        <w:rPr/>
      </w:pPr>
      <w:r>
        <w:rPr>
          <w:rFonts w:ascii="Arial;sans-serif" w:hAnsi="Arial;sans-serif"/>
          <w:b w:val="false"/>
          <w:color w:val="131E29"/>
          <w:sz w:val="10"/>
        </w:rPr>
        <w:t>2    </w:t>
      </w:r>
      <w:r>
        <w:rPr>
          <w:rFonts w:ascii="Arial;sans-serif" w:hAnsi="Arial;sans-serif"/>
          <w:b w:val="false"/>
          <w:color w:val="131E29"/>
          <w:sz w:val="16"/>
        </w:rPr>
        <w:t>Construction-in-progress primarily consists of construction and equipment costs for new and existing shops, as well as our new roasting facility in Texas.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63220"/>
                <wp:effectExtent l="0" t="0" r="0" b="0"/>
                <wp:wrapNone/>
                <wp:docPr id="56" name="Frame2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0" descr=""/>
                                          <pic:cNvPicPr>
                                            <a:picLocks noChangeAspect="1" noChangeArrowheads="1"/>
                                          </pic:cNvPicPr>
                                        </pic:nvPicPr>
                                        <pic:blipFill>
                                          <a:blip r:embed="rId3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Depreciation expense included in the Company’s condensed consolidated statements of operations was as follows:</w:t>
      </w:r>
    </w:p>
    <w:tbl>
      <w:tblPr>
        <w:tblW w:w="10205" w:type="dxa"/>
        <w:jc w:val="left"/>
        <w:tblInd w:w="0" w:type="dxa"/>
        <w:tblLayout w:type="fixed"/>
        <w:tblCellMar>
          <w:top w:w="28" w:type="dxa"/>
          <w:left w:w="28" w:type="dxa"/>
          <w:bottom w:w="28" w:type="dxa"/>
          <w:right w:w="28" w:type="dxa"/>
        </w:tblCellMar>
      </w:tblPr>
      <w:tblGrid>
        <w:gridCol w:w="1377"/>
        <w:gridCol w:w="1209"/>
        <w:gridCol w:w="1215"/>
        <w:gridCol w:w="109"/>
        <w:gridCol w:w="109"/>
        <w:gridCol w:w="109"/>
        <w:gridCol w:w="243"/>
        <w:gridCol w:w="866"/>
        <w:gridCol w:w="125"/>
        <w:gridCol w:w="125"/>
        <w:gridCol w:w="125"/>
        <w:gridCol w:w="125"/>
        <w:gridCol w:w="243"/>
        <w:gridCol w:w="866"/>
        <w:gridCol w:w="125"/>
        <w:gridCol w:w="109"/>
        <w:gridCol w:w="109"/>
        <w:gridCol w:w="109"/>
        <w:gridCol w:w="224"/>
        <w:gridCol w:w="802"/>
        <w:gridCol w:w="116"/>
        <w:gridCol w:w="116"/>
        <w:gridCol w:w="116"/>
        <w:gridCol w:w="116"/>
        <w:gridCol w:w="224"/>
        <w:gridCol w:w="802"/>
        <w:gridCol w:w="116"/>
        <w:gridCol w:w="109"/>
        <w:gridCol w:w="166"/>
      </w:tblGrid>
      <w:tr>
        <w:trPr/>
        <w:tc>
          <w:tcPr>
            <w:tcW w:w="137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5" w:type="dxa"/>
            <w:gridSpan w:val="2"/>
            <w:tcBorders/>
          </w:tcPr>
          <w:p>
            <w:pPr>
              <w:pStyle w:val="TableContents"/>
              <w:bidi w:val="0"/>
              <w:spacing w:before="0" w:after="283"/>
              <w:jc w:val="left"/>
              <w:rPr>
                <w:sz w:val="4"/>
                <w:szCs w:val="4"/>
              </w:rPr>
            </w:pPr>
            <w:r>
              <w:rPr>
                <w:sz w:val="4"/>
                <w:szCs w:val="4"/>
              </w:rPr>
            </w:r>
          </w:p>
        </w:tc>
      </w:tr>
      <w:tr>
        <w:trPr/>
        <w:tc>
          <w:tcPr>
            <w:tcW w:w="3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0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15,105 </w:t>
            </w:r>
          </w:p>
        </w:tc>
        <w:tc>
          <w:tcPr>
            <w:tcW w:w="125"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10,136 </w:t>
            </w:r>
          </w:p>
        </w:tc>
        <w:tc>
          <w:tcPr>
            <w:tcW w:w="125"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29,023 </w:t>
            </w:r>
          </w:p>
        </w:tc>
        <w:tc>
          <w:tcPr>
            <w:tcW w:w="11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19,246 </w:t>
            </w:r>
          </w:p>
        </w:tc>
        <w:tc>
          <w:tcPr>
            <w:tcW w:w="11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depreciation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15,325 </w:t>
            </w:r>
          </w:p>
        </w:tc>
        <w:tc>
          <w:tcPr>
            <w:tcW w:w="12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10,551 </w:t>
            </w:r>
          </w:p>
        </w:tc>
        <w:tc>
          <w:tcPr>
            <w:tcW w:w="12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29,491 </w:t>
            </w:r>
          </w:p>
        </w:tc>
        <w:tc>
          <w:tcPr>
            <w:tcW w:w="11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20,073 </w:t>
            </w:r>
          </w:p>
        </w:tc>
        <w:tc>
          <w:tcPr>
            <w:tcW w:w="11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7 — Intangible Assets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details of the intangible assets are as follows:</w:t>
      </w:r>
    </w:p>
    <w:tbl>
      <w:tblPr>
        <w:tblW w:w="10205" w:type="dxa"/>
        <w:jc w:val="left"/>
        <w:tblInd w:w="0" w:type="dxa"/>
        <w:tblLayout w:type="fixed"/>
        <w:tblCellMar>
          <w:top w:w="28" w:type="dxa"/>
          <w:left w:w="28" w:type="dxa"/>
          <w:bottom w:w="28" w:type="dxa"/>
          <w:right w:w="28" w:type="dxa"/>
        </w:tblCellMar>
      </w:tblPr>
      <w:tblGrid>
        <w:gridCol w:w="895"/>
        <w:gridCol w:w="763"/>
        <w:gridCol w:w="746"/>
        <w:gridCol w:w="109"/>
        <w:gridCol w:w="109"/>
        <w:gridCol w:w="109"/>
        <w:gridCol w:w="109"/>
        <w:gridCol w:w="109"/>
        <w:gridCol w:w="1216"/>
        <w:gridCol w:w="1216"/>
        <w:gridCol w:w="1218"/>
        <w:gridCol w:w="109"/>
        <w:gridCol w:w="109"/>
        <w:gridCol w:w="109"/>
        <w:gridCol w:w="252"/>
        <w:gridCol w:w="898"/>
        <w:gridCol w:w="130"/>
        <w:gridCol w:w="109"/>
        <w:gridCol w:w="109"/>
        <w:gridCol w:w="109"/>
        <w:gridCol w:w="315"/>
        <w:gridCol w:w="1122"/>
        <w:gridCol w:w="235"/>
      </w:tblGrid>
      <w:tr>
        <w:trPr/>
        <w:tc>
          <w:tcPr>
            <w:tcW w:w="89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999" w:type="dxa"/>
            <w:gridSpan w:val="6"/>
            <w:tcBorders/>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131E29"/>
                <w:sz w:val="20"/>
              </w:rPr>
              <w:t xml:space="preserve">Weighted-average amortization period </w:t>
            </w:r>
            <w:r>
              <w:rPr>
                <w:rFonts w:ascii="Arial;sans-serif" w:hAnsi="Arial;sans-serif"/>
                <w:b w:val="false"/>
                <w:color w:val="131E29"/>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2023</w:t>
            </w:r>
          </w:p>
        </w:tc>
      </w:tr>
      <w:tr>
        <w:trPr/>
        <w:tc>
          <w:tcPr>
            <w:tcW w:w="2404"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Reacquired franchise rights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3.06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98"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27,049 </w:t>
            </w:r>
          </w:p>
        </w:tc>
        <w:tc>
          <w:tcPr>
            <w:tcW w:w="130"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22"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27,049 </w:t>
            </w:r>
          </w:p>
        </w:tc>
        <w:tc>
          <w:tcPr>
            <w:tcW w:w="235"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(23,086)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(21,634)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Intangibles,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9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3,963 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5,415 </w:t>
            </w:r>
          </w:p>
        </w:tc>
        <w:tc>
          <w:tcPr>
            <w:tcW w:w="23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Amortization expense included in the Company’s condensed consolidated statements of operations was as follows:</w:t>
      </w:r>
    </w:p>
    <w:tbl>
      <w:tblPr>
        <w:tblW w:w="7721" w:type="dxa"/>
        <w:jc w:val="left"/>
        <w:tblInd w:w="0" w:type="dxa"/>
        <w:tblLayout w:type="fixed"/>
        <w:tblCellMar>
          <w:top w:w="28" w:type="dxa"/>
          <w:left w:w="28" w:type="dxa"/>
          <w:bottom w:w="28" w:type="dxa"/>
          <w:right w:w="28" w:type="dxa"/>
        </w:tblCellMar>
      </w:tblPr>
      <w:tblGrid>
        <w:gridCol w:w="462"/>
        <w:gridCol w:w="405"/>
        <w:gridCol w:w="407"/>
        <w:gridCol w:w="109"/>
        <w:gridCol w:w="109"/>
        <w:gridCol w:w="109"/>
        <w:gridCol w:w="315"/>
        <w:gridCol w:w="718"/>
        <w:gridCol w:w="162"/>
        <w:gridCol w:w="162"/>
        <w:gridCol w:w="162"/>
        <w:gridCol w:w="162"/>
        <w:gridCol w:w="315"/>
        <w:gridCol w:w="718"/>
        <w:gridCol w:w="162"/>
        <w:gridCol w:w="109"/>
        <w:gridCol w:w="109"/>
        <w:gridCol w:w="109"/>
        <w:gridCol w:w="248"/>
        <w:gridCol w:w="759"/>
        <w:gridCol w:w="128"/>
        <w:gridCol w:w="128"/>
        <w:gridCol w:w="128"/>
        <w:gridCol w:w="128"/>
        <w:gridCol w:w="248"/>
        <w:gridCol w:w="759"/>
        <w:gridCol w:w="128"/>
        <w:gridCol w:w="109"/>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652 </w:t>
            </w:r>
          </w:p>
        </w:tc>
        <w:tc>
          <w:tcPr>
            <w:tcW w:w="16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858 </w:t>
            </w:r>
          </w:p>
        </w:tc>
        <w:tc>
          <w:tcPr>
            <w:tcW w:w="16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1,452 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1,769 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63220"/>
                <wp:effectExtent l="0" t="0" r="0" b="0"/>
                <wp:wrapNone/>
                <wp:docPr id="59" name="Frame2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1" descr=""/>
                                          <pic:cNvPicPr>
                                            <a:picLocks noChangeAspect="1" noChangeArrowheads="1"/>
                                          </pic:cNvPicPr>
                                        </pic:nvPicPr>
                                        <pic:blipFill>
                                          <a:blip r:embed="rId4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8 —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summary of finance and operating lease right-of-use assets and lease liabilities as of June 30, 2024 and December 31, 2023 is as follows:</w:t>
      </w:r>
    </w:p>
    <w:tbl>
      <w:tblPr>
        <w:tblW w:w="10120" w:type="dxa"/>
        <w:jc w:val="left"/>
        <w:tblInd w:w="0" w:type="dxa"/>
        <w:tblLayout w:type="fixed"/>
        <w:tblCellMar>
          <w:top w:w="28" w:type="dxa"/>
          <w:left w:w="28" w:type="dxa"/>
          <w:bottom w:w="28" w:type="dxa"/>
          <w:right w:w="28" w:type="dxa"/>
        </w:tblCellMar>
      </w:tblPr>
      <w:tblGrid>
        <w:gridCol w:w="853"/>
        <w:gridCol w:w="748"/>
        <w:gridCol w:w="754"/>
        <w:gridCol w:w="109"/>
        <w:gridCol w:w="109"/>
        <w:gridCol w:w="109"/>
        <w:gridCol w:w="1399"/>
        <w:gridCol w:w="1399"/>
        <w:gridCol w:w="1401"/>
        <w:gridCol w:w="109"/>
        <w:gridCol w:w="109"/>
        <w:gridCol w:w="109"/>
        <w:gridCol w:w="211"/>
        <w:gridCol w:w="856"/>
        <w:gridCol w:w="109"/>
        <w:gridCol w:w="109"/>
        <w:gridCol w:w="109"/>
        <w:gridCol w:w="109"/>
        <w:gridCol w:w="243"/>
        <w:gridCol w:w="989"/>
        <w:gridCol w:w="177"/>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2023</w:t>
            </w:r>
          </w:p>
        </w:tc>
      </w:tr>
      <w:tr>
        <w:trPr/>
        <w:tc>
          <w:tcPr>
            <w:tcW w:w="235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Right-of-use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382,734 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right-of-use assets,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282,838 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199,673 </w:t>
            </w:r>
          </w:p>
        </w:tc>
        <w:tc>
          <w:tcPr>
            <w:tcW w:w="17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663,837 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582,407 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finance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11,927 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9"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9,482 </w:t>
            </w:r>
          </w:p>
        </w:tc>
        <w:tc>
          <w:tcPr>
            <w:tcW w:w="17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367,775 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282,873 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191,419 </w:t>
            </w:r>
          </w:p>
        </w:tc>
        <w:tc>
          <w:tcPr>
            <w:tcW w:w="17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667,695 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578,915 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the three months ended June 30, 2024, the Company’s operating lease right-of-use assets and lease liabilities included additions of $17.7 million and $17.6 million, respectively, for the new Arizona facility. The Company recorded $5.4 million of tenant improvement allowance related to the new Arizona facility lease. The amount was recorded as a reduction in Operating lease right-of-use assets, net and the current portion of operating lease liability in the condensed consolidated balance sheet as of June 30, 2024, as it is expected to be fully utilized in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63220"/>
                <wp:effectExtent l="0" t="0" r="0" b="0"/>
                <wp:wrapNone/>
                <wp:docPr id="62" name="Frame2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2" descr=""/>
                                          <pic:cNvPicPr>
                                            <a:picLocks noChangeAspect="1" noChangeArrowheads="1"/>
                                          </pic:cNvPicPr>
                                        </pic:nvPicPr>
                                        <pic:blipFill>
                                          <a:blip r:embed="rId4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components of lease costs were as follows for the periods presented:</w:t>
      </w:r>
    </w:p>
    <w:tbl>
      <w:tblPr>
        <w:tblW w:w="10205" w:type="dxa"/>
        <w:jc w:val="left"/>
        <w:tblInd w:w="0" w:type="dxa"/>
        <w:tblLayout w:type="fixed"/>
        <w:tblCellMar>
          <w:top w:w="28" w:type="dxa"/>
          <w:left w:w="28" w:type="dxa"/>
          <w:bottom w:w="28" w:type="dxa"/>
          <w:right w:w="28" w:type="dxa"/>
        </w:tblCellMar>
      </w:tblPr>
      <w:tblGrid>
        <w:gridCol w:w="797"/>
        <w:gridCol w:w="499"/>
        <w:gridCol w:w="501"/>
        <w:gridCol w:w="109"/>
        <w:gridCol w:w="109"/>
        <w:gridCol w:w="109"/>
        <w:gridCol w:w="680"/>
        <w:gridCol w:w="680"/>
        <w:gridCol w:w="681"/>
        <w:gridCol w:w="109"/>
        <w:gridCol w:w="109"/>
        <w:gridCol w:w="109"/>
        <w:gridCol w:w="221"/>
        <w:gridCol w:w="789"/>
        <w:gridCol w:w="114"/>
        <w:gridCol w:w="114"/>
        <w:gridCol w:w="114"/>
        <w:gridCol w:w="114"/>
        <w:gridCol w:w="221"/>
        <w:gridCol w:w="789"/>
        <w:gridCol w:w="114"/>
        <w:gridCol w:w="109"/>
        <w:gridCol w:w="109"/>
        <w:gridCol w:w="109"/>
        <w:gridCol w:w="215"/>
        <w:gridCol w:w="768"/>
        <w:gridCol w:w="111"/>
        <w:gridCol w:w="111"/>
        <w:gridCol w:w="111"/>
        <w:gridCol w:w="111"/>
        <w:gridCol w:w="215"/>
        <w:gridCol w:w="768"/>
        <w:gridCol w:w="111"/>
        <w:gridCol w:w="109"/>
        <w:gridCol w:w="166"/>
      </w:tblGrid>
      <w:tr>
        <w:trPr/>
        <w:tc>
          <w:tcPr>
            <w:tcW w:w="7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Statement of Operation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Finance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finance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11,879 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9,241 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23,618 </w:t>
            </w:r>
          </w:p>
        </w:tc>
        <w:tc>
          <w:tcPr>
            <w:tcW w:w="1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17,042 </w:t>
            </w:r>
          </w:p>
        </w:tc>
        <w:tc>
          <w:tcPr>
            <w:tcW w:w="1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Operating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Lease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12,912 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Lease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232 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279 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operating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4,686 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13,191 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Total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8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20,644 </w:t>
            </w:r>
          </w:p>
        </w:tc>
        <w:tc>
          <w:tcPr>
            <w:tcW w:w="1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8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14,993 </w:t>
            </w:r>
          </w:p>
        </w:tc>
        <w:tc>
          <w:tcPr>
            <w:tcW w:w="1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39,933 </w:t>
            </w:r>
          </w:p>
        </w:tc>
        <w:tc>
          <w:tcPr>
            <w:tcW w:w="1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28,684 </w:t>
            </w:r>
          </w:p>
        </w:tc>
        <w:tc>
          <w:tcPr>
            <w:tcW w:w="1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Supplemental cash flow information related to leases as of June 30, 2024 is as follows for the periods presented:</w:t>
      </w:r>
    </w:p>
    <w:tbl>
      <w:tblPr>
        <w:tblW w:w="10006" w:type="dxa"/>
        <w:jc w:val="left"/>
        <w:tblInd w:w="0" w:type="dxa"/>
        <w:tblLayout w:type="fixed"/>
        <w:tblCellMar>
          <w:top w:w="28" w:type="dxa"/>
          <w:left w:w="28" w:type="dxa"/>
          <w:bottom w:w="28" w:type="dxa"/>
          <w:right w:w="28" w:type="dxa"/>
        </w:tblCellMar>
      </w:tblPr>
      <w:tblGrid>
        <w:gridCol w:w="2449"/>
        <w:gridCol w:w="2150"/>
        <w:gridCol w:w="2165"/>
        <w:gridCol w:w="109"/>
        <w:gridCol w:w="109"/>
        <w:gridCol w:w="109"/>
        <w:gridCol w:w="237"/>
        <w:gridCol w:w="843"/>
        <w:gridCol w:w="122"/>
        <w:gridCol w:w="122"/>
        <w:gridCol w:w="122"/>
        <w:gridCol w:w="122"/>
        <w:gridCol w:w="237"/>
        <w:gridCol w:w="725"/>
        <w:gridCol w:w="122"/>
        <w:gridCol w:w="109"/>
        <w:gridCol w:w="154"/>
      </w:tblGrid>
      <w:tr>
        <w:trPr/>
        <w:tc>
          <w:tcPr>
            <w:tcW w:w="2449"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Cash paid for amounts included in the measurement of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cash flows from 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11,012 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8,696 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Right-of-use assets obtained in exchange for lease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87,201 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89,368 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13,495 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63220"/>
                <wp:effectExtent l="0" t="0" r="0" b="0"/>
                <wp:wrapNone/>
                <wp:docPr id="65" name="Frame2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3" descr=""/>
                                          <pic:cNvPicPr>
                                            <a:picLocks noChangeAspect="1" noChangeArrowheads="1"/>
                                          </pic:cNvPicPr>
                                        </pic:nvPicPr>
                                        <pic:blipFill>
                                          <a:blip r:embed="rId4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9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August 4, 2023, the Company amended its senior secured credit facility, dated February 28, 2022, with JPMorgan Chase Bank, N.A. (as amended, the 2022 Credit Facility) to increase borrowing capacity by $150 million to a total of $650 million. The 2022 Credit Facility consists of a $350 million revolving credit facility, a term loan facility of up to $100 million, and a delayed draw term loan facility of up to $200 million. The 2022 Credit Facility also includes sublimits for letters of credit and swingline loans of up to $50 million and $15 million, respectively. The 2022 Credit Facility expires on February 28, 2027 (the Maturity Date).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February 20, 2024, the Company drew $150 million on its delayed draw term loan facility before this portion expired on February 28, 2024. The remaining $50 million of the delayed draw term loan is available until February 2025.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is required to pay a commitment fee on a quarterly basis, at a per annum rate of between 0.20% and 0.45% (depending on the Company’s maximum net lease-adjusted total leverage ratio) based on the (i) average daily unused portion of the revolving credit facility, and (ii) the daily undrawn amount of the delayed draw term loan facility. These fees are recorded as interest expense on the Company’s condensed consolidated statements of operations.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2022 Credit Facility contains financial covenants that require the Company to not exceed a maximum net lease-adjusted total leverage ratio and maintain a minimum fixed charge coverage ratio. The 2022 Credit Facility also contains certain negative covenants that, among other things, limit the Company’s ability to incur additional debt, grant liens on assets, merge with or acquire other companies, make other investments, dispose of assets, and make restricted payments. Obligations under the 2022 Credit Facility are guaranteed by Dutch Bros OpCo and certain of its subsidiaries, and secured by a first priority perfected security interest in substantially all of the assets of the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2024, no amounts were outstanding on the Company’s revolving credit facility, and $349.2 million was available for borrowing, net of a $0.8 million letter of credit, and approximately $240.9 million of principal was outstanding on the term loan facilities. The term loans bear interest at approximately 7.19% as of June 30, 2024, excluding the impact from the Company’s interest rate swap. The Company was in compliance with its financial covenants as of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63220"/>
                <wp:effectExtent l="0" t="0" r="0" b="0"/>
                <wp:wrapNone/>
                <wp:docPr id="68" name="Frame2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4" descr=""/>
                                          <pic:cNvPicPr>
                                            <a:picLocks noChangeAspect="1" noChangeArrowheads="1"/>
                                          </pic:cNvPicPr>
                                        </pic:nvPicPr>
                                        <pic:blipFill>
                                          <a:blip r:embed="rId4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Long-Term Debt</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The Company’s long-term debt consisted of the following for the periods presented:</w:t>
      </w:r>
    </w:p>
    <w:tbl>
      <w:tblPr>
        <w:tblW w:w="7688" w:type="dxa"/>
        <w:jc w:val="left"/>
        <w:tblInd w:w="0" w:type="dxa"/>
        <w:tblLayout w:type="fixed"/>
        <w:tblCellMar>
          <w:top w:w="28" w:type="dxa"/>
          <w:left w:w="28" w:type="dxa"/>
          <w:bottom w:w="28" w:type="dxa"/>
          <w:right w:w="28" w:type="dxa"/>
        </w:tblCellMar>
      </w:tblPr>
      <w:tblGrid>
        <w:gridCol w:w="1370"/>
        <w:gridCol w:w="1202"/>
        <w:gridCol w:w="1208"/>
        <w:gridCol w:w="109"/>
        <w:gridCol w:w="109"/>
        <w:gridCol w:w="109"/>
        <w:gridCol w:w="245"/>
        <w:gridCol w:w="994"/>
        <w:gridCol w:w="126"/>
        <w:gridCol w:w="109"/>
        <w:gridCol w:w="109"/>
        <w:gridCol w:w="109"/>
        <w:gridCol w:w="357"/>
        <w:gridCol w:w="1272"/>
        <w:gridCol w:w="260"/>
      </w:tblGrid>
      <w:tr>
        <w:trPr/>
        <w:tc>
          <w:tcPr>
            <w:tcW w:w="137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2023</w:t>
            </w:r>
          </w:p>
        </w:tc>
      </w:tr>
      <w:tr>
        <w:trPr/>
        <w:tc>
          <w:tcPr>
            <w:tcW w:w="378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Term loans under credit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4"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240,938 </w:t>
            </w:r>
          </w:p>
        </w:tc>
        <w:tc>
          <w:tcPr>
            <w:tcW w:w="12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95,625 </w:t>
            </w:r>
          </w:p>
        </w:tc>
        <w:tc>
          <w:tcPr>
            <w:tcW w:w="260"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Finance obligation</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3,022 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Unsecured note payable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358 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415 </w:t>
            </w:r>
          </w:p>
        </w:tc>
        <w:tc>
          <w:tcPr>
            <w:tcW w:w="2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244,318 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99,062 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loan origination fees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(1,170)</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(1,396)</w:t>
            </w:r>
          </w:p>
        </w:tc>
        <w:tc>
          <w:tcPr>
            <w:tcW w:w="2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(4,491)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long-term debt,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228,966 </w:t>
            </w:r>
          </w:p>
        </w:tc>
        <w:tc>
          <w:tcPr>
            <w:tcW w:w="1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93,175 </w:t>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 xml:space="preserve">Represents failed sale-leaseback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Future annual maturities of long-term debt as of June 30, 2024 are as follows: </w:t>
      </w:r>
    </w:p>
    <w:tbl>
      <w:tblPr>
        <w:tblW w:w="3303" w:type="dxa"/>
        <w:jc w:val="left"/>
        <w:tblInd w:w="0" w:type="dxa"/>
        <w:tblLayout w:type="fixed"/>
        <w:tblCellMar>
          <w:top w:w="28" w:type="dxa"/>
          <w:left w:w="28" w:type="dxa"/>
          <w:bottom w:w="28" w:type="dxa"/>
          <w:right w:w="28" w:type="dxa"/>
        </w:tblCellMar>
      </w:tblPr>
      <w:tblGrid>
        <w:gridCol w:w="636"/>
        <w:gridCol w:w="558"/>
        <w:gridCol w:w="561"/>
        <w:gridCol w:w="109"/>
        <w:gridCol w:w="109"/>
        <w:gridCol w:w="109"/>
        <w:gridCol w:w="211"/>
        <w:gridCol w:w="85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2024</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6,309 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32,943 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184,733 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244,318 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10 — Derivative Financial Instruments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has a receive-variable (Receive Leg), pay-fixed (Pay Leg) interest rate swap with JPMorgan Chase Bank, N.A. The interest rate swap has a notional amount of $70 million and hedges interest rate risk on the term loan under the 2022 Credit Facility. The interest rate swap matures on February 28, 2027, and has a fixed rate of 2.67% per annum for the Pay Leg. The variable rate on the Receive Leg of the interest rate swap is the one-month adjusted term SOFR plus an applicable margin. As of June 30, 2024, the one-month adjusted term SOFR was 5.34%.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typically designates all interest rate swaps as cash flow hedges, and accordingly, records the change in fair value for the effective portion of the interest rate swap in AOCI rather than in current period earnings until the underlying hedged transaction affects earnings. As of June 30, 2024, the Company expects to reclassify a gain of approximately $1.5 million from AOCI to earnings within the next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63220"/>
                <wp:effectExtent l="0" t="0" r="0" b="0"/>
                <wp:wrapNone/>
                <wp:docPr id="71" name="Frame2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4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Designated as a Level 2 instrument within the fair value hierarchy, the fair value and effect of the derivative instrument included in the Company’s consolidated financial statements was as follows:</w:t>
      </w:r>
    </w:p>
    <w:tbl>
      <w:tblPr>
        <w:tblW w:w="10205" w:type="dxa"/>
        <w:jc w:val="left"/>
        <w:tblInd w:w="0" w:type="dxa"/>
        <w:tblLayout w:type="fixed"/>
        <w:tblCellMar>
          <w:top w:w="28" w:type="dxa"/>
          <w:left w:w="28" w:type="dxa"/>
          <w:bottom w:w="28" w:type="dxa"/>
          <w:right w:w="28" w:type="dxa"/>
        </w:tblCellMar>
      </w:tblPr>
      <w:tblGrid>
        <w:gridCol w:w="1420"/>
        <w:gridCol w:w="1241"/>
        <w:gridCol w:w="1224"/>
        <w:gridCol w:w="109"/>
        <w:gridCol w:w="109"/>
        <w:gridCol w:w="109"/>
        <w:gridCol w:w="1020"/>
        <w:gridCol w:w="1020"/>
        <w:gridCol w:w="1023"/>
        <w:gridCol w:w="109"/>
        <w:gridCol w:w="109"/>
        <w:gridCol w:w="109"/>
        <w:gridCol w:w="211"/>
        <w:gridCol w:w="646"/>
        <w:gridCol w:w="109"/>
        <w:gridCol w:w="109"/>
        <w:gridCol w:w="109"/>
        <w:gridCol w:w="109"/>
        <w:gridCol w:w="271"/>
        <w:gridCol w:w="834"/>
        <w:gridCol w:w="205"/>
      </w:tblGrid>
      <w:tr>
        <w:trPr/>
        <w:tc>
          <w:tcPr>
            <w:tcW w:w="142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2023</w:t>
            </w:r>
          </w:p>
        </w:tc>
      </w:tr>
      <w:tr>
        <w:trPr/>
        <w:tc>
          <w:tcPr>
            <w:tcW w:w="388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rate swap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837 </w:t>
            </w:r>
          </w:p>
        </w:tc>
        <w:tc>
          <w:tcPr>
            <w:tcW w:w="20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derivative instrument designated as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19"/>
        <w:gridCol w:w="710"/>
        <w:gridCol w:w="647"/>
        <w:gridCol w:w="109"/>
        <w:gridCol w:w="109"/>
        <w:gridCol w:w="109"/>
        <w:gridCol w:w="671"/>
        <w:gridCol w:w="594"/>
        <w:gridCol w:w="595"/>
        <w:gridCol w:w="109"/>
        <w:gridCol w:w="109"/>
        <w:gridCol w:w="109"/>
        <w:gridCol w:w="222"/>
        <w:gridCol w:w="507"/>
        <w:gridCol w:w="114"/>
        <w:gridCol w:w="114"/>
        <w:gridCol w:w="114"/>
        <w:gridCol w:w="114"/>
        <w:gridCol w:w="222"/>
        <w:gridCol w:w="680"/>
        <w:gridCol w:w="114"/>
        <w:gridCol w:w="109"/>
        <w:gridCol w:w="109"/>
        <w:gridCol w:w="109"/>
        <w:gridCol w:w="216"/>
        <w:gridCol w:w="662"/>
        <w:gridCol w:w="111"/>
        <w:gridCol w:w="111"/>
        <w:gridCol w:w="111"/>
        <w:gridCol w:w="111"/>
        <w:gridCol w:w="216"/>
        <w:gridCol w:w="662"/>
        <w:gridCol w:w="111"/>
        <w:gridCol w:w="109"/>
        <w:gridCol w:w="167"/>
      </w:tblGrid>
      <w:tr>
        <w:trPr/>
        <w:tc>
          <w:tcPr>
            <w:tcW w:w="121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Financial Statements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Income recognized in 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Statement of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Reclassification from accumulated other comprehensive income to earnings for the effective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Statement of Operations - 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(464)</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(418)</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(933)</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(751)</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Statement of Operations -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11 — Income Taxes</w:t>
      </w:r>
    </w:p>
    <w:tbl>
      <w:tblPr>
        <w:tblW w:w="9583"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232"/>
        <w:gridCol w:w="712"/>
        <w:gridCol w:w="315"/>
        <w:gridCol w:w="120"/>
        <w:gridCol w:w="120"/>
        <w:gridCol w:w="120"/>
        <w:gridCol w:w="232"/>
        <w:gridCol w:w="712"/>
        <w:gridCol w:w="315"/>
        <w:gridCol w:w="109"/>
        <w:gridCol w:w="109"/>
        <w:gridCol w:w="109"/>
        <w:gridCol w:w="109"/>
        <w:gridCol w:w="109"/>
        <w:gridCol w:w="526"/>
        <w:gridCol w:w="109"/>
        <w:gridCol w:w="211"/>
        <w:gridCol w:w="751"/>
        <w:gridCol w:w="286"/>
        <w:gridCol w:w="109"/>
        <w:gridCol w:w="109"/>
        <w:gridCol w:w="109"/>
        <w:gridCol w:w="211"/>
        <w:gridCol w:w="646"/>
        <w:gridCol w:w="286"/>
        <w:gridCol w:w="109"/>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590" w:type="dxa"/>
            <w:gridSpan w:val="5"/>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3,860 </w:t>
            </w:r>
          </w:p>
        </w:tc>
        <w:tc>
          <w:tcPr>
            <w:tcW w:w="315"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2"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1,851 </w:t>
            </w:r>
          </w:p>
        </w:tc>
        <w:tc>
          <w:tcPr>
            <w:tcW w:w="315"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12,632 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4,431 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14.8 </w:t>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16.0 </w:t>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93.3 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63220"/>
                <wp:effectExtent l="0" t="0" r="0" b="0"/>
                <wp:wrapNone/>
                <wp:docPr id="74" name="Frame2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5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12 — Equity-Based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Restricted Stock Awards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Activity for the Company’s RSAs was as follows:</w:t>
      </w:r>
    </w:p>
    <w:tbl>
      <w:tblPr>
        <w:tblW w:w="10205" w:type="dxa"/>
        <w:jc w:val="left"/>
        <w:tblInd w:w="0" w:type="dxa"/>
        <w:tblLayout w:type="fixed"/>
        <w:tblCellMar>
          <w:top w:w="28" w:type="dxa"/>
          <w:left w:w="28" w:type="dxa"/>
          <w:bottom w:w="28" w:type="dxa"/>
          <w:right w:w="28" w:type="dxa"/>
        </w:tblCellMar>
      </w:tblPr>
      <w:tblGrid>
        <w:gridCol w:w="1070"/>
        <w:gridCol w:w="940"/>
        <w:gridCol w:w="946"/>
        <w:gridCol w:w="109"/>
        <w:gridCol w:w="109"/>
        <w:gridCol w:w="109"/>
        <w:gridCol w:w="745"/>
        <w:gridCol w:w="745"/>
        <w:gridCol w:w="747"/>
        <w:gridCol w:w="109"/>
        <w:gridCol w:w="109"/>
        <w:gridCol w:w="109"/>
        <w:gridCol w:w="906"/>
        <w:gridCol w:w="2781"/>
        <w:gridCol w:w="671"/>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2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8" w:type="dxa"/>
            <w:gridSpan w:val="3"/>
            <w:tcBorders/>
            <w:vAlign w:val="center"/>
          </w:tcPr>
          <w:p>
            <w:pPr>
              <w:pStyle w:val="TableContents"/>
              <w:bidi w:val="0"/>
              <w:spacing w:before="0" w:after="283"/>
              <w:jc w:val="left"/>
              <w:rPr>
                <w:sz w:val="4"/>
                <w:szCs w:val="4"/>
              </w:rPr>
            </w:pPr>
            <w:r>
              <w:rPr>
                <w:sz w:val="4"/>
                <w:szCs w:val="4"/>
              </w:rPr>
            </w:r>
          </w:p>
        </w:tc>
      </w:tr>
      <w:tr>
        <w:trPr/>
        <w:tc>
          <w:tcPr>
            <w:tcW w:w="2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8" w:type="dxa"/>
            <w:gridSpan w:val="3"/>
            <w:tcBorders/>
            <w:vAlign w:val="center"/>
          </w:tcPr>
          <w:p>
            <w:pPr>
              <w:pStyle w:val="TableContents"/>
              <w:bidi w:val="0"/>
              <w:spacing w:before="0" w:after="283"/>
              <w:jc w:val="left"/>
              <w:rPr>
                <w:sz w:val="4"/>
                <w:szCs w:val="4"/>
              </w:rPr>
            </w:pPr>
            <w:r>
              <w:rPr>
                <w:sz w:val="4"/>
                <w:szCs w:val="4"/>
              </w:rPr>
            </w:r>
          </w:p>
        </w:tc>
      </w:tr>
      <w:tr>
        <w:trPr/>
        <w:tc>
          <w:tcPr>
            <w:tcW w:w="2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8" w:type="dxa"/>
            <w:gridSpan w:val="3"/>
            <w:tcBorders/>
            <w:vAlign w:val="center"/>
          </w:tcPr>
          <w:p>
            <w:pPr>
              <w:pStyle w:val="TableContents"/>
              <w:bidi w:val="0"/>
              <w:spacing w:before="0" w:after="283"/>
              <w:jc w:val="left"/>
              <w:rPr>
                <w:sz w:val="4"/>
                <w:szCs w:val="4"/>
              </w:rPr>
            </w:pPr>
            <w:r>
              <w:rPr>
                <w:sz w:val="4"/>
                <w:szCs w:val="4"/>
              </w:rPr>
            </w:r>
          </w:p>
        </w:tc>
      </w:tr>
      <w:tr>
        <w:trPr/>
        <w:tc>
          <w:tcPr>
            <w:tcW w:w="2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8" w:type="dxa"/>
            <w:gridSpan w:val="3"/>
            <w:tcBorders/>
            <w:vAlign w:val="center"/>
          </w:tcPr>
          <w:p>
            <w:pPr>
              <w:pStyle w:val="TableContents"/>
              <w:bidi w:val="0"/>
              <w:spacing w:before="0" w:after="283"/>
              <w:jc w:val="left"/>
              <w:rPr>
                <w:sz w:val="4"/>
                <w:szCs w:val="4"/>
              </w:rPr>
            </w:pPr>
            <w:r>
              <w:rPr>
                <w:sz w:val="4"/>
                <w:szCs w:val="4"/>
              </w:rPr>
            </w:r>
          </w:p>
        </w:tc>
      </w:tr>
      <w:tr>
        <w:trPr/>
        <w:tc>
          <w:tcPr>
            <w:tcW w:w="295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2023</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49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1,283 </w:t>
            </w:r>
          </w:p>
        </w:tc>
        <w:tc>
          <w:tcPr>
            <w:tcW w:w="74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78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7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8" w:type="dxa"/>
            <w:gridSpan w:val="3"/>
            <w:tcBorders/>
            <w:vAlign w:val="center"/>
          </w:tcPr>
          <w:p>
            <w:pPr>
              <w:pStyle w:val="TableContents"/>
              <w:bidi w:val="0"/>
              <w:spacing w:before="0" w:after="283"/>
              <w:jc w:val="left"/>
              <w:rPr>
                <w:sz w:val="4"/>
                <w:szCs w:val="4"/>
              </w:rPr>
            </w:pPr>
            <w:r>
              <w:rPr>
                <w:sz w:val="4"/>
                <w:szCs w:val="4"/>
              </w:rPr>
            </w:r>
          </w:p>
        </w:tc>
      </w:tr>
      <w:tr>
        <w:trPr/>
        <w:tc>
          <w:tcPr>
            <w:tcW w:w="2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8" w:type="dxa"/>
            <w:gridSpan w:val="3"/>
            <w:tcBorders/>
            <w:vAlign w:val="center"/>
          </w:tcPr>
          <w:p>
            <w:pPr>
              <w:pStyle w:val="TableContents"/>
              <w:bidi w:val="0"/>
              <w:spacing w:before="0" w:after="283"/>
              <w:jc w:val="left"/>
              <w:rPr>
                <w:sz w:val="4"/>
                <w:szCs w:val="4"/>
              </w:rPr>
            </w:pPr>
            <w:r>
              <w:rPr>
                <w:sz w:val="4"/>
                <w:szCs w:val="4"/>
              </w:rPr>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(1,283)</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8" w:type="dxa"/>
            <w:gridSpan w:val="3"/>
            <w:tcBorders/>
            <w:vAlign w:val="center"/>
          </w:tcPr>
          <w:p>
            <w:pPr>
              <w:pStyle w:val="TableContents"/>
              <w:bidi w:val="0"/>
              <w:spacing w:before="0" w:after="283"/>
              <w:jc w:val="left"/>
              <w:rPr>
                <w:sz w:val="4"/>
                <w:szCs w:val="4"/>
              </w:rPr>
            </w:pPr>
            <w:r>
              <w:rPr>
                <w:sz w:val="4"/>
                <w:szCs w:val="4"/>
              </w:rPr>
            </w:r>
          </w:p>
        </w:tc>
      </w:tr>
      <w:tr>
        <w:trPr/>
        <w:tc>
          <w:tcPr>
            <w:tcW w:w="29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June 30, 2024</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149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74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78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6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Restricted Stock Units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Activity for the Company’s RSUs was as follows:</w:t>
      </w:r>
    </w:p>
    <w:tbl>
      <w:tblPr>
        <w:tblW w:w="10205" w:type="dxa"/>
        <w:jc w:val="left"/>
        <w:tblInd w:w="0" w:type="dxa"/>
        <w:tblLayout w:type="fixed"/>
        <w:tblCellMar>
          <w:top w:w="28" w:type="dxa"/>
          <w:left w:w="28" w:type="dxa"/>
          <w:bottom w:w="28" w:type="dxa"/>
          <w:right w:w="28" w:type="dxa"/>
        </w:tblCellMar>
      </w:tblPr>
      <w:tblGrid>
        <w:gridCol w:w="1102"/>
        <w:gridCol w:w="961"/>
        <w:gridCol w:w="967"/>
        <w:gridCol w:w="109"/>
        <w:gridCol w:w="109"/>
        <w:gridCol w:w="109"/>
        <w:gridCol w:w="693"/>
        <w:gridCol w:w="693"/>
        <w:gridCol w:w="694"/>
        <w:gridCol w:w="109"/>
        <w:gridCol w:w="109"/>
        <w:gridCol w:w="109"/>
        <w:gridCol w:w="923"/>
        <w:gridCol w:w="2834"/>
        <w:gridCol w:w="684"/>
      </w:tblGrid>
      <w:tr>
        <w:trPr/>
        <w:tc>
          <w:tcPr>
            <w:tcW w:w="110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2023</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8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648 </w:t>
            </w:r>
          </w:p>
        </w:tc>
        <w:tc>
          <w:tcPr>
            <w:tcW w:w="69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83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35.99 </w:t>
            </w:r>
          </w:p>
        </w:tc>
        <w:tc>
          <w:tcPr>
            <w:tcW w:w="68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715 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29.86 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Vested</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8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w:t>
            </w:r>
          </w:p>
        </w:tc>
        <w:tc>
          <w:tcPr>
            <w:tcW w:w="6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44.48 </w:t>
            </w:r>
          </w:p>
        </w:tc>
        <w:tc>
          <w:tcPr>
            <w:tcW w:w="68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33.15 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June 30,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1,179 </w:t>
            </w:r>
          </w:p>
        </w:tc>
        <w:tc>
          <w:tcPr>
            <w:tcW w:w="6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8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31.81 </w:t>
            </w:r>
          </w:p>
        </w:tc>
        <w:tc>
          <w:tcPr>
            <w:tcW w:w="6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Total release date fair value of vested RSAs and RSUs for the six months ended June 30, 2024 and 2023 are presented below: </w:t>
      </w:r>
    </w:p>
    <w:tbl>
      <w:tblPr>
        <w:tblW w:w="10205" w:type="dxa"/>
        <w:jc w:val="left"/>
        <w:tblInd w:w="0" w:type="dxa"/>
        <w:tblLayout w:type="fixed"/>
        <w:tblCellMar>
          <w:top w:w="28" w:type="dxa"/>
          <w:left w:w="28" w:type="dxa"/>
          <w:bottom w:w="28" w:type="dxa"/>
          <w:right w:w="28" w:type="dxa"/>
        </w:tblCellMar>
      </w:tblPr>
      <w:tblGrid>
        <w:gridCol w:w="492"/>
        <w:gridCol w:w="432"/>
        <w:gridCol w:w="435"/>
        <w:gridCol w:w="109"/>
        <w:gridCol w:w="109"/>
        <w:gridCol w:w="109"/>
        <w:gridCol w:w="109"/>
        <w:gridCol w:w="109"/>
        <w:gridCol w:w="109"/>
        <w:gridCol w:w="109"/>
        <w:gridCol w:w="288"/>
        <w:gridCol w:w="1028"/>
        <w:gridCol w:w="149"/>
        <w:gridCol w:w="109"/>
        <w:gridCol w:w="109"/>
        <w:gridCol w:w="109"/>
        <w:gridCol w:w="496"/>
        <w:gridCol w:w="1523"/>
        <w:gridCol w:w="258"/>
        <w:gridCol w:w="288"/>
        <w:gridCol w:w="1028"/>
        <w:gridCol w:w="149"/>
        <w:gridCol w:w="496"/>
        <w:gridCol w:w="1523"/>
        <w:gridCol w:w="258"/>
        <w:gridCol w:w="109"/>
        <w:gridCol w:w="163"/>
      </w:tblGrid>
      <w:tr>
        <w:trPr/>
        <w:tc>
          <w:tcPr>
            <w:tcW w:w="49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vest date fair value per share</w:t>
            </w:r>
          </w:p>
        </w:tc>
        <w:tc>
          <w:tcPr>
            <w:tcW w:w="1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 2023</w:t>
            </w:r>
          </w:p>
        </w:tc>
        <w:tc>
          <w:tcPr>
            <w:tcW w:w="2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vest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39,752 </w:t>
            </w:r>
          </w:p>
        </w:tc>
        <w:tc>
          <w:tcPr>
            <w:tcW w:w="14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2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30.99 </w:t>
            </w:r>
          </w:p>
        </w:tc>
        <w:tc>
          <w:tcPr>
            <w:tcW w:w="25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36,451 </w:t>
            </w:r>
          </w:p>
        </w:tc>
        <w:tc>
          <w:tcPr>
            <w:tcW w:w="14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2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27.34 </w:t>
            </w:r>
          </w:p>
        </w:tc>
        <w:tc>
          <w:tcPr>
            <w:tcW w:w="25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30.90 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Equity-based compensation expense is recognized on a straight-line basis and is included in the Company’s condensed consolidated statements of operations as follows:</w:t>
      </w:r>
    </w:p>
    <w:tbl>
      <w:tblPr>
        <w:tblW w:w="10205" w:type="dxa"/>
        <w:jc w:val="left"/>
        <w:tblInd w:w="0" w:type="dxa"/>
        <w:tblLayout w:type="fixed"/>
        <w:tblCellMar>
          <w:top w:w="28" w:type="dxa"/>
          <w:left w:w="28" w:type="dxa"/>
          <w:bottom w:w="28" w:type="dxa"/>
          <w:right w:w="28" w:type="dxa"/>
        </w:tblCellMar>
      </w:tblPr>
      <w:tblGrid>
        <w:gridCol w:w="1387"/>
        <w:gridCol w:w="1217"/>
        <w:gridCol w:w="1223"/>
        <w:gridCol w:w="109"/>
        <w:gridCol w:w="109"/>
        <w:gridCol w:w="109"/>
        <w:gridCol w:w="253"/>
        <w:gridCol w:w="774"/>
        <w:gridCol w:w="130"/>
        <w:gridCol w:w="130"/>
        <w:gridCol w:w="130"/>
        <w:gridCol w:w="130"/>
        <w:gridCol w:w="253"/>
        <w:gridCol w:w="900"/>
        <w:gridCol w:w="130"/>
        <w:gridCol w:w="109"/>
        <w:gridCol w:w="109"/>
        <w:gridCol w:w="109"/>
        <w:gridCol w:w="234"/>
        <w:gridCol w:w="718"/>
        <w:gridCol w:w="120"/>
        <w:gridCol w:w="120"/>
        <w:gridCol w:w="120"/>
        <w:gridCol w:w="120"/>
        <w:gridCol w:w="234"/>
        <w:gridCol w:w="835"/>
        <w:gridCol w:w="120"/>
        <w:gridCol w:w="109"/>
        <w:gridCol w:w="164"/>
      </w:tblGrid>
      <w:tr>
        <w:trPr/>
        <w:tc>
          <w:tcPr>
            <w:tcW w:w="138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3" w:type="dxa"/>
            <w:gridSpan w:val="2"/>
            <w:tcBorders/>
          </w:tcPr>
          <w:p>
            <w:pPr>
              <w:pStyle w:val="TableContents"/>
              <w:bidi w:val="0"/>
              <w:spacing w:before="0" w:after="283"/>
              <w:jc w:val="left"/>
              <w:rPr>
                <w:sz w:val="4"/>
                <w:szCs w:val="4"/>
              </w:rPr>
            </w:pPr>
            <w:r>
              <w:rPr>
                <w:sz w:val="4"/>
                <w:szCs w:val="4"/>
              </w:rPr>
            </w:r>
          </w:p>
        </w:tc>
      </w:tr>
      <w:tr>
        <w:trPr/>
        <w:tc>
          <w:tcPr>
            <w:tcW w:w="3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27"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7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0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364 </w:t>
            </w:r>
          </w:p>
        </w:tc>
        <w:tc>
          <w:tcPr>
            <w:tcW w:w="12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2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stock-based compensation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7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3,326 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0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10,149 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5,259 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19,319 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63220"/>
                <wp:effectExtent l="0" t="0" r="0" b="0"/>
                <wp:wrapNone/>
                <wp:docPr id="77" name="Frame2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5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2024, total unrecognized stock-based compensation related to unvested stock awards was $26.9 million, which will be recognized as follows:</w:t>
      </w:r>
    </w:p>
    <w:tbl>
      <w:tblPr>
        <w:tblW w:w="5613" w:type="dxa"/>
        <w:jc w:val="left"/>
        <w:tblInd w:w="0" w:type="dxa"/>
        <w:tblLayout w:type="fixed"/>
        <w:tblCellMar>
          <w:top w:w="28" w:type="dxa"/>
          <w:left w:w="28" w:type="dxa"/>
          <w:bottom w:w="28" w:type="dxa"/>
          <w:right w:w="28" w:type="dxa"/>
        </w:tblCellMar>
      </w:tblPr>
      <w:tblGrid>
        <w:gridCol w:w="1511"/>
        <w:gridCol w:w="1326"/>
        <w:gridCol w:w="1333"/>
        <w:gridCol w:w="109"/>
        <w:gridCol w:w="109"/>
        <w:gridCol w:w="109"/>
        <w:gridCol w:w="211"/>
        <w:gridCol w:w="751"/>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2024</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6,766 </w:t>
            </w:r>
          </w:p>
        </w:tc>
        <w:tc>
          <w:tcPr>
            <w:tcW w:w="154"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7,532 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unrecognized stock-based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26,852 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13 — Non-Controlling Interests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the sole managing member of Dutch Bros OpCo, and, as a result, consolidates the financial results of Dutch Bros OpCo. The Company reports a non-controlling interest representing the economic interest in the Dutch Bros OpCo held by the other members of Dutch Bros OpCo. The Fourth Amended and Restated Limited Liability Company Agreement of Dutch Bros OpCo provides that holders of Dutch Bros OpCo Class A common units may, from time to time, require Dutch Bros OpCo to redeem all or a portion of its Dutch Bros OpCo Class A common units for newly 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the ownership interest in Dutch Bros OpCo:</w:t>
      </w:r>
    </w:p>
    <w:tbl>
      <w:tblPr>
        <w:tblW w:w="10205" w:type="dxa"/>
        <w:jc w:val="left"/>
        <w:tblInd w:w="0" w:type="dxa"/>
        <w:tblLayout w:type="fixed"/>
        <w:tblCellMar>
          <w:top w:w="28" w:type="dxa"/>
          <w:left w:w="28" w:type="dxa"/>
          <w:bottom w:w="28" w:type="dxa"/>
          <w:right w:w="28" w:type="dxa"/>
        </w:tblCellMar>
      </w:tblPr>
      <w:tblGrid>
        <w:gridCol w:w="2475"/>
        <w:gridCol w:w="2148"/>
        <w:gridCol w:w="2158"/>
        <w:gridCol w:w="109"/>
        <w:gridCol w:w="109"/>
        <w:gridCol w:w="109"/>
        <w:gridCol w:w="428"/>
        <w:gridCol w:w="428"/>
        <w:gridCol w:w="381"/>
        <w:gridCol w:w="126"/>
        <w:gridCol w:w="126"/>
        <w:gridCol w:w="126"/>
        <w:gridCol w:w="329"/>
        <w:gridCol w:w="317"/>
        <w:gridCol w:w="836"/>
      </w:tblGrid>
      <w:tr>
        <w:trPr/>
        <w:tc>
          <w:tcPr>
            <w:tcW w:w="2475"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2024</w:t>
            </w:r>
          </w:p>
        </w:tc>
      </w:tr>
      <w:tr>
        <w:trPr/>
        <w:tc>
          <w:tcPr>
            <w:tcW w:w="6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OpCo Units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Ownership %</w:t>
            </w:r>
          </w:p>
        </w:tc>
      </w:tr>
      <w:tr>
        <w:trPr/>
        <w:tc>
          <w:tcPr>
            <w:tcW w:w="678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Dutch Bros OpCo Class A common units held by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113,817 </w:t>
            </w:r>
          </w:p>
        </w:tc>
        <w:tc>
          <w:tcPr>
            <w:tcW w:w="38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64.2 </w:t>
            </w:r>
          </w:p>
        </w:tc>
        <w:tc>
          <w:tcPr>
            <w:tcW w:w="83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6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Dutch Bros OpCo Class A common units held by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63,369 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35.8 </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6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Dutch Bros OpCo Class A common units outstanding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177,186 </w:t>
            </w:r>
          </w:p>
        </w:tc>
        <w:tc>
          <w:tcPr>
            <w:tcW w:w="38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8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63220"/>
                <wp:effectExtent l="0" t="0" r="0" b="0"/>
                <wp:wrapNone/>
                <wp:docPr id="80" name="Frame2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5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the effect of changes in ownership of Dutch Bros OpCo on the Company’s equity for the periods presented:</w:t>
      </w:r>
    </w:p>
    <w:tbl>
      <w:tblPr>
        <w:tblW w:w="10205" w:type="dxa"/>
        <w:jc w:val="left"/>
        <w:tblInd w:w="0" w:type="dxa"/>
        <w:tblLayout w:type="fixed"/>
        <w:tblCellMar>
          <w:top w:w="28" w:type="dxa"/>
          <w:left w:w="28" w:type="dxa"/>
          <w:bottom w:w="28" w:type="dxa"/>
          <w:right w:w="28" w:type="dxa"/>
        </w:tblCellMar>
      </w:tblPr>
      <w:tblGrid>
        <w:gridCol w:w="1824"/>
        <w:gridCol w:w="1229"/>
        <w:gridCol w:w="1236"/>
        <w:gridCol w:w="109"/>
        <w:gridCol w:w="109"/>
        <w:gridCol w:w="109"/>
        <w:gridCol w:w="221"/>
        <w:gridCol w:w="789"/>
        <w:gridCol w:w="114"/>
        <w:gridCol w:w="114"/>
        <w:gridCol w:w="114"/>
        <w:gridCol w:w="114"/>
        <w:gridCol w:w="221"/>
        <w:gridCol w:w="679"/>
        <w:gridCol w:w="114"/>
        <w:gridCol w:w="109"/>
        <w:gridCol w:w="109"/>
        <w:gridCol w:w="109"/>
        <w:gridCol w:w="213"/>
        <w:gridCol w:w="865"/>
        <w:gridCol w:w="110"/>
        <w:gridCol w:w="110"/>
        <w:gridCol w:w="110"/>
        <w:gridCol w:w="110"/>
        <w:gridCol w:w="213"/>
        <w:gridCol w:w="668"/>
        <w:gridCol w:w="110"/>
        <w:gridCol w:w="109"/>
        <w:gridCol w:w="164"/>
      </w:tblGrid>
      <w:tr>
        <w:trPr/>
        <w:tc>
          <w:tcPr>
            <w:tcW w:w="182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3" w:type="dxa"/>
            <w:gridSpan w:val="2"/>
            <w:tcBorders/>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 (loss)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8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11,940 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7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2,752 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19,002 </w:t>
            </w:r>
          </w:p>
        </w:tc>
        <w:tc>
          <w:tcPr>
            <w:tcW w:w="11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6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(1,090)</w:t>
            </w:r>
          </w:p>
        </w:tc>
        <w:tc>
          <w:tcPr>
            <w:tcW w:w="11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Unrealized gain on derivative securities, effective portion, net of income tax impacts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315 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528 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Transfers from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Increase in additional paid-in capital as a result of 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1,973 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3,545 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2,964 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6,745 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(decrease) in additional paid-in capital as a result of common stock issuances pursuant to vesting of equity awards, net of stock withheld for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additional paid-in capital as a result of the acquisition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69,708 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110,085 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1,122 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effect of changes in ownership interest on equity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83,768 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6,680 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134,446 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6,208 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weighted-average ownership percentage for the applicable reporting period is used to attribute net income (loss) to Dutch Bros Inc. and the non-controlling interest holders. The non-controlling interest holders’ weighted-average ownership percentage were as follows for the periods presented:</w:t>
      </w:r>
    </w:p>
    <w:tbl>
      <w:tblPr>
        <w:tblW w:w="10205" w:type="dxa"/>
        <w:jc w:val="left"/>
        <w:tblInd w:w="0" w:type="dxa"/>
        <w:tblLayout w:type="fixed"/>
        <w:tblCellMar>
          <w:top w:w="28" w:type="dxa"/>
          <w:left w:w="28" w:type="dxa"/>
          <w:bottom w:w="28" w:type="dxa"/>
          <w:right w:w="28" w:type="dxa"/>
        </w:tblCellMar>
      </w:tblPr>
      <w:tblGrid>
        <w:gridCol w:w="1273"/>
        <w:gridCol w:w="1118"/>
        <w:gridCol w:w="1122"/>
        <w:gridCol w:w="109"/>
        <w:gridCol w:w="109"/>
        <w:gridCol w:w="109"/>
        <w:gridCol w:w="295"/>
        <w:gridCol w:w="246"/>
        <w:gridCol w:w="597"/>
        <w:gridCol w:w="227"/>
        <w:gridCol w:w="227"/>
        <w:gridCol w:w="227"/>
        <w:gridCol w:w="295"/>
        <w:gridCol w:w="246"/>
        <w:gridCol w:w="597"/>
        <w:gridCol w:w="109"/>
        <w:gridCol w:w="109"/>
        <w:gridCol w:w="109"/>
        <w:gridCol w:w="295"/>
        <w:gridCol w:w="246"/>
        <w:gridCol w:w="552"/>
        <w:gridCol w:w="209"/>
        <w:gridCol w:w="209"/>
        <w:gridCol w:w="209"/>
        <w:gridCol w:w="295"/>
        <w:gridCol w:w="246"/>
        <w:gridCol w:w="552"/>
        <w:gridCol w:w="109"/>
        <w:gridCol w:w="159"/>
      </w:tblGrid>
      <w:tr>
        <w:trPr/>
        <w:tc>
          <w:tcPr>
            <w:tcW w:w="127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8" w:type="dxa"/>
            <w:gridSpan w:val="2"/>
            <w:tcBorders/>
          </w:tcPr>
          <w:p>
            <w:pPr>
              <w:pStyle w:val="TableContents"/>
              <w:bidi w:val="0"/>
              <w:spacing w:before="0" w:after="283"/>
              <w:jc w:val="left"/>
              <w:rPr>
                <w:sz w:val="4"/>
                <w:szCs w:val="4"/>
              </w:rPr>
            </w:pPr>
            <w:r>
              <w:rPr>
                <w:sz w:val="4"/>
                <w:szCs w:val="4"/>
              </w:rPr>
            </w:r>
          </w:p>
        </w:tc>
      </w:tr>
      <w:tr>
        <w:trPr/>
        <w:tc>
          <w:tcPr>
            <w:tcW w:w="3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3"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ownership percentage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42.5 </w:t>
            </w:r>
          </w:p>
        </w:tc>
        <w:tc>
          <w:tcPr>
            <w:tcW w:w="59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6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65.1 </w:t>
            </w:r>
          </w:p>
        </w:tc>
        <w:tc>
          <w:tcPr>
            <w:tcW w:w="59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47.7 </w:t>
            </w:r>
          </w:p>
        </w:tc>
        <w:tc>
          <w:tcPr>
            <w:tcW w:w="55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6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65.1 </w:t>
            </w:r>
          </w:p>
        </w:tc>
        <w:tc>
          <w:tcPr>
            <w:tcW w:w="55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color w:val="00416B"/>
          <w:sz w:val="24"/>
        </w:rPr>
        <w:t>NOTE 14 — Income (Loss) Per Share</w:t>
      </w:r>
      <w:r>
        <w:rPr>
          <w:color w:val="EE2724"/>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following tables set forth the numerators and denominators used to compute basic and diluted net income (loss) per share of Class A common stock for the periods presented. </w:t>
      </w:r>
    </w:p>
    <w:tbl>
      <w:tblPr>
        <w:tblW w:w="10205" w:type="dxa"/>
        <w:jc w:val="left"/>
        <w:tblInd w:w="0" w:type="dxa"/>
        <w:tblLayout w:type="fixed"/>
        <w:tblCellMar>
          <w:top w:w="28" w:type="dxa"/>
          <w:left w:w="28" w:type="dxa"/>
          <w:bottom w:w="28" w:type="dxa"/>
          <w:right w:w="28" w:type="dxa"/>
        </w:tblCellMar>
      </w:tblPr>
      <w:tblGrid>
        <w:gridCol w:w="1654"/>
        <w:gridCol w:w="1224"/>
        <w:gridCol w:w="1108"/>
        <w:gridCol w:w="109"/>
        <w:gridCol w:w="109"/>
        <w:gridCol w:w="109"/>
        <w:gridCol w:w="243"/>
        <w:gridCol w:w="868"/>
        <w:gridCol w:w="125"/>
        <w:gridCol w:w="125"/>
        <w:gridCol w:w="125"/>
        <w:gridCol w:w="125"/>
        <w:gridCol w:w="243"/>
        <w:gridCol w:w="746"/>
        <w:gridCol w:w="125"/>
        <w:gridCol w:w="109"/>
        <w:gridCol w:w="109"/>
        <w:gridCol w:w="109"/>
        <w:gridCol w:w="225"/>
        <w:gridCol w:w="801"/>
        <w:gridCol w:w="116"/>
        <w:gridCol w:w="116"/>
        <w:gridCol w:w="116"/>
        <w:gridCol w:w="116"/>
        <w:gridCol w:w="225"/>
        <w:gridCol w:w="736"/>
        <w:gridCol w:w="116"/>
        <w:gridCol w:w="109"/>
        <w:gridCol w:w="164"/>
      </w:tblGrid>
      <w:tr>
        <w:trPr/>
        <w:tc>
          <w:tcPr>
            <w:tcW w:w="165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3" w:type="dxa"/>
            <w:gridSpan w:val="2"/>
            <w:tcBorders/>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Numerator: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38,371 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Less: Net income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10,216 </w:t>
            </w:r>
          </w:p>
        </w:tc>
        <w:tc>
          <w:tcPr>
            <w:tcW w:w="1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6,959 </w:t>
            </w:r>
          </w:p>
        </w:tc>
        <w:tc>
          <w:tcPr>
            <w:tcW w:w="1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19,369 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1,410 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income (loss)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11,940 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19,002 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63220"/>
                <wp:effectExtent l="0" t="0" r="0" b="0"/>
                <wp:wrapNone/>
                <wp:docPr id="83" name="Frame2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 descr=""/>
                                          <pic:cNvPicPr>
                                            <a:picLocks noChangeAspect="1" noChangeArrowheads="1"/>
                                          </pic:cNvPicPr>
                                        </pic:nvPicPr>
                                        <pic:blipFill>
                                          <a:blip r:embed="rId5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tbl>
      <w:tblPr>
        <w:tblW w:w="10205" w:type="dxa"/>
        <w:jc w:val="left"/>
        <w:tblInd w:w="0" w:type="dxa"/>
        <w:tblLayout w:type="fixed"/>
        <w:tblCellMar>
          <w:top w:w="28" w:type="dxa"/>
          <w:left w:w="28" w:type="dxa"/>
          <w:bottom w:w="28" w:type="dxa"/>
          <w:right w:w="28" w:type="dxa"/>
        </w:tblCellMar>
      </w:tblPr>
      <w:tblGrid>
        <w:gridCol w:w="1840"/>
        <w:gridCol w:w="1205"/>
        <w:gridCol w:w="1213"/>
        <w:gridCol w:w="109"/>
        <w:gridCol w:w="109"/>
        <w:gridCol w:w="109"/>
        <w:gridCol w:w="228"/>
        <w:gridCol w:w="812"/>
        <w:gridCol w:w="117"/>
        <w:gridCol w:w="117"/>
        <w:gridCol w:w="117"/>
        <w:gridCol w:w="117"/>
        <w:gridCol w:w="228"/>
        <w:gridCol w:w="699"/>
        <w:gridCol w:w="117"/>
        <w:gridCol w:w="109"/>
        <w:gridCol w:w="109"/>
        <w:gridCol w:w="109"/>
        <w:gridCol w:w="218"/>
        <w:gridCol w:w="777"/>
        <w:gridCol w:w="112"/>
        <w:gridCol w:w="112"/>
        <w:gridCol w:w="112"/>
        <w:gridCol w:w="112"/>
        <w:gridCol w:w="218"/>
        <w:gridCol w:w="693"/>
        <w:gridCol w:w="112"/>
        <w:gridCol w:w="109"/>
        <w:gridCol w:w="166"/>
      </w:tblGrid>
      <w:tr>
        <w:trPr/>
        <w:tc>
          <w:tcPr>
            <w:tcW w:w="184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 </w:t>
            </w:r>
          </w:p>
        </w:tc>
        <w:tc>
          <w:tcPr>
            <w:tcW w:w="25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5" w:type="dxa"/>
            <w:gridSpan w:val="2"/>
            <w:tcBorders/>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Basic net income (loss)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income (loss)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11,940 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9"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2,752 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77"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19,002 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3"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(1,090)</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Weighted-average number of shares of Class A and Class D common stock outstanding - basic ¹</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101,965 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56,734 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92,647 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56,699 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Basic net income (loss) per share attributable to common stockholders ¹</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2"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0.12 </w:t>
            </w:r>
          </w:p>
        </w:tc>
        <w:tc>
          <w:tcPr>
            <w:tcW w:w="117" w:type="dxa"/>
            <w:tcBorders>
              <w:bottom w:val="double" w:sz="8" w:space="0" w:color="000000"/>
            </w:tcBorders>
            <w:shd w:fill="D2DCE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9"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0.05 </w:t>
            </w:r>
          </w:p>
        </w:tc>
        <w:tc>
          <w:tcPr>
            <w:tcW w:w="117" w:type="dxa"/>
            <w:tcBorders>
              <w:bottom w:val="double" w:sz="8" w:space="0" w:color="000000"/>
            </w:tcBorders>
            <w:shd w:fill="D2DCE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77"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0.21 </w:t>
            </w:r>
          </w:p>
        </w:tc>
        <w:tc>
          <w:tcPr>
            <w:tcW w:w="112" w:type="dxa"/>
            <w:tcBorders>
              <w:bottom w:val="double" w:sz="8" w:space="0" w:color="000000"/>
            </w:tcBorders>
            <w:shd w:fill="D2DCE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3" w:type="dxa"/>
            <w:tcBorders>
              <w:bottom w:val="double" w:sz="8" w:space="0" w:color="000000"/>
            </w:tcBorders>
            <w:shd w:fill="D2DCE5"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(0.02)</w:t>
            </w:r>
          </w:p>
        </w:tc>
        <w:tc>
          <w:tcPr>
            <w:tcW w:w="112" w:type="dxa"/>
            <w:tcBorders>
              <w:bottom w:val="double" w:sz="8" w:space="0" w:color="000000"/>
            </w:tcBorders>
            <w:shd w:fill="D2DCE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Class D common shares included in net income (loss) per share and weighted-average number of shares calculations in 2023 and periods prior to June 2024. As of June 2024, all Class D common shares have been converted to Class A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938"/>
        <w:gridCol w:w="1207"/>
        <w:gridCol w:w="1215"/>
        <w:gridCol w:w="109"/>
        <w:gridCol w:w="109"/>
        <w:gridCol w:w="109"/>
        <w:gridCol w:w="222"/>
        <w:gridCol w:w="791"/>
        <w:gridCol w:w="114"/>
        <w:gridCol w:w="114"/>
        <w:gridCol w:w="114"/>
        <w:gridCol w:w="114"/>
        <w:gridCol w:w="222"/>
        <w:gridCol w:w="680"/>
        <w:gridCol w:w="114"/>
        <w:gridCol w:w="109"/>
        <w:gridCol w:w="109"/>
        <w:gridCol w:w="109"/>
        <w:gridCol w:w="215"/>
        <w:gridCol w:w="768"/>
        <w:gridCol w:w="111"/>
        <w:gridCol w:w="111"/>
        <w:gridCol w:w="111"/>
        <w:gridCol w:w="111"/>
        <w:gridCol w:w="215"/>
        <w:gridCol w:w="677"/>
        <w:gridCol w:w="111"/>
        <w:gridCol w:w="109"/>
        <w:gridCol w:w="167"/>
      </w:tblGrid>
      <w:tr>
        <w:trPr/>
        <w:tc>
          <w:tcPr>
            <w:tcW w:w="193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6" w:type="dxa"/>
            <w:gridSpan w:val="2"/>
            <w:tcBorders/>
          </w:tcPr>
          <w:p>
            <w:pPr>
              <w:pStyle w:val="TableContents"/>
              <w:bidi w:val="0"/>
              <w:spacing w:before="0" w:after="283"/>
              <w:jc w:val="left"/>
              <w:rPr>
                <w:sz w:val="4"/>
                <w:szCs w:val="4"/>
              </w:rPr>
            </w:pPr>
            <w:r>
              <w:rPr>
                <w:sz w:val="4"/>
                <w:szCs w:val="4"/>
              </w:rPr>
            </w:r>
          </w:p>
        </w:tc>
      </w:tr>
      <w:tr>
        <w:trPr/>
        <w:tc>
          <w:tcPr>
            <w:tcW w:w="4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 net income (loss)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Undistributed net income (loss) for basic computation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11,940 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80"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2,752 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8"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19,002 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77"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(1,090)</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net income attributable to common stockholders upon conversion of potentially dilutive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Allocation of undistributed net income (loss)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11,963 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8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2,782 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19,046 </w:t>
            </w:r>
          </w:p>
        </w:tc>
        <w:tc>
          <w:tcPr>
            <w:tcW w:w="1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7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(1,090)</w:t>
            </w:r>
          </w:p>
        </w:tc>
        <w:tc>
          <w:tcPr>
            <w:tcW w:w="1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Denominator: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Number of shares used in basic computation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101,965 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56,734 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92,647 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 weighted-average effect of dilutive securities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RSUs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377 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380 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Weighted-average number of shares of Class A and Class D common stock outstanding used to calculate diluted net income (loss) per share ¹</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102,356 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57,428 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93,049 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56,699 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Diluted net income (loss) per share attributable to common stockholders ¹</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0.12 </w:t>
            </w:r>
          </w:p>
        </w:tc>
        <w:tc>
          <w:tcPr>
            <w:tcW w:w="1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8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0.05 </w:t>
            </w:r>
          </w:p>
        </w:tc>
        <w:tc>
          <w:tcPr>
            <w:tcW w:w="1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0.20 </w:t>
            </w:r>
          </w:p>
        </w:tc>
        <w:tc>
          <w:tcPr>
            <w:tcW w:w="1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7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(0.02)</w:t>
            </w:r>
          </w:p>
        </w:tc>
        <w:tc>
          <w:tcPr>
            <w:tcW w:w="1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Class D common shares included in net income (loss) per share and weighted-average number of shares calculations in 2023 and periods prior to June 2024. As of June 2024, all Class D common shares have been converted to Class A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63220"/>
                <wp:effectExtent l="0" t="0" r="0" b="0"/>
                <wp:wrapNone/>
                <wp:docPr id="86" name="Frame3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5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Class A common stock equivalents were excluded from diluted net income (loss) per share in the periods presented because they were anti-dilutive:</w:t>
      </w:r>
    </w:p>
    <w:tbl>
      <w:tblPr>
        <w:tblW w:w="9119" w:type="dxa"/>
        <w:jc w:val="left"/>
        <w:tblInd w:w="0" w:type="dxa"/>
        <w:tblLayout w:type="fixed"/>
        <w:tblCellMar>
          <w:top w:w="28" w:type="dxa"/>
          <w:left w:w="28" w:type="dxa"/>
          <w:bottom w:w="28" w:type="dxa"/>
          <w:right w:w="28" w:type="dxa"/>
        </w:tblCellMar>
      </w:tblPr>
      <w:tblGrid>
        <w:gridCol w:w="908"/>
        <w:gridCol w:w="796"/>
        <w:gridCol w:w="801"/>
        <w:gridCol w:w="109"/>
        <w:gridCol w:w="109"/>
        <w:gridCol w:w="109"/>
        <w:gridCol w:w="320"/>
        <w:gridCol w:w="320"/>
        <w:gridCol w:w="320"/>
        <w:gridCol w:w="320"/>
        <w:gridCol w:w="320"/>
        <w:gridCol w:w="320"/>
        <w:gridCol w:w="320"/>
        <w:gridCol w:w="320"/>
        <w:gridCol w:w="320"/>
        <w:gridCol w:w="109"/>
        <w:gridCol w:w="109"/>
        <w:gridCol w:w="109"/>
        <w:gridCol w:w="295"/>
        <w:gridCol w:w="295"/>
        <w:gridCol w:w="295"/>
        <w:gridCol w:w="295"/>
        <w:gridCol w:w="295"/>
        <w:gridCol w:w="295"/>
        <w:gridCol w:w="457"/>
        <w:gridCol w:w="295"/>
        <w:gridCol w:w="295"/>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RSAs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2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32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95"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1,315 </w:t>
            </w:r>
          </w:p>
        </w:tc>
        <w:tc>
          <w:tcPr>
            <w:tcW w:w="295"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anti-dilutive securities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87 </w:t>
            </w:r>
          </w:p>
        </w:tc>
        <w:tc>
          <w:tcPr>
            <w:tcW w:w="3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627 </w:t>
            </w:r>
          </w:p>
        </w:tc>
        <w:tc>
          <w:tcPr>
            <w:tcW w:w="3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101 </w:t>
            </w:r>
          </w:p>
        </w:tc>
        <w:tc>
          <w:tcPr>
            <w:tcW w:w="29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1,942 </w:t>
            </w:r>
          </w:p>
        </w:tc>
        <w:tc>
          <w:tcPr>
            <w:tcW w:w="29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15 — Commitments and Contingencies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Purchase Obligations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enters into fixed-price and price-to-be fixed green coffee purchase commitments. For both fixed-price and price-to-be fixed purchase commitments, the Company expects to take delivery of green coffee and to utilize the coffee in a reasonable period of time in the ordinary course of business. Such contracts are used for the normal purchases of green coffee and not for speculative purposes. The Company does not enter into futures contracts or other derivative instruments related to its green coffee purchase commitments.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Guarantees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periodically provides guarantees to franchise partners for lease payments. Annually, the Company determines if a liability needs to be recorded related to these guarantees. As of June 30, 2024 and December 31, 2023, the Company had guaranteed approximately $1.3 million and $1.4 million, respectively, in franchise partners’ lease payments and has not established a liability for these guarantees as any liability arising from the guarantees is not material to the condensed consolidated financial statements.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is a party to routine legal actions arising in the ordinary course of and incidental to its business. These claims, legal proceedings, and litigation principally arise from alleged casualty, employment, and other disputes.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Any claim, proceeding or litigation has an element of uncertainty, and an unfavorable outcome may have a material adverse effect on the Company’s financial condition,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63220"/>
                <wp:effectExtent l="0" t="0" r="0" b="0"/>
                <wp:wrapNone/>
                <wp:docPr id="89" name="Frame3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6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Litigation Related to Securities Claims</w:t>
      </w:r>
    </w:p>
    <w:p>
      <w:pPr>
        <w:pStyle w:val="TextBody"/>
        <w:bidi w:val="0"/>
        <w:spacing w:lineRule="auto" w:line="288" w:before="0" w:after="180"/>
        <w:jc w:val="both"/>
        <w:rPr/>
      </w:pPr>
      <w:r>
        <w:rPr>
          <w:rFonts w:ascii="Arial;sans-serif" w:hAnsi="Arial;sans-serif"/>
          <w:b w:val="false"/>
          <w:color w:val="131E29"/>
          <w:sz w:val="20"/>
        </w:rPr>
        <w:t xml:space="preserve">On March 1, 2023, plaintiff Jerry Peacock filed a putative class action lawsuit in U.S. District Court for the Southern District of New York against Dutch Bros Inc. and certain of its executive officers for alleged violations of U.S. federal securities laws. On August 3, 2023, the court appointed a lead plaintiff and re-captioned the case </w:t>
      </w:r>
      <w:r>
        <w:rPr>
          <w:rFonts w:ascii="Arial;sans-serif" w:hAnsi="Arial;sans-serif"/>
          <w:b w:val="false"/>
          <w:i/>
          <w:color w:val="131E29"/>
          <w:sz w:val="20"/>
        </w:rPr>
        <w:t>Douglas Rein, Individually and On Behalf of All Others Similarly Situated v. Dutch Bros, Inc. et al</w:t>
      </w:r>
      <w:r>
        <w:rPr>
          <w:rFonts w:ascii="Arial;sans-serif" w:hAnsi="Arial;sans-serif"/>
          <w:b w:val="false"/>
          <w:color w:val="131E29"/>
          <w:sz w:val="20"/>
        </w:rPr>
        <w:t xml:space="preserve">. On August 31, 2023, an amended complaint was filed (the Amended Complaint) which asserts claims under Sections 10(b) and 20(a) of the Securities Exchange Act of 1934, as amended (the Exchange Act), on behalf of a proposed class consisting of those who acquired Dutch Bros Inc.’s securities between November 10, 2021 and May 11, 2022. The Amended Complaint generally alleges that the defendants made false or misleading statements about the impact of commodity inflation on the Company’s financial results for the first quarter of 2022. The Amended Complaint primarily seeks compensatory damages for all affected members of the purported class. On June 24, 2024, the court granted the defendants’ motion to dismiss the Amended Complaint in its entirety and with prejudice, and the time for the lead plaintiff to file a notice of appeal of the court’s dismissal has elapsed. </w:t>
      </w:r>
    </w:p>
    <w:p>
      <w:pPr>
        <w:pStyle w:val="TextBody"/>
        <w:bidi w:val="0"/>
        <w:spacing w:lineRule="auto" w:line="288" w:before="0" w:after="180"/>
        <w:jc w:val="both"/>
        <w:rPr/>
      </w:pPr>
      <w:r>
        <w:rPr>
          <w:rFonts w:ascii="Arial;sans-serif" w:hAnsi="Arial;sans-serif"/>
          <w:b w:val="false"/>
          <w:color w:val="131E29"/>
          <w:sz w:val="20"/>
        </w:rPr>
        <w:t xml:space="preserve">In addition, on June 14, 2023, June 30, 2023, and July 18, 2023, respectively, plaintiffs Brennan Hudson, Darren Wakefield, and Amanda Boster each filed a putative stockholder derivative lawsuit in U.S. District Court for the Southern District of New York. The complaints name Dutch Bros Inc. as a nominal defendant and purport to bring claims on behalf of Dutch Bros Inc. against certain of Dutch Bros Inc.’s directors and executive officers for alleged breaches of their fiduciary duties in relation to substantially the same factual allegations as the above-described putative class action lawsuit. The complaints each primarily seek to recover for Dutch Bros Inc. compensatory damages for losses allegedly sustained by Dutch Bros Inc. related to the facts alleged, restitution, and equitable relief in the form of revisions to Dutch Bros Inc.’s governing documents. On July 27, 2023, the three actions were consolidated, and the consolidated action is now captioned </w:t>
      </w:r>
      <w:r>
        <w:rPr>
          <w:rFonts w:ascii="Arial;sans-serif" w:hAnsi="Arial;sans-serif"/>
          <w:b w:val="false"/>
          <w:i/>
          <w:color w:val="131E29"/>
          <w:sz w:val="20"/>
        </w:rPr>
        <w:t>In re Dutch Bros Inc. Derivative Litigation</w:t>
      </w:r>
      <w:r>
        <w:rPr>
          <w:rFonts w:ascii="Arial;sans-serif" w:hAnsi="Arial;sans-serif"/>
          <w:b w:val="false"/>
          <w:color w:val="131E29"/>
          <w:sz w:val="20"/>
        </w:rPr>
        <w:t>. On September 14, 2023, the court entered an order staying the consolidated action pending the resolution of the motion to dismiss in the above-described putative class action lawsuit and entry of a scheduling order in the consolidated action. On July 8, 2024, defendants provided the court notice of the motion to dismiss ruling in the above-described putative class action lawsuit. On July 30, 2024, the parties filed with the court a stipulation and proposed order to dismiss the case, and on August 7, 2024, the court entered the parties’ proposed order, dismissing the case.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November 3, 2023, plaintiff David Briggs filed a putative stockholder derivative lawsuit in the Delaware Court of Chancery. The complaint names Dutch Bros Inc. as a nominal defendant and purports to bring claims on behalf of Dutch Bros Inc. against certain of Dutch Bros Inc.’s directors and executive officers for alleged breaches of their fiduciary duties in relation to substantially the same factual allegations as the above-described putative class action lawsuit. The complaint primarily seeks to recover for Dutch Bros Inc. compensatory damages for losses allegedly sustained by Dutch Bros Inc. related to the facts alleged, restitution, and equitable relief in the form of revisions to Dutch Bros Inc.’s governing documents. On July 9, 2024, the parties provided the court notice of the motion to dismiss ruling in the above-described putative class action lawsuit. The parties have until August 21, 2024 to file either a stipulation and proposed order of dismissal or a further status report.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To the extent the putative stockholder derivative lawsuit in the Delaware Court of Chancery is not dismissed, the Company intends to vigorously defend against it. Given the nature of these cases, including that the proceedings are in their early stages, the Company is unable to predict the ultimate outcome of the case or estimate the range of potential loss,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Liabilities Under 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the TRAs, Dutch Bros Inc. is contractually committed to pay the non-controlling interest holders 85% of the amount of any tax benefits that Dutch Bros Inc. actually realizes, or in some cases is deemed to realize, as a result of certain transactions. As of June 30, 2024, Dutch Bros Inc. recognized $605.0 million of liabilities related to its obligations under the TRAs.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63220"/>
                <wp:effectExtent l="0" t="0" r="0" b="0"/>
                <wp:wrapNone/>
                <wp:docPr id="92" name="Frame3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6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16 — Related Party Transactions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June 25, 2024, the Company sold its airplane to the Co-Founder for approximately $8.7 million. The transaction resulted in a gain of approximately $0.8 million, reflected in the “Other income, net” line item of the condensed consolidated statements of operations for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Company’s donations to the Dutch Bros Foundation, a not-for-profit founded by the Company that provides philanthropy to coffee farmers and local communities and for which our Co-Founder and the Company’s Vice Chair, Chief Legal Officer, and Chief Administrative Officer serve on the board of directors, and for which the Company’s Vice Chair serves as the President, were as follows:</w:t>
      </w:r>
    </w:p>
    <w:tbl>
      <w:tblPr>
        <w:tblW w:w="9714" w:type="dxa"/>
        <w:jc w:val="left"/>
        <w:tblInd w:w="0" w:type="dxa"/>
        <w:tblLayout w:type="fixed"/>
        <w:tblCellMar>
          <w:top w:w="28" w:type="dxa"/>
          <w:left w:w="28" w:type="dxa"/>
          <w:bottom w:w="28" w:type="dxa"/>
          <w:right w:w="28" w:type="dxa"/>
        </w:tblCellMar>
      </w:tblPr>
      <w:tblGrid>
        <w:gridCol w:w="1185"/>
        <w:gridCol w:w="1040"/>
        <w:gridCol w:w="1045"/>
        <w:gridCol w:w="109"/>
        <w:gridCol w:w="109"/>
        <w:gridCol w:w="109"/>
        <w:gridCol w:w="305"/>
        <w:gridCol w:w="935"/>
        <w:gridCol w:w="157"/>
        <w:gridCol w:w="157"/>
        <w:gridCol w:w="157"/>
        <w:gridCol w:w="157"/>
        <w:gridCol w:w="305"/>
        <w:gridCol w:w="544"/>
        <w:gridCol w:w="157"/>
        <w:gridCol w:w="109"/>
        <w:gridCol w:w="109"/>
        <w:gridCol w:w="109"/>
        <w:gridCol w:w="267"/>
        <w:gridCol w:w="819"/>
        <w:gridCol w:w="138"/>
        <w:gridCol w:w="138"/>
        <w:gridCol w:w="138"/>
        <w:gridCol w:w="138"/>
        <w:gridCol w:w="267"/>
        <w:gridCol w:w="610"/>
        <w:gridCol w:w="138"/>
        <w:gridCol w:w="109"/>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Donations to Dutch Bros Foundation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1,562 </w:t>
            </w:r>
          </w:p>
        </w:tc>
        <w:tc>
          <w:tcPr>
            <w:tcW w:w="1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63 </w:t>
            </w:r>
          </w:p>
        </w:tc>
        <w:tc>
          <w:tcPr>
            <w:tcW w:w="1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1,625 </w:t>
            </w:r>
          </w:p>
        </w:tc>
        <w:tc>
          <w:tcPr>
            <w:tcW w:w="13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1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126 </w:t>
            </w:r>
          </w:p>
        </w:tc>
        <w:tc>
          <w:tcPr>
            <w:tcW w:w="13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17 — Segment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Segment information is prepared on the same basis that the Company’s CEO, who is the CODM, manages the segments, evaluates financial results and makes key operating decisions. The Company’s CEO evaluates the financial performance of the Company based on two operating segments: Company-operated shops and Franchising and other. The Company-operated shops segment includes coffee shop sales to customers. The Franchising and other segment includes bean and product sales to franchise partners and includes the initial franchise fees, royalties, and marketing fees.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CODM reviews segment performance and allocates resources based upon segment contribution, which is defined as segment gross profit before depreciation and amortization.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All segment revenue is earned in the United States, and there are no intersegment revenues. The CODM does not evaluate operating segments using discrete asset information, and we do not identify or allocate assets by operating segments.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Selling, general and administrative expenses primarily consist of the Company’s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 changes have been made to the Company’s segments during the three and six months ended June 30, 2024. In addition, no customer represented 10% or more of total revenue for the three and six months ended June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63220"/>
                <wp:effectExtent l="0" t="0" r="0" b="0"/>
                <wp:wrapNone/>
                <wp:docPr id="95" name="Frame3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6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Financial information for the Company’s reportable segments was as follows for the periods presented:</w:t>
      </w:r>
    </w:p>
    <w:tbl>
      <w:tblPr>
        <w:tblW w:w="10205" w:type="dxa"/>
        <w:jc w:val="left"/>
        <w:tblInd w:w="0" w:type="dxa"/>
        <w:tblLayout w:type="fixed"/>
        <w:tblCellMar>
          <w:top w:w="28" w:type="dxa"/>
          <w:left w:w="28" w:type="dxa"/>
          <w:bottom w:w="28" w:type="dxa"/>
          <w:right w:w="28" w:type="dxa"/>
        </w:tblCellMar>
      </w:tblPr>
      <w:tblGrid>
        <w:gridCol w:w="1604"/>
        <w:gridCol w:w="1074"/>
        <w:gridCol w:w="1073"/>
        <w:gridCol w:w="109"/>
        <w:gridCol w:w="109"/>
        <w:gridCol w:w="109"/>
        <w:gridCol w:w="224"/>
        <w:gridCol w:w="913"/>
        <w:gridCol w:w="116"/>
        <w:gridCol w:w="116"/>
        <w:gridCol w:w="116"/>
        <w:gridCol w:w="116"/>
        <w:gridCol w:w="224"/>
        <w:gridCol w:w="913"/>
        <w:gridCol w:w="116"/>
        <w:gridCol w:w="109"/>
        <w:gridCol w:w="109"/>
        <w:gridCol w:w="109"/>
        <w:gridCol w:w="211"/>
        <w:gridCol w:w="856"/>
        <w:gridCol w:w="109"/>
        <w:gridCol w:w="109"/>
        <w:gridCol w:w="109"/>
        <w:gridCol w:w="109"/>
        <w:gridCol w:w="211"/>
        <w:gridCol w:w="856"/>
        <w:gridCol w:w="109"/>
        <w:gridCol w:w="109"/>
        <w:gridCol w:w="158"/>
      </w:tblGrid>
      <w:tr>
        <w:trPr/>
        <w:tc>
          <w:tcPr>
            <w:tcW w:w="160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3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295,268 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220,952 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29,650 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28,927 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53,030 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324,918 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249,879 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600,017 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447,146 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225,252 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168,873 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9,385 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9,763 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18,855 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16,994 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234,637 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178,636 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437,887 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330,159 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contribution: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91,054 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66,878 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165,053 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108,751 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21,342 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20,461 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40,181 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38,694 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112,396 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87,339 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205,234 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21,038 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1,077 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1,297 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2,658 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16,096 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All other ¹</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235 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420 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837 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22,350 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16,516 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(58,097)</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(51,662)</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(104,330)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(97,638)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(6,997)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income,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829 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1,039 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6,593 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26,016 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11,562 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__________________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All other depreciation and amortization is i</w:t>
      </w:r>
      <w:r>
        <w:rPr>
          <w:rFonts w:ascii="Arial;sans-serif" w:hAnsi="Arial;sans-serif"/>
          <w:b w:val="false"/>
          <w:color w:val="131E29"/>
          <w:sz w:val="16"/>
        </w:rPr>
        <w:t xml:space="preserve">ncluded in selling, general and administrative expenses and is not part of the segment contribution calculations.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63220"/>
                <wp:effectExtent l="0" t="0" r="0" b="0"/>
                <wp:wrapNone/>
                <wp:docPr id="98" name="Frame3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4" descr=""/>
                                          <pic:cNvPicPr>
                                            <a:picLocks noChangeAspect="1" noChangeArrowheads="1"/>
                                          </pic:cNvPicPr>
                                        </pic:nvPicPr>
                                        <pic:blipFill>
                                          <a:blip r:embed="rId6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i/>
          <w:color w:val="131E29"/>
          <w:sz w:val="18"/>
        </w:rPr>
      </w:pPr>
      <w:r>
        <w:rPr>
          <w:rFonts w:ascii="Arial;sans-serif" w:hAnsi="Arial;sans-serif"/>
          <w:b w:val="false"/>
          <w:i/>
          <w:color w:val="131E29"/>
          <w:sz w:val="18"/>
        </w:rPr>
        <w:t>You should read the following discussion and analysis of our financial condition and results of operations together with our condensed consolidated financial statements and the related notes included elsewhere in this Form 10-Q. Some of the information contained in this discussion and analysis or set forth elsewhere in this document includes forward looking statements that involve risks, uncertainties, and assumptions. You should carefully read the “Forward-Looking Statements” and “Risk Factors” sections of this Form 10-Q for a discussion of important factors that could cause actual results to differ materially from the results described in or implied by the forward-looking statements contained in the following discussion and analysis.</w:t>
      </w:r>
    </w:p>
    <w:p>
      <w:pPr>
        <w:pStyle w:val="TextBody"/>
        <w:bidi w:val="0"/>
        <w:spacing w:lineRule="auto" w:line="288" w:before="0" w:after="180"/>
        <w:jc w:val="both"/>
        <w:rPr>
          <w:rFonts w:ascii="Arial;sans-serif" w:hAnsi="Arial;sans-serif"/>
          <w:b w:val="false"/>
          <w:i/>
          <w:color w:val="131E29"/>
          <w:sz w:val="18"/>
        </w:rPr>
      </w:pPr>
      <w:r>
        <w:rPr>
          <w:rFonts w:ascii="Arial;sans-serif" w:hAnsi="Arial;sans-serif"/>
          <w:b w:val="false"/>
          <w:i/>
          <w:color w:val="131E29"/>
          <w:sz w:val="18"/>
        </w:rPr>
        <w:t xml:space="preserve">In addition, statements that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Overview and Highlights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 by location count.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2024, we had 912 company-operated and franchised shops in 18 states, an increase of approximately 21.0% from the same period in the prior year. For the three months ended June 30, 2024, we generated $324.9 million of revenue, $22.2 million of net income, and $0.12 earnings per diluted share. We have two reportable operating segments: Company-operated shops and Franchising and other.</w:t>
      </w:r>
    </w:p>
    <w:p>
      <w:pPr>
        <w:pStyle w:val="TextBody"/>
        <w:bidi w:val="0"/>
        <w:spacing w:before="0" w:after="540"/>
        <w:jc w:val="left"/>
        <w:rPr/>
      </w:pPr>
      <w:r>
        <w:rPr/>
        <w:drawing>
          <wp:inline distT="0" distB="0" distL="0" distR="0">
            <wp:extent cx="1905000" cy="2476500"/>
            <wp:effectExtent l="0" t="0" r="0" b="0"/>
            <wp:docPr id="10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5" descr=""/>
                    <pic:cNvPicPr>
                      <a:picLocks noChangeAspect="1" noChangeArrowheads="1"/>
                    </pic:cNvPicPr>
                  </pic:nvPicPr>
                  <pic:blipFill>
                    <a:blip r:embed="rId68"/>
                    <a:stretch>
                      <a:fillRect/>
                    </a:stretch>
                  </pic:blipFill>
                  <pic:spPr bwMode="auto">
                    <a:xfrm>
                      <a:off x="0" y="0"/>
                      <a:ext cx="1905000" cy="2476500"/>
                    </a:xfrm>
                    <a:prstGeom prst="rect">
                      <a:avLst/>
                    </a:prstGeom>
                  </pic:spPr>
                </pic:pic>
              </a:graphicData>
            </a:graphic>
          </wp:inline>
        </w:drawing>
      </w:r>
      <w:r>
        <w:rPr/>
        <w:drawing>
          <wp:inline distT="0" distB="0" distL="0" distR="0">
            <wp:extent cx="1905000" cy="2476500"/>
            <wp:effectExtent l="0" t="0" r="0" b="0"/>
            <wp:docPr id="10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6" descr=""/>
                    <pic:cNvPicPr>
                      <a:picLocks noChangeAspect="1" noChangeArrowheads="1"/>
                    </pic:cNvPicPr>
                  </pic:nvPicPr>
                  <pic:blipFill>
                    <a:blip r:embed="rId69"/>
                    <a:stretch>
                      <a:fillRect/>
                    </a:stretch>
                  </pic:blipFill>
                  <pic:spPr bwMode="auto">
                    <a:xfrm>
                      <a:off x="0" y="0"/>
                      <a:ext cx="1905000" cy="2476500"/>
                    </a:xfrm>
                    <a:prstGeom prst="rect">
                      <a:avLst/>
                    </a:prstGeom>
                  </pic:spPr>
                </pic:pic>
              </a:graphicData>
            </a:graphic>
          </wp:inline>
        </w:drawing>
      </w:r>
      <w:r>
        <w:rPr/>
        <w:drawing>
          <wp:inline distT="0" distB="0" distL="0" distR="0">
            <wp:extent cx="2085975" cy="2476500"/>
            <wp:effectExtent l="0" t="0" r="0" b="0"/>
            <wp:docPr id="10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7" descr=""/>
                    <pic:cNvPicPr>
                      <a:picLocks noChangeAspect="1" noChangeArrowheads="1"/>
                    </pic:cNvPicPr>
                  </pic:nvPicPr>
                  <pic:blipFill>
                    <a:blip r:embed="rId70"/>
                    <a:stretch>
                      <a:fillRect/>
                    </a:stretch>
                  </pic:blipFill>
                  <pic:spPr bwMode="auto">
                    <a:xfrm>
                      <a:off x="0" y="0"/>
                      <a:ext cx="2085975" cy="2476500"/>
                    </a:xfrm>
                    <a:prstGeom prst="rect">
                      <a:avLst/>
                    </a:prstGeom>
                  </pic:spPr>
                </pic:pic>
              </a:graphicData>
            </a:graphic>
          </wp:inline>
        </w:drawing>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63220"/>
                <wp:effectExtent l="0" t="0" r="0" b="0"/>
                <wp:wrapNone/>
                <wp:docPr id="104" name="Frame3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0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8" descr=""/>
                                          <pic:cNvPicPr>
                                            <a:picLocks noChangeAspect="1" noChangeArrowheads="1"/>
                                          </pic:cNvPicPr>
                                        </pic:nvPicPr>
                                        <pic:blipFill>
                                          <a:blip r:embed="rId7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8" descr=""/>
                                    <pic:cNvPicPr>
                                      <a:picLocks noChangeAspect="1" noChangeArrowheads="1"/>
                                    </pic:cNvPicPr>
                                  </pic:nvPicPr>
                                  <pic:blipFill>
                                    <a:blip r:embed="rId7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Key Highlights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Opened our 900th shop during the quarter.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Signed lease for new permanent office campus in Arizona.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Raised $2.5 million in partnership with the Dutch Bros Foundation for the Muscular Dystrophy Association from our annual Drink One for Dane fundraiser.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Impact of Global Events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General Macroeconomic Uncertainties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retailer that is dependent upon consumer discretionary spending, our results of operations are sensitive to changes in macroeconomic conditions. Inflation or a continued economic downturn may have a material adverse effect on our business, financial condition or results of operations. Our customers may have or in the future may have less money available for discretionary purchases and may reduce or stop their purchases of our products.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a macro level, conditions (including bank failures and other events affecting financial institutions, increased interest rates, and the impacts of the Russia-Ukraine and Israel-Hamas wars) have created significant uncertainty in the global economy. While we are not able to fully predict the potential impacts of these conditions, we do not currently believe any potential impacts of these macroeconomic conditions would be material to our business.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Inflation and Minimum Wage Increases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continued to experience the effects of legislated minimum wage increases that took effect this year in certain states. We expect these pressures to continue to affect our operating results in the foreseeable future. For example, California’s minimum wage increased to $20 per hour effective April 2024 for covered employees in our industry. While these pressures have impacted our operating results, we have taken measures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costs and our ability to increase menu prices or take other action in response, or if we choose not to pass on the cost increases by increasing menu prices, our operating results could be negatively affected.</w:t>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63220"/>
                <wp:effectExtent l="0" t="0" r="0" b="0"/>
                <wp:wrapNone/>
                <wp:docPr id="107" name="Frame3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0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9" descr=""/>
                                          <pic:cNvPicPr>
                                            <a:picLocks noChangeAspect="1" noChangeArrowheads="1"/>
                                          </pic:cNvPicPr>
                                        </pic:nvPicPr>
                                        <pic:blipFill>
                                          <a:blip r:embed="rId7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9" descr=""/>
                                    <pic:cNvPicPr>
                                      <a:picLocks noChangeAspect="1" noChangeArrowheads="1"/>
                                    </pic:cNvPicPr>
                                  </pic:nvPicPr>
                                  <pic:blipFill>
                                    <a:blip r:embed="rId7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tables provide our operating results and explanation of changes for the periods presented.</w:t>
      </w:r>
    </w:p>
    <w:p>
      <w:pPr>
        <w:pStyle w:val="TextBody"/>
        <w:bidi w:val="0"/>
        <w:spacing w:lineRule="auto" w:line="288" w:before="0" w:after="180"/>
        <w:jc w:val="center"/>
        <w:rPr>
          <w:rFonts w:ascii="Arial;sans-serif" w:hAnsi="Arial;sans-serif"/>
          <w:b/>
          <w:color w:val="00416B"/>
          <w:sz w:val="24"/>
        </w:rPr>
      </w:pPr>
      <w:r>
        <w:rPr>
          <w:rFonts w:ascii="Arial;sans-serif" w:hAnsi="Arial;sans-serif"/>
          <w:b/>
          <w:color w:val="00416B"/>
          <w:sz w:val="24"/>
        </w:rPr>
        <w:t>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385"/>
        <w:gridCol w:w="1216"/>
        <w:gridCol w:w="1119"/>
        <w:gridCol w:w="109"/>
        <w:gridCol w:w="109"/>
        <w:gridCol w:w="109"/>
        <w:gridCol w:w="218"/>
        <w:gridCol w:w="887"/>
        <w:gridCol w:w="112"/>
        <w:gridCol w:w="112"/>
        <w:gridCol w:w="112"/>
        <w:gridCol w:w="112"/>
        <w:gridCol w:w="218"/>
        <w:gridCol w:w="887"/>
        <w:gridCol w:w="112"/>
        <w:gridCol w:w="109"/>
        <w:gridCol w:w="109"/>
        <w:gridCol w:w="109"/>
        <w:gridCol w:w="211"/>
        <w:gridCol w:w="856"/>
        <w:gridCol w:w="109"/>
        <w:gridCol w:w="109"/>
        <w:gridCol w:w="109"/>
        <w:gridCol w:w="109"/>
        <w:gridCol w:w="211"/>
        <w:gridCol w:w="856"/>
        <w:gridCol w:w="109"/>
        <w:gridCol w:w="109"/>
        <w:gridCol w:w="109"/>
        <w:gridCol w:w="164"/>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382" w:type="dxa"/>
            <w:gridSpan w:val="3"/>
            <w:tcBorders/>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295,268 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220,952 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29,650 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28,927 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53,030 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324,918 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249,879 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600,017 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447,146 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234,637 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178,636 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437,887 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330,159 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58,097 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51,662 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292,734 </w:t>
            </w:r>
          </w:p>
        </w:tc>
        <w:tc>
          <w:tcPr>
            <w:tcW w:w="11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230,298 </w:t>
            </w:r>
          </w:p>
        </w:tc>
        <w:tc>
          <w:tcPr>
            <w:tcW w:w="11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542,217 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427,797 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FROM OPERATIONS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32,184 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19,581 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57,800 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19,349 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829 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1,039 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6,593 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(6,168)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(8,019)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3,860 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1,851 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12,632 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4,431 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22,156 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9,711 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Net income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10,216 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6,959 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19,369 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 (LOSS)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11,940 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63220"/>
                <wp:effectExtent l="0" t="0" r="0" b="0"/>
                <wp:wrapNone/>
                <wp:docPr id="110" name="Frame3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0" descr=""/>
                                          <pic:cNvPicPr>
                                            <a:picLocks noChangeAspect="1" noChangeArrowheads="1"/>
                                          </pic:cNvPicPr>
                                        </pic:nvPicPr>
                                        <pic:blipFill>
                                          <a:blip r:embed="rId7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0" descr=""/>
                                    <pic:cNvPicPr>
                                      <a:picLocks noChangeAspect="1" noChangeArrowheads="1"/>
                                    </pic:cNvPicPr>
                                  </pic:nvPicPr>
                                  <pic:blipFill>
                                    <a:blip r:embed="rId7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center"/>
        <w:rPr>
          <w:rFonts w:ascii="Arial;sans-serif" w:hAnsi="Arial;sans-serif"/>
          <w:b/>
          <w:color w:val="00416B"/>
          <w:sz w:val="24"/>
        </w:rPr>
      </w:pPr>
      <w:r>
        <w:rPr>
          <w:rFonts w:ascii="Arial;sans-serif" w:hAnsi="Arial;sans-serif"/>
          <w:b/>
          <w:color w:val="00416B"/>
          <w:sz w:val="24"/>
        </w:rPr>
        <w:t>Segment Financials</w:t>
      </w:r>
    </w:p>
    <w:tbl>
      <w:tblPr>
        <w:tblW w:w="9638" w:type="dxa"/>
        <w:jc w:val="left"/>
        <w:tblInd w:w="0" w:type="dxa"/>
        <w:tblLayout w:type="fixed"/>
        <w:tblCellMar>
          <w:top w:w="28" w:type="dxa"/>
          <w:left w:w="28" w:type="dxa"/>
          <w:bottom w:w="28" w:type="dxa"/>
          <w:right w:w="28" w:type="dxa"/>
        </w:tblCellMar>
      </w:tblPr>
      <w:tblGrid>
        <w:gridCol w:w="1146"/>
        <w:gridCol w:w="1006"/>
        <w:gridCol w:w="1013"/>
        <w:gridCol w:w="109"/>
        <w:gridCol w:w="109"/>
        <w:gridCol w:w="109"/>
        <w:gridCol w:w="226"/>
        <w:gridCol w:w="920"/>
        <w:gridCol w:w="117"/>
        <w:gridCol w:w="117"/>
        <w:gridCol w:w="117"/>
        <w:gridCol w:w="117"/>
        <w:gridCol w:w="226"/>
        <w:gridCol w:w="920"/>
        <w:gridCol w:w="117"/>
        <w:gridCol w:w="109"/>
        <w:gridCol w:w="109"/>
        <w:gridCol w:w="109"/>
        <w:gridCol w:w="211"/>
        <w:gridCol w:w="856"/>
        <w:gridCol w:w="109"/>
        <w:gridCol w:w="109"/>
        <w:gridCol w:w="109"/>
        <w:gridCol w:w="109"/>
        <w:gridCol w:w="211"/>
        <w:gridCol w:w="856"/>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295,268 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220,952 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29,650 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28,927 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53,030 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324,918 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249,879 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600,017 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447,146 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225,252 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168,873 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9,385 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9,763 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18,855 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16,994 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234,637 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178,636 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437,887 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330,159 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70,016 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52,079 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124,321 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20,265 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19,164 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37,809 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36,036 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90,281 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71,243 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116,987 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21,038 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1,077 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1,297 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2,658 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All other ¹</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22,350 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16,516 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43,603 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31,295 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91,054 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66,878 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165,053 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108,751 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21,342 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20,461 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segment contribution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112,396 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87,339 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205,234 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147,445 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(58,097)</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(51,662)</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(104,330)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(97,638)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(6,997)</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(9,058)</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(13,390)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(16,944)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before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26,016 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11,562 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51,003 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4,751 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__________________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All other depreciation and amortization is i</w:t>
      </w:r>
      <w:r>
        <w:rPr>
          <w:rFonts w:ascii="Arial;sans-serif" w:hAnsi="Arial;sans-serif"/>
          <w:b w:val="false"/>
          <w:color w:val="131E29"/>
          <w:sz w:val="16"/>
        </w:rPr>
        <w:t xml:space="preserve">ncluded in selling, general and administrative expenses and is not part of the segment contribution calculations.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63220"/>
                <wp:effectExtent l="0" t="0" r="0" b="0"/>
                <wp:wrapNone/>
                <wp:docPr id="113" name="Frame3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1" descr=""/>
                                          <pic:cNvPicPr>
                                            <a:picLocks noChangeAspect="1" noChangeArrowheads="1"/>
                                          </pic:cNvPicPr>
                                        </pic:nvPicPr>
                                        <pic:blipFill>
                                          <a:blip r:embed="rId7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1" descr=""/>
                                    <pic:cNvPicPr>
                                      <a:picLocks noChangeAspect="1" noChangeArrowheads="1"/>
                                    </pic:cNvPicPr>
                                  </pic:nvPicPr>
                                  <pic:blipFill>
                                    <a:blip r:embed="rId7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center"/>
        <w:rPr>
          <w:rFonts w:ascii="Arial;sans-serif" w:hAnsi="Arial;sans-serif"/>
          <w:b/>
          <w:color w:val="00416B"/>
          <w:sz w:val="24"/>
        </w:rPr>
      </w:pPr>
      <w:r>
        <w:rPr>
          <w:rFonts w:ascii="Arial;sans-serif" w:hAnsi="Arial;sans-serif"/>
          <w:b/>
          <w:color w:val="00416B"/>
          <w:sz w:val="24"/>
        </w:rPr>
        <w:t xml:space="preserve">Key Performance Indicators </w:t>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key performance indicators (KPIs) that we use to effectively manage and evaluate our business are as follows:</w:t>
      </w:r>
    </w:p>
    <w:tbl>
      <w:tblPr>
        <w:tblW w:w="10205" w:type="dxa"/>
        <w:jc w:val="left"/>
        <w:tblInd w:w="0" w:type="dxa"/>
        <w:tblLayout w:type="fixed"/>
        <w:tblCellMar>
          <w:top w:w="28" w:type="dxa"/>
          <w:left w:w="28" w:type="dxa"/>
          <w:bottom w:w="28" w:type="dxa"/>
          <w:right w:w="28" w:type="dxa"/>
        </w:tblCellMar>
      </w:tblPr>
      <w:tblGrid>
        <w:gridCol w:w="1650"/>
        <w:gridCol w:w="1082"/>
        <w:gridCol w:w="1090"/>
        <w:gridCol w:w="109"/>
        <w:gridCol w:w="109"/>
        <w:gridCol w:w="109"/>
        <w:gridCol w:w="360"/>
        <w:gridCol w:w="219"/>
        <w:gridCol w:w="577"/>
        <w:gridCol w:w="155"/>
        <w:gridCol w:w="155"/>
        <w:gridCol w:w="155"/>
        <w:gridCol w:w="360"/>
        <w:gridCol w:w="219"/>
        <w:gridCol w:w="577"/>
        <w:gridCol w:w="109"/>
        <w:gridCol w:w="109"/>
        <w:gridCol w:w="109"/>
        <w:gridCol w:w="324"/>
        <w:gridCol w:w="255"/>
        <w:gridCol w:w="541"/>
        <w:gridCol w:w="148"/>
        <w:gridCol w:w="148"/>
        <w:gridCol w:w="148"/>
        <w:gridCol w:w="324"/>
        <w:gridCol w:w="255"/>
        <w:gridCol w:w="541"/>
        <w:gridCol w:w="109"/>
        <w:gridCol w:w="159"/>
      </w:tblGrid>
      <w:tr>
        <w:trPr/>
        <w:tc>
          <w:tcPr>
            <w:tcW w:w="165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8" w:type="dxa"/>
            <w:gridSpan w:val="2"/>
            <w:tcBorders/>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shop count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Shop count,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582</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542</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294</w:t>
            </w:r>
          </w:p>
        </w:tc>
        <w:tc>
          <w:tcPr>
            <w:tcW w:w="4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w:t>
            </w:r>
          </w:p>
        </w:tc>
        <w:tc>
          <w:tcPr>
            <w:tcW w:w="4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shop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876</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831</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new openings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w:t>
            </w:r>
          </w:p>
        </w:tc>
        <w:tc>
          <w:tcPr>
            <w:tcW w:w="4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w:t>
            </w:r>
          </w:p>
        </w:tc>
        <w:tc>
          <w:tcPr>
            <w:tcW w:w="4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 new openings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Shop count, end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612</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612</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300</w:t>
            </w:r>
          </w:p>
        </w:tc>
        <w:tc>
          <w:tcPr>
            <w:tcW w:w="4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300</w:t>
            </w:r>
          </w:p>
        </w:tc>
        <w:tc>
          <w:tcPr>
            <w:tcW w:w="4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shop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912</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912</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Systemwide AUV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2,005</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1,928</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shops AUV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4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1,923</w:t>
            </w:r>
          </w:p>
        </w:tc>
        <w:tc>
          <w:tcPr>
            <w:tcW w:w="4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1,880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Systemwide same shop sales </w:t>
            </w:r>
            <w:r>
              <w:rPr>
                <w:rFonts w:ascii="Arial;sans-serif" w:hAnsi="Arial;sans-serif"/>
                <w:b w:val="false"/>
                <w:color w:val="131E29"/>
                <w:sz w:val="13"/>
              </w:rPr>
              <w:t>2, 3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4.1 </w:t>
            </w:r>
          </w:p>
        </w:tc>
        <w:tc>
          <w:tcPr>
            <w:tcW w:w="577"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4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3.8 </w:t>
            </w:r>
          </w:p>
        </w:tc>
        <w:tc>
          <w:tcPr>
            <w:tcW w:w="577"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6.8 </w:t>
            </w:r>
          </w:p>
        </w:tc>
        <w:tc>
          <w:tcPr>
            <w:tcW w:w="54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4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1.1 </w:t>
            </w:r>
          </w:p>
        </w:tc>
        <w:tc>
          <w:tcPr>
            <w:tcW w:w="54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same shop sales </w:t>
            </w:r>
            <w:r>
              <w:rPr>
                <w:rFonts w:ascii="Arial;sans-serif" w:hAnsi="Arial;sans-serif"/>
                <w:b w:val="false"/>
                <w:color w:val="131E29"/>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7.8 </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Systemwide sales </w:t>
            </w:r>
            <w:r>
              <w:rPr>
                <w:rFonts w:ascii="Arial;sans-serif" w:hAnsi="Arial;sans-serif"/>
                <w:b w:val="false"/>
                <w:color w:val="131E29"/>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466,432</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375,216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863,985</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677,998</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operating weeks </w:t>
            </w:r>
            <w:r>
              <w:rPr>
                <w:rFonts w:ascii="Arial;sans-serif" w:hAnsi="Arial;sans-serif"/>
                <w:b w:val="false"/>
                <w:color w:val="131E29"/>
                <w:sz w:val="13"/>
              </w:rPr>
              <w:t>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7,709</w:t>
            </w:r>
          </w:p>
        </w:tc>
        <w:tc>
          <w:tcPr>
            <w:tcW w:w="4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5,854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14,983</w:t>
            </w:r>
          </w:p>
        </w:tc>
        <w:tc>
          <w:tcPr>
            <w:tcW w:w="4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11,176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Franchising and other operating weeks </w:t>
            </w:r>
            <w:r>
              <w:rPr>
                <w:rFonts w:ascii="Arial;sans-serif" w:hAnsi="Arial;sans-serif"/>
                <w:b w:val="false"/>
                <w:color w:val="131E29"/>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3,842</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7,621</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7,178</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Dutch Rewards transactions as a percentage of total transactions </w:t>
            </w:r>
            <w:r>
              <w:rPr>
                <w:rFonts w:ascii="Arial;sans-serif" w:hAnsi="Arial;sans-serif"/>
                <w:b w:val="false"/>
                <w:color w:val="131E29"/>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66.7 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64.6 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66.6 </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64.8 </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1688" w:type="dxa"/>
        <w:jc w:val="left"/>
        <w:tblInd w:w="0" w:type="dxa"/>
        <w:tblLayout w:type="fixed"/>
        <w:tblCellMar>
          <w:top w:w="28" w:type="dxa"/>
          <w:left w:w="28" w:type="dxa"/>
          <w:bottom w:w="28" w:type="dxa"/>
          <w:right w:w="28" w:type="dxa"/>
        </w:tblCellMar>
      </w:tblPr>
      <w:tblGrid>
        <w:gridCol w:w="711"/>
        <w:gridCol w:w="625"/>
        <w:gridCol w:w="375"/>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2023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295,268 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220,952 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543,353 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394,116 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124,321 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18"/>
              </w:rPr>
              <w:t xml:space="preserve">Company-operated shop contribution </w:t>
            </w:r>
            <w:r>
              <w:rPr>
                <w:rFonts w:ascii="Arial;sans-serif" w:hAnsi="Arial;sans-serif"/>
                <w:b w:val="false"/>
                <w:color w:val="131E29"/>
                <w:sz w:val="12"/>
              </w:rPr>
              <w:t>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91,054 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66,878 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165,053 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108,751 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18"/>
              </w:rPr>
              <w:t xml:space="preserve">Adjusted selling, general, and administrative expenses </w:t>
            </w:r>
            <w:r>
              <w:rPr>
                <w:rFonts w:ascii="Arial;sans-serif" w:hAnsi="Arial;sans-serif"/>
                <w:b w:val="false"/>
                <w:color w:val="131E29"/>
                <w:sz w:val="12"/>
              </w:rPr>
              <w:t>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47,584 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38,918 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88,053 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75,157 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18"/>
              </w:rPr>
              <w:t xml:space="preserve">Adjusted EBITDA </w:t>
            </w:r>
            <w:r>
              <w:rPr>
                <w:rFonts w:ascii="Arial;sans-serif" w:hAnsi="Arial;sans-serif"/>
                <w:b w:val="false"/>
                <w:color w:val="131E29"/>
                <w:sz w:val="12"/>
              </w:rPr>
              <w:t>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65,159 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48,599 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117,699 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72,479 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3220"/>
                <wp:effectExtent l="0" t="0" r="0" b="0"/>
                <wp:wrapNone/>
                <wp:docPr id="116" name="Frame3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2" descr=""/>
                                          <pic:cNvPicPr>
                                            <a:picLocks noChangeAspect="1" noChangeArrowheads="1"/>
                                          </pic:cNvPicPr>
                                        </pic:nvPicPr>
                                        <pic:blipFill>
                                          <a:blip r:embed="rId7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2" descr=""/>
                                    <pic:cNvPicPr>
                                      <a:picLocks noChangeAspect="1" noChangeArrowheads="1"/>
                                    </pic:cNvPicPr>
                                  </pic:nvPicPr>
                                  <pic:blipFill>
                                    <a:blip r:embed="rId8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 xml:space="preserve">AUVs are determined based on the net sales for any trailing twelve-month period for systemwide and company-operated shops that have been open a minimum of 15 months. AUVs are calculated by dividing the systemwide and company-operated shop net sales by the total number of systemwide and company-operated shops, respectively. Management uses this metric as an indicator of shop growth and future expectations of mature locations. </w:t>
      </w:r>
    </w:p>
    <w:p>
      <w:pPr>
        <w:pStyle w:val="TextBody"/>
        <w:bidi w:val="0"/>
        <w:spacing w:lineRule="auto" w:line="288" w:before="0" w:after="0"/>
        <w:ind w:left="0" w:right="0" w:hanging="180"/>
        <w:jc w:val="both"/>
        <w:rPr/>
      </w:pPr>
      <w:r>
        <w:rPr>
          <w:rFonts w:ascii="Arial;sans-serif" w:hAnsi="Arial;sans-serif"/>
          <w:b w:val="false"/>
          <w:color w:val="131E29"/>
          <w:sz w:val="10"/>
        </w:rPr>
        <w:t>2    </w:t>
      </w:r>
      <w:r>
        <w:rPr>
          <w:rFonts w:ascii="Arial;sans-serif" w:hAnsi="Arial;sans-serif"/>
          <w:b w:val="false"/>
          <w:color w:val="131E29"/>
          <w:sz w:val="16"/>
        </w:rPr>
        <w:t xml:space="preserve">Same shop sales reflect the change in year-over-year sales, for the comparable shop base, which we define as shops open for 15 complete months or longer as of the first day of the reporting period. Management uses this metric as an indicator of shop growth and future expansion strategy. The number of shops included in the systemwide and company-operated comparable bases for the respective periods are presented in the following table. </w:t>
      </w:r>
    </w:p>
    <w:tbl>
      <w:tblPr>
        <w:tblW w:w="7964" w:type="dxa"/>
        <w:jc w:val="left"/>
        <w:tblInd w:w="0" w:type="dxa"/>
        <w:tblLayout w:type="fixed"/>
        <w:tblCellMar>
          <w:top w:w="28" w:type="dxa"/>
          <w:left w:w="28" w:type="dxa"/>
          <w:bottom w:w="28" w:type="dxa"/>
          <w:right w:w="28" w:type="dxa"/>
        </w:tblCellMar>
      </w:tblPr>
      <w:tblGrid>
        <w:gridCol w:w="847"/>
        <w:gridCol w:w="744"/>
        <w:gridCol w:w="749"/>
        <w:gridCol w:w="109"/>
        <w:gridCol w:w="109"/>
        <w:gridCol w:w="109"/>
        <w:gridCol w:w="273"/>
        <w:gridCol w:w="273"/>
        <w:gridCol w:w="273"/>
        <w:gridCol w:w="273"/>
        <w:gridCol w:w="273"/>
        <w:gridCol w:w="273"/>
        <w:gridCol w:w="273"/>
        <w:gridCol w:w="273"/>
        <w:gridCol w:w="273"/>
        <w:gridCol w:w="109"/>
        <w:gridCol w:w="109"/>
        <w:gridCol w:w="109"/>
        <w:gridCol w:w="250"/>
        <w:gridCol w:w="250"/>
        <w:gridCol w:w="250"/>
        <w:gridCol w:w="250"/>
        <w:gridCol w:w="250"/>
        <w:gridCol w:w="250"/>
        <w:gridCol w:w="250"/>
        <w:gridCol w:w="250"/>
        <w:gridCol w:w="250"/>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2024</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2024</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Systemwide shop base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671</w:t>
            </w:r>
          </w:p>
        </w:tc>
        <w:tc>
          <w:tcPr>
            <w:tcW w:w="81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538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641</w:t>
            </w:r>
          </w:p>
        </w:tc>
        <w:tc>
          <w:tcPr>
            <w:tcW w:w="7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503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Company-operated shop 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396</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370</w:t>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Arial;sans-serif" w:hAnsi="Arial;sans-serif"/>
          <w:b w:val="false"/>
          <w:color w:val="131E29"/>
          <w:sz w:val="10"/>
        </w:rPr>
        <w:t>3    </w:t>
      </w:r>
      <w:r>
        <w:rPr>
          <w:rFonts w:ascii="Arial;sans-serif" w:hAnsi="Arial;sans-serif"/>
          <w:b w:val="false"/>
          <w:color w:val="131E29"/>
          <w:sz w:val="16"/>
        </w:rPr>
        <w:t xml:space="preserve">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 </w:t>
      </w:r>
    </w:p>
    <w:p>
      <w:pPr>
        <w:pStyle w:val="TextBody"/>
        <w:bidi w:val="0"/>
        <w:spacing w:lineRule="auto" w:line="288" w:before="0" w:after="180"/>
        <w:ind w:left="0" w:right="0" w:hanging="180"/>
        <w:jc w:val="both"/>
        <w:rPr/>
      </w:pPr>
      <w:r>
        <w:rPr>
          <w:rFonts w:ascii="Arial;sans-serif" w:hAnsi="Arial;sans-serif"/>
          <w:b w:val="false"/>
          <w:color w:val="131E29"/>
          <w:sz w:val="10"/>
        </w:rPr>
        <w:t>4</w:t>
      </w:r>
      <w:r>
        <w:rPr>
          <w:color w:val="131E29"/>
        </w:rPr>
        <w:t>    </w:t>
      </w:r>
      <w:r>
        <w:rPr>
          <w:rFonts w:ascii="Arial;sans-serif" w:hAnsi="Arial;sans-serif"/>
          <w:b w:val="false"/>
          <w:color w:val="131E29"/>
          <w:sz w:val="16"/>
        </w:rPr>
        <w:t>Company-operated and franchise shop operating weeks are calculated based on the number of operating days for the shop base and dividing by 7. Our shop base is defined as shops opened as of the period end date. The operating weeks calculations reflect re-acquired franchises through 2022. Management uses these metrics as indicators of our system’s overall financial health, growth and future expansion prospects.</w:t>
      </w:r>
    </w:p>
    <w:p>
      <w:pPr>
        <w:pStyle w:val="TextBody"/>
        <w:bidi w:val="0"/>
        <w:spacing w:lineRule="auto" w:line="288" w:before="0" w:after="180"/>
        <w:ind w:left="0" w:right="0" w:hanging="180"/>
        <w:jc w:val="both"/>
        <w:rPr/>
      </w:pPr>
      <w:r>
        <w:rPr>
          <w:rFonts w:ascii="Arial;sans-serif" w:hAnsi="Arial;sans-serif"/>
          <w:b w:val="false"/>
          <w:color w:val="131E29"/>
          <w:sz w:val="10"/>
        </w:rPr>
        <w:t>5    </w:t>
      </w:r>
      <w:r>
        <w:rPr>
          <w:rFonts w:ascii="Arial;sans-serif" w:hAnsi="Arial;sans-serif"/>
          <w:b w:val="false"/>
          <w:color w:val="131E29"/>
          <w:sz w:val="16"/>
        </w:rPr>
        <w:t>Dutch Rewards is our digitally based rewards program available exclusively through the Dutch Rewards app.</w:t>
      </w:r>
      <w:r>
        <w:rPr>
          <w:color w:val="131E29"/>
        </w:rPr>
        <w:t xml:space="preserve"> </w:t>
      </w:r>
      <w:r>
        <w:rPr>
          <w:rFonts w:ascii="Arial;sans-serif" w:hAnsi="Arial;sans-serif"/>
          <w:b w:val="false"/>
          <w:color w:val="131E29"/>
          <w:sz w:val="16"/>
        </w:rPr>
        <w:t xml:space="preserve">Management uses this metric as an indicator of customer loyalty adoption of our Dutch Rewards app and future promotional plans. </w:t>
      </w:r>
    </w:p>
    <w:p>
      <w:pPr>
        <w:pStyle w:val="TextBody"/>
        <w:bidi w:val="0"/>
        <w:spacing w:lineRule="auto" w:line="288" w:before="0" w:after="180"/>
        <w:ind w:left="0" w:right="0" w:hanging="180"/>
        <w:jc w:val="both"/>
        <w:rPr/>
      </w:pPr>
      <w:r>
        <w:rPr>
          <w:rFonts w:ascii="Arial;sans-serif" w:hAnsi="Arial;sans-serif"/>
          <w:b w:val="false"/>
          <w:color w:val="131E29"/>
          <w:sz w:val="10"/>
        </w:rPr>
        <w:t>6    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63220"/>
                <wp:effectExtent l="0" t="0" r="0" b="0"/>
                <wp:wrapNone/>
                <wp:docPr id="119" name="Frame4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3" descr=""/>
                                          <pic:cNvPicPr>
                                            <a:picLocks noChangeAspect="1" noChangeArrowheads="1"/>
                                          </pic:cNvPicPr>
                                        </pic:nvPicPr>
                                        <pic:blipFill>
                                          <a:blip r:embed="rId8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3" descr=""/>
                                    <pic:cNvPicPr>
                                      <a:picLocks noChangeAspect="1" noChangeArrowheads="1"/>
                                    </pic:cNvPicPr>
                                  </pic:nvPicPr>
                                  <pic:blipFill>
                                    <a:blip r:embed="rId8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center"/>
        <w:rPr>
          <w:rFonts w:ascii="Arial;sans-serif" w:hAnsi="Arial;sans-serif"/>
          <w:b/>
          <w:color w:val="00416B"/>
          <w:sz w:val="24"/>
        </w:rPr>
      </w:pPr>
      <w:r>
        <w:rPr>
          <w:rFonts w:ascii="Arial;sans-serif" w:hAnsi="Arial;sans-serif"/>
          <w:b/>
          <w:color w:val="00416B"/>
          <w:sz w:val="24"/>
        </w:rPr>
        <w:t>Company-operated Shop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results for our company-operated shops segment were as follows:</w:t>
      </w:r>
    </w:p>
    <w:tbl>
      <w:tblPr>
        <w:tblW w:w="11448" w:type="dxa"/>
        <w:jc w:val="left"/>
        <w:tblInd w:w="0" w:type="dxa"/>
        <w:tblLayout w:type="fixed"/>
        <w:tblCellMar>
          <w:top w:w="28" w:type="dxa"/>
          <w:left w:w="28" w:type="dxa"/>
          <w:bottom w:w="28" w:type="dxa"/>
          <w:right w:w="28" w:type="dxa"/>
        </w:tblCellMar>
      </w:tblPr>
      <w:tblGrid>
        <w:gridCol w:w="711"/>
        <w:gridCol w:w="625"/>
        <w:gridCol w:w="375"/>
        <w:gridCol w:w="109"/>
        <w:gridCol w:w="109"/>
        <w:gridCol w:w="109"/>
        <w:gridCol w:w="413"/>
        <w:gridCol w:w="413"/>
        <w:gridCol w:w="109"/>
        <w:gridCol w:w="109"/>
        <w:gridCol w:w="109"/>
        <w:gridCol w:w="109"/>
        <w:gridCol w:w="308"/>
        <w:gridCol w:w="308"/>
        <w:gridCol w:w="109"/>
        <w:gridCol w:w="109"/>
        <w:gridCol w:w="109"/>
        <w:gridCol w:w="109"/>
        <w:gridCol w:w="413"/>
        <w:gridCol w:w="413"/>
        <w:gridCol w:w="109"/>
        <w:gridCol w:w="109"/>
        <w:gridCol w:w="109"/>
        <w:gridCol w:w="109"/>
        <w:gridCol w:w="308"/>
        <w:gridCol w:w="308"/>
        <w:gridCol w:w="109"/>
        <w:gridCol w:w="109"/>
        <w:gridCol w:w="109"/>
        <w:gridCol w:w="109"/>
        <w:gridCol w:w="413"/>
        <w:gridCol w:w="413"/>
        <w:gridCol w:w="109"/>
        <w:gridCol w:w="109"/>
        <w:gridCol w:w="109"/>
        <w:gridCol w:w="109"/>
        <w:gridCol w:w="308"/>
        <w:gridCol w:w="308"/>
        <w:gridCol w:w="109"/>
        <w:gridCol w:w="109"/>
        <w:gridCol w:w="109"/>
        <w:gridCol w:w="109"/>
        <w:gridCol w:w="413"/>
        <w:gridCol w:w="413"/>
        <w:gridCol w:w="109"/>
        <w:gridCol w:w="109"/>
        <w:gridCol w:w="109"/>
        <w:gridCol w:w="109"/>
        <w:gridCol w:w="308"/>
        <w:gridCol w:w="308"/>
        <w:gridCol w:w="109"/>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295,268 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220,952 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543,353 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394,116 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Beverage, food, and packaging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75,147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59,433 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138,863 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108,385 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80,236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58,735 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145,663 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44,277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32,642 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85,773 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63,201 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21,038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14,799 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40,732 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27,800 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225,252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168,873 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419,032 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313,165 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70,016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52,079 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124,321 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80,951 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20.5 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18"/>
              </w:rPr>
              <w:t xml:space="preserve">Company-operated shop contribution </w:t>
            </w:r>
            <w:r>
              <w:rPr>
                <w:rFonts w:ascii="Arial;sans-serif" w:hAnsi="Arial;sans-serif"/>
                <w:b w:val="false"/>
                <w:color w:val="131E29"/>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91,054 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66,878 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165,053 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108,751 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Company-operated Shops Segment Performance</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Company-operated Shop Revenues</w:t>
      </w:r>
    </w:p>
    <w:tbl>
      <w:tblPr>
        <w:tblW w:w="11169" w:type="dxa"/>
        <w:jc w:val="left"/>
        <w:tblInd w:w="0" w:type="dxa"/>
        <w:tblLayout w:type="fixed"/>
        <w:tblCellMar>
          <w:top w:w="28" w:type="dxa"/>
          <w:left w:w="28" w:type="dxa"/>
          <w:bottom w:w="28" w:type="dxa"/>
          <w:right w:w="28" w:type="dxa"/>
        </w:tblCellMar>
      </w:tblPr>
      <w:tblGrid>
        <w:gridCol w:w="711"/>
        <w:gridCol w:w="625"/>
        <w:gridCol w:w="375"/>
        <w:gridCol w:w="109"/>
        <w:gridCol w:w="109"/>
        <w:gridCol w:w="109"/>
        <w:gridCol w:w="294"/>
        <w:gridCol w:w="294"/>
        <w:gridCol w:w="298"/>
        <w:gridCol w:w="109"/>
        <w:gridCol w:w="109"/>
        <w:gridCol w:w="109"/>
        <w:gridCol w:w="294"/>
        <w:gridCol w:w="294"/>
        <w:gridCol w:w="298"/>
        <w:gridCol w:w="109"/>
        <w:gridCol w:w="109"/>
        <w:gridCol w:w="109"/>
        <w:gridCol w:w="260"/>
        <w:gridCol w:w="260"/>
        <w:gridCol w:w="261"/>
        <w:gridCol w:w="109"/>
        <w:gridCol w:w="109"/>
        <w:gridCol w:w="109"/>
        <w:gridCol w:w="155"/>
        <w:gridCol w:w="155"/>
        <w:gridCol w:w="156"/>
        <w:gridCol w:w="109"/>
        <w:gridCol w:w="109"/>
        <w:gridCol w:w="109"/>
        <w:gridCol w:w="294"/>
        <w:gridCol w:w="294"/>
        <w:gridCol w:w="298"/>
        <w:gridCol w:w="109"/>
        <w:gridCol w:w="109"/>
        <w:gridCol w:w="109"/>
        <w:gridCol w:w="294"/>
        <w:gridCol w:w="294"/>
        <w:gridCol w:w="298"/>
        <w:gridCol w:w="109"/>
        <w:gridCol w:w="109"/>
        <w:gridCol w:w="109"/>
        <w:gridCol w:w="109"/>
        <w:gridCol w:w="109"/>
        <w:gridCol w:w="295"/>
        <w:gridCol w:w="295"/>
        <w:gridCol w:w="296"/>
        <w:gridCol w:w="109"/>
        <w:gridCol w:w="109"/>
        <w:gridCol w:w="109"/>
        <w:gridCol w:w="155"/>
        <w:gridCol w:w="155"/>
        <w:gridCol w:w="156"/>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8"/>
              </w:rPr>
            </w:pPr>
            <w:r>
              <w:rPr>
                <w:rFonts w:ascii="Arial;sans-serif" w:hAnsi="Arial;sans-serif"/>
                <w:b/>
                <w:color w:val="131E29"/>
                <w:sz w:val="18"/>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 v.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$295,268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$220,952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$74,316</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$543,353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$394,116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$149,237</w:t>
            </w:r>
          </w:p>
        </w:tc>
        <w:tc>
          <w:tcPr>
            <w:tcW w:w="32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 revenue increase was driven by the following:</w:t>
      </w:r>
    </w:p>
    <w:p>
      <w:pPr>
        <w:pStyle w:val="TextBody"/>
        <w:bidi w:val="0"/>
        <w:spacing w:lineRule="auto" w:line="288" w:before="0" w:after="120"/>
        <w:ind w:left="0" w:right="0" w:hanging="360"/>
        <w:jc w:val="both"/>
        <w:rPr/>
      </w:pPr>
      <w:r>
        <w:rPr>
          <w:rFonts w:ascii="Arial;sans-serif" w:hAnsi="Arial;sans-serif"/>
          <w:b/>
          <w:color w:val="006098"/>
          <w:sz w:val="20"/>
        </w:rPr>
        <w:t>+    </w:t>
      </w:r>
      <w:r>
        <w:rPr>
          <w:rFonts w:ascii="Arial;sans-serif" w:hAnsi="Arial;sans-serif"/>
          <w:b w:val="false"/>
          <w:color w:val="131E29"/>
          <w:sz w:val="20"/>
        </w:rPr>
        <w:t>$66.6 million from company-operated shops not yet in the comparable shop base.</w:t>
      </w:r>
    </w:p>
    <w:p>
      <w:pPr>
        <w:pStyle w:val="TextBody"/>
        <w:bidi w:val="0"/>
        <w:spacing w:lineRule="auto" w:line="288" w:before="0" w:after="300"/>
        <w:ind w:left="0" w:right="0" w:hanging="360"/>
        <w:jc w:val="both"/>
        <w:rPr/>
      </w:pPr>
      <w:r>
        <w:rPr>
          <w:rFonts w:ascii="Arial;sans-serif" w:hAnsi="Arial;sans-serif"/>
          <w:b/>
          <w:color w:val="006098"/>
          <w:sz w:val="20"/>
        </w:rPr>
        <w:t>+</w:t>
      </w:r>
      <w:r>
        <w:rPr>
          <w:color w:val="131E29"/>
        </w:rPr>
        <w:t>    </w:t>
      </w:r>
      <w:r>
        <w:rPr>
          <w:rFonts w:ascii="Arial;sans-serif" w:hAnsi="Arial;sans-serif"/>
          <w:b w:val="false"/>
          <w:color w:val="131E29"/>
          <w:sz w:val="20"/>
        </w:rPr>
        <w:t>$7.7 million from increase in same shop sales in the comparable shop 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Six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 revenue increase was primarily driven by the following:</w:t>
      </w:r>
    </w:p>
    <w:p>
      <w:pPr>
        <w:pStyle w:val="TextBody"/>
        <w:bidi w:val="0"/>
        <w:spacing w:lineRule="auto" w:line="288" w:before="0" w:after="120"/>
        <w:ind w:left="0" w:right="0" w:hanging="360"/>
        <w:jc w:val="both"/>
        <w:rPr/>
      </w:pPr>
      <w:r>
        <w:rPr>
          <w:rFonts w:ascii="Arial;sans-serif" w:hAnsi="Arial;sans-serif"/>
          <w:b/>
          <w:color w:val="006098"/>
          <w:sz w:val="20"/>
        </w:rPr>
        <w:t>+</w:t>
      </w:r>
      <w:r>
        <w:rPr>
          <w:color w:val="131E29"/>
        </w:rPr>
        <w:t>    </w:t>
      </w:r>
      <w:r>
        <w:rPr>
          <w:rFonts w:ascii="Arial;sans-serif" w:hAnsi="Arial;sans-serif"/>
          <w:b w:val="false"/>
          <w:color w:val="131E29"/>
          <w:sz w:val="20"/>
        </w:rPr>
        <w:t>$124.5 million from company-operated shops not yet in the comparable shop base.</w:t>
      </w:r>
    </w:p>
    <w:p>
      <w:pPr>
        <w:pStyle w:val="TextBody"/>
        <w:bidi w:val="0"/>
        <w:spacing w:lineRule="auto" w:line="288" w:before="0" w:after="300"/>
        <w:ind w:left="0" w:right="0" w:hanging="360"/>
        <w:jc w:val="both"/>
        <w:rPr/>
      </w:pPr>
      <w:r>
        <w:rPr>
          <w:rFonts w:ascii="Arial;sans-serif" w:hAnsi="Arial;sans-serif"/>
          <w:b/>
          <w:color w:val="006098"/>
          <w:sz w:val="20"/>
        </w:rPr>
        <w:t>+</w:t>
      </w:r>
      <w:r>
        <w:rPr>
          <w:color w:val="131E29"/>
        </w:rPr>
        <w:t>    </w:t>
      </w:r>
      <w:r>
        <w:rPr>
          <w:rFonts w:ascii="Arial;sans-serif" w:hAnsi="Arial;sans-serif"/>
          <w:b w:val="false"/>
          <w:color w:val="131E29"/>
          <w:sz w:val="20"/>
        </w:rPr>
        <w:t>$24.7 million from an increase in same shop sales in the comparable shop 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3220"/>
                <wp:effectExtent l="0" t="0" r="0" b="0"/>
                <wp:wrapNone/>
                <wp:docPr id="122" name="Frame4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4" descr=""/>
                                          <pic:cNvPicPr>
                                            <a:picLocks noChangeAspect="1" noChangeArrowheads="1"/>
                                          </pic:cNvPicPr>
                                        </pic:nvPicPr>
                                        <pic:blipFill>
                                          <a:blip r:embed="rId8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4" descr=""/>
                                    <pic:cNvPicPr>
                                      <a:picLocks noChangeAspect="1" noChangeArrowheads="1"/>
                                    </pic:cNvPicPr>
                                  </pic:nvPicPr>
                                  <pic:blipFill>
                                    <a:blip r:embed="rId8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before="0" w:after="0"/>
        <w:jc w:val="center"/>
        <w:rPr/>
      </w:pPr>
      <w:r>
        <w:rPr/>
        <w:drawing>
          <wp:inline distT="0" distB="0" distL="0" distR="0">
            <wp:extent cx="5943600" cy="1552575"/>
            <wp:effectExtent l="0" t="0" r="0" b="0"/>
            <wp:docPr id="12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5" descr=""/>
                    <pic:cNvPicPr>
                      <a:picLocks noChangeAspect="1" noChangeArrowheads="1"/>
                    </pic:cNvPicPr>
                  </pic:nvPicPr>
                  <pic:blipFill>
                    <a:blip r:embed="rId85"/>
                    <a:stretch>
                      <a:fillRect/>
                    </a:stretch>
                  </pic:blipFill>
                  <pic:spPr bwMode="auto">
                    <a:xfrm>
                      <a:off x="0" y="0"/>
                      <a:ext cx="5943600" cy="1552575"/>
                    </a:xfrm>
                    <a:prstGeom prst="rect">
                      <a:avLst/>
                    </a:prstGeom>
                  </pic:spPr>
                </pic:pic>
              </a:graphicData>
            </a:graphic>
          </wp:inline>
        </w:drawing>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The comparable same shop bases were 396 and 276 for the three months ended June 30,</w:t>
      </w:r>
      <w:r>
        <w:rPr>
          <w:color w:val="131E29"/>
        </w:rPr>
        <w:t xml:space="preserve"> </w:t>
      </w:r>
      <w:r>
        <w:rPr>
          <w:rFonts w:ascii="Arial;sans-serif" w:hAnsi="Arial;sans-serif"/>
          <w:b w:val="false"/>
          <w:color w:val="131E29"/>
          <w:sz w:val="16"/>
        </w:rPr>
        <w:t xml:space="preserve">2024 and 2023, respectively, and 370 and 246 for the six months ended June 30, 2024 and 2023, respectively. The comparable same shop bases include mature shops, which we define as open longer than 15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Beverage, Food, and Packaging Costs</w:t>
      </w:r>
    </w:p>
    <w:tbl>
      <w:tblPr>
        <w:tblW w:w="11049" w:type="dxa"/>
        <w:jc w:val="left"/>
        <w:tblInd w:w="0" w:type="dxa"/>
        <w:tblLayout w:type="fixed"/>
        <w:tblCellMar>
          <w:top w:w="28" w:type="dxa"/>
          <w:left w:w="28" w:type="dxa"/>
          <w:bottom w:w="28" w:type="dxa"/>
          <w:right w:w="28" w:type="dxa"/>
        </w:tblCellMar>
      </w:tblPr>
      <w:tblGrid>
        <w:gridCol w:w="1072"/>
        <w:gridCol w:w="296"/>
        <w:gridCol w:w="298"/>
        <w:gridCol w:w="109"/>
        <w:gridCol w:w="109"/>
        <w:gridCol w:w="109"/>
        <w:gridCol w:w="264"/>
        <w:gridCol w:w="264"/>
        <w:gridCol w:w="268"/>
        <w:gridCol w:w="109"/>
        <w:gridCol w:w="109"/>
        <w:gridCol w:w="109"/>
        <w:gridCol w:w="264"/>
        <w:gridCol w:w="264"/>
        <w:gridCol w:w="268"/>
        <w:gridCol w:w="109"/>
        <w:gridCol w:w="109"/>
        <w:gridCol w:w="109"/>
        <w:gridCol w:w="265"/>
        <w:gridCol w:w="265"/>
        <w:gridCol w:w="266"/>
        <w:gridCol w:w="109"/>
        <w:gridCol w:w="109"/>
        <w:gridCol w:w="109"/>
        <w:gridCol w:w="219"/>
        <w:gridCol w:w="161"/>
        <w:gridCol w:w="161"/>
        <w:gridCol w:w="109"/>
        <w:gridCol w:w="109"/>
        <w:gridCol w:w="109"/>
        <w:gridCol w:w="299"/>
        <w:gridCol w:w="299"/>
        <w:gridCol w:w="303"/>
        <w:gridCol w:w="109"/>
        <w:gridCol w:w="109"/>
        <w:gridCol w:w="109"/>
        <w:gridCol w:w="299"/>
        <w:gridCol w:w="299"/>
        <w:gridCol w:w="303"/>
        <w:gridCol w:w="109"/>
        <w:gridCol w:w="109"/>
        <w:gridCol w:w="109"/>
        <w:gridCol w:w="109"/>
        <w:gridCol w:w="109"/>
        <w:gridCol w:w="265"/>
        <w:gridCol w:w="265"/>
        <w:gridCol w:w="266"/>
        <w:gridCol w:w="109"/>
        <w:gridCol w:w="109"/>
        <w:gridCol w:w="109"/>
        <w:gridCol w:w="219"/>
        <w:gridCol w:w="161"/>
        <w:gridCol w:w="161"/>
        <w:gridCol w:w="109"/>
        <w:gridCol w:w="109"/>
        <w:gridCol w:w="109"/>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349"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Beverage, food and packaging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$75,147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$59,433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$15,714</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26.4%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$138,863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$108,385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$30,478</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(130)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(210)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beverage, food and packaging costs impacts for the year-over-year comparison, in dollars and basis points (as a percentage of current year company-operated shop revenues), were driven by the following:</w:t>
      </w:r>
    </w:p>
    <w:tbl>
      <w:tblPr>
        <w:tblW w:w="5391"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11"/>
        <w:gridCol w:w="736"/>
        <w:gridCol w:w="109"/>
        <w:gridCol w:w="109"/>
        <w:gridCol w:w="109"/>
        <w:gridCol w:w="109"/>
        <w:gridCol w:w="269"/>
        <w:gridCol w:w="271"/>
        <w:gridCol w:w="23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16,767 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 ¹</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000000"/>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15,714</w:t>
            </w:r>
            <w:r>
              <w:rPr>
                <w:color w:val="131E29"/>
              </w:rPr>
              <w:t> </w:t>
            </w:r>
          </w:p>
        </w:tc>
        <w:tc>
          <w:tcPr>
            <w:tcW w:w="109" w:type="dxa"/>
            <w:tcBorders>
              <w:top w:val="single" w:sz="8" w:space="0" w:color="000000"/>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(130)</w:t>
            </w:r>
          </w:p>
        </w:tc>
        <w:tc>
          <w:tcPr>
            <w:tcW w:w="232" w:type="dxa"/>
            <w:tcBorders>
              <w:top w:val="single" w:sz="8" w:space="0" w:color="000000"/>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 xml:space="preserve">Unless otherwise noted, pricing impacts in this table and the tables below are on the comparable shop base only.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Six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beverage, food and packaging costs impacts for the year-over-year comparison, in dollars and basis points (as a percentage of current year company-operated shop revenues), were driven by the following:</w:t>
      </w:r>
    </w:p>
    <w:tbl>
      <w:tblPr>
        <w:tblW w:w="5391"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11"/>
        <w:gridCol w:w="736"/>
        <w:gridCol w:w="109"/>
        <w:gridCol w:w="109"/>
        <w:gridCol w:w="109"/>
        <w:gridCol w:w="109"/>
        <w:gridCol w:w="290"/>
        <w:gridCol w:w="250"/>
        <w:gridCol w:w="23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31,900 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30,478</w:t>
            </w:r>
            <w:r>
              <w:rPr>
                <w:color w:val="131E29"/>
              </w:rPr>
              <w:t> </w:t>
            </w:r>
          </w:p>
        </w:tc>
        <w:tc>
          <w:tcPr>
            <w:tcW w:w="109"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(210)</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3220"/>
                <wp:effectExtent l="0" t="0" r="0" b="0"/>
                <wp:wrapNone/>
                <wp:docPr id="126" name="Frame4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6" descr=""/>
                                          <pic:cNvPicPr>
                                            <a:picLocks noChangeAspect="1" noChangeArrowheads="1"/>
                                          </pic:cNvPicPr>
                                        </pic:nvPicPr>
                                        <pic:blipFill>
                                          <a:blip r:embed="rId8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6" descr=""/>
                                    <pic:cNvPicPr>
                                      <a:picLocks noChangeAspect="1" noChangeArrowheads="1"/>
                                    </pic:cNvPicPr>
                                  </pic:nvPicPr>
                                  <pic:blipFill>
                                    <a:blip r:embed="rId8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Labor Costs</w:t>
      </w:r>
    </w:p>
    <w:tbl>
      <w:tblPr>
        <w:tblW w:w="10929" w:type="dxa"/>
        <w:jc w:val="left"/>
        <w:tblInd w:w="0" w:type="dxa"/>
        <w:tblLayout w:type="fixed"/>
        <w:tblCellMar>
          <w:top w:w="28" w:type="dxa"/>
          <w:left w:w="28" w:type="dxa"/>
          <w:bottom w:w="28" w:type="dxa"/>
          <w:right w:w="28" w:type="dxa"/>
        </w:tblCellMar>
      </w:tblPr>
      <w:tblGrid>
        <w:gridCol w:w="711"/>
        <w:gridCol w:w="625"/>
        <w:gridCol w:w="330"/>
        <w:gridCol w:w="109"/>
        <w:gridCol w:w="109"/>
        <w:gridCol w:w="109"/>
        <w:gridCol w:w="264"/>
        <w:gridCol w:w="264"/>
        <w:gridCol w:w="268"/>
        <w:gridCol w:w="109"/>
        <w:gridCol w:w="109"/>
        <w:gridCol w:w="109"/>
        <w:gridCol w:w="264"/>
        <w:gridCol w:w="264"/>
        <w:gridCol w:w="268"/>
        <w:gridCol w:w="109"/>
        <w:gridCol w:w="109"/>
        <w:gridCol w:w="109"/>
        <w:gridCol w:w="265"/>
        <w:gridCol w:w="265"/>
        <w:gridCol w:w="266"/>
        <w:gridCol w:w="109"/>
        <w:gridCol w:w="109"/>
        <w:gridCol w:w="109"/>
        <w:gridCol w:w="160"/>
        <w:gridCol w:w="160"/>
        <w:gridCol w:w="161"/>
        <w:gridCol w:w="109"/>
        <w:gridCol w:w="109"/>
        <w:gridCol w:w="109"/>
        <w:gridCol w:w="299"/>
        <w:gridCol w:w="299"/>
        <w:gridCol w:w="303"/>
        <w:gridCol w:w="109"/>
        <w:gridCol w:w="109"/>
        <w:gridCol w:w="109"/>
        <w:gridCol w:w="299"/>
        <w:gridCol w:w="299"/>
        <w:gridCol w:w="303"/>
        <w:gridCol w:w="109"/>
        <w:gridCol w:w="109"/>
        <w:gridCol w:w="109"/>
        <w:gridCol w:w="109"/>
        <w:gridCol w:w="109"/>
        <w:gridCol w:w="265"/>
        <w:gridCol w:w="265"/>
        <w:gridCol w:w="266"/>
        <w:gridCol w:w="109"/>
        <w:gridCol w:w="109"/>
        <w:gridCol w:w="109"/>
        <w:gridCol w:w="160"/>
        <w:gridCol w:w="160"/>
        <w:gridCol w:w="161"/>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289"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Labor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$80,236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$58,735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$21,501</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36.6%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$145,663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$107,284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$38,379</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labor costs impacts for the year-over-year comparison, presented in dollars and basis points (as a percentage of current year company-operated shop revenues), were driven by the following:</w:t>
      </w:r>
    </w:p>
    <w:tbl>
      <w:tblPr>
        <w:tblW w:w="5391"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11"/>
        <w:gridCol w:w="736"/>
        <w:gridCol w:w="109"/>
        <w:gridCol w:w="109"/>
        <w:gridCol w:w="109"/>
        <w:gridCol w:w="109"/>
        <w:gridCol w:w="268"/>
        <w:gridCol w:w="272"/>
        <w:gridCol w:w="23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17,466 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30 </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Wage inflation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(669)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Staffing management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(2,650)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000000"/>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21,501</w:t>
            </w:r>
            <w:r>
              <w:rPr>
                <w:color w:val="131E29"/>
              </w:rPr>
              <w:t> </w:t>
            </w:r>
          </w:p>
        </w:tc>
        <w:tc>
          <w:tcPr>
            <w:tcW w:w="109" w:type="dxa"/>
            <w:tcBorders>
              <w:top w:val="single" w:sz="8" w:space="0" w:color="000000"/>
              <w:bottom w:val="sing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60</w:t>
            </w:r>
            <w:r>
              <w:rPr>
                <w:color w:val="131E29"/>
              </w:rPr>
              <w:t> </w:t>
            </w:r>
          </w:p>
        </w:tc>
        <w:tc>
          <w:tcPr>
            <w:tcW w:w="232" w:type="dxa"/>
            <w:tcBorders>
              <w:top w:val="single" w:sz="8" w:space="0" w:color="000000"/>
              <w:bottom w:val="sing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Six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labor costs impacts for the year-over-year comparison, presented in dollars and basis points (as a percentage of current year company-operated shop revenues), were driven by the following:</w:t>
      </w:r>
    </w:p>
    <w:tbl>
      <w:tblPr>
        <w:tblW w:w="5391"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11"/>
        <w:gridCol w:w="736"/>
        <w:gridCol w:w="109"/>
        <w:gridCol w:w="109"/>
        <w:gridCol w:w="109"/>
        <w:gridCol w:w="109"/>
        <w:gridCol w:w="269"/>
        <w:gridCol w:w="271"/>
        <w:gridCol w:w="23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31,552 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Wage inflation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Staffing management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(3,333)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38,379</w:t>
            </w:r>
            <w:r>
              <w:rPr>
                <w:color w:val="131E29"/>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(40)</w:t>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Occupancy and Other Costs</w:t>
      </w:r>
    </w:p>
    <w:tbl>
      <w:tblPr>
        <w:tblW w:w="10719" w:type="dxa"/>
        <w:jc w:val="left"/>
        <w:tblInd w:w="0" w:type="dxa"/>
        <w:tblLayout w:type="fixed"/>
        <w:tblCellMar>
          <w:top w:w="28" w:type="dxa"/>
          <w:left w:w="28" w:type="dxa"/>
          <w:bottom w:w="28" w:type="dxa"/>
          <w:right w:w="28" w:type="dxa"/>
        </w:tblCellMar>
      </w:tblPr>
      <w:tblGrid>
        <w:gridCol w:w="841"/>
        <w:gridCol w:w="527"/>
        <w:gridCol w:w="298"/>
        <w:gridCol w:w="109"/>
        <w:gridCol w:w="109"/>
        <w:gridCol w:w="109"/>
        <w:gridCol w:w="264"/>
        <w:gridCol w:w="264"/>
        <w:gridCol w:w="268"/>
        <w:gridCol w:w="109"/>
        <w:gridCol w:w="109"/>
        <w:gridCol w:w="109"/>
        <w:gridCol w:w="264"/>
        <w:gridCol w:w="264"/>
        <w:gridCol w:w="268"/>
        <w:gridCol w:w="109"/>
        <w:gridCol w:w="109"/>
        <w:gridCol w:w="109"/>
        <w:gridCol w:w="265"/>
        <w:gridCol w:w="265"/>
        <w:gridCol w:w="266"/>
        <w:gridCol w:w="109"/>
        <w:gridCol w:w="109"/>
        <w:gridCol w:w="109"/>
        <w:gridCol w:w="160"/>
        <w:gridCol w:w="160"/>
        <w:gridCol w:w="161"/>
        <w:gridCol w:w="109"/>
        <w:gridCol w:w="109"/>
        <w:gridCol w:w="109"/>
        <w:gridCol w:w="264"/>
        <w:gridCol w:w="264"/>
        <w:gridCol w:w="268"/>
        <w:gridCol w:w="109"/>
        <w:gridCol w:w="109"/>
        <w:gridCol w:w="109"/>
        <w:gridCol w:w="264"/>
        <w:gridCol w:w="264"/>
        <w:gridCol w:w="268"/>
        <w:gridCol w:w="109"/>
        <w:gridCol w:w="109"/>
        <w:gridCol w:w="109"/>
        <w:gridCol w:w="109"/>
        <w:gridCol w:w="109"/>
        <w:gridCol w:w="265"/>
        <w:gridCol w:w="265"/>
        <w:gridCol w:w="266"/>
        <w:gridCol w:w="109"/>
        <w:gridCol w:w="109"/>
        <w:gridCol w:w="109"/>
        <w:gridCol w:w="160"/>
        <w:gridCol w:w="160"/>
        <w:gridCol w:w="161"/>
        <w:gridCol w:w="109"/>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21"/>
            <w:tcBorders>
              <w:bottom w:val="single" w:sz="8" w:space="0" w:color="131E29"/>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289"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op w:val="single" w:sz="8" w:space="0" w:color="131E29"/>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$44,277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$32,642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$11,635</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35.6%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$85,773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$63,201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$22,572</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63220"/>
                <wp:effectExtent l="0" t="0" r="0" b="0"/>
                <wp:wrapNone/>
                <wp:docPr id="129" name="Frame4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7" descr=""/>
                                          <pic:cNvPicPr>
                                            <a:picLocks noChangeAspect="1" noChangeArrowheads="1"/>
                                          </pic:cNvPicPr>
                                        </pic:nvPicPr>
                                        <pic:blipFill>
                                          <a:blip r:embed="rId8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7" descr=""/>
                                    <pic:cNvPicPr>
                                      <a:picLocks noChangeAspect="1" noChangeArrowheads="1"/>
                                    </pic:cNvPicPr>
                                  </pic:nvPicPr>
                                  <pic:blipFill>
                                    <a:blip r:embed="rId8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occupancy and other costs impacts for the year-over-year comparison, presented in dollars and basis points (as a percentage of current year company-operated shop revenues), were driven by the following:</w:t>
      </w:r>
    </w:p>
    <w:tbl>
      <w:tblPr>
        <w:tblW w:w="5286"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11"/>
        <w:gridCol w:w="736"/>
        <w:gridCol w:w="109"/>
        <w:gridCol w:w="109"/>
        <w:gridCol w:w="109"/>
        <w:gridCol w:w="109"/>
        <w:gridCol w:w="216"/>
        <w:gridCol w:w="219"/>
        <w:gridCol w:w="23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10,155 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20 </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11,635</w:t>
            </w:r>
            <w:r>
              <w:rPr>
                <w:color w:val="131E29"/>
              </w:rPr>
              <w:t> </w:t>
            </w:r>
          </w:p>
        </w:tc>
        <w:tc>
          <w:tcPr>
            <w:tcW w:w="109"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20</w:t>
            </w:r>
            <w:r>
              <w:rPr>
                <w:color w:val="131E29"/>
              </w:rPr>
              <w:t> </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Six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occupancy and other costs impacts for the year-over-year comparison, presented in dollars and basis points (as a percentage of current year company-operated shop revenues), were driven by the following:</w:t>
      </w:r>
    </w:p>
    <w:tbl>
      <w:tblPr>
        <w:tblW w:w="5286"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11"/>
        <w:gridCol w:w="736"/>
        <w:gridCol w:w="109"/>
        <w:gridCol w:w="109"/>
        <w:gridCol w:w="109"/>
        <w:gridCol w:w="109"/>
        <w:gridCol w:w="216"/>
        <w:gridCol w:w="219"/>
        <w:gridCol w:w="23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19,731 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10 </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22,572</w:t>
            </w:r>
            <w:r>
              <w:rPr>
                <w:color w:val="131E29"/>
              </w:rPr>
              <w:t> </w:t>
            </w:r>
          </w:p>
        </w:tc>
        <w:tc>
          <w:tcPr>
            <w:tcW w:w="109"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(20)</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Pre-opening Costs</w:t>
      </w:r>
    </w:p>
    <w:tbl>
      <w:tblPr>
        <w:tblW w:w="10205" w:type="dxa"/>
        <w:jc w:val="left"/>
        <w:tblInd w:w="0" w:type="dxa"/>
        <w:tblLayout w:type="fixed"/>
        <w:tblCellMar>
          <w:top w:w="28" w:type="dxa"/>
          <w:left w:w="28" w:type="dxa"/>
          <w:bottom w:w="28" w:type="dxa"/>
          <w:right w:w="28" w:type="dxa"/>
        </w:tblCellMar>
      </w:tblPr>
      <w:tblGrid>
        <w:gridCol w:w="1079"/>
        <w:gridCol w:w="311"/>
        <w:gridCol w:w="313"/>
        <w:gridCol w:w="109"/>
        <w:gridCol w:w="109"/>
        <w:gridCol w:w="109"/>
        <w:gridCol w:w="229"/>
        <w:gridCol w:w="229"/>
        <w:gridCol w:w="233"/>
        <w:gridCol w:w="109"/>
        <w:gridCol w:w="109"/>
        <w:gridCol w:w="109"/>
        <w:gridCol w:w="229"/>
        <w:gridCol w:w="229"/>
        <w:gridCol w:w="233"/>
        <w:gridCol w:w="109"/>
        <w:gridCol w:w="109"/>
        <w:gridCol w:w="109"/>
        <w:gridCol w:w="230"/>
        <w:gridCol w:w="230"/>
        <w:gridCol w:w="231"/>
        <w:gridCol w:w="109"/>
        <w:gridCol w:w="109"/>
        <w:gridCol w:w="109"/>
        <w:gridCol w:w="220"/>
        <w:gridCol w:w="161"/>
        <w:gridCol w:w="162"/>
        <w:gridCol w:w="109"/>
        <w:gridCol w:w="109"/>
        <w:gridCol w:w="109"/>
        <w:gridCol w:w="229"/>
        <w:gridCol w:w="229"/>
        <w:gridCol w:w="233"/>
        <w:gridCol w:w="109"/>
        <w:gridCol w:w="109"/>
        <w:gridCol w:w="109"/>
        <w:gridCol w:w="229"/>
        <w:gridCol w:w="229"/>
        <w:gridCol w:w="233"/>
        <w:gridCol w:w="109"/>
        <w:gridCol w:w="109"/>
        <w:gridCol w:w="109"/>
        <w:gridCol w:w="109"/>
        <w:gridCol w:w="109"/>
        <w:gridCol w:w="230"/>
        <w:gridCol w:w="230"/>
        <w:gridCol w:w="231"/>
        <w:gridCol w:w="109"/>
        <w:gridCol w:w="109"/>
        <w:gridCol w:w="109"/>
        <w:gridCol w:w="161"/>
        <w:gridCol w:w="161"/>
        <w:gridCol w:w="162"/>
        <w:gridCol w:w="109"/>
        <w:gridCol w:w="109"/>
        <w:gridCol w:w="109"/>
        <w:gridCol w:w="168"/>
      </w:tblGrid>
      <w:tr>
        <w:trPr/>
        <w:tc>
          <w:tcPr>
            <w:tcW w:w="107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306" w:type="dxa"/>
            <w:gridSpan w:val="10"/>
            <w:tcBorders/>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shop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1703"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$4,554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$3,264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$1,290</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39.5%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$8,001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$6,495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$1,506</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 xml:space="preserve">— </w:t>
            </w:r>
            <w:r>
              <w:rPr>
                <w:rFonts w:ascii="Arial;sans-serif" w:hAnsi="Arial;sans-serif"/>
                <w:b w:val="false"/>
                <w:color w:val="131E29"/>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New company-operated shops opened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(14.3)%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 per new company-operated shop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and Six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pre-opening costs was primarily driven by opening a lower proportion of shops in existing markets, including increased travel for setup and training teams and lease expense related to unopened shops, in the three and six months ended June 30, 2024 as compared to the same period in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3220"/>
                <wp:effectExtent l="0" t="0" r="0" b="0"/>
                <wp:wrapNone/>
                <wp:docPr id="132" name="Frame4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8" descr=""/>
                                          <pic:cNvPicPr>
                                            <a:picLocks noChangeAspect="1" noChangeArrowheads="1"/>
                                          </pic:cNvPicPr>
                                        </pic:nvPicPr>
                                        <pic:blipFill>
                                          <a:blip r:embed="rId9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8" descr=""/>
                                    <pic:cNvPicPr>
                                      <a:picLocks noChangeAspect="1" noChangeArrowheads="1"/>
                                    </pic:cNvPicPr>
                                  </pic:nvPicPr>
                                  <pic:blipFill>
                                    <a:blip r:embed="rId9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Depreciation and Amortization</w:t>
      </w:r>
    </w:p>
    <w:tbl>
      <w:tblPr>
        <w:tblW w:w="10764" w:type="dxa"/>
        <w:jc w:val="left"/>
        <w:tblInd w:w="0" w:type="dxa"/>
        <w:tblLayout w:type="fixed"/>
        <w:tblCellMar>
          <w:top w:w="28" w:type="dxa"/>
          <w:left w:w="28" w:type="dxa"/>
          <w:bottom w:w="28" w:type="dxa"/>
          <w:right w:w="28" w:type="dxa"/>
        </w:tblCellMar>
      </w:tblPr>
      <w:tblGrid>
        <w:gridCol w:w="933"/>
        <w:gridCol w:w="435"/>
        <w:gridCol w:w="298"/>
        <w:gridCol w:w="109"/>
        <w:gridCol w:w="109"/>
        <w:gridCol w:w="109"/>
        <w:gridCol w:w="264"/>
        <w:gridCol w:w="264"/>
        <w:gridCol w:w="268"/>
        <w:gridCol w:w="109"/>
        <w:gridCol w:w="109"/>
        <w:gridCol w:w="109"/>
        <w:gridCol w:w="264"/>
        <w:gridCol w:w="264"/>
        <w:gridCol w:w="268"/>
        <w:gridCol w:w="109"/>
        <w:gridCol w:w="109"/>
        <w:gridCol w:w="109"/>
        <w:gridCol w:w="230"/>
        <w:gridCol w:w="230"/>
        <w:gridCol w:w="231"/>
        <w:gridCol w:w="109"/>
        <w:gridCol w:w="109"/>
        <w:gridCol w:w="109"/>
        <w:gridCol w:w="219"/>
        <w:gridCol w:w="219"/>
        <w:gridCol w:w="193"/>
        <w:gridCol w:w="109"/>
        <w:gridCol w:w="109"/>
        <w:gridCol w:w="109"/>
        <w:gridCol w:w="264"/>
        <w:gridCol w:w="264"/>
        <w:gridCol w:w="268"/>
        <w:gridCol w:w="109"/>
        <w:gridCol w:w="109"/>
        <w:gridCol w:w="109"/>
        <w:gridCol w:w="264"/>
        <w:gridCol w:w="264"/>
        <w:gridCol w:w="268"/>
        <w:gridCol w:w="109"/>
        <w:gridCol w:w="109"/>
        <w:gridCol w:w="109"/>
        <w:gridCol w:w="109"/>
        <w:gridCol w:w="109"/>
        <w:gridCol w:w="265"/>
        <w:gridCol w:w="265"/>
        <w:gridCol w:w="266"/>
        <w:gridCol w:w="109"/>
        <w:gridCol w:w="109"/>
        <w:gridCol w:w="109"/>
        <w:gridCol w:w="160"/>
        <w:gridCol w:w="160"/>
        <w:gridCol w:w="161"/>
        <w:gridCol w:w="109"/>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289"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$21,038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$14,799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$6,239</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42.2%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$40,732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$27,800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$12,932</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and Six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increases in depreciation and amortization were primarily driven by the opening of new company-operated shops during both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Arial;sans-serif" w:hAnsi="Arial;sans-serif"/>
          <w:b/>
          <w:i/>
          <w:color w:val="006098"/>
          <w:sz w:val="20"/>
        </w:rPr>
        <w:t>Company-operated Shop Gross Profit and Contribution</w:t>
      </w:r>
      <w:r>
        <w:rPr>
          <w:rFonts w:ascii="Arial;sans-serif" w:hAnsi="Arial;sans-serif"/>
          <w:b/>
          <w:i/>
          <w:color w:val="006098"/>
          <w:sz w:val="13"/>
        </w:rPr>
        <w:t>1</w:t>
      </w:r>
    </w:p>
    <w:tbl>
      <w:tblPr>
        <w:tblW w:w="10824" w:type="dxa"/>
        <w:jc w:val="left"/>
        <w:tblInd w:w="0" w:type="dxa"/>
        <w:tblLayout w:type="fixed"/>
        <w:tblCellMar>
          <w:top w:w="28" w:type="dxa"/>
          <w:left w:w="28" w:type="dxa"/>
          <w:bottom w:w="28" w:type="dxa"/>
          <w:right w:w="28" w:type="dxa"/>
        </w:tblCellMar>
      </w:tblPr>
      <w:tblGrid>
        <w:gridCol w:w="711"/>
        <w:gridCol w:w="522"/>
        <w:gridCol w:w="298"/>
        <w:gridCol w:w="109"/>
        <w:gridCol w:w="109"/>
        <w:gridCol w:w="109"/>
        <w:gridCol w:w="259"/>
        <w:gridCol w:w="259"/>
        <w:gridCol w:w="263"/>
        <w:gridCol w:w="109"/>
        <w:gridCol w:w="109"/>
        <w:gridCol w:w="109"/>
        <w:gridCol w:w="259"/>
        <w:gridCol w:w="259"/>
        <w:gridCol w:w="263"/>
        <w:gridCol w:w="109"/>
        <w:gridCol w:w="109"/>
        <w:gridCol w:w="109"/>
        <w:gridCol w:w="260"/>
        <w:gridCol w:w="260"/>
        <w:gridCol w:w="261"/>
        <w:gridCol w:w="109"/>
        <w:gridCol w:w="109"/>
        <w:gridCol w:w="109"/>
        <w:gridCol w:w="209"/>
        <w:gridCol w:w="209"/>
        <w:gridCol w:w="198"/>
        <w:gridCol w:w="109"/>
        <w:gridCol w:w="109"/>
        <w:gridCol w:w="109"/>
        <w:gridCol w:w="294"/>
        <w:gridCol w:w="294"/>
        <w:gridCol w:w="298"/>
        <w:gridCol w:w="109"/>
        <w:gridCol w:w="109"/>
        <w:gridCol w:w="109"/>
        <w:gridCol w:w="293"/>
        <w:gridCol w:w="293"/>
        <w:gridCol w:w="300"/>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3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Company-operated shop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$70,016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$52,079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$17,937</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34.4%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$124,321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$80,951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$43,370</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6"/>
              </w:rPr>
            </w:pPr>
            <w:r>
              <w:rPr>
                <w:rFonts w:ascii="Arial;sans-serif" w:hAnsi="Arial;sans-serif"/>
                <w:b w:val="false"/>
                <w:i/>
                <w:color w:val="131E29"/>
                <w:sz w:val="16"/>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240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16"/>
              </w:rPr>
              <w:t xml:space="preserve">Company-operated shop contribution </w:t>
            </w:r>
            <w:r>
              <w:rPr>
                <w:rFonts w:ascii="Arial;sans-serif" w:hAnsi="Arial;sans-serif"/>
                <w:b w:val="false"/>
                <w:color w:val="131E29"/>
                <w:sz w:val="10"/>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$91,054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$66,878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$24,176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36.1%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$165,053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$108,751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$56,302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6"/>
              </w:rPr>
            </w:pPr>
            <w:r>
              <w:rPr>
                <w:rFonts w:ascii="Arial;sans-serif" w:hAnsi="Arial;sans-serif"/>
                <w:b w:val="false"/>
                <w:i/>
                <w:color w:val="131E29"/>
                <w:sz w:val="16"/>
              </w:rPr>
              <w:t>As a percentage of company-operated shop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280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12"/>
        </w:rPr>
      </w:pPr>
      <w:r>
        <w:rPr>
          <w:rFonts w:ascii="Arial;sans-serif" w:hAnsi="Arial;sans-serif"/>
          <w:b w:val="false"/>
          <w:color w:val="131E29"/>
          <w:sz w:val="12"/>
        </w:rPr>
        <w:t>_______________________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 gross profit for the year-over-year comparison, presented in basis points (as a percentage of current year company-operated shop revenues), was driven by the following:</w:t>
      </w:r>
    </w:p>
    <w:tbl>
      <w:tblPr>
        <w:tblW w:w="6357" w:type="dxa"/>
        <w:jc w:val="left"/>
        <w:tblInd w:w="0" w:type="dxa"/>
        <w:tblLayout w:type="fixed"/>
        <w:tblCellMar>
          <w:top w:w="28" w:type="dxa"/>
          <w:left w:w="28" w:type="dxa"/>
          <w:bottom w:w="28" w:type="dxa"/>
          <w:right w:w="28" w:type="dxa"/>
        </w:tblCellMar>
      </w:tblPr>
      <w:tblGrid>
        <w:gridCol w:w="1824"/>
        <w:gridCol w:w="1605"/>
        <w:gridCol w:w="1611"/>
        <w:gridCol w:w="109"/>
        <w:gridCol w:w="109"/>
        <w:gridCol w:w="109"/>
        <w:gridCol w:w="109"/>
        <w:gridCol w:w="109"/>
        <w:gridCol w:w="269"/>
        <w:gridCol w:w="271"/>
        <w:gridCol w:w="232"/>
      </w:tblGrid>
      <w:tr>
        <w:trPr/>
        <w:tc>
          <w:tcPr>
            <w:tcW w:w="182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504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Pricing impacts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360 </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New shop related items (including pricing impacts)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change in Company-operated shop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10</w:t>
            </w:r>
            <w:r>
              <w:rPr>
                <w:color w:val="131E29"/>
              </w:rPr>
              <w:t> </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3220"/>
                <wp:effectExtent l="0" t="0" r="0" b="0"/>
                <wp:wrapNone/>
                <wp:docPr id="135" name="Frame4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9" descr=""/>
                                          <pic:cNvPicPr>
                                            <a:picLocks noChangeAspect="1" noChangeArrowheads="1"/>
                                          </pic:cNvPicPr>
                                        </pic:nvPicPr>
                                        <pic:blipFill>
                                          <a:blip r:embed="rId9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9" descr=""/>
                                    <pic:cNvPicPr>
                                      <a:picLocks noChangeAspect="1" noChangeArrowheads="1"/>
                                    </pic:cNvPicPr>
                                  </pic:nvPicPr>
                                  <pic:blipFill>
                                    <a:blip r:embed="rId9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Six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 gross profit for the year-over-year comparison, presented in basis points (as a percentage of current year company-operated shop revenues), was driven by the following:</w:t>
      </w:r>
    </w:p>
    <w:tbl>
      <w:tblPr>
        <w:tblW w:w="6357" w:type="dxa"/>
        <w:jc w:val="left"/>
        <w:tblInd w:w="0" w:type="dxa"/>
        <w:tblLayout w:type="fixed"/>
        <w:tblCellMar>
          <w:top w:w="28" w:type="dxa"/>
          <w:left w:w="28" w:type="dxa"/>
          <w:bottom w:w="28" w:type="dxa"/>
          <w:right w:w="28" w:type="dxa"/>
        </w:tblCellMar>
      </w:tblPr>
      <w:tblGrid>
        <w:gridCol w:w="1824"/>
        <w:gridCol w:w="1605"/>
        <w:gridCol w:w="1611"/>
        <w:gridCol w:w="109"/>
        <w:gridCol w:w="109"/>
        <w:gridCol w:w="109"/>
        <w:gridCol w:w="109"/>
        <w:gridCol w:w="109"/>
        <w:gridCol w:w="269"/>
        <w:gridCol w:w="271"/>
        <w:gridCol w:w="232"/>
      </w:tblGrid>
      <w:tr>
        <w:trPr/>
        <w:tc>
          <w:tcPr>
            <w:tcW w:w="182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504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Pricing impacts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380 </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New shop related items (including pricing impacts)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change in Company-operated shop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240</w:t>
            </w:r>
            <w:r>
              <w:rPr>
                <w:color w:val="131E29"/>
              </w:rPr>
              <w:t> </w:t>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Franchising and Other Segment Performance</w:t>
      </w:r>
    </w:p>
    <w:tbl>
      <w:tblPr>
        <w:tblW w:w="10205" w:type="dxa"/>
        <w:jc w:val="left"/>
        <w:tblInd w:w="0" w:type="dxa"/>
        <w:tblLayout w:type="fixed"/>
        <w:tblCellMar>
          <w:top w:w="28" w:type="dxa"/>
          <w:left w:w="28" w:type="dxa"/>
          <w:bottom w:w="28" w:type="dxa"/>
          <w:right w:w="28" w:type="dxa"/>
        </w:tblCellMar>
      </w:tblPr>
      <w:tblGrid>
        <w:gridCol w:w="504"/>
        <w:gridCol w:w="313"/>
        <w:gridCol w:w="315"/>
        <w:gridCol w:w="109"/>
        <w:gridCol w:w="109"/>
        <w:gridCol w:w="109"/>
        <w:gridCol w:w="259"/>
        <w:gridCol w:w="259"/>
        <w:gridCol w:w="263"/>
        <w:gridCol w:w="109"/>
        <w:gridCol w:w="109"/>
        <w:gridCol w:w="109"/>
        <w:gridCol w:w="259"/>
        <w:gridCol w:w="259"/>
        <w:gridCol w:w="263"/>
        <w:gridCol w:w="109"/>
        <w:gridCol w:w="109"/>
        <w:gridCol w:w="109"/>
        <w:gridCol w:w="224"/>
        <w:gridCol w:w="224"/>
        <w:gridCol w:w="228"/>
        <w:gridCol w:w="109"/>
        <w:gridCol w:w="109"/>
        <w:gridCol w:w="109"/>
        <w:gridCol w:w="273"/>
        <w:gridCol w:w="229"/>
        <w:gridCol w:w="219"/>
        <w:gridCol w:w="109"/>
        <w:gridCol w:w="109"/>
        <w:gridCol w:w="109"/>
        <w:gridCol w:w="259"/>
        <w:gridCol w:w="259"/>
        <w:gridCol w:w="263"/>
        <w:gridCol w:w="109"/>
        <w:gridCol w:w="109"/>
        <w:gridCol w:w="109"/>
        <w:gridCol w:w="259"/>
        <w:gridCol w:w="259"/>
        <w:gridCol w:w="263"/>
        <w:gridCol w:w="109"/>
        <w:gridCol w:w="109"/>
        <w:gridCol w:w="109"/>
        <w:gridCol w:w="109"/>
        <w:gridCol w:w="109"/>
        <w:gridCol w:w="225"/>
        <w:gridCol w:w="225"/>
        <w:gridCol w:w="226"/>
        <w:gridCol w:w="109"/>
        <w:gridCol w:w="109"/>
        <w:gridCol w:w="109"/>
        <w:gridCol w:w="180"/>
        <w:gridCol w:w="180"/>
        <w:gridCol w:w="185"/>
        <w:gridCol w:w="109"/>
        <w:gridCol w:w="109"/>
        <w:gridCol w:w="109"/>
        <w:gridCol w:w="170"/>
      </w:tblGrid>
      <w:tr>
        <w:trPr/>
        <w:tc>
          <w:tcPr>
            <w:tcW w:w="50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369" w:type="dxa"/>
            <w:gridSpan w:val="10"/>
            <w:tcBorders/>
          </w:tcPr>
          <w:p>
            <w:pPr>
              <w:pStyle w:val="TableContents"/>
              <w:bidi w:val="0"/>
              <w:spacing w:before="0" w:after="283"/>
              <w:jc w:val="left"/>
              <w:rPr>
                <w:sz w:val="4"/>
                <w:szCs w:val="4"/>
              </w:rPr>
            </w:pPr>
            <w:r>
              <w:rPr>
                <w:sz w:val="4"/>
                <w:szCs w:val="4"/>
              </w:rPr>
            </w:r>
          </w:p>
        </w:tc>
      </w:tr>
      <w:tr>
        <w:trPr/>
        <w:tc>
          <w:tcPr>
            <w:tcW w:w="1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gridSpan w:val="2"/>
            <w:tcBorders/>
          </w:tcPr>
          <w:p>
            <w:pPr>
              <w:pStyle w:val="TableContents"/>
              <w:bidi w:val="0"/>
              <w:spacing w:before="0" w:after="283"/>
              <w:jc w:val="left"/>
              <w:rPr>
                <w:sz w:val="4"/>
                <w:szCs w:val="4"/>
              </w:rPr>
            </w:pPr>
            <w:r>
              <w:rPr>
                <w:sz w:val="4"/>
                <w:szCs w:val="4"/>
              </w:rPr>
            </w:r>
          </w:p>
        </w:tc>
      </w:tr>
      <w:tr>
        <w:trPr/>
        <w:tc>
          <w:tcPr>
            <w:tcW w:w="1132"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$29,650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$28,927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$723</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$56,664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$53,030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$3,634</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$20,265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$19,164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$37,809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$36,036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franchising and other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68.3%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66.2%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210bps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66.7%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(130)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franchising and other gross profit impacts for the year-over-year comparison, presented in dollars, were driven by the following:</w:t>
      </w:r>
    </w:p>
    <w:p>
      <w:pPr>
        <w:pStyle w:val="TextBody"/>
        <w:bidi w:val="0"/>
        <w:spacing w:lineRule="auto" w:line="288" w:before="0" w:after="60"/>
        <w:ind w:left="0" w:right="0" w:hanging="360"/>
        <w:jc w:val="both"/>
        <w:rPr/>
      </w:pPr>
      <w:r>
        <w:rPr>
          <w:rFonts w:ascii="Arial;sans-serif" w:hAnsi="Arial;sans-serif"/>
          <w:b/>
          <w:color w:val="006098"/>
          <w:sz w:val="24"/>
        </w:rPr>
        <w:t>+</w:t>
      </w:r>
      <w:r>
        <w:rPr>
          <w:color w:val="D7282F"/>
        </w:rPr>
        <w:t>    </w:t>
      </w:r>
      <w:r>
        <w:rPr>
          <w:rFonts w:ascii="Arial;sans-serif" w:hAnsi="Arial;sans-serif"/>
          <w:b w:val="false"/>
          <w:color w:val="131E29"/>
          <w:sz w:val="20"/>
        </w:rPr>
        <w:t>$1.1 million</w:t>
      </w:r>
      <w:r>
        <w:rPr>
          <w:color w:val="000000"/>
        </w:rPr>
        <w:t xml:space="preserve"> </w:t>
      </w:r>
      <w:r>
        <w:rPr>
          <w:rFonts w:ascii="Arial;sans-serif" w:hAnsi="Arial;sans-serif"/>
          <w:b w:val="false"/>
          <w:color w:val="000000"/>
          <w:sz w:val="20"/>
        </w:rPr>
        <w:t>from shop weeks, driven by shop openings during the period.</w:t>
      </w:r>
    </w:p>
    <w:p>
      <w:pPr>
        <w:pStyle w:val="TextBody"/>
        <w:bidi w:val="0"/>
        <w:spacing w:lineRule="auto" w:line="288" w:before="0" w:after="60"/>
        <w:ind w:left="0" w:right="0" w:hanging="360"/>
        <w:jc w:val="both"/>
        <w:rPr/>
      </w:pPr>
      <w:r>
        <w:rPr>
          <w:rFonts w:ascii="Arial;sans-serif" w:hAnsi="Arial;sans-serif"/>
          <w:b/>
          <w:color w:val="006098"/>
          <w:sz w:val="24"/>
        </w:rPr>
        <w:t>+    </w:t>
      </w:r>
      <w:r>
        <w:rPr>
          <w:rFonts w:ascii="Arial;sans-serif" w:hAnsi="Arial;sans-serif"/>
          <w:b w:val="false"/>
          <w:color w:val="131E29"/>
          <w:sz w:val="20"/>
        </w:rPr>
        <w:t xml:space="preserve">$0.5 million from same shop sales. </w:t>
      </w:r>
    </w:p>
    <w:p>
      <w:pPr>
        <w:pStyle w:val="TextBody"/>
        <w:bidi w:val="0"/>
        <w:spacing w:lineRule="auto" w:line="288" w:before="0" w:after="180"/>
        <w:ind w:left="0" w:right="0" w:hanging="360"/>
        <w:jc w:val="both"/>
        <w:rPr/>
      </w:pPr>
      <w:r>
        <w:rPr>
          <w:rFonts w:ascii="Arial;sans-serif" w:hAnsi="Arial;sans-serif"/>
          <w:b/>
          <w:color w:val="D7282F"/>
          <w:sz w:val="24"/>
        </w:rPr>
        <w:t>-</w:t>
      </w:r>
      <w:r>
        <w:rPr>
          <w:color w:val="006098"/>
        </w:rPr>
        <w:t>    </w:t>
      </w:r>
      <w:r>
        <w:rPr>
          <w:rFonts w:ascii="Arial;sans-serif" w:hAnsi="Arial;sans-serif"/>
          <w:b w:val="false"/>
          <w:color w:val="131E29"/>
          <w:sz w:val="20"/>
        </w:rPr>
        <w:t>$0.5 million primarily from products sold to franchisees, net of costs and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Six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franchising and other gross profit impacts for the year-over-year comparison, presented in dollars, were driven by the following:</w:t>
      </w:r>
    </w:p>
    <w:p>
      <w:pPr>
        <w:pStyle w:val="TextBody"/>
        <w:bidi w:val="0"/>
        <w:spacing w:lineRule="auto" w:line="288" w:before="0" w:after="60"/>
        <w:ind w:left="0" w:right="0" w:hanging="360"/>
        <w:jc w:val="both"/>
        <w:rPr/>
      </w:pPr>
      <w:r>
        <w:rPr>
          <w:rFonts w:ascii="Arial;sans-serif" w:hAnsi="Arial;sans-serif"/>
          <w:b/>
          <w:color w:val="006098"/>
          <w:sz w:val="24"/>
        </w:rPr>
        <w:t>+</w:t>
      </w:r>
      <w:r>
        <w:rPr>
          <w:color w:val="D7282F"/>
        </w:rPr>
        <w:t>    </w:t>
      </w:r>
      <w:r>
        <w:rPr>
          <w:rFonts w:ascii="Arial;sans-serif" w:hAnsi="Arial;sans-serif"/>
          <w:b w:val="false"/>
          <w:color w:val="131E29"/>
          <w:sz w:val="20"/>
        </w:rPr>
        <w:t>$2.2 million</w:t>
      </w:r>
      <w:r>
        <w:rPr>
          <w:color w:val="000000"/>
        </w:rPr>
        <w:t xml:space="preserve"> </w:t>
      </w:r>
      <w:r>
        <w:rPr>
          <w:rFonts w:ascii="Arial;sans-serif" w:hAnsi="Arial;sans-serif"/>
          <w:b w:val="false"/>
          <w:color w:val="000000"/>
          <w:sz w:val="20"/>
        </w:rPr>
        <w:t>from shop weeks, driven by shop openings during the period.</w:t>
      </w:r>
    </w:p>
    <w:p>
      <w:pPr>
        <w:pStyle w:val="TextBody"/>
        <w:bidi w:val="0"/>
        <w:spacing w:lineRule="auto" w:line="288" w:before="0" w:after="60"/>
        <w:ind w:left="0" w:right="0" w:hanging="360"/>
        <w:jc w:val="both"/>
        <w:rPr/>
      </w:pPr>
      <w:r>
        <w:rPr>
          <w:rFonts w:ascii="Arial;sans-serif" w:hAnsi="Arial;sans-serif"/>
          <w:b/>
          <w:color w:val="006098"/>
          <w:sz w:val="24"/>
        </w:rPr>
        <w:t>+    </w:t>
      </w:r>
      <w:r>
        <w:rPr>
          <w:rFonts w:ascii="Arial;sans-serif" w:hAnsi="Arial;sans-serif"/>
          <w:b w:val="false"/>
          <w:color w:val="131E29"/>
          <w:sz w:val="20"/>
        </w:rPr>
        <w:t xml:space="preserve">$1.9 million from same shop sales. </w:t>
      </w:r>
    </w:p>
    <w:p>
      <w:pPr>
        <w:pStyle w:val="TextBody"/>
        <w:bidi w:val="0"/>
        <w:spacing w:lineRule="auto" w:line="288" w:before="0" w:after="180"/>
        <w:ind w:left="0" w:right="0" w:hanging="360"/>
        <w:jc w:val="both"/>
        <w:rPr/>
      </w:pPr>
      <w:r>
        <w:rPr>
          <w:rFonts w:ascii="Arial;sans-serif" w:hAnsi="Arial;sans-serif"/>
          <w:b/>
          <w:color w:val="D7282F"/>
          <w:sz w:val="24"/>
        </w:rPr>
        <w:t>-</w:t>
      </w:r>
      <w:r>
        <w:rPr>
          <w:color w:val="006098"/>
        </w:rPr>
        <w:t>    </w:t>
      </w:r>
      <w:r>
        <w:rPr>
          <w:rFonts w:ascii="Arial;sans-serif" w:hAnsi="Arial;sans-serif"/>
          <w:b w:val="false"/>
          <w:color w:val="131E29"/>
          <w:sz w:val="20"/>
        </w:rPr>
        <w:t>$2.4 million primarily from products sold to franchisees, net of costs and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Selling, General, and Administrative</w:t>
      </w:r>
    </w:p>
    <w:tbl>
      <w:tblPr>
        <w:tblW w:w="10205" w:type="dxa"/>
        <w:jc w:val="left"/>
        <w:tblInd w:w="0" w:type="dxa"/>
        <w:tblLayout w:type="fixed"/>
        <w:tblCellMar>
          <w:top w:w="28" w:type="dxa"/>
          <w:left w:w="28" w:type="dxa"/>
          <w:bottom w:w="28" w:type="dxa"/>
          <w:right w:w="28" w:type="dxa"/>
        </w:tblCellMar>
      </w:tblPr>
      <w:tblGrid>
        <w:gridCol w:w="712"/>
        <w:gridCol w:w="346"/>
        <w:gridCol w:w="348"/>
        <w:gridCol w:w="109"/>
        <w:gridCol w:w="109"/>
        <w:gridCol w:w="109"/>
        <w:gridCol w:w="259"/>
        <w:gridCol w:w="259"/>
        <w:gridCol w:w="263"/>
        <w:gridCol w:w="111"/>
        <w:gridCol w:w="111"/>
        <w:gridCol w:w="111"/>
        <w:gridCol w:w="259"/>
        <w:gridCol w:w="259"/>
        <w:gridCol w:w="263"/>
        <w:gridCol w:w="111"/>
        <w:gridCol w:w="111"/>
        <w:gridCol w:w="111"/>
        <w:gridCol w:w="225"/>
        <w:gridCol w:w="225"/>
        <w:gridCol w:w="226"/>
        <w:gridCol w:w="111"/>
        <w:gridCol w:w="111"/>
        <w:gridCol w:w="111"/>
        <w:gridCol w:w="159"/>
        <w:gridCol w:w="159"/>
        <w:gridCol w:w="160"/>
        <w:gridCol w:w="109"/>
        <w:gridCol w:w="109"/>
        <w:gridCol w:w="109"/>
        <w:gridCol w:w="294"/>
        <w:gridCol w:w="294"/>
        <w:gridCol w:w="298"/>
        <w:gridCol w:w="112"/>
        <w:gridCol w:w="112"/>
        <w:gridCol w:w="112"/>
        <w:gridCol w:w="259"/>
        <w:gridCol w:w="259"/>
        <w:gridCol w:w="263"/>
        <w:gridCol w:w="112"/>
        <w:gridCol w:w="112"/>
        <w:gridCol w:w="112"/>
        <w:gridCol w:w="112"/>
        <w:gridCol w:w="112"/>
        <w:gridCol w:w="225"/>
        <w:gridCol w:w="225"/>
        <w:gridCol w:w="226"/>
        <w:gridCol w:w="109"/>
        <w:gridCol w:w="109"/>
        <w:gridCol w:w="109"/>
        <w:gridCol w:w="124"/>
        <w:gridCol w:w="124"/>
        <w:gridCol w:w="125"/>
        <w:gridCol w:w="109"/>
        <w:gridCol w:w="109"/>
        <w:gridCol w:w="109"/>
        <w:gridCol w:w="164"/>
      </w:tblGrid>
      <w:tr>
        <w:trPr/>
        <w:tc>
          <w:tcPr>
            <w:tcW w:w="7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21"/>
            <w:tcBorders>
              <w:bottom w:val="single" w:sz="8" w:space="0" w:color="131E29"/>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191" w:type="dxa"/>
            <w:gridSpan w:val="10"/>
            <w:tcBorders/>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33"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33"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9"/>
            <w:tcBorders>
              <w:top w:val="single" w:sz="8" w:space="0" w:color="131E29"/>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$58,097</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$51,662</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$6,435</w:t>
            </w:r>
          </w:p>
        </w:tc>
        <w:tc>
          <w:tcPr>
            <w:tcW w:w="333"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$104,330</w:t>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$97,638</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$6,692</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17.9%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20.7%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17.4%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21.8%</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63220"/>
                <wp:effectExtent l="0" t="0" r="0" b="0"/>
                <wp:wrapNone/>
                <wp:docPr id="138" name="Frame4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0" descr=""/>
                                          <pic:cNvPicPr>
                                            <a:picLocks noChangeAspect="1" noChangeArrowheads="1"/>
                                          </pic:cNvPicPr>
                                        </pic:nvPicPr>
                                        <pic:blipFill>
                                          <a:blip r:embed="rId9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0" descr=""/>
                                    <pic:cNvPicPr>
                                      <a:picLocks noChangeAspect="1" noChangeArrowheads="1"/>
                                    </pic:cNvPicPr>
                                  </pic:nvPicPr>
                                  <pic:blipFill>
                                    <a:blip r:embed="rId9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impacts for the year-over-year comparison, presented in dollars and basis points (as a percentage of current year total revenues), were driven by the following:</w:t>
      </w:r>
    </w:p>
    <w:p>
      <w:pPr>
        <w:pStyle w:val="TextBody"/>
        <w:bidi w:val="0"/>
        <w:spacing w:lineRule="auto" w:line="288" w:before="0" w:after="60"/>
        <w:ind w:left="0" w:right="0" w:hanging="360"/>
        <w:jc w:val="both"/>
        <w:rPr/>
      </w:pPr>
      <w:r>
        <w:rPr>
          <w:rFonts w:ascii="Arial;sans-serif" w:hAnsi="Arial;sans-serif"/>
          <w:b/>
          <w:color w:val="006098"/>
          <w:sz w:val="24"/>
        </w:rPr>
        <w:t>+    </w:t>
      </w:r>
      <w:r>
        <w:rPr>
          <w:rFonts w:ascii="Arial;sans-serif" w:hAnsi="Arial;sans-serif"/>
          <w:b w:val="false"/>
          <w:color w:val="131E29"/>
          <w:sz w:val="20"/>
        </w:rPr>
        <w:t>$8.3 million from investments in human capital, processes, and systems to support our revenue growth.</w:t>
      </w:r>
    </w:p>
    <w:p>
      <w:pPr>
        <w:pStyle w:val="TextBody"/>
        <w:bidi w:val="0"/>
        <w:spacing w:lineRule="auto" w:line="288" w:before="0" w:after="60"/>
        <w:ind w:left="0" w:right="0" w:hanging="360"/>
        <w:jc w:val="both"/>
        <w:rPr/>
      </w:pPr>
      <w:r>
        <w:rPr>
          <w:rFonts w:ascii="Arial;sans-serif" w:hAnsi="Arial;sans-serif"/>
          <w:b/>
          <w:color w:val="006098"/>
          <w:sz w:val="24"/>
        </w:rPr>
        <w:t>+    </w:t>
      </w:r>
      <w:r>
        <w:rPr>
          <w:rFonts w:ascii="Arial;sans-serif" w:hAnsi="Arial;sans-serif"/>
          <w:b w:val="false"/>
          <w:color w:val="131E29"/>
          <w:sz w:val="20"/>
        </w:rPr>
        <w:t xml:space="preserve">$6.7 million or 210 bps from organization realignment and restructuring costs. </w:t>
      </w:r>
    </w:p>
    <w:p>
      <w:pPr>
        <w:pStyle w:val="TextBody"/>
        <w:bidi w:val="0"/>
        <w:spacing w:lineRule="auto" w:line="288" w:before="0" w:after="60"/>
        <w:ind w:left="0" w:right="0" w:hanging="360"/>
        <w:jc w:val="both"/>
        <w:rPr/>
      </w:pPr>
      <w:r>
        <w:rPr>
          <w:rFonts w:ascii="Arial;sans-serif" w:hAnsi="Arial;sans-serif"/>
          <w:b/>
          <w:color w:val="006098"/>
          <w:sz w:val="24"/>
        </w:rPr>
        <w:t>+    </w:t>
      </w:r>
      <w:r>
        <w:rPr>
          <w:rFonts w:ascii="Arial;sans-serif" w:hAnsi="Arial;sans-serif"/>
          <w:b w:val="false"/>
          <w:color w:val="131E29"/>
          <w:sz w:val="20"/>
        </w:rPr>
        <w:t xml:space="preserve">$0.5 million or 20 bps from expenses related to equity offerings. </w:t>
      </w:r>
    </w:p>
    <w:p>
      <w:pPr>
        <w:pStyle w:val="TextBody"/>
        <w:bidi w:val="0"/>
        <w:spacing w:lineRule="auto" w:line="288" w:before="0" w:after="60"/>
        <w:ind w:left="0" w:right="0" w:hanging="360"/>
        <w:jc w:val="both"/>
        <w:rPr/>
      </w:pPr>
      <w:r>
        <w:rPr>
          <w:rFonts w:ascii="Arial;sans-serif" w:hAnsi="Arial;sans-serif"/>
          <w:b/>
          <w:color w:val="D7282F"/>
          <w:sz w:val="24"/>
        </w:rPr>
        <w:t>-</w:t>
      </w:r>
      <w:r>
        <w:rPr>
          <w:color w:val="006098"/>
        </w:rPr>
        <w:t>    </w:t>
      </w:r>
      <w:r>
        <w:rPr>
          <w:rFonts w:ascii="Arial;sans-serif" w:hAnsi="Arial;sans-serif"/>
          <w:b w:val="false"/>
          <w:color w:val="131E29"/>
          <w:sz w:val="20"/>
        </w:rPr>
        <w:t>$7.1 million or 220 bps from lower equity-based compensation charges.</w:t>
      </w:r>
    </w:p>
    <w:p>
      <w:pPr>
        <w:pStyle w:val="TextBody"/>
        <w:bidi w:val="0"/>
        <w:spacing w:lineRule="auto" w:line="288" w:before="0" w:after="180"/>
        <w:ind w:left="0" w:right="0" w:hanging="360"/>
        <w:jc w:val="both"/>
        <w:rPr/>
      </w:pPr>
      <w:r>
        <w:rPr>
          <w:rFonts w:ascii="Arial;sans-serif" w:hAnsi="Arial;sans-serif"/>
          <w:b/>
          <w:color w:val="D7282F"/>
          <w:sz w:val="24"/>
        </w:rPr>
        <w:t>-    </w:t>
      </w:r>
      <w:r>
        <w:rPr>
          <w:rFonts w:ascii="Arial;sans-serif" w:hAnsi="Arial;sans-serif"/>
          <w:b w:val="false"/>
          <w:color w:val="131E29"/>
          <w:sz w:val="20"/>
        </w:rPr>
        <w:t xml:space="preserve">$2.0 million or 60 bps from lower expense for certain legal disputes.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summation of the dollar impacts of the latter four items above would have decreased selling, general and administrative expenses by 50 bps to be 20.2% of revenue. However, leverage from revenue growth reduces that percentage by 230 bps to be 17.9%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Six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impacts for the year-over-year comparison, presented in dollars and basis points (as a percentage of current year total revenues), were driven by the following:</w:t>
      </w:r>
    </w:p>
    <w:p>
      <w:pPr>
        <w:pStyle w:val="TextBody"/>
        <w:bidi w:val="0"/>
        <w:spacing w:lineRule="auto" w:line="288" w:before="0" w:after="60"/>
        <w:ind w:left="0" w:right="0" w:hanging="360"/>
        <w:jc w:val="both"/>
        <w:rPr/>
      </w:pPr>
      <w:r>
        <w:rPr>
          <w:rFonts w:ascii="Arial;sans-serif" w:hAnsi="Arial;sans-serif"/>
          <w:b/>
          <w:color w:val="006098"/>
          <w:sz w:val="24"/>
        </w:rPr>
        <w:t>+    </w:t>
      </w:r>
      <w:r>
        <w:rPr>
          <w:rFonts w:ascii="Arial;sans-serif" w:hAnsi="Arial;sans-serif"/>
          <w:b w:val="false"/>
          <w:color w:val="131E29"/>
          <w:sz w:val="20"/>
        </w:rPr>
        <w:t xml:space="preserve">$12.3 million from investments in human capital, processes, and systems to support our revenue growth. </w:t>
      </w:r>
    </w:p>
    <w:p>
      <w:pPr>
        <w:pStyle w:val="TextBody"/>
        <w:bidi w:val="0"/>
        <w:spacing w:lineRule="auto" w:line="288" w:before="0" w:after="60"/>
        <w:ind w:left="0" w:right="0" w:hanging="360"/>
        <w:jc w:val="both"/>
        <w:rPr/>
      </w:pPr>
      <w:r>
        <w:rPr>
          <w:rFonts w:ascii="Arial;sans-serif" w:hAnsi="Arial;sans-serif"/>
          <w:b/>
          <w:color w:val="006098"/>
          <w:sz w:val="24"/>
        </w:rPr>
        <w:t>+    </w:t>
      </w:r>
      <w:r>
        <w:rPr>
          <w:rFonts w:ascii="Arial;sans-serif" w:hAnsi="Arial;sans-serif"/>
          <w:b w:val="false"/>
          <w:color w:val="131E29"/>
          <w:sz w:val="20"/>
        </w:rPr>
        <w:t xml:space="preserve">$9.3 million or 160 bps from organization realignment and restructuring costs. </w:t>
      </w:r>
    </w:p>
    <w:p>
      <w:pPr>
        <w:pStyle w:val="TextBody"/>
        <w:bidi w:val="0"/>
        <w:spacing w:lineRule="auto" w:line="288" w:before="0" w:after="60"/>
        <w:ind w:left="0" w:right="0" w:hanging="360"/>
        <w:jc w:val="both"/>
        <w:rPr/>
      </w:pPr>
      <w:r>
        <w:rPr>
          <w:rFonts w:ascii="Arial;sans-serif" w:hAnsi="Arial;sans-serif"/>
          <w:b/>
          <w:color w:val="006098"/>
          <w:sz w:val="24"/>
        </w:rPr>
        <w:t>+    </w:t>
      </w:r>
      <w:r>
        <w:rPr>
          <w:rFonts w:ascii="Arial;sans-serif" w:hAnsi="Arial;sans-serif"/>
          <w:b w:val="false"/>
          <w:color w:val="131E29"/>
          <w:sz w:val="20"/>
        </w:rPr>
        <w:t xml:space="preserve">$1.5 million or 20 bps from expenses related to equity offerings. </w:t>
      </w:r>
    </w:p>
    <w:p>
      <w:pPr>
        <w:pStyle w:val="TextBody"/>
        <w:bidi w:val="0"/>
        <w:spacing w:lineRule="auto" w:line="288" w:before="0" w:after="60"/>
        <w:ind w:left="0" w:right="0" w:hanging="360"/>
        <w:jc w:val="both"/>
        <w:rPr/>
      </w:pPr>
      <w:r>
        <w:rPr>
          <w:rFonts w:ascii="Arial;sans-serif" w:hAnsi="Arial;sans-serif"/>
          <w:b/>
          <w:color w:val="D7282F"/>
          <w:sz w:val="24"/>
        </w:rPr>
        <w:t>-    </w:t>
      </w:r>
      <w:r>
        <w:rPr>
          <w:rFonts w:ascii="Arial;sans-serif" w:hAnsi="Arial;sans-serif"/>
          <w:b w:val="false"/>
          <w:color w:val="131E29"/>
          <w:sz w:val="20"/>
        </w:rPr>
        <w:t>$14.4 million or 240 bps from lower equity-based compensation charges.</w:t>
      </w:r>
    </w:p>
    <w:p>
      <w:pPr>
        <w:pStyle w:val="TextBody"/>
        <w:bidi w:val="0"/>
        <w:spacing w:lineRule="auto" w:line="288" w:before="0" w:after="180"/>
        <w:ind w:left="0" w:right="0" w:hanging="360"/>
        <w:jc w:val="both"/>
        <w:rPr/>
      </w:pPr>
      <w:r>
        <w:rPr>
          <w:rFonts w:ascii="Arial;sans-serif" w:hAnsi="Arial;sans-serif"/>
          <w:b/>
          <w:color w:val="D7282F"/>
          <w:sz w:val="24"/>
        </w:rPr>
        <w:t>-</w:t>
      </w:r>
      <w:r>
        <w:rPr>
          <w:color w:val="006098"/>
        </w:rPr>
        <w:t>    </w:t>
      </w:r>
      <w:r>
        <w:rPr>
          <w:rFonts w:ascii="Arial;sans-serif" w:hAnsi="Arial;sans-serif"/>
          <w:b w:val="false"/>
          <w:color w:val="131E29"/>
          <w:sz w:val="20"/>
        </w:rPr>
        <w:t xml:space="preserve">$2.0 million or 30 bps from lower expense for certain legal disputes.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summation of the impact of the latter four items above would have decreased selling, general and administrative expenses by 90 bps to be 20.9% of revenue. However, leverage from revenue growth reduced that percentage by 350 bps to be 17.4%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Other Expense</w:t>
      </w:r>
    </w:p>
    <w:tbl>
      <w:tblPr>
        <w:tblW w:w="10205" w:type="dxa"/>
        <w:jc w:val="left"/>
        <w:tblInd w:w="0" w:type="dxa"/>
        <w:tblLayout w:type="fixed"/>
        <w:tblCellMar>
          <w:top w:w="28" w:type="dxa"/>
          <w:left w:w="28" w:type="dxa"/>
          <w:bottom w:w="28" w:type="dxa"/>
          <w:right w:w="28" w:type="dxa"/>
        </w:tblCellMar>
      </w:tblPr>
      <w:tblGrid>
        <w:gridCol w:w="362"/>
        <w:gridCol w:w="318"/>
        <w:gridCol w:w="320"/>
        <w:gridCol w:w="109"/>
        <w:gridCol w:w="109"/>
        <w:gridCol w:w="109"/>
        <w:gridCol w:w="249"/>
        <w:gridCol w:w="249"/>
        <w:gridCol w:w="253"/>
        <w:gridCol w:w="109"/>
        <w:gridCol w:w="109"/>
        <w:gridCol w:w="109"/>
        <w:gridCol w:w="249"/>
        <w:gridCol w:w="249"/>
        <w:gridCol w:w="253"/>
        <w:gridCol w:w="109"/>
        <w:gridCol w:w="109"/>
        <w:gridCol w:w="109"/>
        <w:gridCol w:w="250"/>
        <w:gridCol w:w="250"/>
        <w:gridCol w:w="251"/>
        <w:gridCol w:w="109"/>
        <w:gridCol w:w="109"/>
        <w:gridCol w:w="109"/>
        <w:gridCol w:w="220"/>
        <w:gridCol w:w="164"/>
        <w:gridCol w:w="164"/>
        <w:gridCol w:w="109"/>
        <w:gridCol w:w="109"/>
        <w:gridCol w:w="109"/>
        <w:gridCol w:w="284"/>
        <w:gridCol w:w="284"/>
        <w:gridCol w:w="288"/>
        <w:gridCol w:w="110"/>
        <w:gridCol w:w="110"/>
        <w:gridCol w:w="110"/>
        <w:gridCol w:w="283"/>
        <w:gridCol w:w="283"/>
        <w:gridCol w:w="290"/>
        <w:gridCol w:w="110"/>
        <w:gridCol w:w="110"/>
        <w:gridCol w:w="110"/>
        <w:gridCol w:w="110"/>
        <w:gridCol w:w="110"/>
        <w:gridCol w:w="250"/>
        <w:gridCol w:w="250"/>
        <w:gridCol w:w="251"/>
        <w:gridCol w:w="109"/>
        <w:gridCol w:w="109"/>
        <w:gridCol w:w="109"/>
        <w:gridCol w:w="259"/>
        <w:gridCol w:w="168"/>
        <w:gridCol w:w="164"/>
        <w:gridCol w:w="109"/>
        <w:gridCol w:w="109"/>
        <w:gridCol w:w="109"/>
        <w:gridCol w:w="181"/>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21"/>
            <w:tcBorders>
              <w:bottom w:val="single" w:sz="8" w:space="0" w:color="131E29"/>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426" w:type="dxa"/>
            <w:gridSpan w:val="10"/>
            <w:tcBorders/>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131E29"/>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131E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9"/>
            <w:tcBorders>
              <w:top w:val="single" w:sz="8" w:space="0" w:color="131E29"/>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gridSpan w:val="2"/>
            <w:tcBorders/>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on 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$(5,506)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$(4,134)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$(1,372)</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33.2%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$(10,958)</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$(7,589)</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$(3,369)</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(2,432)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(9,355)</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6,923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$(6,997)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$(9,058)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$2,061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$(13,390)</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$(16,944)</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$3,554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6,593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2,346</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181.0%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$(6,168)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$(8,019)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$1,851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$(6,797)</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$(14,598)</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$7,801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3220"/>
                <wp:effectExtent l="0" t="0" r="0" b="0"/>
                <wp:wrapNone/>
                <wp:docPr id="141" name="Frame4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1" descr=""/>
                                          <pic:cNvPicPr>
                                            <a:picLocks noChangeAspect="1" noChangeArrowheads="1"/>
                                          </pic:cNvPicPr>
                                        </pic:nvPicPr>
                                        <pic:blipFill>
                                          <a:blip r:embed="rId9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1" descr=""/>
                                    <pic:cNvPicPr>
                                      <a:picLocks noChangeAspect="1" noChangeArrowheads="1"/>
                                    </pic:cNvPicPr>
                                  </pic:nvPicPr>
                                  <pic:blipFill>
                                    <a:blip r:embed="rId9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decrease in interest expense, net was primarily driven by interest income on cash invested in money market funds, partially offset by additional finance leases for new shop builds.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other income, net was primarily driven by remeasurement gains in the prior period related to the TRAs liability compared to none in the current period, partially offset by gain on sale of the Company airplane to our Co-Founder.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Six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decrease in interest expense, net was primarily driven by interest income on cash invested in money market funds, partially offset by additional finance leases for new shop builds.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other income, net was primarily driven by higher remeasurement gains in the current period related to the TRAs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Income Tax Expense </w:t>
      </w:r>
    </w:p>
    <w:tbl>
      <w:tblPr>
        <w:tblW w:w="10205" w:type="dxa"/>
        <w:jc w:val="left"/>
        <w:tblInd w:w="0" w:type="dxa"/>
        <w:tblLayout w:type="fixed"/>
        <w:tblCellMar>
          <w:top w:w="28" w:type="dxa"/>
          <w:left w:w="28" w:type="dxa"/>
          <w:bottom w:w="28" w:type="dxa"/>
          <w:right w:w="28" w:type="dxa"/>
        </w:tblCellMar>
      </w:tblPr>
      <w:tblGrid>
        <w:gridCol w:w="434"/>
        <w:gridCol w:w="382"/>
        <w:gridCol w:w="384"/>
        <w:gridCol w:w="109"/>
        <w:gridCol w:w="109"/>
        <w:gridCol w:w="109"/>
        <w:gridCol w:w="229"/>
        <w:gridCol w:w="229"/>
        <w:gridCol w:w="233"/>
        <w:gridCol w:w="116"/>
        <w:gridCol w:w="116"/>
        <w:gridCol w:w="116"/>
        <w:gridCol w:w="229"/>
        <w:gridCol w:w="229"/>
        <w:gridCol w:w="233"/>
        <w:gridCol w:w="116"/>
        <w:gridCol w:w="116"/>
        <w:gridCol w:w="116"/>
        <w:gridCol w:w="230"/>
        <w:gridCol w:w="230"/>
        <w:gridCol w:w="231"/>
        <w:gridCol w:w="116"/>
        <w:gridCol w:w="116"/>
        <w:gridCol w:w="116"/>
        <w:gridCol w:w="210"/>
        <w:gridCol w:w="210"/>
        <w:gridCol w:w="211"/>
        <w:gridCol w:w="109"/>
        <w:gridCol w:w="109"/>
        <w:gridCol w:w="109"/>
        <w:gridCol w:w="264"/>
        <w:gridCol w:w="264"/>
        <w:gridCol w:w="268"/>
        <w:gridCol w:w="121"/>
        <w:gridCol w:w="121"/>
        <w:gridCol w:w="121"/>
        <w:gridCol w:w="229"/>
        <w:gridCol w:w="229"/>
        <w:gridCol w:w="233"/>
        <w:gridCol w:w="121"/>
        <w:gridCol w:w="121"/>
        <w:gridCol w:w="121"/>
        <w:gridCol w:w="121"/>
        <w:gridCol w:w="121"/>
        <w:gridCol w:w="230"/>
        <w:gridCol w:w="230"/>
        <w:gridCol w:w="231"/>
        <w:gridCol w:w="111"/>
        <w:gridCol w:w="111"/>
        <w:gridCol w:w="111"/>
        <w:gridCol w:w="210"/>
        <w:gridCol w:w="210"/>
        <w:gridCol w:w="211"/>
        <w:gridCol w:w="109"/>
        <w:gridCol w:w="109"/>
        <w:gridCol w:w="109"/>
        <w:gridCol w:w="166"/>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457" w:type="dxa"/>
            <w:gridSpan w:val="10"/>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120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$3,860</w:t>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$1,851</w:t>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$2,009</w:t>
            </w:r>
          </w:p>
        </w:tc>
        <w:tc>
          <w:tcPr>
            <w:tcW w:w="348"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108.5%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$12,632</w:t>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$4,431</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$8,201</w:t>
            </w:r>
          </w:p>
        </w:tc>
        <w:tc>
          <w:tcPr>
            <w:tcW w:w="333" w:type="dxa"/>
            <w:gridSpan w:val="3"/>
            <w:tcBorders>
              <w:top w:val="single" w:sz="8" w:space="0" w:color="131E29"/>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185.1%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14.8%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16.0%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24.8%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93.3%</w:t>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tax expense was primarily driven by increased current year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Six Months Ended June 30, 2024 v. 2023</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tax expense was primarily driven by changes in state earnings mix, and its impact on deferred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Cash Overview</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had cash and cash equivalents of $260.9 million and $133.5 million as of June 30, 2024 and December 31, 2023, respectively.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the six months ended June 30, 2024, our principal sources of liquidity were cash flows from our delayed draw term loan facility and operations. Our principal uses of liquidity for the six months ended June 30, 2024 were to fund our new shop builds and other working capital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Cash Flows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our cash flows for the periods presented:</w:t>
      </w:r>
    </w:p>
    <w:tbl>
      <w:tblPr>
        <w:tblW w:w="9770" w:type="dxa"/>
        <w:jc w:val="left"/>
        <w:tblInd w:w="0" w:type="dxa"/>
        <w:tblLayout w:type="fixed"/>
        <w:tblCellMar>
          <w:top w:w="28" w:type="dxa"/>
          <w:left w:w="28" w:type="dxa"/>
          <w:bottom w:w="28" w:type="dxa"/>
          <w:right w:w="28" w:type="dxa"/>
        </w:tblCellMar>
      </w:tblPr>
      <w:tblGrid>
        <w:gridCol w:w="1591"/>
        <w:gridCol w:w="1398"/>
        <w:gridCol w:w="1406"/>
        <w:gridCol w:w="109"/>
        <w:gridCol w:w="109"/>
        <w:gridCol w:w="109"/>
        <w:gridCol w:w="211"/>
        <w:gridCol w:w="856"/>
        <w:gridCol w:w="109"/>
        <w:gridCol w:w="109"/>
        <w:gridCol w:w="109"/>
        <w:gridCol w:w="109"/>
        <w:gridCol w:w="211"/>
        <w:gridCol w:w="751"/>
        <w:gridCol w:w="109"/>
        <w:gridCol w:w="109"/>
        <w:gridCol w:w="109"/>
        <w:gridCol w:w="109"/>
        <w:gridCol w:w="109"/>
        <w:gridCol w:w="109"/>
        <w:gridCol w:w="220"/>
        <w:gridCol w:w="896"/>
        <w:gridCol w:w="114"/>
        <w:gridCol w:w="109"/>
        <w:gridCol w:w="109"/>
        <w:gridCol w:w="109"/>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256" w:type="dxa"/>
            <w:gridSpan w:val="12"/>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39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100,729 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45,843 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9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54,886 </w:t>
            </w:r>
          </w:p>
        </w:tc>
        <w:tc>
          <w:tcPr>
            <w:tcW w:w="114"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(11,182)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139,888 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59,754 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80,134 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127,377 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123,838 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 at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133,545 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20,178 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113,367 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237,205 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63220"/>
                <wp:effectExtent l="0" t="0" r="0" b="0"/>
                <wp:wrapNone/>
                <wp:docPr id="144" name="Frame4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2" descr=""/>
                                          <pic:cNvPicPr>
                                            <a:picLocks noChangeAspect="1" noChangeArrowheads="1"/>
                                          </pic:cNvPicPr>
                                        </pic:nvPicPr>
                                        <pic:blipFill>
                                          <a:blip r:embed="rId9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2" descr=""/>
                                    <pic:cNvPicPr>
                                      <a:picLocks noChangeAspect="1" noChangeArrowheads="1"/>
                                    </pic:cNvPicPr>
                                  </pic:nvPicPr>
                                  <pic:blipFill>
                                    <a:blip r:embed="rId9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Operating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operating activities cash flows was primarily driven by:</w:t>
      </w:r>
    </w:p>
    <w:p>
      <w:pPr>
        <w:pStyle w:val="TextBody"/>
        <w:bidi w:val="0"/>
        <w:spacing w:lineRule="auto" w:line="288" w:before="0" w:after="60"/>
        <w:ind w:left="0" w:right="0" w:hanging="360"/>
        <w:jc w:val="both"/>
        <w:rPr/>
      </w:pPr>
      <w:r>
        <w:rPr>
          <w:rFonts w:ascii="Arial;sans-serif" w:hAnsi="Arial;sans-serif"/>
          <w:b/>
          <w:color w:val="006098"/>
          <w:sz w:val="24"/>
        </w:rPr>
        <w:t>+</w:t>
      </w:r>
      <w:r>
        <w:rPr>
          <w:color w:val="D7282F"/>
        </w:rPr>
        <w:t>    </w:t>
      </w:r>
      <w:r>
        <w:rPr>
          <w:rFonts w:ascii="Arial;sans-serif" w:hAnsi="Arial;sans-serif"/>
          <w:b w:val="false"/>
          <w:color w:val="131E29"/>
          <w:sz w:val="20"/>
        </w:rPr>
        <w:t>Higher net income as a result of year-over-year shop growth and leverage of general and administrative costs.</w:t>
      </w:r>
    </w:p>
    <w:p>
      <w:pPr>
        <w:pStyle w:val="TextBody"/>
        <w:bidi w:val="0"/>
        <w:spacing w:lineRule="auto" w:line="288" w:before="0" w:after="180"/>
        <w:ind w:left="0" w:right="0" w:hanging="360"/>
        <w:jc w:val="both"/>
        <w:rPr/>
      </w:pPr>
      <w:r>
        <w:rPr>
          <w:rFonts w:ascii="Arial;sans-serif" w:hAnsi="Arial;sans-serif"/>
          <w:b/>
          <w:color w:val="006098"/>
          <w:sz w:val="24"/>
        </w:rPr>
        <w:t>+</w:t>
      </w:r>
      <w:r>
        <w:rPr>
          <w:color w:val="D7282F"/>
        </w:rPr>
        <w:t>    </w:t>
      </w:r>
      <w:r>
        <w:rPr>
          <w:rFonts w:ascii="Arial;sans-serif" w:hAnsi="Arial;sans-serif"/>
          <w:b w:val="false"/>
          <w:color w:val="131E29"/>
          <w:sz w:val="20"/>
        </w:rPr>
        <w:t>Working capital management and efficiencies with new shop openings.</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Investing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investing activities cash outflows was primarily driven by:</w:t>
      </w:r>
    </w:p>
    <w:p>
      <w:pPr>
        <w:pStyle w:val="TextBody"/>
        <w:bidi w:val="0"/>
        <w:spacing w:lineRule="auto" w:line="288" w:before="0" w:after="60"/>
        <w:ind w:left="0" w:right="0" w:hanging="360"/>
        <w:jc w:val="both"/>
        <w:rPr/>
      </w:pPr>
      <w:r>
        <w:rPr>
          <w:rFonts w:ascii="Arial;sans-serif" w:hAnsi="Arial;sans-serif"/>
          <w:b/>
          <w:color w:val="006098"/>
          <w:sz w:val="24"/>
        </w:rPr>
        <w:t>+    </w:t>
      </w:r>
      <w:r>
        <w:rPr>
          <w:rFonts w:ascii="Arial;sans-serif" w:hAnsi="Arial;sans-serif"/>
          <w:b w:val="false"/>
          <w:color w:val="000000"/>
          <w:sz w:val="20"/>
        </w:rPr>
        <w:t>Investment in capital expenditures as a result of new company-operated shop openings.</w:t>
      </w:r>
      <w:r>
        <w:rPr>
          <w:color w:val="242424"/>
        </w:rPr>
        <w:t xml:space="preserv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Financing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financing activities cash flows was primarily driven by: </w:t>
      </w:r>
    </w:p>
    <w:p>
      <w:pPr>
        <w:pStyle w:val="TextBody"/>
        <w:bidi w:val="0"/>
        <w:spacing w:lineRule="auto" w:line="288" w:before="0" w:after="180"/>
        <w:ind w:left="0" w:right="0" w:hanging="360"/>
        <w:jc w:val="both"/>
        <w:rPr/>
      </w:pPr>
      <w:r>
        <w:rPr>
          <w:rFonts w:ascii="Arial;sans-serif" w:hAnsi="Arial;sans-serif"/>
          <w:b/>
          <w:color w:val="006098"/>
          <w:sz w:val="24"/>
        </w:rPr>
        <w:t>+</w:t>
      </w:r>
      <w:r>
        <w:rPr>
          <w:color w:val="D7282F"/>
        </w:rPr>
        <w:t>    </w:t>
      </w:r>
      <w:r>
        <w:rPr>
          <w:rFonts w:ascii="Arial;sans-serif" w:hAnsi="Arial;sans-serif"/>
          <w:b w:val="false"/>
          <w:color w:val="131E29"/>
          <w:sz w:val="20"/>
        </w:rPr>
        <w:t xml:space="preserve">The delayed draw term loan advance under our 2022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Cash Requirements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believe that proceeds from our 2022 Credit Facility and cash provided by operating activities are adequate to fund our debt service requirements, lease obligations, and working capital obligations for at least the next 12 months.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future capital requirements may vary materially from period to period and will depend on many factors, primarily our expansion and growth by opening additional company-operated shops and/or reacquiring existing franchised shops, and our large-scale organization realignment including relocation of key business operations to Arizona. We currently expect to fund our current and long-term material capital requirements with operating cash flows and, as needed, additional proceeds from our 2022 Credit Facility, but we may also seek additional debt or equity financing.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As of June 30, 2024, cash requirements for the following items have materially changed from our Annual Report on Form 10-K for the year ended December 31, 2023:</w:t>
      </w:r>
    </w:p>
    <w:p>
      <w:pPr>
        <w:pStyle w:val="TextBody"/>
        <w:bidi w:val="0"/>
        <w:spacing w:lineRule="auto" w:line="288" w:before="0" w:after="180"/>
        <w:ind w:left="0" w:right="0" w:hanging="360"/>
        <w:jc w:val="both"/>
        <w:rPr/>
      </w:pPr>
      <w:r>
        <w:rPr>
          <w:color w:val="131E29"/>
        </w:rPr>
        <w:t>•</w:t>
      </w:r>
      <w:r>
        <w:rPr>
          <w:rFonts w:ascii="Arial;sans-serif" w:hAnsi="Arial;sans-serif"/>
          <w:b w:val="false"/>
          <w:color w:val="006098"/>
          <w:sz w:val="20"/>
        </w:rPr>
        <w:t>Operating lease liabilities</w:t>
      </w:r>
      <w:r>
        <w:rPr>
          <w:color w:val="131E29"/>
        </w:rPr>
        <w:t xml:space="preserve"> — </w:t>
      </w:r>
      <w:r>
        <w:rPr>
          <w:rFonts w:ascii="Arial;sans-serif" w:hAnsi="Arial;sans-serif"/>
          <w:b w:val="false"/>
          <w:color w:val="131E29"/>
          <w:sz w:val="20"/>
        </w:rPr>
        <w:t>increased approximately $158 million from newly commenced leases.</w:t>
      </w:r>
    </w:p>
    <w:p>
      <w:pPr>
        <w:pStyle w:val="TextBody"/>
        <w:bidi w:val="0"/>
        <w:spacing w:lineRule="auto" w:line="288" w:before="0" w:after="180"/>
        <w:ind w:left="0" w:right="0" w:hanging="360"/>
        <w:jc w:val="both"/>
        <w:rPr/>
      </w:pPr>
      <w:r>
        <w:rPr>
          <w:color w:val="131E29"/>
        </w:rPr>
        <w:t>•</w:t>
      </w:r>
      <w:r>
        <w:rPr>
          <w:rFonts w:ascii="Arial;sans-serif" w:hAnsi="Arial;sans-serif"/>
          <w:b w:val="false"/>
          <w:color w:val="006098"/>
          <w:sz w:val="20"/>
        </w:rPr>
        <w:t>Debt obligations</w:t>
      </w:r>
      <w:r>
        <w:rPr>
          <w:color w:val="131E29"/>
        </w:rPr>
        <w:t xml:space="preserve"> — </w:t>
      </w:r>
      <w:r>
        <w:rPr>
          <w:rFonts w:ascii="Arial;sans-serif" w:hAnsi="Arial;sans-serif"/>
          <w:b w:val="false"/>
          <w:color w:val="131E29"/>
          <w:sz w:val="20"/>
        </w:rPr>
        <w:t>increased approximately $145 million on a net basis primarily due to the proceeds from the delayed draw term loan under our 2022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Credit Facility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JPMorgan 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August 4, 2023, the Company amended its senior secured credit facility, dated February 28, 2022 with JPMorgan Chase Bank, N.A. (as amended, the 2022 Credit Facility) to increase borrowing capacity by $150 million to a total of $650 million. The 2022 Credit Facility consists of a $350 million revolving credit facility, a term loan facility of up to $100 million, and a delayed draw term loan facility of up to $200 million. The 2022 Credit Facility also includes sublimits for letters of credit and swingline loans of up to $50 million and $15 million, respectively. The 2022 Credit Facility expires on February 28, 2027 (the Maturity Date).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February 20, 2024, the Company drew $150 million on its delayed draw term loan facility before this portion expired on February 28, 2024. The remaining $50 million of the delayed draw term loan is available until February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63220"/>
                <wp:effectExtent l="0" t="0" r="0" b="0"/>
                <wp:wrapNone/>
                <wp:docPr id="147" name="Frame4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3" descr=""/>
                                          <pic:cNvPicPr>
                                            <a:picLocks noChangeAspect="1" noChangeArrowheads="1"/>
                                          </pic:cNvPicPr>
                                        </pic:nvPicPr>
                                        <pic:blipFill>
                                          <a:blip r:embed="rId10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3" descr=""/>
                                    <pic:cNvPicPr>
                                      <a:picLocks noChangeAspect="1" noChangeArrowheads="1"/>
                                    </pic:cNvPicPr>
                                  </pic:nvPicPr>
                                  <pic:blipFill>
                                    <a:blip r:embed="rId10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Obligations under the 2022 Credit Facility are guaranteed by each of Dutch Bros Inc.’s subsidiaries, and secured by a first priority perfected security interest in substantially all of the assets of the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Interest Rate Swap Contract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has an interest rate swap with JPMorgan Chase Bank, N.A. The interest rate swap has a notional amount of $70 million and hedges interest rate risk on the term loan under the 2022 Credit Facility. The purpose of the floating-to-fixed interest rate swap is to fix the interest base rate charged on the term loan at 2.67% for the $70 million notional amount. The interest rate swap matures on February 28, 2027. There were no changes to the interest rate swap contract resulting from the amendment to our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Arial;sans-serif" w:hAnsi="Arial;sans-serif"/>
          <w:b w:val="false"/>
          <w:color w:val="131E29"/>
          <w:sz w:val="20"/>
        </w:rPr>
        <w:t>See NOTE 9 — Debt and</w:t>
      </w:r>
      <w:r>
        <w:rPr>
          <w:color w:val="00416B"/>
        </w:rPr>
        <w:t xml:space="preserve"> </w:t>
      </w:r>
      <w:r>
        <w:rPr>
          <w:rFonts w:ascii="Arial;sans-serif" w:hAnsi="Arial;sans-serif"/>
          <w:b w:val="false"/>
          <w:color w:val="131E29"/>
          <w:sz w:val="20"/>
        </w:rPr>
        <w:t>NOTE 10 — Derivative Financial Instruments for additional details related to our 2022 Credit Facility and interest rate swap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Seasonality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subject to seasonal fluctuations that impact our revenue and company-operated shop gross profit margins. We typically experience higher nominal system sales in the summer months, which impacts revenue and company-operated shop gross profit margins in our second and third quarters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Critical Accounting Estimates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estimate assumptions, or selection of a different estimate methodology, could have a significant impact on our financial position and the results that we report in our condensed consolidated financial statements. While we believe that our estimates, assumptions, and judgments are reasonable, they are based on information available when the estimate was made.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have been no material changes to our critical accounting estimates from those disclosed in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Non-GAAP Financial Measures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63220"/>
                <wp:effectExtent l="0" t="0" r="0" b="0"/>
                <wp:wrapNone/>
                <wp:docPr id="150" name="Frame5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4" descr=""/>
                                          <pic:cNvPicPr>
                                            <a:picLocks noChangeAspect="1" noChangeArrowheads="1"/>
                                          </pic:cNvPicPr>
                                        </pic:nvPicPr>
                                        <pic:blipFill>
                                          <a:blip r:embed="rId10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4" descr=""/>
                                    <pic:cNvPicPr>
                                      <a:picLocks noChangeAspect="1" noChangeArrowheads="1"/>
                                    </pic:cNvPicPr>
                                  </pic:nvPicPr>
                                  <pic:blipFill>
                                    <a:blip r:embed="rId10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Company-operated shop contribution (in dollars and as a percentage of revenue)</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Company-operated segment gross profit, before company-operated shop depreciation and amortization. Company-operated shop contribution in dollars (as defined), taken as a percentage of company-operated shop revenue.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by our management in making performance decisions without the impact of non-cash depreciation and amortization charges. This is a standard metric used across our industry by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EBITDA, Adjusted EBITDA (in dollars and as a percentage of revenue)</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EBITDA — 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Net income before interest expense (net of interest income), income tax expense, and depreciation and amortization expense.</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Adjusted EBITDA — 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Defined as EBITDA (as defined above), excluding equity-based compensation, expenses associated with equity offerings, executive transitions, (gain) loss on the remeasurement of the liability related to the TRAs, legal proceedings, sale of aircraft, and organization realignment and restructuring costs.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Adjusted EBITDA in dollars (as defined), taken as a percentage of total revenue.</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Adjusted selling, general, and administrative (in dollars and as a percentage of revenue)</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Selling, general, and administrative expenses, excluding depreciation and amortization, equity-based compensation expense, expenses associated with equity offerings, executive transitions, legal proceedings, and organization realignment and restructuring costs.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Adjusted selling, general, and administrative in dollars (as defined), taken as a percentage of total revenue.</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Non-GAAP adjustments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Below are the definitions of the non-GAAP adjustments that are used in the calculation of our non-GAAP measures, as described above.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Non-cash expenses related to the grant and vesting of stock awards, including RSAs and RSUs, in Dutch Bros Inc. to certain eligible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63220"/>
                <wp:effectExtent l="0" t="0" r="0" b="0"/>
                <wp:wrapNone/>
                <wp:docPr id="153" name="Frame5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5" descr=""/>
                                          <pic:cNvPicPr>
                                            <a:picLocks noChangeAspect="1" noChangeArrowheads="1"/>
                                          </pic:cNvPicPr>
                                        </pic:nvPicPr>
                                        <pic:blipFill>
                                          <a:blip r:embed="rId10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5" descr=""/>
                                    <pic:cNvPicPr>
                                      <a:picLocks noChangeAspect="1" noChangeArrowheads="1"/>
                                    </pic:cNvPicPr>
                                  </pic:nvPicPr>
                                  <pic:blipFill>
                                    <a:blip r:embed="rId10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Expenses associated with equity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Costs incurred as a result of our equity offerings, including secondary offerings by our Sponsor. These costs include, but are not limited to, legal fees, consulting fees, tax fees, and accounting fees.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Executive transitions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Employee severance and related benefit costs, as well as sign-on bonus(es) for several executive-level transitions occurring in 2022 and 2023, and amortized through the first quarter of 2024.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TRAs remeasurements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(Gain) loss impacts related to adjustments of our TRAs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Loss accrual related to certain legal disputes.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Sale of aircraft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Gain impact related to the sale of the Company airplane to our Co-Founder.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Organization realignment and restructuring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Fees and costs, including consulting, employee-related and other costs, in connection with our comprehensive initiative to develop and implement a long-term strategy involving changes to our organizational structure to support our growth, and the resulting realignment activities that have occurred in 2023 and 2024, and are expected to continue for at least the next year. Given this strategic initiative's magnitude and scope, the Company does not expect such costs will recur in the foreseeable future. The Company does not consider such costs reflective of the ongoing costs necessary to operate its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Following are the reconciliations of the most comparable GAAP metric to non-GAAP metrics presented: </w:t>
      </w:r>
    </w:p>
    <w:tbl>
      <w:tblPr>
        <w:tblW w:w="11223" w:type="dxa"/>
        <w:jc w:val="left"/>
        <w:tblInd w:w="0" w:type="dxa"/>
        <w:tblLayout w:type="fixed"/>
        <w:tblCellMar>
          <w:top w:w="28" w:type="dxa"/>
          <w:left w:w="28" w:type="dxa"/>
          <w:bottom w:w="28" w:type="dxa"/>
          <w:right w:w="28" w:type="dxa"/>
        </w:tblCellMar>
      </w:tblPr>
      <w:tblGrid>
        <w:gridCol w:w="711"/>
        <w:gridCol w:w="625"/>
        <w:gridCol w:w="540"/>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09"/>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Company-operated shop gross profit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70,016 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52,079 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124,321 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80,951 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20.5 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Company-operated shop contribution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91,054 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30.8 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66,878 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30.3 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165,053 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30.4 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108,751 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27.6 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63220"/>
                <wp:effectExtent l="0" t="0" r="0" b="0"/>
                <wp:wrapNone/>
                <wp:docPr id="156" name="Frame5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6" descr=""/>
                                          <pic:cNvPicPr>
                                            <a:picLocks noChangeAspect="1" noChangeArrowheads="1"/>
                                          </pic:cNvPicPr>
                                        </pic:nvPicPr>
                                        <pic:blipFill>
                                          <a:blip r:embed="rId10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6" descr=""/>
                                    <pic:cNvPicPr>
                                      <a:picLocks noChangeAspect="1" noChangeArrowheads="1"/>
                                    </pic:cNvPicPr>
                                  </pic:nvPicPr>
                                  <pic:blipFill>
                                    <a:blip r:embed="rId10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tbl>
      <w:tblPr>
        <w:tblW w:w="10878" w:type="dxa"/>
        <w:jc w:val="left"/>
        <w:tblInd w:w="0" w:type="dxa"/>
        <w:tblLayout w:type="fixed"/>
        <w:tblCellMar>
          <w:top w:w="28" w:type="dxa"/>
          <w:left w:w="28" w:type="dxa"/>
          <w:bottom w:w="28" w:type="dxa"/>
          <w:right w:w="28" w:type="dxa"/>
        </w:tblCellMar>
      </w:tblPr>
      <w:tblGrid>
        <w:gridCol w:w="1042"/>
        <w:gridCol w:w="296"/>
        <w:gridCol w:w="298"/>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09"/>
        <w:gridCol w:w="109"/>
        <w:gridCol w:w="109"/>
        <w:gridCol w:w="109"/>
        <w:gridCol w:w="374"/>
        <w:gridCol w:w="377"/>
        <w:gridCol w:w="109"/>
        <w:gridCol w:w="109"/>
        <w:gridCol w:w="109"/>
        <w:gridCol w:w="109"/>
        <w:gridCol w:w="270"/>
        <w:gridCol w:w="271"/>
        <w:gridCol w:w="109"/>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Net income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22,156 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9,711 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38,371 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320 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Interest expense, net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6,997 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9,058 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13,390 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16,944 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EBITDA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55,363 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17.0 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37,136 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14.9 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107,996 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18.0 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52,990 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0.9 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Expenses associated with equity offerings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1,489 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Executive transitions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TRAs remeasurement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(5,687)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(2,155)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Legal proceedings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Sale of aircraft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(752)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Organization realignment and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Employee-related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9,289 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organization realignment and restructuring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6,694 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9,319 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Adjusted EBITDA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20.1 </w:t>
            </w:r>
          </w:p>
        </w:tc>
        <w:tc>
          <w:tcPr>
            <w:tcW w:w="109" w:type="dxa"/>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19.4 </w:t>
            </w:r>
          </w:p>
        </w:tc>
        <w:tc>
          <w:tcPr>
            <w:tcW w:w="109" w:type="dxa"/>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117,699 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19.6 </w:t>
            </w:r>
          </w:p>
        </w:tc>
        <w:tc>
          <w:tcPr>
            <w:tcW w:w="109" w:type="dxa"/>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16.2 </w:t>
            </w:r>
          </w:p>
        </w:tc>
        <w:tc>
          <w:tcPr>
            <w:tcW w:w="109" w:type="dxa"/>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878" w:type="dxa"/>
        <w:jc w:val="left"/>
        <w:tblInd w:w="0" w:type="dxa"/>
        <w:tblLayout w:type="fixed"/>
        <w:tblCellMar>
          <w:top w:w="28" w:type="dxa"/>
          <w:left w:w="28" w:type="dxa"/>
          <w:bottom w:w="28" w:type="dxa"/>
          <w:right w:w="28" w:type="dxa"/>
        </w:tblCellMar>
      </w:tblPr>
      <w:tblGrid>
        <w:gridCol w:w="906"/>
        <w:gridCol w:w="432"/>
        <w:gridCol w:w="298"/>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Selling, general, and administrative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58,097 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51,662 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104,330 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97,638 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(3,056)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(10,149)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(4,895)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(19,319)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Expenses associated with equity offerings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Executives transition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Legal proceedings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Organization realignment and restructuring: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Employee-related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organization realignment and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Adjusted 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47,584 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14.6 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38,918 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88,053 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75,157 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16.8 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3220"/>
                <wp:effectExtent l="0" t="0" r="0" b="0"/>
                <wp:wrapNone/>
                <wp:docPr id="159" name="Frame5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7" descr=""/>
                                          <pic:cNvPicPr>
                                            <a:picLocks noChangeAspect="1" noChangeArrowheads="1"/>
                                          </pic:cNvPicPr>
                                        </pic:nvPicPr>
                                        <pic:blipFill>
                                          <a:blip r:embed="rId10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7" descr=""/>
                                    <pic:cNvPicPr>
                                      <a:picLocks noChangeAspect="1" noChangeArrowheads="1"/>
                                    </pic:cNvPicPr>
                                  </pic:nvPicPr>
                                  <pic:blipFill>
                                    <a:blip r:embed="rId10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3. QUANTITATIVE AND QUALITATIVE DISCLOSURES ABOUT MARKET RISK</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Commodity Risks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adjusting our Dutch Rewards loyalty program, and making operational adjustments that increase productivity. However, sustained inflation of or substantial increases in costs and expenses, including dairy, coffee, fuel, cocoa, and packaging commodities pricing,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Labor Costs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minimum wage increases, which directly affect our labor costs, and other upward pressure on wage rates in several states, including in California beginning in April 2024. In the future, we may or may not be able to offset these cost increases with operational efficiencies, menu price increases, or other adjustments. As of June 30, 2024, we employed approximately 17,000 hourly workers in our company-operated shops.</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Interest Rate Risk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June 30, 2024, we had no revolving loans outstanding, and $240.9 million was outstanding on our term loan facilities. A hypothetical increase of interest rates up to 1% on our outstanding term loan as of June 30, 2024 would result in an increase in our annual interest expense of approximately $2.4 million, excluding any potential impacts of interest rate swaps.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Impact of Inflation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primary inflation factors affecting our operations are commodity and supply costs,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for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3220"/>
                <wp:effectExtent l="0" t="0" r="0" b="0"/>
                <wp:wrapNone/>
                <wp:docPr id="162" name="Frame5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8" descr=""/>
                                          <pic:cNvPicPr>
                                            <a:picLocks noChangeAspect="1" noChangeArrowheads="1"/>
                                          </pic:cNvPicPr>
                                        </pic:nvPicPr>
                                        <pic:blipFill>
                                          <a:blip r:embed="rId11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8" descr=""/>
                                    <pic:cNvPicPr>
                                      <a:picLocks noChangeAspect="1" noChangeArrowheads="1"/>
                                    </pic:cNvPicPr>
                                  </pic:nvPicPr>
                                  <pic:blipFill>
                                    <a:blip r:embed="rId11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 xml:space="preserve">ITEM 4. CONTROLS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Evaluation of Disclosure Controls and Procedures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2024, under the supervision and with the participation of our management, including the Chief Executive Officer and Chief Financial Officer, we evaluated the effectiveness of the design and operation of our disclosure controls and procedures, as defined in Rule 13(a)-15(e) of the Securities Exchange Act of 1934, as amended (the Exchange Act). Based on the evaluation, our Chief Executive Officer and Chief Financial Officer have concluded that our disclosure controls and procedures were effective as of that date.</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Changes in Internal Control over Financial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have been no changes during the three months ended June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63220"/>
                <wp:effectExtent l="0" t="0" r="0" b="0"/>
                <wp:wrapNone/>
                <wp:docPr id="165" name="Frame5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9" descr=""/>
                                          <pic:cNvPicPr>
                                            <a:picLocks noChangeAspect="1" noChangeArrowheads="1"/>
                                          </pic:cNvPicPr>
                                        </pic:nvPicPr>
                                        <pic:blipFill>
                                          <a:blip r:embed="rId11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9" descr=""/>
                                    <pic:cNvPicPr>
                                      <a:picLocks noChangeAspect="1" noChangeArrowheads="1"/>
                                    </pic:cNvPicPr>
                                  </pic:nvPicPr>
                                  <pic:blipFill>
                                    <a:blip r:embed="rId11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II. OTHER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 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from time to time, be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adversely affect our business, financial condition, results of operations, and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Please refer to NOTE 15 — Commitments and Contingencies under the heading “Legal Proceedings”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Summary of Risk Factors</w:t>
      </w:r>
    </w:p>
    <w:p>
      <w:pPr>
        <w:pStyle w:val="TextBody"/>
        <w:bidi w:val="0"/>
        <w:spacing w:lineRule="auto" w:line="288" w:before="0" w:after="0"/>
        <w:jc w:val="both"/>
        <w:rPr>
          <w:rFonts w:ascii="Arial;sans-serif" w:hAnsi="Arial;sans-serif"/>
          <w:b w:val="false"/>
          <w:i/>
          <w:color w:val="131E29"/>
          <w:sz w:val="20"/>
        </w:rPr>
      </w:pPr>
      <w:r>
        <w:rPr>
          <w:rFonts w:ascii="Arial;sans-serif" w:hAnsi="Arial;sans-serif"/>
          <w:b w:val="false"/>
          <w:i/>
          <w:color w:val="131E29"/>
          <w:sz w:val="20"/>
        </w:rPr>
        <w:t>Below is a summary of the principal factors that make an investment in our Class A common stock speculative or risky. This summary does not address all of the risks that we face. Additional discussion of the risks summarized in this summary, and other risks that we face, can be found below under the heading “Risk Factors” and should be carefully considered, together with other information in this Form 10-Q and our other filings with the SEC before making investment decisions regarding our Class A common stock.</w:t>
      </w:r>
    </w:p>
    <w:p>
      <w:pPr>
        <w:pStyle w:val="TextBody"/>
        <w:bidi w:val="0"/>
        <w:spacing w:before="0" w:after="0"/>
        <w:jc w:val="both"/>
        <w:rPr/>
      </w:pPr>
      <w:r>
        <w:rPr/>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Evolving consumer preferences and tastes or changes in consumer spending may adversely affect our business.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We may not be able to compete successfully with other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failure to manage our growth effectively could harm our business and operating results.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inability to identify, recruit, and retain qualified individuals for our shops could slow our growth and adversely impact our ability to operate.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Our shops are geographically concentrated in the Western United States, and we could be negatively affected by conditions specific to that region.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Interruption of our supply chain of coffee, flavored syrups or other ingredients, coffee machines and other restaurant equipment or packaging could affect our ability to produce or deliver our products and could negatively impact our business and profitability.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63220"/>
                <wp:effectExtent l="0" t="0" r="0" b="0"/>
                <wp:wrapNone/>
                <wp:docPr id="168" name="Frame5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0" descr=""/>
                                          <pic:cNvPicPr>
                                            <a:picLocks noChangeAspect="1" noChangeArrowheads="1"/>
                                          </pic:cNvPicPr>
                                        </pic:nvPicPr>
                                        <pic:blipFill>
                                          <a:blip r:embed="rId11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0" descr=""/>
                                    <pic:cNvPicPr>
                                      <a:picLocks noChangeAspect="1" noChangeArrowheads="1"/>
                                    </pic:cNvPicPr>
                                  </pic:nvPicPr>
                                  <pic:blipFill>
                                    <a:blip r:embed="rId11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Pandemics or disease outbreaks have had, and may continue to have, an effect on our business and results of operations.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Our success depends substantially on the value of our brand and failure to preserve its value could have a negative impact on our financial results.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Changes in the availability of and the cost of labor could harm our business.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culture has contributed to our success, and if we cannot maintain this culture as we grow, we could lose the high employee engagement fostered by our culture, which could harm our business.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Our Co-Founder continues to have significant influence over us, which could limit your ability to influence the outcome of matters submitted to stockholders for a vote.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growth strategy depends in part on opening new shops in existing and new markets. We may be unsuccessful in opening new shops or establishing new markets, which could adversely affect our growth.</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We have previously identified and remediated material weaknesses in our internal control over financial reporting. If we fail to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 Factors</w:t>
      </w:r>
    </w:p>
    <w:p>
      <w:pPr>
        <w:pStyle w:val="TextBody"/>
        <w:bidi w:val="0"/>
        <w:spacing w:lineRule="auto" w:line="288" w:before="0" w:after="180"/>
        <w:jc w:val="both"/>
        <w:rPr>
          <w:rFonts w:ascii="Arial;sans-serif" w:hAnsi="Arial;sans-serif"/>
          <w:b w:val="false"/>
          <w:i/>
          <w:color w:val="131E29"/>
          <w:sz w:val="20"/>
        </w:rPr>
      </w:pPr>
      <w:r>
        <w:rPr>
          <w:rFonts w:ascii="Arial;sans-serif" w:hAnsi="Arial;sans-serif"/>
          <w:b w:val="false"/>
          <w:i/>
          <w:color w:val="131E29"/>
          <w:sz w:val="20"/>
        </w:rPr>
        <w:t>You should carefully consider the risks described below in addition to the other information set forth in this Form 10-Q, including “Management’s Discussion and Analysis of Financial Condition and Results of Operations,” “Quantitative and Qualitative Disclosures about Market Risk,” our consolidated financial statements and related notes in this Form 10-Q, before making an investment decision. If any of the risks and uncertainties described below occur, it could have a material adverse impact on our business, reputation,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become material and adversely affect our business, reputation, financial condition, results of operations or cash flows, or the trading price of our Class A common stock. The risks relating to our business set forth in our Annual Report on Form 10-K for the year ended December 31, 2023, filed with the SEC on February 23, 2024, are set forth below and are unchanged substantively as of the date of this filing, except for those risks designated by an asterisk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63220"/>
                <wp:effectExtent l="0" t="0" r="0" b="0"/>
                <wp:wrapNone/>
                <wp:docPr id="171" name="Frame5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1" descr=""/>
                                          <pic:cNvPicPr>
                                            <a:picLocks noChangeAspect="1" noChangeArrowheads="1"/>
                                          </pic:cNvPicPr>
                                        </pic:nvPicPr>
                                        <pic:blipFill>
                                          <a:blip r:embed="rId11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1" descr=""/>
                                    <pic:cNvPicPr>
                                      <a:picLocks noChangeAspect="1" noChangeArrowheads="1"/>
                                    </pic:cNvPicPr>
                                  </pic:nvPicPr>
                                  <pic:blipFill>
                                    <a:blip r:embed="rId11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55</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Evolving consumer preferences and tastes or changes in consumer spending may adversely affect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continued success depends on our ability to attract and retain customers. Our financial results could be adversely affected by a shift in consumer spending away from outside-the-home beverages, decreases in general discretionary consumer spending (including due to higher gas prices, inflation or lack of consumer confidence),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 reduction in individual car ownership, which in turn may reduce the usefulness and convenience of our drive-thru shops, or customers reducing their demand for our current offerings as new beverages are introduced. We may not be successful in introducing new products or new features to our mobile application that are adopted by our customers. Experimentation with and implementation of innovations in products and technologies may result in inefficiencies, such as a slowdown in our shop operations and traffic flow, disruption of workflows, technical glitches, disruption of current systems and technology, and negative customer experiences.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most of our beverages contain sugar, caffeine, dairy products, and other compounds, such as taurine and artificial coloring, the health effects of which are the subject of public and regulatory scrutiny, including the 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attributed to the consumption of various food and beverage products. While we offer alternatives, including reduced sugar and sugar-free items, negative publicity or an unfavorable perception of the health effects of sugar, caffeine, or other ingredients in our products could significantly reduce the demand for our beverages and could harm our business.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financial condition and results of operations are subject to, and may be adversely affected by, a number of factors, many of which are also largely outside our control.</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increases in real estate or labor costs in certain markets, which we have recently experienced;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changes in consumer preferences;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disruptions in our supply chain;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the impact of shortages or inflation on our cost of goods or labor, including construction labor, which we have recently seen;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changes in governmental laws and rules, including those regarding minimum wage, and approaches to taxation;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severe weather or other natural or man-made disasters affecting a large market or several closely located markets that may temporarily but significantly affect our business in such markets, including the price or availability of goods;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3220"/>
                <wp:effectExtent l="0" t="0" r="0" b="0"/>
                <wp:wrapNone/>
                <wp:docPr id="174" name="Frame5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2" descr=""/>
                                          <pic:cNvPicPr>
                                            <a:picLocks noChangeAspect="1" noChangeArrowheads="1"/>
                                          </pic:cNvPicPr>
                                        </pic:nvPicPr>
                                        <pic:blipFill>
                                          <a:blip r:embed="rId11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2" descr=""/>
                                    <pic:cNvPicPr>
                                      <a:picLocks noChangeAspect="1" noChangeArrowheads="1"/>
                                    </pic:cNvPicPr>
                                  </pic:nvPicPr>
                                  <pic:blipFill>
                                    <a:blip r:embed="rId11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56</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labor discord or disruption, geopolitical events, social unrest, war, including repercussions of the war between Russia and Ukraine or the war between Israel and Hamas and the related risk of a larger regional conflict, terrorism, political instability, acts of public violence, boycotts, hostilities and social unrest, or resurgence of or new epidemics;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adverse outcomes of litigation.</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marketing programs may not be successful, and our new menu items and advertising campaigns may not generate increased revenues or profits.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incur costs and expend resources in our marketing efforts on new menu items and advertising campaigns to raise brand awareness and attract and retain customers. For example, we engaged in 2023 in new marketing efforts, including “Fill-a-Tray” promotions. These initiatives may not be successful, resulting in expenses incurred without the benefit of higher revenue. Additionally, some of our competitors have substantially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for example if our marketing efforts do not continue to appeal to our current customers or are perceived negatively, there could be an adverse effect on our revenues and profits could decrease.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We may not be able to compete successfully with other coffee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food 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Donuts, CosMc’s,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Certain markets may limit the number of drive-thru businesses operating within their geographic region, which could negatively affect our ability to grow into those markets. Some of our competitors have substantially greater financial and other resources to devote to innovation in products, technology, and market and consumer data analytics, including integration, use, or offering of new technologies, including artificial intelligence. We may be unable to offer new or innovative products and technologies to our customers that are offered by our competitors, or there may be a delay in our ability to innovate or implement new technologies. Any of these competitive factors may harm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if our competitors begin to evolve their business strategies and adopt aspects of the Dutch Bros business model, such as our drive-thru convenience, digital ordering, and similar product offerings or branding, our customers may be drawn to those competitors for their beverage needs and our business could be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3220"/>
                <wp:effectExtent l="0" t="0" r="0" b="0"/>
                <wp:wrapNone/>
                <wp:docPr id="177" name="Frame5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3" descr=""/>
                                          <pic:cNvPicPr>
                                            <a:picLocks noChangeAspect="1" noChangeArrowheads="1"/>
                                          </pic:cNvPicPr>
                                        </pic:nvPicPr>
                                        <pic:blipFill>
                                          <a:blip r:embed="rId12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3" descr=""/>
                                    <pic:cNvPicPr>
                                      <a:picLocks noChangeAspect="1" noChangeArrowheads="1"/>
                                    </pic:cNvPicPr>
                                  </pic:nvPicPr>
                                  <pic:blipFill>
                                    <a:blip r:embed="rId12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57</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strategic initiatives and growth strategy may be unsuccessful which could adversely affect our business and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June 30, 2024, Dutch Bros had 912 shops across 18 states, of which 612 were company-operated and 300 were franchised. One of the key means to achieving our growth strategy will be through opening new shops and operating those shops on a profitable basis. During the six months ended June 30, 2024, we opened 70 new company-operated shops, across 14 states. Our ability to open new shops is dependent upon a number of factors, many of which are beyond our control, including our and our franchise partners’ ability to: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identify available and suitable sites, specifically for drive-thru locations;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compete for such sites;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reach acceptable agreements regarding the lease of locations;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obtain or have available the financing required to acquire and operate a shop, including construction and opening costs, which includes access to build-to-suit leases and ground lease construction arrangements;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respond to unforeseen engineering or environmental problems with leased premises;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avoid the impact of inclement weather, natural disasters, and other calamities;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hire, train, and retain the skilled management and other employees necessary to meet staffing needs;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obtain, in a timely manner and for an acceptable cost, required licenses, permits, and regulatory approvals and respond effectively to any changes in local, state, or federal law and regulations, such as regulatory bans on new drive-thru businesses, that adversely affect our and our franchise partners’ costs or ability to open new shops; and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control construction and equipment cost increases for new shops and secure the services of qualified contractors and subcontractors in an increasingly competitive environment.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part of our longer-term growth strategy, we expect to continue to enter into geographic markets in which we have little or no prior operating experience. The challenges of entering new markets include: adapting to local regulations or restrictions that may limit our ability to open new shops, restrictions on the use of certain branding, or increases in the cost of development; difficulties in hiring qualified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3220"/>
                <wp:effectExtent l="0" t="0" r="0" b="0"/>
                <wp:wrapNone/>
                <wp:docPr id="180" name="Frame6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4" descr=""/>
                                          <pic:cNvPicPr>
                                            <a:picLocks noChangeAspect="1" noChangeArrowheads="1"/>
                                          </pic:cNvPicPr>
                                        </pic:nvPicPr>
                                        <pic:blipFill>
                                          <a:blip r:embed="rId12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8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4" descr=""/>
                                    <pic:cNvPicPr>
                                      <a:picLocks noChangeAspect="1" noChangeArrowheads="1"/>
                                    </pic:cNvPicPr>
                                  </pic:nvPicPr>
                                  <pic:blipFill>
                                    <a:blip r:embed="rId12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58</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New shops, once opened, may not be profitable or may close, and the increases in average per shop revenue and comparable sales that we have experienced in the past may not be indicative of future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plan to continue to open additional company-operated Dutch Bros shops in markets, including in markets where we have little or no operating experience. The target customer base of our shops varies by location, depending on a number of factors, including population density, other local coffee and convenience beverage distributors, area demographics, and geography. Our results have been, and in the future may continue to be, significantly impacted by the timing of new shop openings, which is subject to a number of factors, many of which are outside of our control, including landlord delays, delays due to scarcity of construction labor,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Due to the impact of inflation and other factors, we are experiencing increased costs in connection with new shops.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Some of Dutch Bros’ shops open with an initial start-up period of higher-than-normal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we do not expect our AUV and comparable sales to continue to increase at the rates achieved over the past several years. Our ability to operate new shops profitably and increase average shop revenue and comparable shop sales will depend on many factors, some of which are beyond our control, including: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consumer awareness and understanding of the Dutch Bros brand;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general economic conditions, such as inflation, which can affect shop traffic, local labor costs, and prices we pay for the beverage and other supplies we use;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consumption patterns and beverage preferences that differ from region to region;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consumer preferences and discretionary spending, which we have seen impacted recently by factors such as inflation;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difficulties obtaining or maintaining adequate relationships with distributors or suppliers in new markets;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increases or continued elevation in prices for commodities, including coffee, milk, and flavored syrups;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inefficiency in our labor costs as the staff gains experience;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competition, either from our competitors in the food service and restaurant industry or our own shops;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temporary and permanent site characteristics of new shops;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government regulation;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our ability to hire, motivate, and retain qualified employees who share our values;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63220"/>
                <wp:effectExtent l="0" t="0" r="0" b="0"/>
                <wp:wrapNone/>
                <wp:docPr id="183" name="Frame6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5" descr=""/>
                                          <pic:cNvPicPr>
                                            <a:picLocks noChangeAspect="1" noChangeArrowheads="1"/>
                                          </pic:cNvPicPr>
                                        </pic:nvPicPr>
                                        <pic:blipFill>
                                          <a:blip r:embed="rId12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8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5" descr=""/>
                                    <pic:cNvPicPr>
                                      <a:picLocks noChangeAspect="1" noChangeArrowheads="1"/>
                                    </pic:cNvPicPr>
                                  </pic:nvPicPr>
                                  <pic:blipFill>
                                    <a:blip r:embed="rId12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59</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other unanticipated increases in costs, including costs of construction materials and trade labor, any of which could give rise to delays or cost overruns.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our new shops do not perform as planned or close, our business and future prospects could be harmed. In addition, an inability to achieve our expected average shop revenue could harm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opening new shops in existing markets may negatively impact sales at our, and our franchise partners’, existing shops. The consumer target area of our shops varies by location, depending on a number of factors, including population density, other local retail and business attractions, area demographics, and geography.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 significant in the future as we continue to expand our operations, and we expect it will have an impact on our sales growth, which could, in turn,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we expand, we may not be able to maintain our current average shop sales and our business may be harmed. 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failure to manage our growth effectively could harm our business and operating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could be harmed, including by a decline in financial performance. If we experience a decline in financial performance, we may decrease the number of or discontinue new Dutch Bros shop openings, or we may decide to close shops that we are unable to operate in a profitable manner.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allow for us to accurately monitor and predict changes in our costs and customer demand. Additionally, we may face challenges of integrating, developing, training, and motivating a rapidly growing employee base in our various shops and maintaining our company culture across multiple offices and shops. In January 2024, we announced shifting approximately 40% of our total support staff to our Phoenix, Arizona office by January 1, 2025. In connection with our reorganization, we experienced increased turnover of employees unable or unwilling to relocate to Arizona and may see further increased turnover in our support functions, which could potentially lead to inefficiencies, such as operational delays or disruptions and increased labor costs. Our ability to manage our growth effectively will require us to continue to enhance our systems, procedures and controls, and to locate, hire, train, and retain management and broistas, particularly in new markets which may require significant capital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63220"/>
                <wp:effectExtent l="0" t="0" r="0" b="0"/>
                <wp:wrapNone/>
                <wp:docPr id="186" name="Frame6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6" descr=""/>
                                          <pic:cNvPicPr>
                                            <a:picLocks noChangeAspect="1" noChangeArrowheads="1"/>
                                          </pic:cNvPicPr>
                                        </pic:nvPicPr>
                                        <pic:blipFill>
                                          <a:blip r:embed="rId12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8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6" descr=""/>
                                    <pic:cNvPicPr>
                                      <a:picLocks noChangeAspect="1" noChangeArrowheads="1"/>
                                    </pic:cNvPicPr>
                                  </pic:nvPicPr>
                                  <pic:blipFill>
                                    <a:blip r:embed="rId12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60</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Damage to our brand or reputation or negative publicity could negatively impact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from time to time, be faced with negative publicity, including on social media, regardless of its accuracy, relating to: beverage quality; pricing; the safety, sanitation and welfare of our shops; customer complaints or litigation alleging illness or injury; health inspection scores; integrity of our or our suppliers’ or franchise partners’ food processing, employment practices, and other policies, practices and procedures; or employee relationships and welfare; the appearance of our shops on third-party delivery platforms that may contain inaccurate menu pricing and extended delivery times; related parties, such as our Co-Founder, and their reputation, public perception, or actions, whether or not related to Dutch Bros; or other matters. Negative publicity may adversely affect us, regardless of whether the allegations are substantiated or whether we are determined to be responsible.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also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there has been a marked increase in the use of social media platforms and similar devices, including blogs, social media websites and other forms of internet-based communications that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Such platforms could be used for or result in polarizing campaigns or movements involving our brand. Information posted may be adverse to our interests or may be inaccurate, each of which may harm our performance, prospects, or business. The harm may be immediate without affording us an opportunity for redress or correction.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Ultimately, the risks associated with any such negative publicity or incorrect information cannot be completely eliminated or mitigated and may harm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inability to identify, recruit, and retain qualified individuals for our shops could slow our growth and adversely impact our ability to operate.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63220"/>
                <wp:effectExtent l="0" t="0" r="0" b="0"/>
                <wp:wrapNone/>
                <wp:docPr id="189" name="Frame6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7" descr=""/>
                                          <pic:cNvPicPr>
                                            <a:picLocks noChangeAspect="1" noChangeArrowheads="1"/>
                                          </pic:cNvPicPr>
                                        </pic:nvPicPr>
                                        <pic:blipFill>
                                          <a:blip r:embed="rId12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7" descr=""/>
                                    <pic:cNvPicPr>
                                      <a:picLocks noChangeAspect="1" noChangeArrowheads="1"/>
                                    </pic:cNvPicPr>
                                  </pic:nvPicPr>
                                  <pic:blipFill>
                                    <a:blip r:embed="rId12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61</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may require us to pay higher wages and provide greater benefits, especially if there is improvement in regional or national economic conditions.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are subject to the risks associated with leasing space subject to long-term non-cancelable leases and, with respect to the real property that we own, owning real estate.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we are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2024, approximately 33%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63220"/>
                <wp:effectExtent l="0" t="0" r="0" b="0"/>
                <wp:wrapNone/>
                <wp:docPr id="192" name="Frame6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8" descr=""/>
                                          <pic:cNvPicPr>
                                            <a:picLocks noChangeAspect="1" noChangeArrowheads="1"/>
                                          </pic:cNvPicPr>
                                        </pic:nvPicPr>
                                        <pic:blipFill>
                                          <a:blip r:embed="rId13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8" descr=""/>
                                    <pic:cNvPicPr>
                                      <a:picLocks noChangeAspect="1" noChangeArrowheads="1"/>
                                    </pic:cNvPicPr>
                                  </pic:nvPicPr>
                                  <pic:blipFill>
                                    <a:blip r:embed="rId13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62</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investment. Even if such unsuccessful operations do not rise to the level of breaching the related franchise documents, they may be attributed by customers to our Dutch Bros brand and could have a negative impact on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we are responsible for ensuring the success of our entire system of shops and for taking a longer-term view with respect to system improvements, our franchise partners have individual business strategies and objectives, which might conflict with our interests. Our franchise partners may from time to time disagree with us and our strategies and objectives regarding the business or our interpretation of our 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shops are geographically concentrated in the Western United States, and we could be negatively affected by conditions specific to that region.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2024, our company-operated and franchised shops in the Western United States represent approximately 70% of our total shops. Adverse changes in demographic, unemployment, economic, regulatory, or weather conditions in the Western United States, including recent significant increases in gas prices, have harmed, and may continue to harm, our business. As a result of our concentration in this market, we have been, and in the future may be, disproportionately affected by these adverse conditions compared to other chain beverage shops with a more expansive national footprint. For example, in recent years, wildfires spread across most western states causing poor air quality which reduced consumers’ willingness to venture outside their homes and, we believe, reduced our AUVs, and any future wildfires may have a similar impact. If we experience wildfires, such wildfires may also damage shops and the communities in which they operate which could decrease demand for our products. For example, in 2018 a wildfire partially destroyed a town in northern California and damaged one of our shops. In addition to rebuilding costs, prolonged economic recovery within affected communities may have a negative impact on our results of operations. In addition, until our roasting facility in Texas is operational, our roasting operations are concentrated in this region and may experience closures or be subject to damage due to adverse weather conditions occurring in the Western United States. For example, in 2022 our roasting facility was temporarily under a “Level 1 - Be Ready” evacuation alert due to the Rum Creek Fire. Future wildfires may result in actual evacuations and closures, which would disrupt our operations and may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63220"/>
                <wp:effectExtent l="0" t="0" r="0" b="0"/>
                <wp:wrapNone/>
                <wp:docPr id="195" name="Frame6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9" descr=""/>
                                          <pic:cNvPicPr>
                                            <a:picLocks noChangeAspect="1" noChangeArrowheads="1"/>
                                          </pic:cNvPicPr>
                                        </pic:nvPicPr>
                                        <pic:blipFill>
                                          <a:blip r:embed="rId13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9" descr=""/>
                                    <pic:cNvPicPr>
                                      <a:picLocks noChangeAspect="1" noChangeArrowheads="1"/>
                                    </pic:cNvPicPr>
                                  </pic:nvPicPr>
                                  <pic:blipFill>
                                    <a:blip r:embed="rId13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63</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*Interruption of our supply chain of coffee, flavored syrups or other ingredients, coffee machines, and other restaurant equipment or packaging could affect our ability to produce or deliver our products and could negatively impact our business and profitability.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Any material interruption in our supply chain, such as material interruption of the supply of coffee, flavored syrups, dairy, coffee machines, cans for our Dutch Bros. Blue Rebel energy drink, and other restaurant equipment or packaging, including any packaging for our for our proprietary products, for any reason, including: the casualty loss of our roasting facility; interruptions in service by our third-party logistic service providers or common carriers that ship goods within our distribution channels; trade restrictions, such as increased tariffs or quotas, embargoes or customs restrictions; pandemics; social or labor unrest; acts of terrorism; natural disasters; or political disputes and military conflicts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most of our beverages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Blue Rebel energy drinks, where we rely on relationships with our co-packers, Portland Bottling Co. and Lieb Foods, LLC to blend, package, label, and warehouse these drinks. Sales of Dutch Bros. Blue Rebel accounted for approximately 27% of our systemwide net sales in the six months ended June 30, 2024. Failures by our co-packers or any of our other suppliers or distributors to meet our standards, provide products in a timely and efficient manner, or comply with applicable laws is beyond our control. Failures by a supplier could have a direct negative impact that would harm our business by reducing our and our franchise partners’ sales, which would reduce income from direct sales and royalties.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proprietary supplies, find acceptable replacements or substitutes, or adapt our construction strategies effectively, we may be unable to sustain our growth, and it may negatively affect our business and profitability. Finding acceptable replacements or substitutes may require trial and error that could cause losses or delays. If construction and building materials are not of the quality or durability we typically require, this may lead to increased maintenance costs or even business interruption for necessary repairs or replacements in the future. If we are unable to locate sufficient building or construction materials, or to successfully scale our construction and new shop opening operations, we may not be able to achieve our stated growth objectives.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63220"/>
                <wp:effectExtent l="0" t="0" r="0" b="0"/>
                <wp:wrapNone/>
                <wp:docPr id="198" name="Frame6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70" descr=""/>
                                          <pic:cNvPicPr>
                                            <a:picLocks noChangeAspect="1" noChangeArrowheads="1"/>
                                          </pic:cNvPicPr>
                                        </pic:nvPicPr>
                                        <pic:blipFill>
                                          <a:blip r:embed="rId13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0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0" descr=""/>
                                    <pic:cNvPicPr>
                                      <a:picLocks noChangeAspect="1" noChangeArrowheads="1"/>
                                    </pic:cNvPicPr>
                                  </pic:nvPicPr>
                                  <pic:blipFill>
                                    <a:blip r:embed="rId13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64</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 increased significantly in 2022, and has remained elevated, including during the six months ended June 30, 2024. Because of the significance of coffee beans to our operations, combined with our ability to only partially mitigate future price risk through purchasing practices and hedging activities,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also purchase significant amounts of dairy products, particularly milk, to support the needs of our shops. For example, in 2022, there were material increases in dairy costs and such dairy costs remained elevated in the first half of 2024. If dairy costs further increase, this could harm our business. Additionally, and although less significant to our operations than coffee or dairy, other commodities, including but not limited to cocoa, plant-based “milks,” tea, sugar, syrups, energy and packaging material, such as plastics, corrugate, and canning materials, are important to our operations, and may be subject to increased costs, which could negatively impact our margins. For example, the cost of sugar increased significantly in 2022 and 2023, and the cost of cocoa materially increased in the first half of 2024.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Increases in the cost of other commodities, such as petroleum, may increase the cost of our packing materials, or lack of availability, whether due to supply shortages, delays or interruptions in processing, may impact consumer spending, or could otherwise harm our business. For example, in 2022, we believe fluctuating increases in gas prices negatively impacted consumer discretionary spending, particularly in the Western United States where such increases were relatively higher and where our shops are geographically concentrated.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If we fail to offer high-quality customer experience, our business and reputation will suffer.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 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If we fail to maintain adequate operational and financial resources, particularly if we continue to grow rapidly, we may be unable to execute our business plan or maintain high levels of service and customer satisfaction.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continuous growth and expansion have placed, and may continue to place, significant demands on our management and our operational and financial resources.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and within our hybrid remote and remote workforce. Certain members of our management have not previously worked together for an extended period of time, and some do not have prior experience managing a public company, which may affect how they manage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63220"/>
                <wp:effectExtent l="0" t="0" r="0" b="0"/>
                <wp:wrapNone/>
                <wp:docPr id="201" name="Frame6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0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1" descr=""/>
                                          <pic:cNvPicPr>
                                            <a:picLocks noChangeAspect="1" noChangeArrowheads="1"/>
                                          </pic:cNvPicPr>
                                        </pic:nvPicPr>
                                        <pic:blipFill>
                                          <a:blip r:embed="rId13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0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1" descr=""/>
                                    <pic:cNvPicPr>
                                      <a:picLocks noChangeAspect="1" noChangeArrowheads="1"/>
                                    </pic:cNvPicPr>
                                  </pic:nvPicPr>
                                  <pic:blipFill>
                                    <a:blip r:embed="rId13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65</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have a limited history of operating with a substantial remote workforce and the long-term impact on our financial results and business operations are uncertain.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Remote work has become the primary experience for a large number of our employees, and our intention is for our workforce to continue to have remote work opportunities into the future. However, we have a limited history of operating with a large remote workforce and the impact on our financial results and business operations remains uncertain, particularly in the near term. Additionally, there is no guarantee that we will realize any anticipated benefits to our business from our remote and hybrid remote workforce, such as any cost savings or operational efficiencies.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continuing support of a growing remote and hybrid workforce may make it increasingly difficult to manage our business and adequately oversee our employees and business functions, potentially resulting in harm to our company culture, increased employee attrition, the loss of key personnel, difficulty in properly classifying employees, and harm to the growth of our business. We may also experience an increased risk of privacy and data security breaches and incidents involving our information technology networks and systems and data processing as more of our employees utilize network connections outside our premises or network, including working at home, while in transit, and in public locations. The mobility of our remote workers may also subject us to an increased risk of regulatory claims if our remote employees establish a nexus for our business in unanticipated jurisdictions. This could cause us to be subject to tax and employment claims in the applicable jurisdiction. Any of these factors could adversely affect our financial condition and operating results.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are increasingly dependent on information technology and our ability to process data in order to operate and sell our products, and if we (or the third parties with whom we work) are unable to protect against software and hardware vulnerabilities, service interruptions, data corruption, cyber-based attacks, ransomware, fraud, or security breaches, or if we (or the third parties with whom we work)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rely on information technology networks and systems and data processing: to market;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(collectively, Sensitive Information); to manage a variety of business processes and activities; for financial reporting purposes; to operate our business; to process orders; to accept payments using credit cards and debit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63220"/>
                <wp:effectExtent l="0" t="0" r="0" b="0"/>
                <wp:wrapNone/>
                <wp:docPr id="204" name="Frame6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0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2" descr=""/>
                                          <pic:cNvPicPr>
                                            <a:picLocks noChangeAspect="1" noChangeArrowheads="1"/>
                                          </pic:cNvPicPr>
                                        </pic:nvPicPr>
                                        <pic:blipFill>
                                          <a:blip r:embed="rId13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0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2" descr=""/>
                                    <pic:cNvPicPr>
                                      <a:picLocks noChangeAspect="1" noChangeArrowheads="1"/>
                                    </pic:cNvPicPr>
                                  </pic:nvPicPr>
                                  <pic:blipFill>
                                    <a:blip r:embed="rId13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66</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cards; to accept payments using the Dutch Rewards mobile app; for legal purposes; and to comply with regulatory, legal and tax requirements.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(and those of the third parties with whom we work) information technology networks and systems, and the Processing of Sensitive Information they perform, may be vulnerable to data security and privacy threats, cyber and otherwise. These threats are becoming increasingly difficult to detect and come from a variety of sources, including traditional computer “hackers,” threat actors, “hacktivists,” personnel (such as through theft or misuse), organized criminal threat actors, sophisticated nation states, and nation-state 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market, produce, sell, and distribute our products.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risk of unauthorized circumvention of our security measures or those of the third parties with whom we work has been heightened by advances in computer and software capabilities and the increasing sophistication of actors who employ complex techniques, including, without limitation, “phishing” or social engineering incidents (including deep fakes, which are becoming increasingly difficult to detect), ransomware, extortion, account takeover attacks, personnel misconduct or error, denial or degradation of service attacks, malicious code (such as viruses or worms), supply-chain attacks, software bugs, adware, attacks enhanced or facilitated by artificial intelligence, or malware. In particular, severe ransomware attacks are becoming increasingly prevalent and can lead to significant interruptions in our operations,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We may also experience server malfunctions, software or hardware failures, telecommunications failures, or loss of data or other information technology assets. Further, security incidents experienced by other companies may also be leveraged against us. For example, credential stuffing attacks are becoming increasingly common and sophisticated actors can mask their attacks, making them increasingly difficult to identify and prevent.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rely upon third parties service providers and technologies to operate critical business systems to process Sensitive Information in a variety of contexts, including, without limitation, third-party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Dutch Rewards mobile app, and other functions.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in the third parties with whom we work supply chains have not been compromised.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While we have implemented security measures designed to protect against security incidents, our security measures (and those of the third parties with whom we work) may not be adequate to prevent or detect service interruption, system failure data loss, fraud or theft, or other material adverse consequences. Moreover, we take steps designed to detect, mitigate, and remediate vulnerabilities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63220"/>
                <wp:effectExtent l="0" t="0" r="0" b="0"/>
                <wp:wrapNone/>
                <wp:docPr id="207" name="Frame6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0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3" descr=""/>
                                          <pic:cNvPicPr>
                                            <a:picLocks noChangeAspect="1" noChangeArrowheads="1"/>
                                          </pic:cNvPicPr>
                                        </pic:nvPicPr>
                                        <pic:blipFill>
                                          <a:blip r:embed="rId14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0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3" descr=""/>
                                    <pic:cNvPicPr>
                                      <a:picLocks noChangeAspect="1" noChangeArrowheads="1"/>
                                    </pic:cNvPicPr>
                                  </pic:nvPicPr>
                                  <pic:blipFill>
                                    <a:blip r:embed="rId14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67</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information systems (such as our hardware or software and those of the third parties with whom we work). We may not, however, detect and remediate all such vulnerabilities, including on a timely basis. Vulnerabilities could be exploited and result in a security incident. We expect similar issues to arise in the future as the Dutch Rewards mobile app is more widely adopted, and as we continue to expand the features and functionality of the Dutch Rewards mobile app.</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Any of the previously identified or similar threats could cause a security incident or other interruption that could result in unauthorized, unlawful, or accidental acquisition, modification, destruction, loss, alteration, encryption, disclosure of, or access to Sensitive Information or our information technology networks and systems (or those of the third parties with whom we work).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expend significant resources or modify our business activities to try to protect against such security incidents and/or fraud. Certain data privacy and security obligations may require us to implement and maintain specific security measures, industry-standard, or reasonable security measures to protect our information technology networks and systems and Sensitive Information. Despite our efforts to protect our information technology networks and systems, and our Processing of Sensitive Information, no security solution, strategy, or measures can address all possible security threats and/or fraud. Additionally, Sensitive Information of the Company or our customers could be leaked, disclosed, or revealed as a result of or in connection with our employees’, personnel’s, or vendors’ use of generative artificial intelligence (“AI”) technologies.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Applicable data privacy and security obligations may require us, or we may voluntarily choose, to notify relevant stakeholders of security incidents including affected individuals, customers, regulators, and investors. Such disclosures are costly, and the disclosure or the failure to comply with such requirements could lead to adverse consequences. If we or a third party with whom we work experiences a security incident or are perceived to have experienced a security incident, we may experience adverse consequences, including reputational harm, costly litigation (including class action litigation), material contract breaches, liability, settlement costs, loss of sales, disruption in our ability (or that of third parties with whom we work) to process payments, regulatory scrutiny, actions or investigations, a loss of confidence in our business, systems and Processing of Sensitive Information, a diversion of management’s time and attention, and significant fines, penalties, assessments, fees and expenses.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the costs to respond to a security incident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may not have adequate insurance coverage for handling security incidents, including fines, judgments, settlements, penalties, costs, attorney fees and other impacts that arise out of incidents or breaches. If the impacts of a security incident,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information security risks are likely to increase as we continue to expand, grow our customer base, and process, store, and transmit increasingly large amounts of personal and/or Sensitive Information. In addition to experiencing a security incident, third parties may gather, collect, or infer Sensitive Information about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63220"/>
                <wp:effectExtent l="0" t="0" r="0" b="0"/>
                <wp:wrapNone/>
                <wp:docPr id="210" name="Frame7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4" descr=""/>
                                          <pic:cNvPicPr>
                                            <a:picLocks noChangeAspect="1" noChangeArrowheads="1"/>
                                          </pic:cNvPicPr>
                                        </pic:nvPicPr>
                                        <pic:blipFill>
                                          <a:blip r:embed="rId14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1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4" descr=""/>
                                    <pic:cNvPicPr>
                                      <a:picLocks noChangeAspect="1" noChangeArrowheads="1"/>
                                    </pic:cNvPicPr>
                                  </pic:nvPicPr>
                                  <pic:blipFill>
                                    <a:blip r:embed="rId14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68</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from public sources, data brokers, or other means that reveals competitively sensitive details about our organization and could be used to undermine our competitive advantage or market position.</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Pandemics or disease outbreaks have had, and may continue to have, an effect on our business and results of operations.</w:t>
      </w:r>
    </w:p>
    <w:p>
      <w:pPr>
        <w:pStyle w:val="TextBody"/>
        <w:bidi w:val="0"/>
        <w:spacing w:lineRule="auto" w:line="288" w:before="0" w:after="180"/>
        <w:jc w:val="both"/>
        <w:rPr/>
      </w:pPr>
      <w:r>
        <w:rPr>
          <w:rFonts w:ascii="Arial;sans-serif" w:hAnsi="Arial;sans-serif"/>
          <w:b w:val="false"/>
          <w:color w:val="131E29"/>
          <w:sz w:val="20"/>
        </w:rPr>
        <w:t xml:space="preserve">Pandemics or disease outbreaks such as the COVID-19 pandemic have impacted and may continue to impact customer traffic at our Dutch Bros shops and may make it more difficult to staff our shops and, in more severe cases, may cause a temporary inability to obtain supplies and may increase commodity costs. </w:t>
      </w:r>
      <w:r>
        <w:rPr>
          <w:rFonts w:ascii="Arial;sans-serif" w:hAnsi="Arial;sans-serif"/>
          <w:b w:val="false"/>
          <w:color w:val="131E29"/>
          <w:sz w:val="20"/>
          <w:shd w:fill="FFFFFF" w:val="clear"/>
        </w:rPr>
        <w:t xml:space="preserve">The extent of the impact of pandemics or disease outbreaks on our business, operations, and development timelines and plans will depend on the specifics of any particular pandemic or disease outbreak that cannot be predicted at this time.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operations have been, and may continue to be, disrupted when employees or employees of our franchise partners are suspected of having a communicable disease or other illnesses since this requires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is heavily reliant on our franchise partners and another pandemic may cause financial distress for certain franchise partners that have been or will be impacted, such as those partners who were negatively impacted by the COVID-19 pandemic. As a result of distress, our franchise partners may not be able to meet their financial obligations as they come due, including the payment of royalties, rent, or other amounts due to us. For example, in the past, this has led to write-offs of amounts we had due from our franchise partners beyond amounts we have reserved, as well as decreased future collections from franchise partners. Franchise partners’ financial distress has also led to, and may continue to lead to, permanent shop closures and delayed or reduced new franchise partner development which would further harm our results and liquidity going forward. Further, in some cases, we are contingently liable for franchise partner lease obligations, and a failure by a franchise partner to perform its obligations under such lease could result in direct payment obligations for us.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While we have developed and continue to develop plans to help mitigate the potential negative impact of a pandemic, these efforts may not be effective, and any protracted economic downturn will likely limit the effectiveness of our efforts. Accordingly, it is not possible for us to predict the duration and extent to which this will affect our business at this time. There is no guarantee that a future outbreak of COVID-19 or any other widespread epidemics will not occur, or that the global economy will recover to pre-pandemic levels, either of which could seriously harm our business.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Unstable market and economic conditions may have serious adverse consequences on our business and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global credit and financial markets have experienced extreme volatility and disruptions (including as a result of the COVID-19 pandemic and actual or perceived changes in interest rates, continued economic inflation, and failures of financial institutions),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war between Russia and Ukraine and the war between Israel and Hamas, terrorism, or other geopolitical events. Sanctions imposed by the United States and other countries in response to such conflicts, including the war in Ukraine, may also continue to adversely impact the financial markets and the global economy, and any economic countermeasures by the affected countries or others could exacerbate market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63220"/>
                <wp:effectExtent l="0" t="0" r="0" b="0"/>
                <wp:wrapNone/>
                <wp:docPr id="213" name="Frame7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5" descr=""/>
                                          <pic:cNvPicPr>
                                            <a:picLocks noChangeAspect="1" noChangeArrowheads="1"/>
                                          </pic:cNvPicPr>
                                        </pic:nvPicPr>
                                        <pic:blipFill>
                                          <a:blip r:embed="rId14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1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5" descr=""/>
                                    <pic:cNvPicPr>
                                      <a:picLocks noChangeAspect="1" noChangeArrowheads="1"/>
                                    </pic:cNvPicPr>
                                  </pic:nvPicPr>
                                  <pic:blipFill>
                                    <a:blip r:embed="rId14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69</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customer demand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Our Brand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success depends substantially on the value of our brand and failure to preserve its value could have a negative impact on our financial results.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depends in large part upon our and our franchise partners’ ability to maintain and enhance our corporate reputation and the value and perception of our brand.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or a real or perceived failure of corporate governance or misconduct by any officer or any employee or representative of us or a franchise partner. Our corporate reputation could suffer from negative publicity or consumer sentiment regarding our charitable giving practices, campaigns, and marketing around such campaigns, including any change to our charitable giving practices or long-standing giveback days (“Drink One for Dane,” “Dutch Luv,” and “Buck for Kids”). We empower our operators and franchise partners to create their own local, shop-specific giveback programs within their communities. If the recipient of discretionary donations is subject to negative publicity or consumer sentiment, Dutch Bros could experience the same. Any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63220"/>
                <wp:effectExtent l="0" t="0" r="0" b="0"/>
                <wp:wrapNone/>
                <wp:docPr id="216" name="Frame7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6" descr=""/>
                                          <pic:cNvPicPr>
                                            <a:picLocks noChangeAspect="1" noChangeArrowheads="1"/>
                                          </pic:cNvPicPr>
                                        </pic:nvPicPr>
                                        <pic:blipFill>
                                          <a:blip r:embed="rId14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1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6" descr=""/>
                                    <pic:cNvPicPr>
                                      <a:picLocks noChangeAspect="1" noChangeArrowheads="1"/>
                                    </pic:cNvPicPr>
                                  </pic:nvPicPr>
                                  <pic:blipFill>
                                    <a:blip r:embed="rId14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70</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*The increased public and government focus on environmental, social, and corporate governance (ESG) matters or our reporting of such matters could negatively impact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has been an increased public focus, including from the United States federal and state governments, on ESG matters, including with respect to climate change, greenhouse gases, water resources, packaging and waste, animal health and welfare, deforestation, and land use. We are working to manage the risks and costs to us, our franchise partners and our supply chain associated with these types of ESG matters, however, there is no assurance that such efforts will result in the intended effective management of such risks and costs. In addition, as the result of such heightened public focus on ESG matters, we may face increased pressure to provide expanded disclosure, make or expand commitments, set targets, or establish additional goals and take actions to meet such goals, in connection with such ESG matters. For example, the state of California recently enacted Senate Bill 253 and Senate Bill 261, referred to as the Climate Accountability Package, which would require certain companies doing business in California to report on various ESG matters, including greenhouse gas emissions. These matters and our efforts to address them could expose us to market, operational, reputational, and execution costs or risks.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ESG best practices and reporting standards continue to develop, we may incur increasing costs relating to ESG monitoring and reporting and complying with ESG initiatives. For example, California recently enacted Assembly Bill 1305 (AB 1305). AB 1305 creates new annual disclosure requirements regarding substantiation of certain climate-related statements, and, if we report these types of climate-related statements in the future, could increase our compliance and reporting costs. Additionally, the SEC recently adopted rules designed to enhance and standardize climate-related disclosures, which have been stayed pending judicial review. If these rules or other climate-related disclosure rules become effective, they may significantly increase our compliance and reporting costs and may also result in disclosures that certain investors or other stakeholders deem to negatively impact our reputation and/or that harm our stock price.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may not be able to adequately protect our intellectual property, including trademarks, trade names, and service marks, which, in turn, could harm the value of our brand and adversely affect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and foreign trademark, copyright, and trade secret laws, as well as license agreements, nondisclosure agreements, and confidentiality and other contractual provisions to protect our intellectual property. Nevertheless, our competitors may develop similar marks, menu items, and concepts, and adequate remedies may not be available in the event of an unauthorized use or disclosure of our trade secrets and other intellectual property.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and in foreign jurisdictions. We may not be able to adequately protect our trademarks and service marks, and our competitors and others may successfully challenge the validity and/or enforceability of our trademarks and service marks and other intellectual property. There can also be no assurance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63220"/>
                <wp:effectExtent l="0" t="0" r="0" b="0"/>
                <wp:wrapNone/>
                <wp:docPr id="219" name="Frame7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2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7" descr=""/>
                                          <pic:cNvPicPr>
                                            <a:picLocks noChangeAspect="1" noChangeArrowheads="1"/>
                                          </pic:cNvPicPr>
                                        </pic:nvPicPr>
                                        <pic:blipFill>
                                          <a:blip r:embed="rId14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77" descr=""/>
                                    <pic:cNvPicPr>
                                      <a:picLocks noChangeAspect="1" noChangeArrowheads="1"/>
                                    </pic:cNvPicPr>
                                  </pic:nvPicPr>
                                  <pic:blipFill>
                                    <a:blip r:embed="rId14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71</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pending or future trademark applications will be approved in a timely manner or at all, or that such registrations will effectively protect our brand names and trademarks.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 steps we have taken to protect our intellectual property in the United States and internationally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 from achieving or maintaining market acceptance.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also from time to time be required to institute enforcement action, including litigation, to enforce and preserve the value of our trademarks, service marks and other intellectual property. Such litigation could result in substantial costs and diversion of resources and could negatively affect our sales, business, profitability, and prospects regardless of whether we can successfully enforce our rights.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Third parties may oppose our trademark and service mark applications, or otherwise challenge our use of the trademarks and service marks. This risk may increase as we enter new markets with localized competitors. In the event that these or other intellectual property rights are successfully challenged, we could experience brand dilution or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third-party intellectual property that we use or wish to use in our business (whether or not asserted against us in litigation), we may not be able to enter into licensing or other arrangements with the owner of such intellectual property at a reasonable cost or on reasonable terms.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negatively affect our brand and reduce our sales.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Incidents or reports, whether true or not, of food-borne or water-borne illness or other food safety issues, food contamination or tampering, employee hygiene and cleanliness failures, or improper employee conduct at our shops could lead to product liability or other claims. Such incidents or reports could negatively affect our brand and reputation as well as our business, revenue, and profits. Similar incidents or reports occurring at coffee and convenience shops unrelated to us could likewise create negative publicity, which could negatively impact consumer behavior towards us.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cannot guarantee to customers that our internal controls and training will be fully effective in preventing all food-borne illnesses. New illnesses resistant to our current precautions may develop in the future, or diseases with long incubation periods could arise, that could give rise to claims or allegations on 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63220"/>
                <wp:effectExtent l="0" t="0" r="0" b="0"/>
                <wp:wrapNone/>
                <wp:docPr id="222" name="Frame7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2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8" descr=""/>
                                          <pic:cNvPicPr>
                                            <a:picLocks noChangeAspect="1" noChangeArrowheads="1"/>
                                          </pic:cNvPicPr>
                                        </pic:nvPicPr>
                                        <pic:blipFill>
                                          <a:blip r:embed="rId15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8" descr=""/>
                                    <pic:cNvPicPr>
                                      <a:picLocks noChangeAspect="1" noChangeArrowheads="1"/>
                                    </pic:cNvPicPr>
                                  </pic:nvPicPr>
                                  <pic:blipFill>
                                    <a:blip r:embed="rId15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72</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If we, our franchise partners, or our vendors are unable to protect our customers’ credit and debit card data or confidential information in connection with processing the same or confidential employee information, we could be exposed to data loss, litigation, liability, and reputational damage.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subject to rules governing electronic funds transfers, including the Payment Card Industry Data Security Standard (PCI DSS) as discussed further below.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that 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are subject to payment-related fraud and an increase in or failure to deal effectively with fraud, fraudulent activities, fictitious transactions, or illegal transactions would materially and adversely affect our business, results of operations, and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process a significant volume of credit and debit card transactions on a daily basis through our point of sale and order management systems and our Dutch Rewards mobile app. We have in the past, and may again in the future, be the victim of fraudulent transactions arising out of the actual or alleged theft of credit or debit card information through such systems. Such instances have and can lead to the reversal of payments received by us for such payments, referred to as a “chargeback.” We have been and will likely continue to be liable for chargebacks and other costs and fees related to fraudulent transactions. Our ability to detect and combat such fraudulent transactions, which have become increasingly common and sophisticated, could be adversely impacted by the emergence and innovation of new technology platforms, including mobile and other devices. We expect that technically knowledgeable criminals will continue to attempt to circumvent our anti-fraud systems. In addition, the payment card networks have rules around acceptable chargeback ratios. If we are unable to effectively combat the use of fraudulent or stolen credit cards, we may be subject to fines and higher transaction fees or be unable to continue to accept card payments because payment card networks have revoked our access to their networks, any of which would materially adversely impact our business, results of operations, and financial condition.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3220"/>
                <wp:effectExtent l="0" t="0" r="0" b="0"/>
                <wp:wrapNone/>
                <wp:docPr id="225" name="Frame7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2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9" descr=""/>
                                          <pic:cNvPicPr>
                                            <a:picLocks noChangeAspect="1" noChangeArrowheads="1"/>
                                          </pic:cNvPicPr>
                                        </pic:nvPicPr>
                                        <pic:blipFill>
                                          <a:blip r:embed="rId15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9" descr=""/>
                                    <pic:cNvPicPr>
                                      <a:picLocks noChangeAspect="1" noChangeArrowheads="1"/>
                                    </pic:cNvPicPr>
                                  </pic:nvPicPr>
                                  <pic:blipFill>
                                    <a:blip r:embed="rId15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73</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may also be subject to lawsuits, regulatory investigations, or other proceedings relating to these types of incidents.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 payments systems we use are susceptible to potentially illegal or improper uses, including money laundering, transactions in violation of economic and trade sanctions, corruption and bribery, terrorist financing, customer account takeovers, or the facilitation of other illegal activity. Use of our payments systems for illegal or improper uses could subject us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payment processes. These measures may also not be effective against fraud and illegal activities, particularly new and continually evolving forms of circumvention. If these measures do not succeed in reducing fraud, our business, results of operations, and financial condition would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Risks Related to People and Culture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Changes in the availability of and the cost of labor could harm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could be harmed by increases in labor costs, including those increases triggered by inflation, regulatory actions regarding wages, scheduling and benefits, and increased health care and workers’ compensation insurance costs, which, in a retail business such as ours, are some of our most significant costs. In particular, our broistas are typically paid wage rates at or based on the applicable federal, state, or local minimum wage, and increases in the applicable minimum wage have in the past and will increase labor costs. From time to time, legislative proposals are made to increase the minimum wage at the federal, state, and local level, such as Assembly Bill 1228 in California, which created a minimum wage of $20 per hour for fast food workers, effective April 1, 2024, among other provisions.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typically expect our customers to bear the entire burden of increased labor and commodity costs and, when possible, we do not increase prices in order to pass increased labor or commodity costs on to customers, as we believe such price increases would negatively impact our brand and consumer loyalty. If we do not increase prices to cover increased labor or commodity costs, or if such increase is delayed, this is likely to result in lower revenue, and may also reduce margins.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to which we expand.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Changing conditions beyond our control could affect the desirability of working in our shops, such as increases in extreme heat or cold, wildfire smoke, and other extreme weather events that make working outdoors or in a limited space more difficult.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In addition, growth and the addition of new shops may result in inefficiencies in our staffing, which can increase overtime costs or otherwise impact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63220"/>
                <wp:effectExtent l="0" t="0" r="0" b="0"/>
                <wp:wrapNone/>
                <wp:docPr id="228" name="Frame7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2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80" descr=""/>
                                          <pic:cNvPicPr>
                                            <a:picLocks noChangeAspect="1" noChangeArrowheads="1"/>
                                          </pic:cNvPicPr>
                                        </pic:nvPicPr>
                                        <pic:blipFill>
                                          <a:blip r:embed="rId15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3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0" descr=""/>
                                    <pic:cNvPicPr>
                                      <a:picLocks noChangeAspect="1" noChangeArrowheads="1"/>
                                    </pic:cNvPicPr>
                                  </pic:nvPicPr>
                                  <pic:blipFill>
                                    <a:blip r:embed="rId15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74</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depend on our executive officers and other key employees, and the loss of one or more of these employees or an inability to attract and retain other highly skilled employees could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success depends largely upon the continued services of our executive officers and other key employees, and the hiring and retention of additional executives and other key personnel. We rely on our leadership team in the areas of finance, marketing, sales, customer experience, and selling, general and administrative. As we look to expand our business and strengthen the depth of our senior management team, we expect there will be changes in our executive management team resulting from the hiring or departure of executives, which could disrupt our business. In January 2024, our prior Chief Executive Officer, Joth Ricci, transitioned and Christine Barone was appointed as our Chief Executive Officer. In addition, in April 2024, Brian Maxwell transitioned from the role of our Chief Operating Officer to the newly created role of Vice Chair, and Sumi Ghosh was appointed President of Operations and, in May 2024, our prior Chief Financial Officer, Charley Jemley, transitioned into the role of Strategic Advisor and Joshua Guenser was appointed as our Chief Financial Officer. Changes in our executive management team may also cause disruptions in, and harm to, our business. The loss of one or more of our executive officers or key employees could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culture has contributed to our success, and if we cannot maintain this culture as we grow, we could lose the high employee engagement fostered by our culture, which could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In January 2024, we announced shifting approximately 40% of our total support staff to our Phoenix, Arizona office by January 1, 2025, which may create additional challenges maintaining our corporate culture. As we continue to develop and expand across the United States, we will need to maintain our culture among a larger number of employees dispersed in various geographic regions. Any failure to preserve our company culture could negatively affect our future success, including our ability to retain and recruit personnel, and result in a loss of customer loyalty.</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Unionization activities may disrupt our operations and affect our profitability.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one or more labor disputes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63220"/>
                <wp:effectExtent l="0" t="0" r="0" b="0"/>
                <wp:wrapNone/>
                <wp:docPr id="231" name="Frame7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3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1" descr=""/>
                                          <pic:cNvPicPr>
                                            <a:picLocks noChangeAspect="1" noChangeArrowheads="1"/>
                                          </pic:cNvPicPr>
                                        </pic:nvPicPr>
                                        <pic:blipFill>
                                          <a:blip r:embed="rId15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3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81" descr=""/>
                                    <pic:cNvPicPr>
                                      <a:picLocks noChangeAspect="1" noChangeArrowheads="1"/>
                                    </pic:cNvPicPr>
                                  </pic:nvPicPr>
                                  <pic:blipFill>
                                    <a:blip r:embed="rId15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75</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Regulation and Litigation</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Changes in statutory, regulatory, accounting, and other legal requirements, including changes in accounting principles generally accepted in the United States, could potentially impact our operating and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wage and hour laws, among others, could potentially impact our operations and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Fluctuations in our tax obligations and effective tax rate and realization of our deferred tax assets may result in volatility of our operating results and adversely affect our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changes in the valuation of our deferred tax assets and liabilities;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expected timing and amount of the release of any tax valuation allowance;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tax laws, regulations, or interpretations thereof; or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future earnings being lower than anticipated in jurisdictions where we have lower statutory tax rates and higher than anticipated earnings in jurisdictions where we have higher statutory tax rates.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our effective tax rate in a given financial statement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63220"/>
                <wp:effectExtent l="0" t="0" r="0" b="0"/>
                <wp:wrapNone/>
                <wp:docPr id="234" name="Frame7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3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2" descr=""/>
                                          <pic:cNvPicPr>
                                            <a:picLocks noChangeAspect="1" noChangeArrowheads="1"/>
                                          </pic:cNvPicPr>
                                        </pic:nvPicPr>
                                        <pic:blipFill>
                                          <a:blip r:embed="rId15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3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82" descr=""/>
                                    <pic:cNvPicPr>
                                      <a:picLocks noChangeAspect="1" noChangeArrowheads="1"/>
                                    </pic:cNvPicPr>
                                  </pic:nvPicPr>
                                  <pic:blipFill>
                                    <a:blip r:embed="rId15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76</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are subject to many federal, state, and local laws with which compliance is both costly and complex.</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food service and restaurant industry is subject to extensive federal, state, and local laws and regulations, including those relating to health care reform, building and zoning requirements, and the preparation and sale of food and beverages for consumption. Such laws and regulations are subject to change from time to time. Our failure to comply with these laws and regulations as they evolve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development and operation of a shop depends, to a significant extent, on the selection of suitable sites for drive-thrus, which are subject to unique permitting, zoning, land use, environmental, traffic, and other regulations and requirements. We are also subject to licensing and regulation by state and local authorities relating to health, sanitation, safety, and fire standards.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our compliance efforts in these areas will continue to increase, which may result in additional costs and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63220"/>
                <wp:effectExtent l="0" t="0" r="0" b="0"/>
                <wp:wrapNone/>
                <wp:docPr id="237" name="Frame7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3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3" descr=""/>
                                          <pic:cNvPicPr>
                                            <a:picLocks noChangeAspect="1" noChangeArrowheads="1"/>
                                          </pic:cNvPicPr>
                                        </pic:nvPicPr>
                                        <pic:blipFill>
                                          <a:blip r:embed="rId16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3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3" descr=""/>
                                    <pic:cNvPicPr>
                                      <a:picLocks noChangeAspect="1" noChangeArrowheads="1"/>
                                    </pic:cNvPicPr>
                                  </pic:nvPicPr>
                                  <pic:blipFill>
                                    <a:blip r:embed="rId16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77</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franchising activities and our relationships with our franchisees.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(and the third parties with whom we work) are subject to stringent and changing laws, regulations, industry standards, contractual obligations, policies, and other obligations related to data privacy and security. The actual or perceived failure by us or the third parties with whom we work to comply with such obligations, may harm our business, financial condition and results of operations, and prospects.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Process Sensitive Information to provide our products and services and other business functions. Our Processing activities may subject us to numerous data privacy and security obligations, such as various laws, regulations, guidance, industry standards, external and internal privacy and security policies, contracts, and other obligations that govern data privacy, security, and Processing of personal information by us and the third parties with whom we work.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Data privacy and security have become a significant issue in the United States. The legal and regulatory framework for data privacy and security issues is rapidly evolving and is expected to increase our compliance costs and exposure to liability. The number and scope of data privacy and security obligations is changing, subject to differing applications and interpretations, and may be inconsistent among jurisdictions, or in conflict with other obligations. We expect that there will continue to be new data privacy and security obligations, and any significant change to data privacy and security obligations could increase compliance costs for us and the third parties with whom we work.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these include the Telephone Consumer Protection Act (TCPA), the Electronic Communications Privacy Act, the Computer Fraud and Abuse Act, the California Consumer Privacy Act, as amended (the CCPA), other state, local, and federal laws relating to data privacy and security, and rules and regulations promulgated under the authority of the Federal Trade Commission. In the past few years, numerous states in the United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These laws also impose stricter requirements for processing certain personal information, including sensitive personal data, such as data protection impact assessments. These state laws allow for statutory fines for noncompliance. For example, the CCPA applies to personal information of consumers, business representatives, and employees who are California residents, and requires businesses to provide specific disclosures in privacy notices and honor requests of California residents to exercise certain privacy rights. The CCPA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63220"/>
                <wp:effectExtent l="0" t="0" r="0" b="0"/>
                <wp:wrapNone/>
                <wp:docPr id="240" name="Frame8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84" descr=""/>
                                          <pic:cNvPicPr>
                                            <a:picLocks noChangeAspect="1" noChangeArrowheads="1"/>
                                          </pic:cNvPicPr>
                                        </pic:nvPicPr>
                                        <pic:blipFill>
                                          <a:blip r:embed="rId16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4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4" descr=""/>
                                    <pic:cNvPicPr>
                                      <a:picLocks noChangeAspect="1" noChangeArrowheads="1"/>
                                    </pic:cNvPicPr>
                                  </pic:nvPicPr>
                                  <pic:blipFill>
                                    <a:blip r:embed="rId16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78</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provides for fines of up to $7,500 per intentional violation and allows private litigants affected by certain data breaches to seek to recover potentially significant statutory damages. In addition, other data privacy and security laws have been proposed at the federal, state, and local levels in recent years, which could further complicate compliance efforts. We expect additional comprehensive privacy laws to be enacted. Compliance with data privacy and security laws or regulations may be challenging and cost- and time-intensive, and may require us to modify our data processing practices and policies and to incur substantial costs and potential liability in an effort to comply with such legislation.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we are subject to the terms of our external and internal privacy and security policies, marketing materials, and other statements, such as compliance with certain certifications, industry standards, publications and frameworks and contractual obligations to third parties related to data privacy, security and Processing of Sensitive Information.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also contractually subject to data privacy and security obligations, including contractual obligations to indemnify and hold harmless third parties from the costs or consequences of non-compliance with data privacy laws or other obligations and to comply with industry standards adopted by industry groups. We may become subject to new data privacy and security contractual obligations in the future. Additionally, because we accept payments using credit cards and debit cards, we are subject to the PCI DSS. The PCI DSS requires companies to adopt certain measures to ensure the security of cardholder information, including using and maintaining firewalls, adopting proper password protections for certain devices and software, and restricting data access. Noncompliance with the PCI DSS can result in penalties ranging from $5,000 to $100,000 per month by credit card companies, litigation, damage to our reputation, and revenue losses. We may also rely on third parties to process payment card data, and those third parties may be subject to PCI DSS. Our business may be negatively affected if these third parties are fined or suffer other consequences as a result of PCI DSS noncompliance (or perceived noncompliance).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we rely on a variety of marketing techniques and practices, including email and social media marketing, online targeted advertising, and cookie-based Processing, to sell our products and services and to attract new customers. We, and the third parties with whom we work, may be subject to various current and future obligations that govern marketing and advertising practices. For example, the Controlling the Assault of Non-Solicited Pornography and Marketing Act of 2003 (CAN-SPAM) and the TCPA impose specific requirements on communications with customers. Additionally,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employees and personnel may use AI technologies to perform their work, and the disclosure and use of personal information in generative AI technologies is subject to various data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may at times fail to comply with applicable data privacy and security obligations, or may be perceived to have failed to do so. Moreover, despite our efforts, we may not be successful in achieving compliance if our employees, partners, or other third parties with whom we work do not comply with applicable data privacy and security obligations. Any failure (or perceived failure) by us or a third party with whom we work to comply with applicable data privacy and security obligations could subject us to litigation (including class claims), mass arbitration demands, claims, proceedings, actions or investigations by governmental entities, authorities, private parties, or regulators; additional reporting requirements and/or oversight; bans on Processing personal information; and orders to destroy or not use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3220"/>
                <wp:effectExtent l="0" t="0" r="0" b="0"/>
                <wp:wrapNone/>
                <wp:docPr id="243" name="Frame8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5" descr=""/>
                                          <pic:cNvPicPr>
                                            <a:picLocks noChangeAspect="1" noChangeArrowheads="1"/>
                                          </pic:cNvPicPr>
                                        </pic:nvPicPr>
                                        <pic:blipFill>
                                          <a:blip r:embed="rId16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4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5" descr=""/>
                                    <pic:cNvPicPr>
                                      <a:picLocks noChangeAspect="1" noChangeArrowheads="1"/>
                                    </pic:cNvPicPr>
                                  </pic:nvPicPr>
                                  <pic:blipFill>
                                    <a:blip r:embed="rId16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79</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information. In particular, plaintiffs have become increasingly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 Any of the foregoing could result in an adverse consequences, including increase our compliance and operational costs; limit our ability to market our products or services and attract new and retain current customers; result in reputational harm; lead to a loss of customers; reduce the use of our products or services; cause us to incur significant costs, expenses, and fees (including attorney fees); cause a material adverse impact to business operations or financial results; and otherwise result in other material harm to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and our franchise partners are subject to extensive government regulations that could result in claims leading to increased costs and restrict our ability to operate franchises.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governmental authorities may adopt broad standards for determining when two or more entities may be deemed joint employers of the same employees. For example, the National Labor Relations Board passed a rule in October 2023, broadening the standards applicable to establishing a joint employer relationship and Congress has a legislation proposal in process that could shift more liability for franchise partner employment practices onto franchisors. The federal PRO Act would codify the Browning-Ferris decision that redefined joint employment to include a broader category of conduct by the franchisor. If the proposed or similar laws or rules come into effect, it could increase the possibility of Dutch Bros being held liable for our franchise partners’ employment practices.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*Beverage and restaurant companies have been the target of class action lawsuits and other proceedings that are costly, divert management attention and, if successful, could result in our payment of substantial damages or settlement costs.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For example, in March 2023, a putative class action lawsuit was filed alleging that Dutch Bros Inc. and certain of its executive officers made false or misleading statements about the impact of commodity inflation on our financial results for the first quarter of 2022. See “Litigation Related to Securities Claims” in NOTE 15 — Commitments and Contingencies to the condensed consolidated financial statements, included elsewhere in this Form 10-Q for more information. While all claims in the above-described putative class action lawsuit were dismissed by the court with prejudice, the outcome of litigation, particularly class action and regulatory actions, is difficult to assess or quantify. In recent years, beverage and restaurant companies have also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Dutch Bros, Dutch Bros OpCo, or any subsidiary thereof is named as a party may result in substantial expenses and/or damages, even if such lawsuits may ultimately be decided in our favor.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63220"/>
                <wp:effectExtent l="0" t="0" r="0" b="0"/>
                <wp:wrapNone/>
                <wp:docPr id="246" name="Frame8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6" descr=""/>
                                          <pic:cNvPicPr>
                                            <a:picLocks noChangeAspect="1" noChangeArrowheads="1"/>
                                          </pic:cNvPicPr>
                                        </pic:nvPicPr>
                                        <pic:blipFill>
                                          <a:blip r:embed="rId16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4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6" descr=""/>
                                    <pic:cNvPicPr>
                                      <a:picLocks noChangeAspect="1" noChangeArrowheads="1"/>
                                    </pic:cNvPicPr>
                                  </pic:nvPicPr>
                                  <pic:blipFill>
                                    <a:blip r:embed="rId16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80</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food service and restaurant industry has also been subject to a growing number of claims that their menus and actions have led to the obesity of certain of their customers.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Occasionally, we and our franchise partners are involved in disputes with neighbors, government officials, and landlords over the lines of cars attempting to visit our shops. These disputes have led to and could lead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business, financial condition, and results of operations.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Government regulation and customer consumption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Food and Drug Administration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cannot make any assurances regarding our ability to effectively respond to changes in customer health perceptions or our ability to successfully implement the nutrient content disclosure requirements and to adapt our menu offerings to trends in drinking and consumption habits. The imposition of menu-labeling laws could have an adverse effect on our results of operations and financial position, as well as the food service and restaurant industry in general.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63220"/>
                <wp:effectExtent l="0" t="0" r="0" b="0"/>
                <wp:wrapNone/>
                <wp:docPr id="249" name="Frame8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5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7" descr=""/>
                                          <pic:cNvPicPr>
                                            <a:picLocks noChangeAspect="1" noChangeArrowheads="1"/>
                                          </pic:cNvPicPr>
                                        </pic:nvPicPr>
                                        <pic:blipFill>
                                          <a:blip r:embed="rId16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5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7" descr=""/>
                                    <pic:cNvPicPr>
                                      <a:picLocks noChangeAspect="1" noChangeArrowheads="1"/>
                                    </pic:cNvPicPr>
                                  </pic:nvPicPr>
                                  <pic:blipFill>
                                    <a:blip r:embed="rId16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81</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Our Organizational Structure</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anticipate that Dutch Bros OpCo will continue to be treated as a partnership for U.S. federal income tax purposes and, as such, generally will not be subject to any entity-level U.S. federal income tax. Instead, taxable income will be allocated to holders of Dutch Bros OpCo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allocable share of Dutch Bros OpCo’s net taxable income will increase over time as the Continuing Members redeem or exchange their Dutch Bros OpCo Class A common units for shares of Class A common stock or cash.</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intend, through Dutch Bros Inc.’s role as managing member, to cause Dutch Bros OpCo to make cash distributions to the holders of Dutch Bros OpCo Class A common units, including Dutch Bros Inc., in an amount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is then a party, including debt agreements, or any applicable law, 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its ability to make distributions to us.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63220"/>
                <wp:effectExtent l="0" t="0" r="0" b="0"/>
                <wp:wrapNone/>
                <wp:docPr id="252" name="Frame8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5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8" descr=""/>
                                          <pic:cNvPicPr>
                                            <a:picLocks noChangeAspect="1" noChangeArrowheads="1"/>
                                          </pic:cNvPicPr>
                                        </pic:nvPicPr>
                                        <pic:blipFill>
                                          <a:blip r:embed="rId17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5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88" descr=""/>
                                    <pic:cNvPicPr>
                                      <a:picLocks noChangeAspect="1" noChangeArrowheads="1"/>
                                    </pic:cNvPicPr>
                                  </pic:nvPicPr>
                                  <pic:blipFill>
                                    <a:blip r:embed="rId17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82</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*Dutch Bros OpCo may make distributions of cash to Dutch Bros Inc. in excess of the amounts used by Dutch Bros Inc. to make distributions to its stockholders and pay its expenses (including taxes and payments under the Tax Receivable Agreements). To the extent Dutch Bros Inc. does not distribute such excess cash as dividends on Class A common stock, the Continuing Members would benefit from any value attributable to such cash as a result of their ownership of Class A common stock upon a redemption or exchange of their Dutch Bros OpCo Class A common units.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Distributions from Dutch Bros OpCo may in certain periods exceed Dutch Bros Inc.’s liabilities, including tax liabilities, obligations to make payments under the Tax Receivable Agreements, and other expenses. Dutch Bros Inc.’s board of directors, in its sole discretion, will make any determination from time to time with respect to the use of any such excess cash so accumulated, which may include, among other uses, to pay dividends on its Class A common stock. Dutch Bros Inc. will have no obligation to distribute such cash (or other available cash other than any declared dividend) to its stockholders.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No adjustments to the exchange ratio of Dutch Bros OpCo Class A common units for shares of Class A common stock will be made as a result of either (i) any cash distribution by Dutch Bros Inc. or (ii) any cash that Dutch Bros Inc. retains and does not distribute to its stockholders. To the extent Dutch Bros Inc. does not distribute such cash as dividends on Class A common stock and instead, for example, holds such cash balances, buys additional Dutch Bros OpCo Class A common units or lends such cash to Dutch Bros OpCo, this may result in shares of Class A common stock increasing in value relative to the Dutch Bros OpCo Class A common units. The holders of Dutch Bros OpCo Class A common units may benefit from any value attributable to such cash balances if they receive shares of Class A common stock on redemption or exchange of their Dutch Bros OpCo Class A common units or if Dutch Bros Inc. acquires additional Dutch Bros OpCo Class A common units (whether from Dutch Bros OpCo or from holders of Dutch Bros OpCo Class A common units) at a price based on the market price of our Class A common stock at the time.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The Tax Receivable Agreements with the Continuing Members and Pre-IPO Blocker Holders require Dutch Bros Inc. to make cash payments to them in respect of certain tax benefits to which it may become entitled, and such payments may be substantial.</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connection with the IPO, Dutch Bros Inc. entered into the Tax Receivable Agreements with the Continuing Members and the Pre-IPO Blocker Holders, as applicable. These Tax Receivable Agreements provide for the payment by Dutch Bros Inc. to such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Dutch Bros OpCo Class A common units (including certain transactions in connection with the IPO) which tax basis is allocated to such redeemed or exchanged Dutch Bros OpCo Class A common units acquired by Dutch Bros Inc., (ii) adjustments that will increase the tax basis of the tangible and intangible assets of the Dutch Bros OpCo and its subsidiaries as a result of Dutch Bros Inc.’s taxable acquisition of Dutch Bros OpCo Class A common units from the Continuing Members in connection with the IPO and in connection with future redemptions or exchanges of Dutch Bros OpCo Class A common units for shares of Class A common stock (or a corresponding amount of cash), (iii) disproportionate allocations (if any) of tax benefits to Dutch Bros Inc. under Section 704(c) of the Internal Revenue Code of 1986, as amended (the Code), as a result of Dutch Bros Inc.’s earlier acquisition of other Dutch Bros OpCo Class A common units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63220"/>
                <wp:effectExtent l="0" t="0" r="0" b="0"/>
                <wp:wrapNone/>
                <wp:docPr id="255" name="Frame8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5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89" descr=""/>
                                          <pic:cNvPicPr>
                                            <a:picLocks noChangeAspect="1" noChangeArrowheads="1"/>
                                          </pic:cNvPicPr>
                                        </pic:nvPicPr>
                                        <pic:blipFill>
                                          <a:blip r:embed="rId17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5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89" descr=""/>
                                    <pic:cNvPicPr>
                                      <a:picLocks noChangeAspect="1" noChangeArrowheads="1"/>
                                    </pic:cNvPicPr>
                                  </pic:nvPicPr>
                                  <pic:blipFill>
                                    <a:blip r:embed="rId17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83</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OpCo and its subsidiaries, in each case, that are attributable to Dutch Bros OpCo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Dutch Bros OpCo Class A common units acquired in connection with the IPO, the payments that Dutch Bros Inc. may make under the Tax Receivable Agreements may be substantial. The payments under the Tax Receivable Agreements are not conditioned upon continued ownership of Dutch Bros Inc. by the exchanging holders of Dutch Bros OpCo Class A common units or the Pre-IPO Blocker Holders.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 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63220"/>
                <wp:effectExtent l="0" t="0" r="0" b="0"/>
                <wp:wrapNone/>
                <wp:docPr id="258" name="Frame8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5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90" descr=""/>
                                          <pic:cNvPicPr>
                                            <a:picLocks noChangeAspect="1" noChangeArrowheads="1"/>
                                          </pic:cNvPicPr>
                                        </pic:nvPicPr>
                                        <pic:blipFill>
                                          <a:blip r:embed="rId17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6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90" descr=""/>
                                    <pic:cNvPicPr>
                                      <a:picLocks noChangeAspect="1" noChangeArrowheads="1"/>
                                    </pic:cNvPicPr>
                                  </pic:nvPicPr>
                                  <pic:blipFill>
                                    <a:blip r:embed="rId17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84</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In certain cases, payments under the Tax Receivable Agreements may be accelerated and/or significantly exceed the actual benefits Dutch Bros Inc. realizes in respect of the tax attributes subject to the 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The acceleration of payments under the Tax Receivable Agreements in the case of certain changes of control may impair our ability to consummate change of control transactions or negatively impact the value received by owners of our Class A common stock.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 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3220"/>
                <wp:effectExtent l="0" t="0" r="0" b="0"/>
                <wp:wrapNone/>
                <wp:docPr id="261" name="Frame8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6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91" descr=""/>
                                          <pic:cNvPicPr>
                                            <a:picLocks noChangeAspect="1" noChangeArrowheads="1"/>
                                          </pic:cNvPicPr>
                                        </pic:nvPicPr>
                                        <pic:blipFill>
                                          <a:blip r:embed="rId17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6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91" descr=""/>
                                    <pic:cNvPicPr>
                                      <a:picLocks noChangeAspect="1" noChangeArrowheads="1"/>
                                    </pic:cNvPicPr>
                                  </pic:nvPicPr>
                                  <pic:blipFill>
                                    <a:blip r:embed="rId17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85</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Ownership of Our Class A Common Stock</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*Additional stock issuances (including pursuant to the redemption or exchange of Dutch Bros OpCo Class A common units from our Continuing Members) could result in significant dilution to our stockholders and cause the trading price of our Class A common stock to decline.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issue our capital stock or securities convertible into our capital stock from time to time in connection with financing our business operations and growth, to repay debt, or for acquisitions, investments, or otherwise (including pursuant to the redemption or exchange of Dutch Bros OpCo Class A common units from our Continuing Members). Any such issuances could result in substantial dilution to our existing stockholders and cause the trading price of our Class A common stock to decline.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particular, following the issuance of shares of Class A common stock in connection with the redemption or exchange of Dutch Bros OpCo Class A common units from our Continuing Members (together with the cancellation of any shares of our Class B common stock or Class C common stock paired with such units), such shares of Class A common stock will have the same economic rights as other shares of Class A common stock. For example, in each of February, March, and June 2024, we facilitated a registered underwritten public offering of shares of our Class A common stock by our Sponsor. In connection with such offerings, our Sponsor exchanged an aggregate of approximately 19 million Dutch Bros OpCo Class A common units and converted an aggregate of approximately 6 million shares of our Class D common stock for approximately 25 million shares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63220"/>
                <wp:effectExtent l="0" t="0" r="0" b="0"/>
                <wp:wrapNone/>
                <wp:docPr id="264" name="Frame8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6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92" descr=""/>
                                          <pic:cNvPicPr>
                                            <a:picLocks noChangeAspect="1" noChangeArrowheads="1"/>
                                          </pic:cNvPicPr>
                                        </pic:nvPicPr>
                                        <pic:blipFill>
                                          <a:blip r:embed="rId17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6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92" descr=""/>
                                    <pic:cNvPicPr>
                                      <a:picLocks noChangeAspect="1" noChangeArrowheads="1"/>
                                    </pic:cNvPicPr>
                                  </pic:nvPicPr>
                                  <pic:blipFill>
                                    <a:blip r:embed="rId17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86</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The trading price of our Class A common stock may be volatile, and you could lose all or part of your investment.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price of our Class A common stock may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price and volume fluctuations in the overall stock market from time to time;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volatility in the trading prices and trading volumes of competitors’ stocks;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operating performance and stock market valuations of other companies generally, or those in our industry in particular;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sales of shares of our Class A common stock by us or our stockholders, including the Continuing Members;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failure of securities analysts to maintain coverage of us, changes in financial estimates by securities analysts who follow our company, or our failure to meet these estimates or the expectations of investors;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announcements by us or our competitors of new products or services;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the public’s reaction to our press releases, other public announcements, and filings with the SEC;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rumors and market speculation involving us or other companies in our industry;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actual or anticipated changes in our results of operations or fluctuations in our results of operations;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actual or anticipated developments in our business, our competitors’ businesses, or the competitive landscape generally;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litigation involving us, our industry or both, or investigations by regulators into our operations or those of our competitors;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actual or perceived privacy or data security incidents;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developments or disputes concerning our intellectual property or other proprietary rights;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announced or completed acquisitions of businesses, franchises or other assets by us or our competitors;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new laws or regulations or new interpretations of existing laws or regulations applicable to our business;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accounting standards, policies, guidelines, interpretations or principles;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any significant change in our management; and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general political and economic conditions and slow or negative growth of our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3220"/>
                <wp:effectExtent l="0" t="0" r="0" b="0"/>
                <wp:wrapNone/>
                <wp:docPr id="267" name="Frame8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6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93" descr=""/>
                                          <pic:cNvPicPr>
                                            <a:picLocks noChangeAspect="1" noChangeArrowheads="1"/>
                                          </pic:cNvPicPr>
                                        </pic:nvPicPr>
                                        <pic:blipFill>
                                          <a:blip r:embed="rId18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6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93" descr=""/>
                                    <pic:cNvPicPr>
                                      <a:picLocks noChangeAspect="1" noChangeArrowheads="1"/>
                                    </pic:cNvPicPr>
                                  </pic:nvPicPr>
                                  <pic:blipFill>
                                    <a:blip r:embed="rId18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87</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in the past, following periods of volatility in the overall market and in the market price of a particular company’s securities, securities class action litigation has often been instituted against these companies. For example, in March 2023, a putative class action lawsuit was filed alleging that Dutch Bros Inc. and certain of its executive officers made false or misleading statements about the impact of commodity inflation on our financial results for the first quarter of 2022. See “Litigation Related to Securities Claims” in NOTE 15 — Commitments and Contingencies to the condensed consolidated financial statements, included elsewhere in this Form 10-Q for more information. This litigation, and other litigation, if instituted against us, could result in substantial costs and a diversion of our management’s attention and resources.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*The multi-class structure of our common stock has the effect of concentrating voting control with our Co-Founder, limiting your ability to influence corporate matters.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Each share of our Class A common stock entitles its holder to one vote on all matters on which stockholders are entitled to vote generally. Our shares of Class B common stock have no economic rights but each share entitles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Prior to the Secondary Offering in June 2024, our shares of Class C common stock and Class D common stock entitled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As a result of the Secondary Offering in June 2024, the aggregate number of outstanding shares of our Class C common stock and Class D common stock represent less than 5% of the total outstanding shares of common stock. All of the outstanding shares of Class D common stock were converted into an equal number of shares of Class A common stock and there are no shares of Class D common stock outstanding. Pursuant to our amended and restated certificate of incorporation, the number of votes per share of the remaining outstanding shares of Class C common stock will be reduced to one vote per share on a date to be fixed by our board of directors that is no less than 90 days and no more than 180 days following the closing of the Secondary Offering in June 2024. Our shares of Class C common stock have no economic rights. All of our Class C common stock are held by certain Continuing Members affiliated with our Sponsor.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to have value. Because of the ten-to-one voting ratio between our Class B common stock, on the one hand, and our Class A common stock on the other hand, our Co-Founder, as the holder of all of our Class B common stock, will continue to control a majority of the combined voting power of our common stock and therefore be able to control all matters submitted to our stockholders so long as the shares held by our Co-Founder collectively represent at least a majority of the total voting power. This concentrated control will limit or preclude the ability of holders of Class A common stock to influence corporate matters for the foreseeable future.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a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Our multi-class capital structure makes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63220"/>
                <wp:effectExtent l="0" t="0" r="0" b="0"/>
                <wp:wrapNone/>
                <wp:docPr id="270" name="Frame9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4" descr=""/>
                                          <pic:cNvPicPr>
                                            <a:picLocks noChangeAspect="1" noChangeArrowheads="1"/>
                                          </pic:cNvPicPr>
                                        </pic:nvPicPr>
                                        <pic:blipFill>
                                          <a:blip r:embed="rId18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7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94" descr=""/>
                                    <pic:cNvPicPr>
                                      <a:picLocks noChangeAspect="1" noChangeArrowheads="1"/>
                                    </pic:cNvPicPr>
                                  </pic:nvPicPr>
                                  <pic:blipFill>
                                    <a:blip r:embed="rId18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88</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funds and would make our Class A common stock less attractive to other investors. As a result, the trading price and volume of our Class A common stock could be adversely affected.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Co-Founder continues to have significant influence over us, which could limit your ability to influence the outcome of matters submitted to stockholders for a vote.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2024, our Co-Founder beneficially owned approximately 73.5% of the combined voting power of our Class A common stock, Class B common stock, Class C common stock, and Class D common stock (as of June 30, 2024, no Class D common stock was outstanding). Each share of Class A common stock entitles the holder to one vote and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Thus, our Co-Founder exercises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 It is possible that our Co-Founder’s interests may not align with the interests of our other stockholders.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Co-Founder owned approximately 32.9% of the Dutch Bros OpCo Class A common units as of June 30, 2024. Because he holds some of his ownership interest in our business directly in Dutch Bros OpCo, rather than through Dutch Bros Inc., our Co-Founder may have conflicting interests with holders of shares of our Class A common stock. For example, if Dutch Bros OpCo makes distributions to Dutch Bros Inc., the non-managing members of Dutch Bros OpCo will also be entitled to receive such distributions pro rata in accordance with their ownership of Dutch Bros OpCo Class A common units and their preferences as to the timing and amount of any such distributions may differ from those of our public stockholders. Our Co-Founder may also have different tax positions from Dutch Bros Inc. that could influence his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(pre-IPO Dutch Bros OpCo unitholders and Pre-IPO Blocker Holders) tax or other considerations even where no similar benefit would accrue to us.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2024, certain affiliates of our Co-Founder beneficially owned approximately 73.5% of the combined voting power of our Class A common stock, Class B common stock, and Class C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 board that is composed of a majority of “independent directors,” as defined under the New York Stock Exchange rules;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 compensation committee that is composed entirely of independent directors;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63220"/>
                <wp:effectExtent l="0" t="0" r="0" b="0"/>
                <wp:wrapNone/>
                <wp:docPr id="273" name="Frame9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5" descr=""/>
                                          <pic:cNvPicPr>
                                            <a:picLocks noChangeAspect="1" noChangeArrowheads="1"/>
                                          </pic:cNvPicPr>
                                        </pic:nvPicPr>
                                        <pic:blipFill>
                                          <a:blip r:embed="rId18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7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95" descr=""/>
                                    <pic:cNvPicPr>
                                      <a:picLocks noChangeAspect="1" noChangeArrowheads="1"/>
                                    </pic:cNvPicPr>
                                  </pic:nvPicPr>
                                  <pic:blipFill>
                                    <a:blip r:embed="rId18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89</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director nominations be made, or recommended to the full board of directors, by its independent directors, or by a nominations/governance committee that is composed entirely of independent directors.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in the past, and may in the future, utilize one or more of these exemptions until we are no longer eligible for them. Accordingly, you do not have the same protections afforded to stockholders of companies that are subject to all the corporate governance requirements of the New York Stock Exchange.</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Certain of our directors have in the past and may in the future have relationships with our Sponsor, which may cause conflicts of interest with respect to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Certain of our directors have in the past been, and may in the future be, affiliated with our Sponsor. Such Sponsor-affiliated directors have fiduciary duties to us and, in addition, have duties to our Sponsor. As a result, such a director may face real or apparent conflicts of interest with respect to matters affecting both us and our Sponsor, whose interests may be adverse to ours in some circumstances.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*Future sales of shares of our Class A common stock could cause the market price of our Class A common stock to decline.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Sales of a substantial number of shares of our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Subject to the terms of the Fourth Amended and Restated Limited Liability Company Agreement of Dutch Bros OpCo, as of June 30, 2024, an aggregate of 63,368,730 Dutch Bros OpCo Class A common units may be redeemed or exchanged for shares of our Class A common stock. Any shares we issue upon redemption or exchange of Dutch Bros OpCo Class A common units will be “restricted securities” as defined in Rule 144 and may not be sold in the absence of registration under the Securities Act of 1933, as amended (Securities Act) unless an exemption from registration is available, including the exemptions contained in Rule 144.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However, all such shares are now eligible for resale in the public market, subject, in the case of shares held by our affiliates, to volume, manner of sale, and other limitations under Rule 144.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trading price and trading volume could decline if securities or industry analysts do not publish research about our business, or if they publish unfavorable research.</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63220"/>
                <wp:effectExtent l="0" t="0" r="0" b="0"/>
                <wp:wrapNone/>
                <wp:docPr id="276" name="Frame9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6" descr=""/>
                                          <pic:cNvPicPr>
                                            <a:picLocks noChangeAspect="1" noChangeArrowheads="1"/>
                                          </pic:cNvPicPr>
                                        </pic:nvPicPr>
                                        <pic:blipFill>
                                          <a:blip r:embed="rId18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7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6" descr=""/>
                                    <pic:cNvPicPr>
                                      <a:picLocks noChangeAspect="1" noChangeArrowheads="1"/>
                                    </pic:cNvPicPr>
                                  </pic:nvPicPr>
                                  <pic:blipFill>
                                    <a:blip r:embed="rId18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90</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General Risks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results may fluctuate significantly and may not meet our expectations or those of investors or securities analysts.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changes in consumer tastes and nutritional and dietary trends;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successful identification and acquisition of appropriate sites to timely develop and expand our number of profitable shops;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protection of our brand and reputation;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dependence on a small number of suppliers, including for roasting;</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expectations regarding our future operating and financial performance;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the size of our addressable markets, market share, and market trends;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effective management and continued growth of our workforce and operations;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ability to attract, retain, and motivate skilled personnel, including key members of our senior management;</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generation of projected same shop sales growth;</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the sufficiency of our cash, cash equivalents, and investments to meet our liquidity needs;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dependence on long-term non-cancelable leases;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employees and the status of our workers;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inability to maintain good relationships with our franchising partners;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the timing and amount of deferred expenses related to the maintenance of company-operated shops;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the effects of seasonal trends on our results of operations;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vulnerability to global financial market conditions, including the continuing effects from the recent recession;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adverse weather conditions in local or regional areas where our shops are located;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our realization of any benefit from our organizational structure net of expenses associated with the same (including our obligations under the Tax Receivable Agreements).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Any one or more of the factors above may result in significant fluctuations in our results of operations, which may negatively impact the trading price of our Class A common stock. You should not rely on our past results as an indicator of our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63220"/>
                <wp:effectExtent l="0" t="0" r="0" b="0"/>
                <wp:wrapNone/>
                <wp:docPr id="279" name="Frame9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8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97" descr=""/>
                                          <pic:cNvPicPr>
                                            <a:picLocks noChangeAspect="1" noChangeArrowheads="1"/>
                                          </pic:cNvPicPr>
                                        </pic:nvPicPr>
                                        <pic:blipFill>
                                          <a:blip r:embed="rId18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97" descr=""/>
                                    <pic:cNvPicPr>
                                      <a:picLocks noChangeAspect="1" noChangeArrowheads="1"/>
                                    </pic:cNvPicPr>
                                  </pic:nvPicPr>
                                  <pic:blipFill>
                                    <a:blip r:embed="rId18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91</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outstanding indebtedness could materially adversely affect our financial condition and our ability to operate our business, pursue our growth strategy, and react to changes in the economy or industry.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2024, we had $240.9 million outstanding under our term loan facility. In addition, subject to certain restrictions under the 2022 Credit Facility, we may incur additional debt.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debt could have important consequences to you, including the following:</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it may be difficult for us to satisfy our obligations, including debt service requirements under our outstanding debt, resulting in possible defaults on and acceleration of such indebtedness;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we may need to issue additional Class A common stock to fund the repayment of our debt, which would result in additional dilution to existing investors and may cause our stock price to decline;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ability to obtain additional financing for working capital, capital expenditures, debt service requirements, or other general corporate purposes may be impaired;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we are more vulnerable to economic downturns and adverse industry conditions and our flexibility to plan for, or react to, changes in our business or industry is more limited;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ability to capitalize on business opportunities and to react to competitive pressures, as compared to our competitors, may be compromised due to our level of debt;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ability to borrow additional funds or to refinance debt may be limited.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all of our debt under our 2022 Credit Facility bears interest at variable rates, which may increase from time to time. If these rates were to increase significantly, whether because of an increase in market interest rates or a decrease in our creditworthiness, our ability to borrow additional funds may be reduced and the risks related to our substantial debt would intensify.</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Restrictions imposed by our outstanding indebtedness and any future indebtedness may limit our ability to operate our business, execute our growth strategy, and finance our future operations or capital needs or engage in other business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covenants under our 2022 Credit Facility restrict our ability, among other things, to:</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incur additional debt;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grant liens on assets;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sell or dispose of assets;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merge with or acquire other companies, or make other investments;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enter into sale and leaseback transactions and swap agreements;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liquidate or dissolve ourselves;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engage in businesses that are not in a related line of business; or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pay dividends or make other distributions.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63220"/>
                <wp:effectExtent l="0" t="0" r="0" b="0"/>
                <wp:wrapNone/>
                <wp:docPr id="282" name="Frame9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8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98" descr=""/>
                                          <pic:cNvPicPr>
                                            <a:picLocks noChangeAspect="1" noChangeArrowheads="1"/>
                                          </pic:cNvPicPr>
                                        </pic:nvPicPr>
                                        <pic:blipFill>
                                          <a:blip r:embed="rId19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98" descr=""/>
                                    <pic:cNvPicPr>
                                      <a:picLocks noChangeAspect="1" noChangeArrowheads="1"/>
                                    </pic:cNvPicPr>
                                  </pic:nvPicPr>
                                  <pic:blipFill>
                                    <a:blip r:embed="rId19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92</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our 2022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breach of any of the covenants in the 2022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2022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2022 Credit Facility or any applicable law. Our obligations under the 2022 Credit Facility are guaranteed by our subsidiaries and secured by substantially all of our and such subsidiary guarantors’ assets.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2022 Credit Facility or the exercise by the applicable lenders of their rights and remedies would likely have a material adverse effect on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result of these restrictions, we may be: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limited in how we conduct our business;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unable to raise additional debt or equity financing to operate during general economic or business downturns; or</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unable to compete effectively or to take advantage of new business opportunities.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restrictions may affect our ability to grow in accordance with our strategy.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pStyle w:val="TextBody"/>
        <w:bidi w:val="0"/>
        <w:spacing w:lineRule="auto" w:line="276" w:before="0" w:after="180"/>
        <w:jc w:val="both"/>
        <w:rPr>
          <w:rFonts w:ascii="Arial;sans-serif" w:hAnsi="Arial;sans-serif"/>
          <w:b/>
          <w:i/>
          <w:color w:val="006098"/>
          <w:sz w:val="20"/>
        </w:rPr>
      </w:pPr>
      <w:r>
        <w:rPr>
          <w:rFonts w:ascii="Arial;sans-serif" w:hAnsi="Arial;sans-serif"/>
          <w:b/>
          <w:i/>
          <w:color w:val="006098"/>
          <w:sz w:val="20"/>
        </w:rPr>
        <w:t>We are vulnerable to interest rate risk with respect to our debt, and swap agreements entered into to manage such risk may not effectively limit our exposure.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interest rate risk in connection with our 2022 Credit Facility, which carries interest at a floating rate. We have, and may in the future, use interest rate swap agreements to fix all or a portion of our variable rate debt in order to manage interest rate risk. We may not be successful in structuring such agreements to manage our risks effectively in the future, which could adversely affect our business, financial condition, and results of operations. There can be no assurance that we can develop and implement a strategy that can effectively insulate us from risks associated with interest rate fluctuations, or that our swap agreements will have the desired beneficial impact. We might be subject to additional costs, such as transaction or termination fees, if we terminate these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63220"/>
                <wp:effectExtent l="0" t="0" r="0" b="0"/>
                <wp:wrapNone/>
                <wp:docPr id="285" name="Frame9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8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99" descr=""/>
                                          <pic:cNvPicPr>
                                            <a:picLocks noChangeAspect="1" noChangeArrowheads="1"/>
                                          </pic:cNvPicPr>
                                        </pic:nvPicPr>
                                        <pic:blipFill>
                                          <a:blip r:embed="rId19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99" descr=""/>
                                    <pic:cNvPicPr>
                                      <a:picLocks noChangeAspect="1" noChangeArrowheads="1"/>
                                    </pic:cNvPicPr>
                                  </pic:nvPicPr>
                                  <pic:blipFill>
                                    <a:blip r:embed="rId19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93</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have previously identified and remediated material weaknesses in our internal control over financial reporting. If we fail to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connection with the audit of our consolidated financial statements as of and for the year ended December 31, 2022, our management and auditors determined that material weaknesses existed in the internal control over financial reporting because we did not have effective controls over (1) change management of system configurations in two IT environments, and (2) the accounting for breakage estimates related to our Dutch Rewards loyalty program.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Although we have implemented measures designed to improve our internal control over financial reporting and remediated these material weaknesses, we cannot assure you that the measures we have taken to date will be sufficient to avoid potential future material weaknesses.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If we identify new material weaknesses in our internal control over financial reporting, if we are unable to comply with the requirements of Section 404 of the Sarbanes-Oxley Act, if we are unable to conclude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A failure to establish and maintain an effective system of disclosure controls and internal control over financial reporting, could adversely affect our ability to produce timely and accurate financial statements or comply with applicable regulations.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63220"/>
                <wp:effectExtent l="0" t="0" r="0" b="0"/>
                <wp:wrapNone/>
                <wp:docPr id="288" name="Frame9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8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00" descr=""/>
                                          <pic:cNvPicPr>
                                            <a:picLocks noChangeAspect="1" noChangeArrowheads="1"/>
                                          </pic:cNvPicPr>
                                        </pic:nvPicPr>
                                        <pic:blipFill>
                                          <a:blip r:embed="rId19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9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00" descr=""/>
                                    <pic:cNvPicPr>
                                      <a:picLocks noChangeAspect="1" noChangeArrowheads="1"/>
                                    </pic:cNvPicPr>
                                  </pic:nvPicPr>
                                  <pic:blipFill>
                                    <a:blip r:embed="rId19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94</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 deficiencies in our disclosure controls and internal control over financial reporting have been and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As a public company, we are required to provide an annual management report on the effectiveness of our internal control over financial reporting, and make a formal assessment of the effectiveness of our internal control over financial reporting in compliance with the SEC rules that implement Section 404 of the Sarbanes-Oxley 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independent registered public accounting firm is required to formally attest to the effectiveness of our internal control over financial reporting. Our independent registered public accounting firm has issued and may in the future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may engage in merger and acquisition activities or strategic partnerships, which could require significant management attention, disrupt our business, dilute stockholder value, and adversely affect our business, results of operations, and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63220"/>
                <wp:effectExtent l="0" t="0" r="0" b="0"/>
                <wp:wrapNone/>
                <wp:docPr id="291" name="Frame9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9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01" descr=""/>
                                          <pic:cNvPicPr>
                                            <a:picLocks noChangeAspect="1" noChangeArrowheads="1"/>
                                          </pic:cNvPicPr>
                                        </pic:nvPicPr>
                                        <pic:blipFill>
                                          <a:blip r:embed="rId19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9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01" descr=""/>
                                    <pic:cNvPicPr>
                                      <a:picLocks noChangeAspect="1" noChangeArrowheads="1"/>
                                    </pic:cNvPicPr>
                                  </pic:nvPicPr>
                                  <pic:blipFill>
                                    <a:blip r:embed="rId19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95</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*We may need additional capital, and we cannot be sure that additional financing will be available.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Prior to our IPO, we financed our operations and capital expenditures primarily through sales of OpCo Units that are convertible into our capital stock and debt financing. Thereafter, we have financed our operations and capital expenditures primarily through the sale of Dutch Bros Inc. Class A common stock and debt financing. For example, in September 2023, we raised additional capital through the sale and issuance of approximately 13.3 million shares of our Class A common stock in an underwritten public offering. In the future, we may raise additional capital through additional equity or debt financings to support our business growth, to respond to business opportunities, challenges, or unforeseen circumstances, to repay our debt,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If a financial institution holding our funds fails, we may not be able to pay our operational expenses or make other payments, which could adversely impact our liquidity and financial performance. Deterioration of financial markets may result in our inability to borrow on favorable terms, which could adversely impact our ability to pursue our growth and other strategic initiatives.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regularly maintain cash balances at financial institutions in amounts exceeding the Federal Deposit Insurance Corporation (FDIC) insurance limit. If a financial institution in which we hold such funds fails, or is subject to significant adverse conditions in the financial or credit markets, we could lose all or a portion of our uninsured funds, or be subject to a delay in accessing all or a portion of our funds. If we are unable to access all or a significant portion of our funds for any extended period of time, we may not be able to pay our operational expenses or make other payments, including to our vendors and employees, and we may be subject to other operational challenges, any of which could adversely impact our liquidity and financial performance. In addition, any inability of our franchisees, suppliers, distributors, or other third parties to meet their contractual obligations to the Company because of similar risks could adversely impact our business and financial performance.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Despite the steps taken to date by the FDIC to protect depositors, the follow-on effects of the events surrounding the March 2023 failures of Silicon Valley Bank and Signature Bank and the pressures on other financial institutions and the broader financial services industry are unknown and could include failures of other financial institutions or wide-ranging liquidity shortages. In the event of a sustained deterioration of financial market liquidity, we may be unable to borrow from financial institutions on favorable terms, or at all, which could adversely impact our ability to pursue our growth strategy and fund strategic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63220"/>
                <wp:effectExtent l="0" t="0" r="0" b="0"/>
                <wp:wrapNone/>
                <wp:docPr id="294" name="Frame9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9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02" descr=""/>
                                          <pic:cNvPicPr>
                                            <a:picLocks noChangeAspect="1" noChangeArrowheads="1"/>
                                          </pic:cNvPicPr>
                                        </pic:nvPicPr>
                                        <pic:blipFill>
                                          <a:blip r:embed="rId19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9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02" descr=""/>
                                    <pic:cNvPicPr>
                                      <a:picLocks noChangeAspect="1" noChangeArrowheads="1"/>
                                    </pic:cNvPicPr>
                                  </pic:nvPicPr>
                                  <pic:blipFill>
                                    <a:blip r:embed="rId19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96</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amended and restated certificate of incorporation provides that, unless we consent in writing to the selection of an alternative forum, the Court of Chancery of the State of Delaware is the exclusive forum for the following types of actions or proceedings under Delaware statutory or common law:</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derivative claim or cause of action brought on our behalf;</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for a breach of fiduciary duty owed by any of our current or former directors, officers, or other employees to us or our stockholders;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as to which the Delaware General Corporation Law confers jurisdiction to the Court of Chancery of the State of Delaware;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against us or any of our current or former directors, officers, or other employees governed by the internal affairs doctrine.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provision would not apply to suits brought to enforce a duty or liability created by the Exchange Act or any other claim for which the U.S. federal courts have exclusive jurisdiction. 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such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choices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63220"/>
                <wp:effectExtent l="0" t="0" r="0" b="0"/>
                <wp:wrapNone/>
                <wp:docPr id="297" name="Frame9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9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03" descr=""/>
                                          <pic:cNvPicPr>
                                            <a:picLocks noChangeAspect="1" noChangeArrowheads="1"/>
                                          </pic:cNvPicPr>
                                        </pic:nvPicPr>
                                        <pic:blipFill>
                                          <a:blip r:embed="rId20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9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03" descr=""/>
                                    <pic:cNvPicPr>
                                      <a:picLocks noChangeAspect="1" noChangeArrowheads="1"/>
                                    </pic:cNvPicPr>
                                  </pic:nvPicPr>
                                  <pic:blipFill>
                                    <a:blip r:embed="rId20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97</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our amended and restated certificate of incorporation provides that any person or entity holding, owning, or otherwise acquiring any interest in any of our securities shall be deemed to have notice of and consented to these provisions.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*Provisions in our corporate charter documents and under Delaware law may prevent or frustrate attempts by our stockholders to change our management or hinder efforts to acquire a controlling interest in us, and the market price of our Class A common stock may be lower as a result.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charter documents also contain other provisions that could have an anti-takeover effect, such as: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permitting the board of directors to establish the number of directors and fill any vacancies and newly created directorships;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providing that directors may only be removed pursuant to the provisions of Section 141(k) of the Delaware General Corporation Law;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prohibiting cumulative voting for directors;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requiring super-majority voting to amend some provisions in our amended and restated bylaws;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authorizing the issuance of “blank check” preferred stock that our board of directors could use to implement a stockholder rights plan;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eliminating the ability of stockholders to call special meetings of stockholders;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multi-class common stock structure as described above.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Catastrophic events may disrupt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Labor discord or disruption, geopolitical events, social unrest, war, including repercussions of the recent war between Russia and Ukraine and the war between Israel and Hamas, terrorism, political instability, acts of public violence, boycotts, hostilities and social unrest, and other health pandemics that lead to avoidance of public places or cause people to stay at home could harm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natural disasters or other catastrophic events may cause damage or disruption to our operations, international commerce, and the global economy, and thus could harm our business. In particular, the west coast wildfires and wildfire smoke and extreme weather conditions in other areas in which we operate, such as hurricanes, high winds, and flooding in Texas and other states, water scarcity or drought in California and other states, extreme heat and cold, snow or ice storms, and other extreme weather events across the country, and disease outbreaks or pandemics, including the reactions of governments, markets, and the general public, may result in a number of adverse consequences for our business, operations, and results of operations, many of which are beyond our control. We rely on the stable provision of utilities such as power and water that are subject to disruption or increased costs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3220"/>
                <wp:effectExtent l="0" t="0" r="0" b="0"/>
                <wp:wrapNone/>
                <wp:docPr id="300" name="Frame10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04" descr=""/>
                                          <pic:cNvPicPr>
                                            <a:picLocks noChangeAspect="1" noChangeArrowheads="1"/>
                                          </pic:cNvPicPr>
                                        </pic:nvPicPr>
                                        <pic:blipFill>
                                          <a:blip r:embed="rId20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0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04" descr=""/>
                                    <pic:cNvPicPr>
                                      <a:picLocks noChangeAspect="1" noChangeArrowheads="1"/>
                                    </pic:cNvPicPr>
                                  </pic:nvPicPr>
                                  <pic:blipFill>
                                    <a:blip r:embed="rId20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98</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to such events, which may cause significant operational disruptions or our operating costs to increase significantly. In the event of a major earthquake, hurricane, or catastrophic event such as drought, fire, power loss, telecommunications failure, cyber-attack, war, or terrorist attack, we may be unable to continue our operations and may endure system interruptions, property loss, reputational harm, breaches of data security, and loss of critical data, all of which would harm our business, results of operations, and financial condition. Our drive-thru model relies heavily on the ability of customers to safely drive to and from our shops, which can be negatively affected by extreme weather. Such extreme weather events may affect traffic to our shops and may have a harmful effect on the local economy, decreasing the demand for our products. In addition, the insurance we maintain would likely not be adequate to cover our losses resulting from disasters or other business interruptions.</w:t>
      </w:r>
    </w:p>
    <w:p>
      <w:pPr>
        <w:pStyle w:val="TextBody"/>
        <w:bidi w:val="0"/>
        <w:spacing w:lineRule="auto" w:line="288" w:before="0" w:after="180"/>
        <w:jc w:val="both"/>
        <w:rPr>
          <w:rFonts w:ascii="Arial;sans-serif" w:hAnsi="Arial;sans-serif"/>
          <w:b/>
          <w:i/>
          <w:color w:val="006098"/>
          <w:sz w:val="20"/>
        </w:rPr>
      </w:pPr>
      <w:r>
        <w:rPr>
          <w:rFonts w:ascii="Arial;sans-serif" w:hAnsi="Arial;sans-serif"/>
          <w:b/>
          <w:i/>
          <w:color w:val="006098"/>
          <w:sz w:val="20"/>
        </w:rPr>
        <w:t>Economic and business factors that are largely beyond our control may adversely affect consumer behavior and the results of our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dependent upon consumer discretionary spending, which may be affected by general economic conditions that are beyond our control. For example, increasing and sustained inflation, international, domestic and regional economic conditions, consumer income levels, financial market volatility, a slow or stagnant pace of economic growth, rising energy costs, rising interest rates, social unrest, and governmental, political, and budget concerns, uncertainty, or divisions may have a negative effect on consumer confidence and discretionary spending. For example, the federal government provided relief from student loan payments beginning in March 2020, and extended such relief multiple times through September 2023, when loan payments resumed. This and similar governmental acts could have significant impact on consumer discretionary spending. A significant decrease in our customer traffic or average value per transaction without a corresponding decrease in costs would put downward pressure on margins and would negatively impact our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our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63220"/>
                <wp:effectExtent l="0" t="0" r="0" b="0"/>
                <wp:wrapNone/>
                <wp:docPr id="303" name="Frame10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05" descr=""/>
                                          <pic:cNvPicPr>
                                            <a:picLocks noChangeAspect="1" noChangeArrowheads="1"/>
                                          </pic:cNvPicPr>
                                        </pic:nvPicPr>
                                        <pic:blipFill>
                                          <a:blip r:embed="rId20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05" descr=""/>
                                    <pic:cNvPicPr>
                                      <a:picLocks noChangeAspect="1" noChangeArrowheads="1"/>
                                    </pic:cNvPicPr>
                                  </pic:nvPicPr>
                                  <pic:blipFill>
                                    <a:blip r:embed="rId20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99</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2. UNREGISTERED SALES OF EQUITY SECURITIES AND USE OF PROCEEDS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April 19, 2024, pursuant to Section 3(a)(9) of the Securities Act, we made an unregistered issuance of our Class A common stock via exchange of approximately 1.8 million Dutch Bros OpCo Class A common units held by our Co-Founder for shares of our Class A common stock on a one-for-one basis. Such shares of Class A common stock were then reserved for sale directly by our Co-Founder pursuant to a Rule 10b5-1 trading arrangement, and no proceeds were received by the Company.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Pursuant to Section 3(a)(9) of the Securities Act, on May 13, 2024 and May 29, 2024, we made an unregistered issuance of our Class A common stock via (i) exchange of approximately 9.7 million Dutch Bros OpCo Class A common units and conversion of approximately 3.5 million shares of Dutch Bros Inc. Class D common stock, and (ii) exchange of approximately 2.5 million Dutch Bros OpCo Class A common units and conversion of approximately 0.9 million shares of Dutch Bros Inc. Class D common stock, respectively, held by our Sponsor for shares of our Class A common stock on a one-for-one basis. Such shares of Class A common stock were then sold directly by our Sponsor pursuant to Rule 144 of the Securities Act, and no proceeds were received by the Company.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Pursuant to Section 3(a)(9) of the Securities Act, on June 12, 2024, in connection with the Secondary Offering, we made an unregistered issuance of our Class A common stock via (i) exchange of approximately 6.5 million Dutch Bros OpCo Class A common units and conversion of approximately 2.2 million shares of Dutch Bros Inc. Class D common stock held by our Sponsor for shares of our Class A common stock on a one-for-one basis. Such shares of Class A common stock were then sold directly by our Sponsor in a registered underwritten public offering pursuant to Dutch Bros Inc.’s automatic shelf registration statement on Form S-3ASR (File No. 333-274368) filed with the Commission on September 6, 2023, and which was deemed effective upon filing with the Commission, a free writing prospectus and prospectus supplement, each dated June 10, 2024, each to the prospectus dated September 6, 2023. No proceeds were received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3. DEFAULTS UPON SENIOR SECURITIES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4. MINE SAFETY DISCLOSURES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Rule 10b5-1 Trading Arrangements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63220"/>
                <wp:effectExtent l="0" t="0" r="0" b="0"/>
                <wp:wrapNone/>
                <wp:docPr id="306" name="Frame10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06" descr=""/>
                                          <pic:cNvPicPr>
                                            <a:picLocks noChangeAspect="1" noChangeArrowheads="1"/>
                                          </pic:cNvPicPr>
                                        </pic:nvPicPr>
                                        <pic:blipFill>
                                          <a:blip r:embed="rId20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0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06" descr=""/>
                                    <pic:cNvPicPr>
                                      <a:picLocks noChangeAspect="1" noChangeArrowheads="1"/>
                                    </pic:cNvPicPr>
                                  </pic:nvPicPr>
                                  <pic:blipFill>
                                    <a:blip r:embed="rId20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100</w:t>
                      </w:r>
                    </w:p>
                  </w:txbxContent>
                </v:textbox>
                <w10:wrap type="none"/>
              </v:rect>
            </w:pict>
          </mc:Fallback>
        </mc:AlternateContent>
      </w:r>
    </w:p>
    <w:p>
      <w:pPr>
        <w:pStyle w:val="TextBody"/>
        <w:bidi w:val="0"/>
        <w:spacing w:lineRule="auto" w:line="288" w:before="0" w:after="0"/>
        <w:jc w:val="left"/>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0"/>
        <w:jc w:val="left"/>
        <w:rPr>
          <w:rFonts w:ascii="Arial;sans-serif" w:hAnsi="Arial;sans-serif"/>
          <w:b/>
          <w:color w:val="D7282F"/>
          <w:sz w:val="28"/>
        </w:rPr>
      </w:pPr>
      <w:r>
        <w:rPr>
          <w:rFonts w:ascii="Arial;sans-serif" w:hAnsi="Arial;sans-serif"/>
          <w:b/>
          <w:color w:val="D7282F"/>
          <w:sz w:val="28"/>
        </w:rPr>
        <w:t>ITEM 6. EXHIBITS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Exhibits.</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The following exhibits are included herein or incorporated herein by reference:</w:t>
      </w:r>
    </w:p>
    <w:tbl>
      <w:tblPr>
        <w:tblW w:w="10205" w:type="dxa"/>
        <w:jc w:val="left"/>
        <w:tblInd w:w="0" w:type="dxa"/>
        <w:tblLayout w:type="fixed"/>
        <w:tblCellMar>
          <w:top w:w="28" w:type="dxa"/>
          <w:left w:w="28" w:type="dxa"/>
          <w:bottom w:w="28" w:type="dxa"/>
          <w:right w:w="28" w:type="dxa"/>
        </w:tblCellMar>
      </w:tblPr>
      <w:tblGrid>
        <w:gridCol w:w="310"/>
        <w:gridCol w:w="272"/>
        <w:gridCol w:w="273"/>
        <w:gridCol w:w="109"/>
        <w:gridCol w:w="109"/>
        <w:gridCol w:w="109"/>
        <w:gridCol w:w="1447"/>
        <w:gridCol w:w="1249"/>
        <w:gridCol w:w="1261"/>
        <w:gridCol w:w="111"/>
        <w:gridCol w:w="111"/>
        <w:gridCol w:w="111"/>
        <w:gridCol w:w="176"/>
        <w:gridCol w:w="176"/>
        <w:gridCol w:w="177"/>
        <w:gridCol w:w="340"/>
        <w:gridCol w:w="261"/>
        <w:gridCol w:w="199"/>
        <w:gridCol w:w="220"/>
        <w:gridCol w:w="220"/>
        <w:gridCol w:w="221"/>
        <w:gridCol w:w="111"/>
        <w:gridCol w:w="111"/>
        <w:gridCol w:w="111"/>
        <w:gridCol w:w="378"/>
        <w:gridCol w:w="378"/>
        <w:gridCol w:w="383"/>
        <w:gridCol w:w="109"/>
        <w:gridCol w:w="109"/>
        <w:gridCol w:w="109"/>
        <w:gridCol w:w="272"/>
        <w:gridCol w:w="272"/>
        <w:gridCol w:w="400"/>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Description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Form</w:t>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 No.</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Filed Herewith</w:t>
            </w:r>
          </w:p>
        </w:tc>
      </w:tr>
      <w:tr>
        <w:trPr/>
        <w:tc>
          <w:tcPr>
            <w:tcW w:w="85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0"/>
              <w:jc w:val="left"/>
              <w:rPr/>
            </w:pPr>
            <w:hyperlink r:id="rId208">
              <w:r>
                <w:rPr>
                  <w:rStyle w:val="InternetLink"/>
                  <w:rFonts w:ascii="Arial;sans-serif" w:hAnsi="Arial;sans-serif"/>
                  <w:b w:val="false"/>
                  <w:color w:val="000000"/>
                  <w:sz w:val="18"/>
                  <w:u w:val="single"/>
                </w:rPr>
                <w:t>Amended and Restated Certificate of Incorporation of Registrant</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80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09">
              <w:r>
                <w:rPr>
                  <w:rStyle w:val="InternetLink"/>
                  <w:rFonts w:ascii="Arial;sans-serif" w:hAnsi="Arial;sans-serif"/>
                  <w:b w:val="false"/>
                  <w:color w:val="000000"/>
                  <w:sz w:val="18"/>
                  <w:u w:val="single"/>
                </w:rPr>
                <w:t>Amended and Restated Bylaws of Registrant</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August 20,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210">
              <w:r>
                <w:rPr>
                  <w:rStyle w:val="InternetLink"/>
                  <w:rFonts w:ascii="Arial;sans-serif" w:hAnsi="Arial;sans-serif"/>
                  <w:b w:val="false"/>
                  <w:color w:val="000000"/>
                  <w:sz w:val="18"/>
                  <w:u w:val="single"/>
                </w:rPr>
                <w:t>Form of Common Stock Certificate</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S-1/A</w:t>
            </w:r>
          </w:p>
        </w:tc>
        <w:tc>
          <w:tcPr>
            <w:tcW w:w="8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13,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11">
              <w:r>
                <w:rPr>
                  <w:rStyle w:val="InternetLink"/>
                  <w:rFonts w:ascii="Arial;sans-serif" w:hAnsi="Arial;sans-serif"/>
                  <w:b w:val="false"/>
                  <w:color w:val="000000"/>
                  <w:sz w:val="18"/>
                  <w:u w:val="single"/>
                </w:rPr>
                <w:t>Offer Letter, dated as of December 15, 2023, by and between Dutch Bros Inc. and Sumitro Ghosh</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April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212">
              <w:r>
                <w:rPr>
                  <w:rStyle w:val="InternetLink"/>
                  <w:rFonts w:ascii="Arial;sans-serif" w:hAnsi="Arial;sans-serif"/>
                  <w:b w:val="false"/>
                  <w:color w:val="000000"/>
                  <w:sz w:val="18"/>
                  <w:u w:val="single"/>
                </w:rPr>
                <w:t>Participation Agreement, dated as of December 15, 2023, by and between Dutch Bros Inc. and Sumitro Ghosh</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8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April 2,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13">
              <w:r>
                <w:rPr>
                  <w:rStyle w:val="InternetLink"/>
                  <w:rFonts w:ascii="Arial;sans-serif" w:hAnsi="Arial;sans-serif"/>
                  <w:b w:val="false"/>
                  <w:color w:val="000000"/>
                  <w:sz w:val="18"/>
                  <w:u w:val="single"/>
                </w:rPr>
                <w:t>Offer Letter, dated as of December 19, 2023, by and between Dutch Bros Inc. and Joshua Guenser</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May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214">
              <w:r>
                <w:rPr>
                  <w:rStyle w:val="InternetLink"/>
                  <w:rFonts w:ascii="Arial;sans-serif" w:hAnsi="Arial;sans-serif"/>
                  <w:b w:val="false"/>
                  <w:color w:val="000000"/>
                  <w:sz w:val="18"/>
                  <w:u w:val="single"/>
                </w:rPr>
                <w:t>Participation Agreement, dated as of December 19, 2023, by and between Dutch Bros Inc. and Joshua Guenser</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8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May 7,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15">
              <w:r>
                <w:rPr>
                  <w:rStyle w:val="InternetLink"/>
                  <w:rFonts w:ascii="Arial;sans-serif" w:hAnsi="Arial;sans-serif"/>
                  <w:b w:val="false"/>
                  <w:color w:val="000000"/>
                  <w:sz w:val="18"/>
                  <w:u w:val="single"/>
                </w:rPr>
                <w:t>Fourth Amended and Restated Limited Liability Company Agreement of Dutch Mafia, LLC, dated May 16, 2024</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8-K</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May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216">
              <w:r>
                <w:rPr>
                  <w:rStyle w:val="InternetLink"/>
                  <w:rFonts w:ascii="Arial;sans-serif" w:hAnsi="Arial;sans-serif"/>
                  <w:b w:val="false"/>
                  <w:color w:val="000000"/>
                  <w:sz w:val="18"/>
                  <w:u w:val="single"/>
                </w:rPr>
                <w:t>Share Surrender Agreement, by and among the Company, Dutch Mafia, LLC, DMI Holdco, LLC, DM Individual Aggregator, LLC and DM Trust Aggregator, LLC, dated May 16, 2024</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8-K</w:t>
            </w:r>
          </w:p>
        </w:tc>
        <w:tc>
          <w:tcPr>
            <w:tcW w:w="8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May 20,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17">
              <w:r>
                <w:rPr>
                  <w:rStyle w:val="InternetLink"/>
                  <w:rFonts w:ascii="Arial;sans-serif" w:hAnsi="Arial;sans-serif"/>
                  <w:b w:val="false"/>
                  <w:color w:val="000000"/>
                  <w:sz w:val="18"/>
                  <w:u w:val="single"/>
                </w:rPr>
                <w:t>Limitation Agreement, by and among the Company, DMI Holdco, LLC, DM Individual Aggregator, LLC and DM Trust Aggregator, LLC, dated May 16, 2024</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8-K</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May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a2024-05x21amendedandres.htm">
              <w:r>
                <w:rPr>
                  <w:rStyle w:val="InternetLink"/>
                  <w:rFonts w:ascii="Arial;sans-serif" w:hAnsi="Arial;sans-serif"/>
                  <w:b w:val="false"/>
                  <w:color w:val="000080"/>
                  <w:sz w:val="18"/>
                  <w:u w:val="single"/>
                </w:rPr>
                <w:t>Amended Offer Letter</w:t>
              </w:r>
            </w:hyperlink>
            <w:hyperlink w:anchor="a2024-05x21amendedandres.htm">
              <w:r>
                <w:rPr>
                  <w:rStyle w:val="InternetLink"/>
                  <w:rFonts w:ascii="Arial;sans-serif" w:hAnsi="Arial;sans-serif"/>
                  <w:b w:val="false"/>
                  <w:color w:val="000080"/>
                  <w:sz w:val="18"/>
                  <w:u w:val="single"/>
                </w:rPr>
                <w:t>,</w:t>
              </w:r>
            </w:hyperlink>
            <w:hyperlink w:anchor="a2024-05x21amendedandres.htm">
              <w:r>
                <w:rPr>
                  <w:rStyle w:val="InternetLink"/>
                  <w:rFonts w:ascii="Arial;sans-serif" w:hAnsi="Arial;sans-serif"/>
                  <w:b w:val="false"/>
                  <w:color w:val="000080"/>
                  <w:sz w:val="18"/>
                  <w:u w:val="single"/>
                </w:rPr>
                <w:t xml:space="preserve"> </w:t>
              </w:r>
            </w:hyperlink>
            <w:hyperlink w:anchor="a2024-05x21amendedandres.htm">
              <w:r>
                <w:rPr>
                  <w:rStyle w:val="InternetLink"/>
                  <w:rFonts w:ascii="Arial;sans-serif" w:hAnsi="Arial;sans-serif"/>
                  <w:b w:val="false"/>
                  <w:color w:val="000080"/>
                  <w:sz w:val="18"/>
                  <w:u w:val="single"/>
                </w:rPr>
                <w:t>dated</w:t>
              </w:r>
            </w:hyperlink>
            <w:hyperlink w:anchor="a2024-05x21amendedandres.htm">
              <w:r>
                <w:rPr>
                  <w:rStyle w:val="InternetLink"/>
                  <w:rFonts w:ascii="Arial;sans-serif" w:hAnsi="Arial;sans-serif"/>
                  <w:b w:val="false"/>
                  <w:color w:val="000080"/>
                  <w:sz w:val="18"/>
                  <w:u w:val="single"/>
                </w:rPr>
                <w:t xml:space="preserve"> as of</w:t>
              </w:r>
            </w:hyperlink>
            <w:hyperlink w:anchor="a2024-05x21amendedandres.htm">
              <w:r>
                <w:rPr>
                  <w:rStyle w:val="InternetLink"/>
                  <w:rFonts w:ascii="Arial;sans-serif" w:hAnsi="Arial;sans-serif"/>
                  <w:b w:val="false"/>
                  <w:color w:val="000080"/>
                  <w:sz w:val="18"/>
                  <w:u w:val="single"/>
                </w:rPr>
                <w:t xml:space="preserve"> May 21, 2024</w:t>
              </w:r>
            </w:hyperlink>
            <w:hyperlink w:anchor="a2024-05x21amendedandres.htm">
              <w:r>
                <w:rPr>
                  <w:rStyle w:val="InternetLink"/>
                  <w:rFonts w:ascii="Arial;sans-serif" w:hAnsi="Arial;sans-serif"/>
                  <w:b w:val="false"/>
                  <w:color w:val="000080"/>
                  <w:sz w:val="18"/>
                  <w:u w:val="single"/>
                </w:rPr>
                <w:t xml:space="preserve"> by and between </w:t>
              </w:r>
            </w:hyperlink>
            <w:hyperlink w:anchor="a2024-05x21amendedandres.htm">
              <w:r>
                <w:rPr>
                  <w:rStyle w:val="InternetLink"/>
                  <w:rFonts w:ascii="Arial;sans-serif" w:hAnsi="Arial;sans-serif"/>
                  <w:b w:val="false"/>
                  <w:color w:val="000080"/>
                  <w:sz w:val="18"/>
                  <w:u w:val="single"/>
                </w:rPr>
                <w:t xml:space="preserve">Dutch Bros Inc. and </w:t>
              </w:r>
            </w:hyperlink>
            <w:hyperlink w:anchor="a2024-05x21amendedandres.htm">
              <w:r>
                <w:rPr>
                  <w:rStyle w:val="InternetLink"/>
                  <w:rFonts w:ascii="Arial;sans-serif" w:hAnsi="Arial;sans-serif"/>
                  <w:b w:val="false"/>
                  <w:color w:val="000080"/>
                  <w:sz w:val="18"/>
                  <w:u w:val="single"/>
                </w:rPr>
                <w:t>Charles Jemle</w:t>
              </w:r>
            </w:hyperlink>
            <w:hyperlink w:anchor="a2024-05x21amendedandres.htm">
              <w:r>
                <w:rPr>
                  <w:rStyle w:val="InternetLink"/>
                  <w:rFonts w:ascii="Arial;sans-serif" w:hAnsi="Arial;sans-serif"/>
                  <w:b w:val="false"/>
                  <w:color w:val="000080"/>
                  <w:sz w:val="18"/>
                  <w:u w:val="single"/>
                </w:rPr>
                <w:t>y</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18">
              <w:r>
                <w:rPr>
                  <w:rStyle w:val="InternetLink"/>
                  <w:rFonts w:ascii="Arial;sans-serif" w:hAnsi="Arial;sans-serif"/>
                  <w:b w:val="false"/>
                  <w:color w:val="000080"/>
                  <w:sz w:val="18"/>
                  <w:u w:val="single"/>
                </w:rPr>
                <w:t xml:space="preserve">Offer Letter, dated as of May </w:t>
              </w:r>
            </w:hyperlink>
            <w:hyperlink r:id="rId219">
              <w:r>
                <w:rPr>
                  <w:rStyle w:val="InternetLink"/>
                  <w:rFonts w:ascii="Arial;sans-serif" w:hAnsi="Arial;sans-serif"/>
                  <w:b w:val="false"/>
                  <w:color w:val="000080"/>
                  <w:sz w:val="18"/>
                  <w:u w:val="single"/>
                </w:rPr>
                <w:t>28</w:t>
              </w:r>
            </w:hyperlink>
            <w:hyperlink r:id="rId220">
              <w:r>
                <w:rPr>
                  <w:rStyle w:val="InternetLink"/>
                  <w:rFonts w:ascii="Arial;sans-serif" w:hAnsi="Arial;sans-serif"/>
                  <w:b w:val="false"/>
                  <w:color w:val="000080"/>
                  <w:sz w:val="18"/>
                  <w:u w:val="single"/>
                </w:rPr>
                <w:t>, 2024, by and between Dutch Bros Inc. and G.J. Hart</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June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10.10†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221">
              <w:r>
                <w:rPr>
                  <w:rStyle w:val="InternetLink"/>
                  <w:rFonts w:ascii="Arial;sans-serif" w:hAnsi="Arial;sans-serif"/>
                  <w:b w:val="false"/>
                  <w:color w:val="000000"/>
                  <w:sz w:val="18"/>
                  <w:u w:val="single"/>
                </w:rPr>
                <w:t>Offer Letter, dated as of June 18, 2024, by and between Dutch Bros Inc. and Todd Penegor</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8-K</w:t>
            </w:r>
          </w:p>
        </w:tc>
        <w:tc>
          <w:tcPr>
            <w:tcW w:w="8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June 24,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D2DCE5" w:val="clear"/>
            <w:tcMar>
              <w:top w:w="0" w:type="dxa"/>
              <w:left w:w="0" w:type="dxa"/>
              <w:bottom w:w="0" w:type="dxa"/>
              <w:right w:w="0" w:type="dxa"/>
            </w:tcMar>
            <w:vAlign w:val="center"/>
          </w:tcPr>
          <w:p>
            <w:pPr>
              <w:pStyle w:val="TableContents"/>
              <w:bidi w:val="0"/>
              <w:spacing w:before="0" w:after="0"/>
              <w:jc w:val="center"/>
              <w:rPr/>
            </w:pPr>
            <w:r>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311-2024q2.htm">
              <w:r>
                <w:rPr>
                  <w:rStyle w:val="InternetLink"/>
                  <w:rFonts w:ascii="Arial;sans-serif" w:hAnsi="Arial;sans-serif"/>
                  <w:b w:val="false"/>
                  <w:color w:val="000000"/>
                  <w:sz w:val="18"/>
                  <w:u w:val="single"/>
                </w:rPr>
                <w:t>Certification of Chief Executive Officer Pursuant to Rules 13a-14(a) and 15d-14(a) of the Securities Exchange Act of 1934, as Adopted Pursuant to Section 302 of the Sarbanes-Oxley Act of 2002</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exh312-2024q2.htm">
              <w:r>
                <w:rPr>
                  <w:rStyle w:val="InternetLink"/>
                  <w:rFonts w:ascii="Arial;sans-serif" w:hAnsi="Arial;sans-serif"/>
                  <w:b w:val="false"/>
                  <w:color w:val="000000"/>
                  <w:sz w:val="18"/>
                  <w:u w:val="single"/>
                </w:rPr>
                <w:t>Certification of Chief Financial Officer Pursuant to Rules 13a-14(a) and 15d-14(a) of the Securities Exchange Act of 1934, as Adopted Pursuant to Section 302 of the Sarbanes-Oxley Act of 2002</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63220"/>
                <wp:effectExtent l="0" t="0" r="0" b="0"/>
                <wp:wrapNone/>
                <wp:docPr id="309" name="Frame10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left"/>
                              <w:rPr/>
                            </w:pPr>
                            <w:r>
                              <w:rPr/>
                              <w:drawing>
                                <wp:inline distT="0" distB="0" distL="0" distR="0">
                                  <wp:extent cx="190500" cy="266700"/>
                                  <wp:effectExtent l="0" t="0" r="0" b="0"/>
                                  <wp:docPr id="3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07" descr=""/>
                                          <pic:cNvPicPr>
                                            <a:picLocks noChangeAspect="1" noChangeArrowheads="1"/>
                                          </pic:cNvPicPr>
                                        </pic:nvPicPr>
                                        <pic:blipFill>
                                          <a:blip r:embed="rId22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190500" cy="266700"/>
                            <wp:effectExtent l="0" t="0" r="0" b="0"/>
                            <wp:docPr id="3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07" descr=""/>
                                    <pic:cNvPicPr>
                                      <a:picLocks noChangeAspect="1" noChangeArrowheads="1"/>
                                    </pic:cNvPicPr>
                                  </pic:nvPicPr>
                                  <pic:blipFill>
                                    <a:blip r:embed="rId22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101</w:t>
                      </w:r>
                    </w:p>
                  </w:txbxContent>
                </v:textbox>
                <w10:wrap type="none"/>
              </v:rect>
            </w:pict>
          </mc:Fallback>
        </mc:AlternateContent>
      </w:r>
    </w:p>
    <w:p>
      <w:pPr>
        <w:pStyle w:val="TextBody"/>
        <w:bidi w:val="0"/>
        <w:spacing w:lineRule="auto" w:line="288" w:before="0" w:after="0"/>
        <w:jc w:val="left"/>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tbl>
      <w:tblPr>
        <w:tblW w:w="10205" w:type="dxa"/>
        <w:jc w:val="left"/>
        <w:tblInd w:w="0" w:type="dxa"/>
        <w:tblLayout w:type="fixed"/>
        <w:tblCellMar>
          <w:top w:w="28" w:type="dxa"/>
          <w:left w:w="28" w:type="dxa"/>
          <w:bottom w:w="28" w:type="dxa"/>
          <w:right w:w="28" w:type="dxa"/>
        </w:tblCellMar>
      </w:tblPr>
      <w:tblGrid>
        <w:gridCol w:w="248"/>
        <w:gridCol w:w="202"/>
        <w:gridCol w:w="204"/>
        <w:gridCol w:w="109"/>
        <w:gridCol w:w="109"/>
        <w:gridCol w:w="109"/>
        <w:gridCol w:w="2185"/>
        <w:gridCol w:w="2185"/>
        <w:gridCol w:w="219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321-2024q2.htm">
              <w:r>
                <w:rPr>
                  <w:rStyle w:val="InternetLink"/>
                  <w:rFonts w:ascii="Arial;sans-serif" w:hAnsi="Arial;sans-serif"/>
                  <w:b w:val="false"/>
                  <w:color w:val="000000"/>
                  <w:sz w:val="18"/>
                  <w:u w:val="single"/>
                </w:rPr>
                <w:t>Certifications of Chief Executive Officer and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6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101.INS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Instance Document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6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101.CAL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Calculation Linkbase Document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6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101.LAB</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Label Linkbase Document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6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3"/>
            <w:tcBorders/>
            <w:shd w:fill="D2DCE5"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131E29"/>
                <w:sz w:val="18"/>
              </w:rPr>
            </w:pPr>
            <w:r>
              <w:rPr>
                <w:rFonts w:ascii="Arial;sans-serif" w:hAnsi="Arial;sans-serif"/>
                <w:b w:val="false"/>
                <w:color w:val="131E29"/>
                <w:sz w:val="18"/>
              </w:rPr>
              <w:t>Cover Page with Interactive Data File (formatted as Inline XBRL with applicable taxonomy extension information contained in Exhibits 101)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bl>
    <w:p>
      <w:pPr>
        <w:pStyle w:val="TextBody"/>
        <w:bidi w:val="0"/>
        <w:spacing w:lineRule="auto" w:line="288" w:before="0" w:after="180"/>
        <w:jc w:val="left"/>
        <w:rPr>
          <w:rFonts w:ascii="Arial;sans-serif" w:hAnsi="Arial;sans-serif"/>
          <w:b w:val="false"/>
          <w:color w:val="131E29"/>
          <w:sz w:val="16"/>
        </w:rPr>
      </w:pPr>
      <w:r>
        <w:rPr>
          <w:rFonts w:ascii="Arial;sans-serif" w:hAnsi="Arial;sans-serif"/>
          <w:b w:val="false"/>
          <w:color w:val="131E29"/>
          <w:sz w:val="16"/>
        </w:rPr>
        <w:t>_______________________</w:t>
      </w:r>
    </w:p>
    <w:p>
      <w:pPr>
        <w:pStyle w:val="TextBody"/>
        <w:bidi w:val="0"/>
        <w:spacing w:lineRule="auto" w:line="288" w:before="0" w:after="180"/>
        <w:ind w:left="0" w:right="0" w:hanging="180"/>
        <w:jc w:val="both"/>
        <w:rPr>
          <w:color w:val="000000"/>
        </w:rPr>
      </w:pPr>
      <w:r>
        <w:rPr>
          <w:color w:val="000000"/>
        </w:rPr>
        <w:t xml:space="preserve">† </w:t>
      </w:r>
      <w:r>
        <w:rPr>
          <w:rFonts w:ascii="Arial;sans-serif" w:hAnsi="Arial;sans-serif"/>
          <w:b w:val="false"/>
          <w:color w:val="000000"/>
          <w:sz w:val="16"/>
        </w:rPr>
        <w:t>Management contract or compensatory plan or arrangement.</w:t>
      </w:r>
    </w:p>
    <w:p>
      <w:pPr>
        <w:pStyle w:val="TextBody"/>
        <w:bidi w:val="0"/>
        <w:spacing w:lineRule="auto" w:line="288" w:before="0" w:after="180"/>
        <w:ind w:left="0" w:right="0" w:hanging="180"/>
        <w:jc w:val="both"/>
        <w:rPr>
          <w:rFonts w:ascii="Arial;sans-serif" w:hAnsi="Arial;sans-serif"/>
          <w:b w:val="false"/>
          <w:color w:val="000000"/>
          <w:sz w:val="16"/>
        </w:rPr>
      </w:pPr>
      <w:r>
        <w:rPr>
          <w:rFonts w:ascii="Arial;sans-serif" w:hAnsi="Arial;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63220"/>
                <wp:effectExtent l="0" t="0" r="0" b="0"/>
                <wp:wrapNone/>
                <wp:docPr id="312" name="Frame10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left"/>
                              <w:rPr/>
                            </w:pPr>
                            <w:r>
                              <w:rPr/>
                              <w:drawing>
                                <wp:inline distT="0" distB="0" distL="0" distR="0">
                                  <wp:extent cx="190500" cy="266700"/>
                                  <wp:effectExtent l="0" t="0" r="0" b="0"/>
                                  <wp:docPr id="31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08" descr=""/>
                                          <pic:cNvPicPr>
                                            <a:picLocks noChangeAspect="1" noChangeArrowheads="1"/>
                                          </pic:cNvPicPr>
                                        </pic:nvPicPr>
                                        <pic:blipFill>
                                          <a:blip r:embed="rId22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190500" cy="266700"/>
                            <wp:effectExtent l="0" t="0" r="0" b="0"/>
                            <wp:docPr id="31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08" descr=""/>
                                    <pic:cNvPicPr>
                                      <a:picLocks noChangeAspect="1" noChangeArrowheads="1"/>
                                    </pic:cNvPicPr>
                                  </pic:nvPicPr>
                                  <pic:blipFill>
                                    <a:blip r:embed="rId22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102</w:t>
                      </w:r>
                    </w:p>
                  </w:txbxContent>
                </v:textbox>
                <w10:wrap type="none"/>
              </v:rect>
            </w:pict>
          </mc:Fallback>
        </mc:AlternateContent>
      </w:r>
    </w:p>
    <w:p>
      <w:pPr>
        <w:pStyle w:val="TextBody"/>
        <w:bidi w:val="0"/>
        <w:spacing w:lineRule="auto" w:line="288" w:before="0" w:after="180"/>
        <w:jc w:val="both"/>
        <w:rPr/>
      </w:pPr>
      <w:hyperlink w:anchor="iee59f8afe2f54daf922cb2458f1cbce7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SIGNATURES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Pursuant to the requirements of the Securities Exchange Act of 1934, the Registrant has duly caused this report to be signed on its behalf by the undersigned thereunto duly authorized. </w:t>
      </w:r>
    </w:p>
    <w:tbl>
      <w:tblPr>
        <w:tblW w:w="6554" w:type="dxa"/>
        <w:jc w:val="left"/>
        <w:tblInd w:w="0" w:type="dxa"/>
        <w:tblLayout w:type="fixed"/>
        <w:tblCellMar>
          <w:top w:w="28" w:type="dxa"/>
          <w:left w:w="28" w:type="dxa"/>
          <w:bottom w:w="28" w:type="dxa"/>
          <w:right w:w="28" w:type="dxa"/>
        </w:tblCellMar>
      </w:tblPr>
      <w:tblGrid>
        <w:gridCol w:w="520"/>
        <w:gridCol w:w="458"/>
        <w:gridCol w:w="462"/>
        <w:gridCol w:w="109"/>
        <w:gridCol w:w="109"/>
        <w:gridCol w:w="109"/>
        <w:gridCol w:w="291"/>
        <w:gridCol w:w="291"/>
        <w:gridCol w:w="291"/>
        <w:gridCol w:w="1138"/>
        <w:gridCol w:w="1138"/>
        <w:gridCol w:w="1638"/>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DUTCH BROS INC.</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(Registrant)</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By:</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 Christine Barone</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Christine Barone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Chief Executive Officer and President</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131E29"/>
                <w:sz w:val="20"/>
              </w:rPr>
            </w:pPr>
            <w:r>
              <w:rPr>
                <w:rFonts w:ascii="Arial;sans-serif" w:hAnsi="Arial;sans-serif"/>
                <w:b w:val="false"/>
                <w:i/>
                <w:color w:val="131E29"/>
                <w:sz w:val="20"/>
              </w:rPr>
              <w:t>(Principal Executive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By:</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 Joshua Guenser</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Joshua Guenser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Chief Financial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131E29"/>
                <w:sz w:val="20"/>
              </w:rPr>
            </w:pPr>
            <w:r>
              <w:rPr>
                <w:rFonts w:ascii="Arial;sans-serif" w:hAnsi="Arial;sans-serif"/>
                <w:b w:val="false"/>
                <w:i/>
                <w:color w:val="131E29"/>
                <w:sz w:val="20"/>
              </w:rPr>
              <w:t>(Principal Financial and Accounting Officer)</w:t>
            </w:r>
          </w:p>
        </w:tc>
      </w:tr>
    </w:tbl>
    <w:p>
      <w:pPr>
        <w:pStyle w:val="TextBody"/>
        <w:bidi w:val="0"/>
        <w:spacing w:before="0" w:after="0"/>
        <w:jc w:val="center"/>
        <w:rPr/>
      </w:pPr>
      <w:bookmarkStart w:id="0" w:name="a2024-05x21amendedandres.htm"/>
      <w:bookmarkStart w:id="1" w:name="ksa202405x21amendedandres"/>
      <w:bookmarkEnd w:id="0"/>
      <w:bookmarkEnd w:id="1"/>
      <w:r>
        <w:rPr/>
        <w:drawing>
          <wp:inline distT="0" distB="0" distL="0" distR="0">
            <wp:extent cx="10048875" cy="13001625"/>
            <wp:effectExtent l="0" t="0" r="0" b="0"/>
            <wp:docPr id="31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10"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63220"/>
                <wp:effectExtent l="0" t="0" r="0" b="0"/>
                <wp:wrapNone/>
                <wp:docPr id="316" name="Frame10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1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09" descr=""/>
                                          <pic:cNvPicPr>
                                            <a:picLocks noChangeAspect="1" noChangeArrowheads="1"/>
                                          </pic:cNvPicPr>
                                        </pic:nvPicPr>
                                        <pic:blipFill>
                                          <a:blip r:embed="rId22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1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09" descr=""/>
                                    <pic:cNvPicPr>
                                      <a:picLocks noChangeAspect="1" noChangeArrowheads="1"/>
                                    </pic:cNvPicPr>
                                  </pic:nvPicPr>
                                  <pic:blipFill>
                                    <a:blip r:embed="rId22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103</w:t>
                      </w:r>
                    </w:p>
                  </w:txbxContent>
                </v:textbox>
                <w10:wrap type="none"/>
              </v:rect>
            </w:pict>
          </mc:Fallback>
        </mc:AlternateContent>
      </w:r>
    </w:p>
    <w:p>
      <w:pPr>
        <w:pStyle w:val="TextBody"/>
        <w:bidi w:val="0"/>
        <w:jc w:val="center"/>
        <w:rPr>
          <w:color w:val="FFFFFF"/>
          <w:sz w:val="2"/>
        </w:rPr>
      </w:pPr>
      <w:r>
        <w:rPr>
          <w:color w:val="FFFFFF"/>
          <w:sz w:val="2"/>
        </w:rPr>
        <w:t xml:space="preserve">May 21, 2024 Charles Jemley VIA EMAIL/DOCUSIGN Re: Amended Offer Letter Dear Charley: Thank you for your service as Chief Financial Officer of Dutch Bros Inc. (the “Company”), and your continued service as Strategic Advisor of the Company from May 9, 2024. We would be pleased for you to continue in the role as Strategic Advisor, pursuant to the terms of this offer letter (the “Agreement”) effective May 16, 2024 (the “Transition Date”). This Agreement supersedes in full the Offer Letter, dated November 23, 2021, between you and the Company. 1. Position; Duties. You will serve as Strategic Advisor, reporting to the Chief Executive Officer and President, working primarily remotely. You will have the duties and responsibilities assigned by the Company and as may be reasonably assigned from time to time consistent with your position, including assisting with the transition of your successor as Chief Financial Officer. You agree to devote your best efforts and full business time, skill and attention to the performance of your duties, with the expectation that you will work at least 30 hours per week. You are also required to adhere to the general employment policies and practices of the Company that may be in effect from time to time, except that when the terms of this Agreement conflict with the Company’s general employment policies or practices, this Agreement will control. The Company may change your position, duties, work location and compensation from time to time in its discretion, subject to the terms and conditions set forth herein. 2. Cash Compensation. a. Salary. Beginning on the Transition Date, your annual base salary will be $450,000, less applicable deductions and withholdings, payable in accordance with the Company’s payroll practices, as may be in effect from time to time. b. Annual Bonus. The Compensation Committee of the Board of Directors has approved annual short term incentive cash bonus targets and metrics for 2024 for you in your previous role (the “2024 STI Calculations”). Subject to final approval by the Board or Compensation Committee, you will receive the payout amount determined using the 2024 STI Calculations (the “2024 STI Payout”), but prorated as follows: (1) 100% of the 2024 STI Payout for the portion of the year beginning January 1, 2024 and ending May 15, 2024; (2) 75% of the 2024 STI Payout for the portion of the year beginning May 16, 2024 and ending on your last day of employment with the Company during 2024; and (3) 0% of the 2024 STI Payout for the portion of the year following your last day of employment with the Company. The final 2024 STI Calculations and 2024 STI Payout may be changed by the Compensation Committee or Exhibit 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11"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Board at any time, and will be determined by the Compensation Committee or Board, in its sole discretion, and paid by March 31, 2025. For the avoidance of doubt, you will receive any annual bonus approved by the Compensation Committee or Board, prorated as described above, whether or not you are still employed through such payment date. c. Long-Term Incentive Award. You will not be eligible for annual awards of restricted stock units (“RSUs”) under the Company’s Long-Term Incentive Plan. d. Cell Phone/Internet. The Company will pay you with a monthly cell phone/internet allowance of $150. 3. Benefits. You will be eligible for the Company’s standard benefit programs, subject to the terms and conditions of such plans. The Company may, from time to time, change these benefits in its discretion. 4. At Will Employment; Severance. Your employment with the Company will be “at-will.” This means that either you or Company may terminate your employment at any time, with or without Cause (as defined in the Equity Plan), and with or without advance notice. You will no longer be eligible for participation in the Company’s Severance and Change in Control Plan, and your Participation Agreement under the Severance Plan and Change in Control Plan, dated November 24, 2021, between you and the Company, is hereby terminated. In addition you agree that the transition out of the role of Chief Financial Officer is voluntary, and does not constitute “Good Reason” or a “Covered Termination”, each as defined in the Severance and Change in Control Plan. 5. Confidentiality Obligations. As a condition of your employment, you must continue to abide by the Employee Confidentiality and Inventions Assignment Agreement, dated November 24, 2021, between you and the Company, which remains in effect. 6. Arbitration. To ensure the timely and economical resolution of disputes that may arise between you and the Company, both you and the Company mutually agree that pursuant to the Federal Arbitration Act, 9 U.S.C. §1-16, and to the fullest extent permitted by applicable law you will submit solely to final, binding and confidential arbitration any and all disputes, claims, or causes of action arising from or relating to: the negotiation, execution, interpretation, performance, breach or enforcement of this Agreement; or your employment with the Company (including but not limited to all statutory claims); or the termination of your employment with the Company (including but not limited to all statutory claims). BY AGREEING TO THIS ARBITRATION PROCEDURE, BOTH YOU AND THE COMPANY WAIVE THE RIGHT TO RESOLVE ANY SUCH DISPUTES THROUGH A TRIAL BY JURY OR JUDGE OR THROUGH AN ADMINISTRATIVE PROCEEDING. The Arbitrator will have the sole and exclusive authority to determine whether a dispute, claim or cause of action is subject to arbitration under this section and to determine any procedural questions which grow out of such disputes, claims or causes of action and bear on their final disposition. All claims, disputes, or causes of action under this section, whether by you or the Company, must be brought solely in an individual capacity, and will not be brought as a plaintiff (or claimant) or class member in any purported class or representative proceeding, nor joined or consolidated with the claims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12"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person or entity. The Arbitrator may not consolidate the claims of more than one person or entity, and may not preside over any form of representative or class proceeding. To the extent that the preceding sentences in this paragraph are found to violate applicable law or are otherwise found unenforceable, any claim(s) alleged or brought on behalf of a class will proceed in a court of law rather than by arbitration. Any arbitration proceeding under this Arbitration section will be presided over by a single arbitrator and conducted by JAMS, Inc. (“JAMS”) under the then applicable JAMS rules for the resolution of employment disputes (available upon request and also currently available at http://www.jamsadr.com/rules-employment-arbitration/). You and the Company both have the right to be represented by legal counsel at any arbitration proceeding, at each party’s own expense. The Arbitrator will: (a) have the authority to compel adequate discovery for the resolution of the dispute; (b) issue a written arbitration decision, to include the arbitrator’s essential findings and conclusions and a statement of the award; and (c) be authorized to award any or all remedies that you or the Company would be entitled to seek in a court of law. The Company will pay all JAMS arbitration fees in excess of the amount of court fees that would be required of you if the dispute were decided in a court of law. This section will not apply to any action or claim that cannot be subject to mandatory arbitration as a matter of law to the extent such claims are not permitted by applicable law to be submitted to mandatory arbitration and such applicable law is not preempted by the Federal Arbitration Act or otherwise invalid (collectively, the “Excluded Claims”). Nothing in this section is intended to prevent either you or the Company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 7. Miscellaneous. This Agreement (including the agreements referenced herein) is the complete and exclusive statement of your agreement with the Company on the subject matters herein, and supersedes and replaces any and all prior agreements or representations with regard to the subject matter hereof, whether written or oral. It is entered into without reliance on any promise or representation other than those expressly contained herein, and it cannot be modified, amended or extended except in a writing signed by you and a member of the Board. This Agreement is intended to bind and inure to the benefit of and be enforceable by you and the Company, and our respective successors, assigns, heirs, executors and administrators, except that you may not assign any of your duties or rights hereunder without the express written consent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as if such invalid, illegal or unenforceable provisions had never been contained herein. This Agreement and the terms of your employment with the Company will be governed in all aspects by the laws of the State of Oregon.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13"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you have any questions about this Agreement, please do not hesitate to call me. Best regards, ___________________________________________ Jess Elmquist Chief People Officer ACCEPTED AND AGREED: ___________________________________________ Charles Jemley Date: ______________________________May 28, 2024 /s/ Jess Elmquist /s/ Charles Jemley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31.1</w: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EXECUTIVE OFFICER</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 Christine Barone, certify that: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for the period ended June 30, 2024 of Dutch Bros Inc.;</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529" w:type="dxa"/>
        <w:jc w:val="left"/>
        <w:tblInd w:w="0" w:type="dxa"/>
        <w:tblLayout w:type="fixed"/>
        <w:tblCellMar>
          <w:top w:w="28" w:type="dxa"/>
          <w:left w:w="28" w:type="dxa"/>
          <w:bottom w:w="28" w:type="dxa"/>
          <w:right w:w="28" w:type="dxa"/>
        </w:tblCellMar>
      </w:tblPr>
      <w:tblGrid>
        <w:gridCol w:w="520"/>
        <w:gridCol w:w="458"/>
        <w:gridCol w:w="462"/>
        <w:gridCol w:w="109"/>
        <w:gridCol w:w="109"/>
        <w:gridCol w:w="109"/>
        <w:gridCol w:w="109"/>
        <w:gridCol w:w="109"/>
        <w:gridCol w:w="109"/>
        <w:gridCol w:w="1004"/>
        <w:gridCol w:w="1004"/>
        <w:gridCol w:w="1427"/>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Christine Barone</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Christine Barone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31.2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63220"/>
                <wp:effectExtent l="0" t="0" r="0" b="0"/>
                <wp:wrapNone/>
                <wp:docPr id="322" name="Frame10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2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14" descr=""/>
                                          <pic:cNvPicPr>
                                            <a:picLocks noChangeAspect="1" noChangeArrowheads="1"/>
                                          </pic:cNvPicPr>
                                        </pic:nvPicPr>
                                        <pic:blipFill>
                                          <a:blip r:embed="rId23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2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14" descr=""/>
                                    <pic:cNvPicPr>
                                      <a:picLocks noChangeAspect="1" noChangeArrowheads="1"/>
                                    </pic:cNvPicPr>
                                  </pic:nvPicPr>
                                  <pic:blipFill>
                                    <a:blip r:embed="rId23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31.1</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FINANCIAL OFFICER</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 Joshua Guenser,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for the period ended June 30, 2024 of Dutch Bros Inc.;</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color w:val="131E29"/>
        </w:rPr>
        <w:t xml:space="preserve"> </w:t>
      </w:r>
      <w:r>
        <w:rPr>
          <w:rFonts w:ascii="Arial;sans-serif" w:hAnsi="Arial;sans-serif"/>
          <w:b w:val="false"/>
          <w:color w:val="131E29"/>
          <w:sz w:val="20"/>
        </w:rPr>
        <w:t>for the registrant and have:</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6009" w:type="dxa"/>
        <w:jc w:val="left"/>
        <w:tblInd w:w="0" w:type="dxa"/>
        <w:tblLayout w:type="fixed"/>
        <w:tblCellMar>
          <w:top w:w="28" w:type="dxa"/>
          <w:left w:w="28" w:type="dxa"/>
          <w:bottom w:w="28" w:type="dxa"/>
          <w:right w:w="28" w:type="dxa"/>
        </w:tblCellMar>
      </w:tblPr>
      <w:tblGrid>
        <w:gridCol w:w="520"/>
        <w:gridCol w:w="458"/>
        <w:gridCol w:w="462"/>
        <w:gridCol w:w="109"/>
        <w:gridCol w:w="109"/>
        <w:gridCol w:w="109"/>
        <w:gridCol w:w="109"/>
        <w:gridCol w:w="109"/>
        <w:gridCol w:w="109"/>
        <w:gridCol w:w="1144"/>
        <w:gridCol w:w="1144"/>
        <w:gridCol w:w="1627"/>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Joshua Guenser</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Joshua Guenser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32.1</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63220"/>
                <wp:effectExtent l="0" t="0" r="0" b="0"/>
                <wp:wrapNone/>
                <wp:docPr id="325" name="Frame10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2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15" descr=""/>
                                          <pic:cNvPicPr>
                                            <a:picLocks noChangeAspect="1" noChangeArrowheads="1"/>
                                          </pic:cNvPicPr>
                                        </pic:nvPicPr>
                                        <pic:blipFill>
                                          <a:blip r:embed="rId23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2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15" descr=""/>
                                    <pic:cNvPicPr>
                                      <a:picLocks noChangeAspect="1" noChangeArrowheads="1"/>
                                    </pic:cNvPicPr>
                                  </pic:nvPicPr>
                                  <pic:blipFill>
                                    <a:blip r:embed="rId23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31.2</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CERTIFICATIONS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CHIEF EXECUTIVE OFFICER AND CHIEF FINANCIAL OFFICER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PURSUANT TO 18 U.S.C. SECTION 1350</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906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In connection with the Quarterly Report of Dutch Bros Inc. (the Company) on Form 10-Q for the period ended June 30, 2024, as filed with the Securities and Exchange Commission on the date of the signatures below (the Report), Christine Barone, Chief Executive Officer and President of the Company, and Joshua Guenser, Chief Financial Officer of the Company, each hereby certifies, pursuant to 18 U.S.C. Section 1350, as adopted pursuant to Section 906 of the Sarbanes-Oxley Act of 2002, that, to the best of their respective knowledge:</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1.the Report fully complies with the requirements of Section 13(a) or Section 15(d) of the Securities Exchange Act of 1934; and</w:t>
      </w:r>
    </w:p>
    <w:p>
      <w:pPr>
        <w:pStyle w:val="TextBody"/>
        <w:bidi w:val="0"/>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left"/>
        <w:rPr/>
      </w:pPr>
      <w:r>
        <w:rPr/>
      </w:r>
    </w:p>
    <w:tbl>
      <w:tblPr>
        <w:tblW w:w="6008" w:type="dxa"/>
        <w:jc w:val="left"/>
        <w:tblInd w:w="0" w:type="dxa"/>
        <w:tblLayout w:type="fixed"/>
        <w:tblCellMar>
          <w:top w:w="28" w:type="dxa"/>
          <w:left w:w="28" w:type="dxa"/>
          <w:bottom w:w="28" w:type="dxa"/>
          <w:right w:w="28" w:type="dxa"/>
        </w:tblCellMar>
      </w:tblPr>
      <w:tblGrid>
        <w:gridCol w:w="520"/>
        <w:gridCol w:w="458"/>
        <w:gridCol w:w="462"/>
        <w:gridCol w:w="109"/>
        <w:gridCol w:w="109"/>
        <w:gridCol w:w="109"/>
        <w:gridCol w:w="109"/>
        <w:gridCol w:w="109"/>
        <w:gridCol w:w="109"/>
        <w:gridCol w:w="1144"/>
        <w:gridCol w:w="1144"/>
        <w:gridCol w:w="1626"/>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Christine Barone</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Christine Barone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Joshua Guenser</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Joshua Guenser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63220"/>
                <wp:effectExtent l="0" t="0" r="0" b="0"/>
                <wp:wrapNone/>
                <wp:docPr id="328" name="Frame10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2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16" descr=""/>
                                          <pic:cNvPicPr>
                                            <a:picLocks noChangeAspect="1" noChangeArrowheads="1"/>
                                          </pic:cNvPicPr>
                                        </pic:nvPicPr>
                                        <pic:blipFill>
                                          <a:blip r:embed="rId23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3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16" descr=""/>
                                    <pic:cNvPicPr>
                                      <a:picLocks noChangeAspect="1" noChangeArrowheads="1"/>
                                    </pic:cNvPicPr>
                                  </pic:nvPicPr>
                                  <pic:blipFill>
                                    <a:blip r:embed="rId23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3.jpeg"/><Relationship Id="rId69" Type="http://schemas.openxmlformats.org/officeDocument/2006/relationships/image" Target="media/image4.jpeg"/><Relationship Id="rId70" Type="http://schemas.openxmlformats.org/officeDocument/2006/relationships/image" Target="media/image5.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6.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2.jpeg"/><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2.jpeg"/><Relationship Id="rId127" Type="http://schemas.openxmlformats.org/officeDocument/2006/relationships/image" Target="media/image2.jpeg"/><Relationship Id="rId128" Type="http://schemas.openxmlformats.org/officeDocument/2006/relationships/image" Target="media/image2.jpeg"/><Relationship Id="rId129" Type="http://schemas.openxmlformats.org/officeDocument/2006/relationships/image" Target="media/image2.jpeg"/><Relationship Id="rId130" Type="http://schemas.openxmlformats.org/officeDocument/2006/relationships/image" Target="media/image2.jpeg"/><Relationship Id="rId131" Type="http://schemas.openxmlformats.org/officeDocument/2006/relationships/image" Target="media/image2.jpeg"/><Relationship Id="rId132" Type="http://schemas.openxmlformats.org/officeDocument/2006/relationships/image" Target="media/image2.jpeg"/><Relationship Id="rId133" Type="http://schemas.openxmlformats.org/officeDocument/2006/relationships/image" Target="media/image2.jpeg"/><Relationship Id="rId134" Type="http://schemas.openxmlformats.org/officeDocument/2006/relationships/image" Target="media/image2.jpeg"/><Relationship Id="rId135" Type="http://schemas.openxmlformats.org/officeDocument/2006/relationships/image" Target="media/image2.jpeg"/><Relationship Id="rId136" Type="http://schemas.openxmlformats.org/officeDocument/2006/relationships/image" Target="media/image2.jpeg"/><Relationship Id="rId137" Type="http://schemas.openxmlformats.org/officeDocument/2006/relationships/image" Target="media/image2.jpeg"/><Relationship Id="rId138" Type="http://schemas.openxmlformats.org/officeDocument/2006/relationships/image" Target="media/image2.jpeg"/><Relationship Id="rId139" Type="http://schemas.openxmlformats.org/officeDocument/2006/relationships/image" Target="media/image2.jpeg"/><Relationship Id="rId140" Type="http://schemas.openxmlformats.org/officeDocument/2006/relationships/image" Target="media/image2.jpeg"/><Relationship Id="rId141" Type="http://schemas.openxmlformats.org/officeDocument/2006/relationships/image" Target="media/image2.jpeg"/><Relationship Id="rId142" Type="http://schemas.openxmlformats.org/officeDocument/2006/relationships/image" Target="media/image2.jpeg"/><Relationship Id="rId143" Type="http://schemas.openxmlformats.org/officeDocument/2006/relationships/image" Target="media/image2.jpeg"/><Relationship Id="rId144" Type="http://schemas.openxmlformats.org/officeDocument/2006/relationships/image" Target="media/image2.jpeg"/><Relationship Id="rId145" Type="http://schemas.openxmlformats.org/officeDocument/2006/relationships/image" Target="media/image2.jpeg"/><Relationship Id="rId146" Type="http://schemas.openxmlformats.org/officeDocument/2006/relationships/image" Target="media/image2.jpeg"/><Relationship Id="rId147" Type="http://schemas.openxmlformats.org/officeDocument/2006/relationships/image" Target="media/image2.jpeg"/><Relationship Id="rId148" Type="http://schemas.openxmlformats.org/officeDocument/2006/relationships/image" Target="media/image2.jpeg"/><Relationship Id="rId149" Type="http://schemas.openxmlformats.org/officeDocument/2006/relationships/image" Target="media/image2.jpeg"/><Relationship Id="rId150" Type="http://schemas.openxmlformats.org/officeDocument/2006/relationships/image" Target="media/image2.jpeg"/><Relationship Id="rId151" Type="http://schemas.openxmlformats.org/officeDocument/2006/relationships/image" Target="media/image2.jpeg"/><Relationship Id="rId152" Type="http://schemas.openxmlformats.org/officeDocument/2006/relationships/image" Target="media/image2.jpeg"/><Relationship Id="rId153" Type="http://schemas.openxmlformats.org/officeDocument/2006/relationships/image" Target="media/image2.jpeg"/><Relationship Id="rId154" Type="http://schemas.openxmlformats.org/officeDocument/2006/relationships/image" Target="media/image2.jpeg"/><Relationship Id="rId155" Type="http://schemas.openxmlformats.org/officeDocument/2006/relationships/image" Target="media/image2.jpeg"/><Relationship Id="rId156" Type="http://schemas.openxmlformats.org/officeDocument/2006/relationships/image" Target="media/image2.jpeg"/><Relationship Id="rId157" Type="http://schemas.openxmlformats.org/officeDocument/2006/relationships/image" Target="media/image2.jpeg"/><Relationship Id="rId158" Type="http://schemas.openxmlformats.org/officeDocument/2006/relationships/image" Target="media/image2.jpeg"/><Relationship Id="rId159" Type="http://schemas.openxmlformats.org/officeDocument/2006/relationships/image" Target="media/image2.jpeg"/><Relationship Id="rId160" Type="http://schemas.openxmlformats.org/officeDocument/2006/relationships/image" Target="media/image2.jpeg"/><Relationship Id="rId161" Type="http://schemas.openxmlformats.org/officeDocument/2006/relationships/image" Target="media/image2.jpeg"/><Relationship Id="rId162" Type="http://schemas.openxmlformats.org/officeDocument/2006/relationships/image" Target="media/image2.jpeg"/><Relationship Id="rId163" Type="http://schemas.openxmlformats.org/officeDocument/2006/relationships/image" Target="media/image2.jpeg"/><Relationship Id="rId164" Type="http://schemas.openxmlformats.org/officeDocument/2006/relationships/image" Target="media/image2.jpeg"/><Relationship Id="rId165" Type="http://schemas.openxmlformats.org/officeDocument/2006/relationships/image" Target="media/image2.jpeg"/><Relationship Id="rId166" Type="http://schemas.openxmlformats.org/officeDocument/2006/relationships/image" Target="media/image2.jpeg"/><Relationship Id="rId167" Type="http://schemas.openxmlformats.org/officeDocument/2006/relationships/image" Target="media/image2.jpeg"/><Relationship Id="rId168" Type="http://schemas.openxmlformats.org/officeDocument/2006/relationships/image" Target="media/image2.jpeg"/><Relationship Id="rId169" Type="http://schemas.openxmlformats.org/officeDocument/2006/relationships/image" Target="media/image2.jpeg"/><Relationship Id="rId170" Type="http://schemas.openxmlformats.org/officeDocument/2006/relationships/image" Target="media/image2.jpeg"/><Relationship Id="rId171" Type="http://schemas.openxmlformats.org/officeDocument/2006/relationships/image" Target="media/image2.jpeg"/><Relationship Id="rId172" Type="http://schemas.openxmlformats.org/officeDocument/2006/relationships/image" Target="media/image2.jpeg"/><Relationship Id="rId173" Type="http://schemas.openxmlformats.org/officeDocument/2006/relationships/image" Target="media/image2.jpeg"/><Relationship Id="rId174" Type="http://schemas.openxmlformats.org/officeDocument/2006/relationships/image" Target="media/image2.jpeg"/><Relationship Id="rId175" Type="http://schemas.openxmlformats.org/officeDocument/2006/relationships/image" Target="media/image2.jpeg"/><Relationship Id="rId176" Type="http://schemas.openxmlformats.org/officeDocument/2006/relationships/image" Target="media/image2.jpeg"/><Relationship Id="rId177" Type="http://schemas.openxmlformats.org/officeDocument/2006/relationships/image" Target="media/image2.jpeg"/><Relationship Id="rId178" Type="http://schemas.openxmlformats.org/officeDocument/2006/relationships/image" Target="media/image2.jpeg"/><Relationship Id="rId179" Type="http://schemas.openxmlformats.org/officeDocument/2006/relationships/image" Target="media/image2.jpeg"/><Relationship Id="rId180" Type="http://schemas.openxmlformats.org/officeDocument/2006/relationships/image" Target="media/image2.jpeg"/><Relationship Id="rId181" Type="http://schemas.openxmlformats.org/officeDocument/2006/relationships/image" Target="media/image2.jpeg"/><Relationship Id="rId182" Type="http://schemas.openxmlformats.org/officeDocument/2006/relationships/image" Target="media/image2.jpeg"/><Relationship Id="rId183" Type="http://schemas.openxmlformats.org/officeDocument/2006/relationships/image" Target="media/image2.jpeg"/><Relationship Id="rId184" Type="http://schemas.openxmlformats.org/officeDocument/2006/relationships/image" Target="media/image2.jpeg"/><Relationship Id="rId185" Type="http://schemas.openxmlformats.org/officeDocument/2006/relationships/image" Target="media/image2.jpeg"/><Relationship Id="rId186" Type="http://schemas.openxmlformats.org/officeDocument/2006/relationships/image" Target="media/image2.jpeg"/><Relationship Id="rId187" Type="http://schemas.openxmlformats.org/officeDocument/2006/relationships/image" Target="media/image2.jpeg"/><Relationship Id="rId188" Type="http://schemas.openxmlformats.org/officeDocument/2006/relationships/image" Target="media/image2.jpeg"/><Relationship Id="rId189" Type="http://schemas.openxmlformats.org/officeDocument/2006/relationships/image" Target="media/image2.jpeg"/><Relationship Id="rId190" Type="http://schemas.openxmlformats.org/officeDocument/2006/relationships/image" Target="media/image2.jpeg"/><Relationship Id="rId191" Type="http://schemas.openxmlformats.org/officeDocument/2006/relationships/image" Target="media/image2.jpeg"/><Relationship Id="rId192" Type="http://schemas.openxmlformats.org/officeDocument/2006/relationships/image" Target="media/image2.jpeg"/><Relationship Id="rId193" Type="http://schemas.openxmlformats.org/officeDocument/2006/relationships/image" Target="media/image2.jpeg"/><Relationship Id="rId194" Type="http://schemas.openxmlformats.org/officeDocument/2006/relationships/image" Target="media/image2.jpeg"/><Relationship Id="rId195" Type="http://schemas.openxmlformats.org/officeDocument/2006/relationships/image" Target="media/image2.jpeg"/><Relationship Id="rId196" Type="http://schemas.openxmlformats.org/officeDocument/2006/relationships/image" Target="media/image2.jpeg"/><Relationship Id="rId197" Type="http://schemas.openxmlformats.org/officeDocument/2006/relationships/image" Target="media/image2.jpeg"/><Relationship Id="rId198" Type="http://schemas.openxmlformats.org/officeDocument/2006/relationships/image" Target="media/image2.jpeg"/><Relationship Id="rId199" Type="http://schemas.openxmlformats.org/officeDocument/2006/relationships/image" Target="media/image2.jpeg"/><Relationship Id="rId200" Type="http://schemas.openxmlformats.org/officeDocument/2006/relationships/image" Target="media/image2.jpeg"/><Relationship Id="rId201" Type="http://schemas.openxmlformats.org/officeDocument/2006/relationships/image" Target="media/image2.jpeg"/><Relationship Id="rId202" Type="http://schemas.openxmlformats.org/officeDocument/2006/relationships/image" Target="media/image2.jpeg"/><Relationship Id="rId203" Type="http://schemas.openxmlformats.org/officeDocument/2006/relationships/image" Target="media/image2.jpeg"/><Relationship Id="rId204" Type="http://schemas.openxmlformats.org/officeDocument/2006/relationships/image" Target="media/image2.jpeg"/><Relationship Id="rId205" Type="http://schemas.openxmlformats.org/officeDocument/2006/relationships/image" Target="media/image2.jpeg"/><Relationship Id="rId206" Type="http://schemas.openxmlformats.org/officeDocument/2006/relationships/image" Target="media/image2.jpeg"/><Relationship Id="rId207" Type="http://schemas.openxmlformats.org/officeDocument/2006/relationships/image" Target="media/image2.jpeg"/><Relationship Id="rId208" Type="http://schemas.openxmlformats.org/officeDocument/2006/relationships/hyperlink" Target="https://www.sec.gov/Archives/edgar/data/0001866581/000162828021018861/exhibit31-8xk.htm" TargetMode="External"/><Relationship Id="rId209" Type="http://schemas.openxmlformats.org/officeDocument/2006/relationships/hyperlink" Target="https://www.sec.gov/Archives/edgar/data/1866581/000162828021017441/exhibit34-sx1.htm" TargetMode="External"/><Relationship Id="rId210" Type="http://schemas.openxmlformats.org/officeDocument/2006/relationships/hyperlink" Target="https://www.sec.gov/Archives/edgar/data/0001866581/000162828021018116/exhibit41.htm" TargetMode="External"/><Relationship Id="rId211" Type="http://schemas.openxmlformats.org/officeDocument/2006/relationships/hyperlink" Target="https://www.sec.gov/Archives/edgar/data/1866581/000186658124000117/filingversion2023-12x15o.htm" TargetMode="External"/><Relationship Id="rId212" Type="http://schemas.openxmlformats.org/officeDocument/2006/relationships/hyperlink" Target="https://www.sec.gov/Archives/edgar/data/1866581/000186658124000117/filingversion2023-12x15s.htm" TargetMode="External"/><Relationship Id="rId213" Type="http://schemas.openxmlformats.org/officeDocument/2006/relationships/hyperlink" Target="https://www.sec.gov/Archives/edgar/data/1866581/000186658124000132/a2023-12x19offerlettergu.htm" TargetMode="External"/><Relationship Id="rId214" Type="http://schemas.openxmlformats.org/officeDocument/2006/relationships/hyperlink" Target="https://www.sec.gov/Archives/edgar/data/1866581/000186658124000132/a2023-12x19severanceandc.htm" TargetMode="External"/><Relationship Id="rId215" Type="http://schemas.openxmlformats.org/officeDocument/2006/relationships/hyperlink" Target="https://www.sec.gov/Archives/edgar/data/1866581/000186658124000175/dutchmafiallcfourthamend.htm" TargetMode="External"/><Relationship Id="rId216" Type="http://schemas.openxmlformats.org/officeDocument/2006/relationships/hyperlink" Target="https://www.sec.gov/Archives/edgar/data/1866581/000186658124000175/sharesurrenderagreement-.htm" TargetMode="External"/><Relationship Id="rId217" Type="http://schemas.openxmlformats.org/officeDocument/2006/relationships/hyperlink" Target="https://www.sec.gov/Archives/edgar/data/1866581/000186658124000175/limitationagreement-fili.htm" TargetMode="External"/><Relationship Id="rId218" Type="http://schemas.openxmlformats.org/officeDocument/2006/relationships/hyperlink" Target="https://www.sec.gov/Archives/edgar/data/1866581/000186658124000197/a2024-05x28serviceonboar.htm" TargetMode="External"/><Relationship Id="rId219" Type="http://schemas.openxmlformats.org/officeDocument/2006/relationships/hyperlink" Target="https://www.sec.gov/Archives/edgar/data/1866581/000186658124000197/a2024-05x28serviceonboar.htm" TargetMode="External"/><Relationship Id="rId220" Type="http://schemas.openxmlformats.org/officeDocument/2006/relationships/hyperlink" Target="https://www.sec.gov/Archives/edgar/data/1866581/000186658124000197/a2024-05x28serviceonboar.htm" TargetMode="External"/><Relationship Id="rId221" Type="http://schemas.openxmlformats.org/officeDocument/2006/relationships/hyperlink" Target="https://www.sec.gov/Archives/edgar/data/1866581/000186658124000202/a2024-06x18serviceonboar.htm" TargetMode="External"/><Relationship Id="rId222" Type="http://schemas.openxmlformats.org/officeDocument/2006/relationships/image" Target="media/image2.jpeg"/><Relationship Id="rId223" Type="http://schemas.openxmlformats.org/officeDocument/2006/relationships/image" Target="media/image2.jpeg"/><Relationship Id="rId224" Type="http://schemas.openxmlformats.org/officeDocument/2006/relationships/image" Target="media/image2.jpeg"/><Relationship Id="rId225" Type="http://schemas.openxmlformats.org/officeDocument/2006/relationships/image" Target="media/image2.jpeg"/><Relationship Id="rId226" Type="http://schemas.openxmlformats.org/officeDocument/2006/relationships/image" Target="media/image7.jpeg"/><Relationship Id="rId227" Type="http://schemas.openxmlformats.org/officeDocument/2006/relationships/image" Target="media/image2.jpeg"/><Relationship Id="rId228" Type="http://schemas.openxmlformats.org/officeDocument/2006/relationships/image" Target="media/image2.jpeg"/><Relationship Id="rId229" Type="http://schemas.openxmlformats.org/officeDocument/2006/relationships/image" Target="media/image8.jpeg"/><Relationship Id="rId230" Type="http://schemas.openxmlformats.org/officeDocument/2006/relationships/image" Target="media/image9.jpeg"/><Relationship Id="rId231" Type="http://schemas.openxmlformats.org/officeDocument/2006/relationships/image" Target="media/image10.jpeg"/><Relationship Id="rId232" Type="http://schemas.openxmlformats.org/officeDocument/2006/relationships/image" Target="media/image2.jpeg"/><Relationship Id="rId233" Type="http://schemas.openxmlformats.org/officeDocument/2006/relationships/image" Target="media/image2.jpeg"/><Relationship Id="rId234" Type="http://schemas.openxmlformats.org/officeDocument/2006/relationships/image" Target="media/image2.jpeg"/><Relationship Id="rId235" Type="http://schemas.openxmlformats.org/officeDocument/2006/relationships/image" Target="media/image2.jpeg"/><Relationship Id="rId236" Type="http://schemas.openxmlformats.org/officeDocument/2006/relationships/image" Target="media/image2.jpeg"/><Relationship Id="rId237" Type="http://schemas.openxmlformats.org/officeDocument/2006/relationships/image" Target="media/image2.jpeg"/><Relationship Id="rId238" Type="http://schemas.openxmlformats.org/officeDocument/2006/relationships/fontTable" Target="fontTable.xml"/><Relationship Id="rId2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52284</Words>
  <Characters>284559</Characters>
  <CharactersWithSpaces>334476</CharactersWithSpaces>
  <Paragraphs>4974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a2024-05x21amendedandres</dc:title>
</cp:coreProperties>
</file>