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883920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857250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3"/>
          <w:szCs w:val="23"/>
          <w:b w:val="1"/>
          <w:bCs w:val="1"/>
          <w:color w:val="auto"/>
        </w:rPr>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69" w:lineRule="exact"/>
        <w:rPr>
          <w:sz w:val="24"/>
          <w:szCs w:val="24"/>
          <w:color w:val="auto"/>
        </w:rPr>
      </w:pPr>
    </w:p>
    <w:p>
      <w:pPr>
        <w:jc w:val="center"/>
        <w:ind w:right="20"/>
        <w:spacing w:after="0"/>
        <w:rPr>
          <w:sz w:val="20"/>
          <w:szCs w:val="20"/>
          <w:color w:val="auto"/>
        </w:rPr>
      </w:pPr>
      <w:r>
        <w:rPr>
          <w:rFonts w:ascii="Arial" w:cs="Arial" w:eastAsia="Arial" w:hAnsi="Arial"/>
          <w:sz w:val="23"/>
          <w:szCs w:val="23"/>
          <w:b w:val="1"/>
          <w:bCs w:val="1"/>
          <w:color w:val="auto"/>
        </w:rPr>
        <w:t>FORM 10-K</w:t>
      </w:r>
    </w:p>
    <w:p>
      <w:pPr>
        <w:spacing w:after="0" w:line="25"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b w:val="1"/>
          <w:bCs w:val="1"/>
          <w:color w:val="131E29"/>
        </w:rPr>
        <w:t>(Mark One)</w:t>
      </w:r>
    </w:p>
    <w:p>
      <w:pPr>
        <w:spacing w:after="0" w:line="37" w:lineRule="exact"/>
        <w:rPr>
          <w:sz w:val="24"/>
          <w:szCs w:val="24"/>
          <w:color w:val="auto"/>
        </w:rPr>
      </w:pPr>
    </w:p>
    <w:p>
      <w:pPr>
        <w:ind w:left="640" w:hanging="621"/>
        <w:spacing w:after="0"/>
        <w:tabs>
          <w:tab w:leader="none" w:pos="640" w:val="left"/>
        </w:tabs>
        <w:numPr>
          <w:ilvl w:val="0"/>
          <w:numId w:val="1"/>
        </w:numPr>
        <w:rPr>
          <w:rFonts w:ascii="MS PGothic" w:cs="MS PGothic" w:eastAsia="MS PGothic" w:hAnsi="MS PGothic"/>
          <w:sz w:val="14"/>
          <w:szCs w:val="14"/>
          <w:color w:val="131E29"/>
        </w:rPr>
      </w:pPr>
      <w:r>
        <w:rPr>
          <w:rFonts w:ascii="Arial" w:cs="Arial" w:eastAsia="Arial" w:hAnsi="Arial"/>
          <w:sz w:val="14"/>
          <w:szCs w:val="14"/>
          <w:b w:val="1"/>
          <w:bCs w:val="1"/>
          <w:color w:val="131E29"/>
        </w:rPr>
        <w:t>ANNUAL REPORT PURSUANT TO SECTION 13 OR 15(d) OF THE SECURITIES EXCHANGE ACT OF 1934</w:t>
      </w:r>
    </w:p>
    <w:p>
      <w:pPr>
        <w:spacing w:after="0" w:line="35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For the fiscal year ended December 31, 2024</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OR</w:t>
      </w:r>
    </w:p>
    <w:p>
      <w:pPr>
        <w:spacing w:after="0" w:line="136" w:lineRule="exact"/>
        <w:rPr>
          <w:sz w:val="24"/>
          <w:szCs w:val="24"/>
          <w:color w:val="auto"/>
        </w:rPr>
      </w:pPr>
    </w:p>
    <w:p>
      <w:pPr>
        <w:ind w:left="640" w:hanging="621"/>
        <w:spacing w:after="0"/>
        <w:tabs>
          <w:tab w:leader="none" w:pos="640" w:val="left"/>
        </w:tabs>
        <w:numPr>
          <w:ilvl w:val="0"/>
          <w:numId w:val="2"/>
        </w:numPr>
        <w:rPr>
          <w:rFonts w:ascii="MS PGothic" w:cs="MS PGothic" w:eastAsia="MS PGothic" w:hAnsi="MS PGothic"/>
          <w:sz w:val="14"/>
          <w:szCs w:val="14"/>
          <w:color w:val="131E29"/>
        </w:rPr>
      </w:pPr>
      <w:r>
        <w:rPr>
          <w:rFonts w:ascii="Arial" w:cs="Arial" w:eastAsia="Arial" w:hAnsi="Arial"/>
          <w:sz w:val="14"/>
          <w:szCs w:val="14"/>
          <w:b w:val="1"/>
          <w:bCs w:val="1"/>
          <w:color w:val="131E29"/>
        </w:rPr>
        <w:t>TRANSITION REPORT PURSUANT TO SECTION 13 OR 15(d) OF THE SECURITIES EXCHANGE ACT OF 1934</w:t>
      </w:r>
    </w:p>
    <w:p>
      <w:pPr>
        <w:spacing w:after="0" w:line="316"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131E29"/>
        </w:rPr>
        <w:t>For the transition period from ________ to ________</w:t>
      </w:r>
    </w:p>
    <w:p>
      <w:pPr>
        <w:spacing w:after="0" w:line="136"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Commission file number 001-40798</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3048635</wp:posOffset>
            </wp:positionH>
            <wp:positionV relativeFrom="paragraph">
              <wp:posOffset>5715</wp:posOffset>
            </wp:positionV>
            <wp:extent cx="1071245" cy="539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1245" cy="539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131E29"/>
        </w:rPr>
        <w:t>DUTCH BROS INC.</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131E29"/>
        </w:rPr>
        <w:t>(Exact name of registrant as specified in its charter)</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4"/>
          <w:szCs w:val="14"/>
          <w:b w:val="1"/>
          <w:bCs w:val="1"/>
          <w:color w:val="auto"/>
        </w:rPr>
        <w:t>______________________________</w:t>
      </w:r>
    </w:p>
    <w:p>
      <w:pPr>
        <w:spacing w:after="0" w:line="165" w:lineRule="exact"/>
        <w:rPr>
          <w:sz w:val="24"/>
          <w:szCs w:val="24"/>
          <w:color w:val="auto"/>
        </w:rPr>
      </w:pPr>
    </w:p>
    <w:tbl>
      <w:tblPr>
        <w:tblLayout w:type="fixed"/>
        <w:tblInd w:w="10" w:type="dxa"/>
        <w:tblCellMar>
          <w:top w:w="0" w:type="dxa"/>
          <w:left w:w="0" w:type="dxa"/>
          <w:bottom w:w="0" w:type="dxa"/>
          <w:right w:w="0" w:type="dxa"/>
        </w:tblCellMar>
      </w:tblPr>
      <w:tr>
        <w:trPr>
          <w:trHeight w:val="194"/>
        </w:trPr>
        <w:tc>
          <w:tcPr>
            <w:tcW w:w="2880" w:type="dxa"/>
            <w:vAlign w:val="bottom"/>
          </w:tcPr>
          <w:p>
            <w:pPr>
              <w:spacing w:after="0"/>
              <w:rPr>
                <w:sz w:val="16"/>
                <w:szCs w:val="16"/>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4"/>
                <w:szCs w:val="14"/>
                <w:b w:val="1"/>
                <w:bCs w:val="1"/>
                <w:color w:val="131E29"/>
              </w:rPr>
              <w:t>Delaware</w:t>
            </w:r>
          </w:p>
        </w:tc>
        <w:tc>
          <w:tcPr>
            <w:tcW w:w="4180" w:type="dxa"/>
            <w:vAlign w:val="bottom"/>
            <w:gridSpan w:val="2"/>
            <w:vMerge w:val="restart"/>
          </w:tcPr>
          <w:p>
            <w:pPr>
              <w:jc w:val="right"/>
              <w:ind w:right="2734"/>
              <w:spacing w:after="0"/>
              <w:rPr>
                <w:sz w:val="20"/>
                <w:szCs w:val="20"/>
                <w:color w:val="auto"/>
              </w:rPr>
            </w:pPr>
            <w:r>
              <w:rPr>
                <w:rFonts w:ascii="Arial" w:cs="Arial" w:eastAsia="Arial" w:hAnsi="Arial"/>
                <w:sz w:val="14"/>
                <w:szCs w:val="14"/>
                <w:b w:val="1"/>
                <w:bCs w:val="1"/>
                <w:color w:val="131E29"/>
              </w:rPr>
              <w:t>87-1041305</w:t>
            </w: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880" w:type="dxa"/>
            <w:vAlign w:val="bottom"/>
          </w:tcPr>
          <w:p>
            <w:pPr>
              <w:spacing w:after="0"/>
              <w:rPr>
                <w:sz w:val="14"/>
                <w:szCs w:val="14"/>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1"/>
                <w:szCs w:val="11"/>
                <w:color w:val="131E29"/>
              </w:rPr>
              <w:t>(State or other jurisdiction of</w:t>
            </w:r>
          </w:p>
        </w:tc>
        <w:tc>
          <w:tcPr>
            <w:tcW w:w="4180" w:type="dxa"/>
            <w:vAlign w:val="bottom"/>
            <w:gridSpan w:val="2"/>
          </w:tcPr>
          <w:p>
            <w:pPr>
              <w:jc w:val="center"/>
              <w:ind w:right="2094"/>
              <w:spacing w:after="0"/>
              <w:rPr>
                <w:sz w:val="20"/>
                <w:szCs w:val="20"/>
                <w:color w:val="auto"/>
              </w:rPr>
            </w:pPr>
            <w:r>
              <w:rPr>
                <w:rFonts w:ascii="Arial" w:cs="Arial" w:eastAsia="Arial" w:hAnsi="Arial"/>
                <w:sz w:val="11"/>
                <w:szCs w:val="11"/>
                <w:color w:val="131E29"/>
              </w:rPr>
              <w:t>(I.R.S. Employer Identification No.)</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1"/>
                <w:szCs w:val="11"/>
                <w:color w:val="131E29"/>
              </w:rPr>
              <w:t>incorporation or organization)</w:t>
            </w:r>
          </w:p>
        </w:tc>
        <w:tc>
          <w:tcPr>
            <w:tcW w:w="4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2880" w:type="dxa"/>
            <w:vAlign w:val="bottom"/>
          </w:tcPr>
          <w:p>
            <w:pPr>
              <w:spacing w:after="0"/>
              <w:rPr>
                <w:sz w:val="22"/>
                <w:szCs w:val="22"/>
                <w:color w:val="auto"/>
              </w:rPr>
            </w:pPr>
          </w:p>
        </w:tc>
        <w:tc>
          <w:tcPr>
            <w:tcW w:w="4240" w:type="dxa"/>
            <w:vAlign w:val="bottom"/>
            <w:gridSpan w:val="2"/>
          </w:tcPr>
          <w:p>
            <w:pPr>
              <w:jc w:val="center"/>
              <w:ind w:right="2474"/>
              <w:spacing w:after="0"/>
              <w:rPr>
                <w:sz w:val="20"/>
                <w:szCs w:val="20"/>
                <w:color w:val="auto"/>
              </w:rPr>
            </w:pPr>
            <w:r>
              <w:rPr>
                <w:rFonts w:ascii="Arial" w:cs="Arial" w:eastAsia="Arial" w:hAnsi="Arial"/>
                <w:sz w:val="14"/>
                <w:szCs w:val="14"/>
                <w:b w:val="1"/>
                <w:bCs w:val="1"/>
                <w:color w:val="131E29"/>
              </w:rPr>
              <w:t>300 N Valley Dr</w:t>
            </w:r>
          </w:p>
        </w:tc>
        <w:tc>
          <w:tcPr>
            <w:tcW w:w="4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880" w:type="dxa"/>
            <w:vAlign w:val="bottom"/>
          </w:tcPr>
          <w:p>
            <w:pPr>
              <w:spacing w:after="0"/>
              <w:rPr>
                <w:sz w:val="24"/>
                <w:szCs w:val="24"/>
                <w:color w:val="auto"/>
              </w:rPr>
            </w:pPr>
          </w:p>
        </w:tc>
        <w:tc>
          <w:tcPr>
            <w:tcW w:w="4240" w:type="dxa"/>
            <w:vAlign w:val="bottom"/>
            <w:gridSpan w:val="2"/>
          </w:tcPr>
          <w:p>
            <w:pPr>
              <w:ind w:left="80"/>
              <w:spacing w:after="0"/>
              <w:rPr>
                <w:sz w:val="20"/>
                <w:szCs w:val="20"/>
                <w:color w:val="auto"/>
              </w:rPr>
            </w:pPr>
            <w:r>
              <w:rPr>
                <w:rFonts w:ascii="Arial" w:cs="Arial" w:eastAsia="Arial" w:hAnsi="Arial"/>
                <w:sz w:val="14"/>
                <w:szCs w:val="14"/>
                <w:b w:val="1"/>
                <w:bCs w:val="1"/>
                <w:color w:val="131E29"/>
              </w:rPr>
              <w:t>Grants Pass, Oregon</w:t>
            </w:r>
          </w:p>
        </w:tc>
        <w:tc>
          <w:tcPr>
            <w:tcW w:w="4180" w:type="dxa"/>
            <w:vAlign w:val="bottom"/>
            <w:gridSpan w:val="2"/>
          </w:tcPr>
          <w:p>
            <w:pPr>
              <w:jc w:val="right"/>
              <w:ind w:right="2914"/>
              <w:spacing w:after="0"/>
              <w:rPr>
                <w:sz w:val="20"/>
                <w:szCs w:val="20"/>
                <w:color w:val="auto"/>
              </w:rPr>
            </w:pPr>
            <w:r>
              <w:rPr>
                <w:rFonts w:ascii="Arial" w:cs="Arial" w:eastAsia="Arial" w:hAnsi="Arial"/>
                <w:sz w:val="14"/>
                <w:szCs w:val="14"/>
                <w:b w:val="1"/>
                <w:bCs w:val="1"/>
                <w:color w:val="131E29"/>
              </w:rPr>
              <w:t>97526</w:t>
            </w:r>
          </w:p>
        </w:tc>
        <w:tc>
          <w:tcPr>
            <w:tcW w:w="0" w:type="dxa"/>
            <w:vAlign w:val="bottom"/>
          </w:tcPr>
          <w:p>
            <w:pPr>
              <w:spacing w:after="0"/>
              <w:rPr>
                <w:sz w:val="1"/>
                <w:szCs w:val="1"/>
                <w:color w:val="auto"/>
              </w:rPr>
            </w:pPr>
          </w:p>
        </w:tc>
      </w:tr>
      <w:tr>
        <w:trPr>
          <w:trHeight w:val="175"/>
        </w:trPr>
        <w:tc>
          <w:tcPr>
            <w:tcW w:w="7120" w:type="dxa"/>
            <w:vAlign w:val="bottom"/>
            <w:gridSpan w:val="3"/>
          </w:tcPr>
          <w:p>
            <w:pPr>
              <w:jc w:val="center"/>
              <w:ind w:left="272"/>
              <w:spacing w:after="0"/>
              <w:rPr>
                <w:sz w:val="20"/>
                <w:szCs w:val="20"/>
                <w:color w:val="auto"/>
              </w:rPr>
            </w:pPr>
            <w:r>
              <w:rPr>
                <w:rFonts w:ascii="Arial" w:cs="Arial" w:eastAsia="Arial" w:hAnsi="Arial"/>
                <w:sz w:val="11"/>
                <w:szCs w:val="11"/>
                <w:color w:val="131E29"/>
              </w:rPr>
              <w:t>(Address of principal executive offices)</w:t>
            </w:r>
          </w:p>
        </w:tc>
        <w:tc>
          <w:tcPr>
            <w:tcW w:w="420" w:type="dxa"/>
            <w:vAlign w:val="bottom"/>
          </w:tcPr>
          <w:p>
            <w:pPr>
              <w:spacing w:after="0"/>
              <w:rPr>
                <w:sz w:val="15"/>
                <w:szCs w:val="15"/>
                <w:color w:val="auto"/>
              </w:rPr>
            </w:pPr>
          </w:p>
        </w:tc>
        <w:tc>
          <w:tcPr>
            <w:tcW w:w="3760" w:type="dxa"/>
            <w:vAlign w:val="bottom"/>
          </w:tcPr>
          <w:p>
            <w:pPr>
              <w:jc w:val="center"/>
              <w:ind w:right="2514"/>
              <w:spacing w:after="0"/>
              <w:rPr>
                <w:sz w:val="20"/>
                <w:szCs w:val="20"/>
                <w:color w:val="auto"/>
              </w:rPr>
            </w:pPr>
            <w:r>
              <w:rPr>
                <w:rFonts w:ascii="Arial" w:cs="Arial" w:eastAsia="Arial" w:hAnsi="Arial"/>
                <w:sz w:val="11"/>
                <w:szCs w:val="11"/>
                <w:color w:val="131E29"/>
              </w:rPr>
              <w:t>(Zip Code)</w:t>
            </w:r>
          </w:p>
        </w:tc>
        <w:tc>
          <w:tcPr>
            <w:tcW w:w="0" w:type="dxa"/>
            <w:vAlign w:val="bottom"/>
          </w:tcPr>
          <w:p>
            <w:pPr>
              <w:spacing w:after="0"/>
              <w:rPr>
                <w:sz w:val="1"/>
                <w:szCs w:val="1"/>
                <w:color w:val="auto"/>
              </w:rPr>
            </w:pPr>
          </w:p>
        </w:tc>
      </w:tr>
      <w:tr>
        <w:trPr>
          <w:trHeight w:val="398"/>
        </w:trPr>
        <w:tc>
          <w:tcPr>
            <w:tcW w:w="2880" w:type="dxa"/>
            <w:vAlign w:val="bottom"/>
          </w:tcPr>
          <w:p>
            <w:pPr>
              <w:spacing w:after="0"/>
              <w:rPr>
                <w:sz w:val="24"/>
                <w:szCs w:val="24"/>
                <w:color w:val="auto"/>
              </w:rPr>
            </w:pPr>
          </w:p>
        </w:tc>
        <w:tc>
          <w:tcPr>
            <w:tcW w:w="4240" w:type="dxa"/>
            <w:vAlign w:val="bottom"/>
            <w:gridSpan w:val="2"/>
          </w:tcPr>
          <w:p>
            <w:pPr>
              <w:jc w:val="center"/>
              <w:ind w:right="914"/>
              <w:spacing w:after="0"/>
              <w:rPr>
                <w:sz w:val="20"/>
                <w:szCs w:val="20"/>
                <w:color w:val="auto"/>
              </w:rPr>
            </w:pPr>
            <w:r>
              <w:rPr>
                <w:rFonts w:ascii="Arial" w:cs="Arial" w:eastAsia="Arial" w:hAnsi="Arial"/>
                <w:sz w:val="14"/>
                <w:szCs w:val="14"/>
                <w:color w:val="131E29"/>
              </w:rPr>
              <w:t>(</w:t>
            </w:r>
            <w:r>
              <w:rPr>
                <w:rFonts w:ascii="Arial" w:cs="Arial" w:eastAsia="Arial" w:hAnsi="Arial"/>
                <w:sz w:val="14"/>
                <w:szCs w:val="14"/>
                <w:b w:val="1"/>
                <w:bCs w:val="1"/>
                <w:color w:val="131E29"/>
              </w:rPr>
              <w:t>541</w:t>
            </w:r>
            <w:r>
              <w:rPr>
                <w:rFonts w:ascii="Arial" w:cs="Arial" w:eastAsia="Arial" w:hAnsi="Arial"/>
                <w:sz w:val="14"/>
                <w:szCs w:val="14"/>
                <w:color w:val="131E29"/>
              </w:rPr>
              <w:t xml:space="preserve">) </w:t>
            </w:r>
            <w:r>
              <w:rPr>
                <w:rFonts w:ascii="Arial" w:cs="Arial" w:eastAsia="Arial" w:hAnsi="Arial"/>
                <w:sz w:val="14"/>
                <w:szCs w:val="14"/>
                <w:b w:val="1"/>
                <w:bCs w:val="1"/>
                <w:color w:val="131E29"/>
              </w:rPr>
              <w:t>955-4700</w:t>
            </w:r>
          </w:p>
        </w:tc>
        <w:tc>
          <w:tcPr>
            <w:tcW w:w="4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320" w:type="dxa"/>
            <w:vAlign w:val="bottom"/>
          </w:tcPr>
          <w:p>
            <w:pPr>
              <w:jc w:val="center"/>
              <w:ind w:left="294"/>
              <w:spacing w:after="0"/>
              <w:rPr>
                <w:sz w:val="20"/>
                <w:szCs w:val="20"/>
                <w:color w:val="auto"/>
              </w:rPr>
            </w:pPr>
            <w:r>
              <w:rPr>
                <w:rFonts w:ascii="Arial" w:cs="Arial" w:eastAsia="Arial" w:hAnsi="Arial"/>
                <w:sz w:val="11"/>
                <w:szCs w:val="11"/>
                <w:color w:val="131E29"/>
              </w:rPr>
              <w:t>(Registrant's telephone number, including area code)</w:t>
            </w:r>
          </w:p>
        </w:tc>
        <w:tc>
          <w:tcPr>
            <w:tcW w:w="4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880" w:type="dxa"/>
            <w:vAlign w:val="bottom"/>
          </w:tcPr>
          <w:p>
            <w:pPr>
              <w:spacing w:after="0"/>
              <w:rPr>
                <w:sz w:val="14"/>
                <w:szCs w:val="14"/>
                <w:color w:val="auto"/>
              </w:rPr>
            </w:pPr>
          </w:p>
        </w:tc>
        <w:tc>
          <w:tcPr>
            <w:tcW w:w="4240" w:type="dxa"/>
            <w:vAlign w:val="bottom"/>
            <w:gridSpan w:val="2"/>
          </w:tcPr>
          <w:p>
            <w:pPr>
              <w:jc w:val="right"/>
              <w:ind w:right="234"/>
              <w:spacing w:after="0"/>
              <w:rPr>
                <w:sz w:val="20"/>
                <w:szCs w:val="20"/>
                <w:color w:val="auto"/>
              </w:rPr>
            </w:pPr>
            <w:r>
              <w:rPr>
                <w:rFonts w:ascii="Arial" w:cs="Arial" w:eastAsia="Arial" w:hAnsi="Arial"/>
                <w:sz w:val="14"/>
                <w:szCs w:val="14"/>
                <w:b w:val="1"/>
                <w:bCs w:val="1"/>
                <w:color w:val="auto"/>
              </w:rPr>
              <w:t>______________________________</w:t>
            </w:r>
          </w:p>
        </w:tc>
        <w:tc>
          <w:tcPr>
            <w:tcW w:w="4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20" w:type="dxa"/>
            <w:vAlign w:val="bottom"/>
            <w:gridSpan w:val="3"/>
          </w:tcPr>
          <w:p>
            <w:pPr>
              <w:spacing w:after="0"/>
              <w:rPr>
                <w:sz w:val="20"/>
                <w:szCs w:val="20"/>
                <w:color w:val="auto"/>
              </w:rPr>
            </w:pPr>
            <w:r>
              <w:rPr>
                <w:rFonts w:ascii="Arial" w:cs="Arial" w:eastAsia="Arial" w:hAnsi="Arial"/>
                <w:sz w:val="14"/>
                <w:szCs w:val="14"/>
                <w:b w:val="1"/>
                <w:bCs w:val="1"/>
                <w:color w:val="131E29"/>
              </w:rPr>
              <w:t>Securities registered pursuant to Section 12(b) of the Act:</w:t>
            </w:r>
          </w:p>
        </w:tc>
        <w:tc>
          <w:tcPr>
            <w:tcW w:w="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8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2880" w:type="dxa"/>
            <w:vAlign w:val="bottom"/>
            <w:tcBorders>
              <w:left w:val="single" w:sz="8" w:color="auto"/>
              <w:bottom w:val="single" w:sz="8" w:color="auto"/>
            </w:tcBorders>
          </w:tcPr>
          <w:p>
            <w:pPr>
              <w:jc w:val="center"/>
              <w:ind w:left="832"/>
              <w:spacing w:after="0"/>
              <w:rPr>
                <w:sz w:val="20"/>
                <w:szCs w:val="20"/>
                <w:color w:val="auto"/>
              </w:rPr>
            </w:pPr>
            <w:r>
              <w:rPr>
                <w:rFonts w:ascii="Arial" w:cs="Arial" w:eastAsia="Arial" w:hAnsi="Arial"/>
                <w:sz w:val="14"/>
                <w:szCs w:val="14"/>
                <w:b w:val="1"/>
                <w:bCs w:val="1"/>
                <w:color w:val="131E29"/>
              </w:rPr>
              <w:t>Title of Each Class</w:t>
            </w:r>
          </w:p>
        </w:tc>
        <w:tc>
          <w:tcPr>
            <w:tcW w:w="920" w:type="dxa"/>
            <w:vAlign w:val="bottom"/>
            <w:tcBorders>
              <w:bottom w:val="single" w:sz="8" w:color="auto"/>
              <w:right w:val="single" w:sz="8" w:color="auto"/>
            </w:tcBorders>
          </w:tcPr>
          <w:p>
            <w:pPr>
              <w:spacing w:after="0"/>
              <w:rPr>
                <w:sz w:val="17"/>
                <w:szCs w:val="17"/>
                <w:color w:val="auto"/>
              </w:rPr>
            </w:pPr>
          </w:p>
        </w:tc>
        <w:tc>
          <w:tcPr>
            <w:tcW w:w="3320" w:type="dxa"/>
            <w:vAlign w:val="bottom"/>
            <w:tcBorders>
              <w:bottom w:val="single" w:sz="8" w:color="auto"/>
            </w:tcBorders>
          </w:tcPr>
          <w:p>
            <w:pPr>
              <w:jc w:val="center"/>
              <w:ind w:left="314"/>
              <w:spacing w:after="0"/>
              <w:rPr>
                <w:sz w:val="20"/>
                <w:szCs w:val="20"/>
                <w:color w:val="auto"/>
              </w:rPr>
            </w:pPr>
            <w:r>
              <w:rPr>
                <w:rFonts w:ascii="Arial" w:cs="Arial" w:eastAsia="Arial" w:hAnsi="Arial"/>
                <w:sz w:val="14"/>
                <w:szCs w:val="14"/>
                <w:b w:val="1"/>
                <w:bCs w:val="1"/>
                <w:color w:val="131E29"/>
              </w:rPr>
              <w:t>Trading Symbol</w:t>
            </w:r>
          </w:p>
        </w:tc>
        <w:tc>
          <w:tcPr>
            <w:tcW w:w="42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131E29"/>
              </w:rPr>
              <w:t>Name of Exchange on which Registered</w:t>
            </w:r>
          </w:p>
        </w:tc>
        <w:tc>
          <w:tcPr>
            <w:tcW w:w="0" w:type="dxa"/>
            <w:vAlign w:val="bottom"/>
          </w:tcPr>
          <w:p>
            <w:pPr>
              <w:spacing w:after="0"/>
              <w:rPr>
                <w:sz w:val="1"/>
                <w:szCs w:val="1"/>
                <w:color w:val="auto"/>
              </w:rPr>
            </w:pPr>
          </w:p>
        </w:tc>
      </w:tr>
      <w:tr>
        <w:trPr>
          <w:trHeight w:val="173"/>
        </w:trPr>
        <w:tc>
          <w:tcPr>
            <w:tcW w:w="2880" w:type="dxa"/>
            <w:vAlign w:val="bottom"/>
            <w:tcBorders>
              <w:left w:val="single" w:sz="8" w:color="auto"/>
            </w:tcBorders>
          </w:tcPr>
          <w:p>
            <w:pPr>
              <w:jc w:val="center"/>
              <w:ind w:left="792"/>
              <w:spacing w:after="0"/>
              <w:rPr>
                <w:sz w:val="20"/>
                <w:szCs w:val="20"/>
                <w:color w:val="auto"/>
              </w:rPr>
            </w:pPr>
            <w:r>
              <w:rPr>
                <w:rFonts w:ascii="Arial" w:cs="Arial" w:eastAsia="Arial" w:hAnsi="Arial"/>
                <w:sz w:val="14"/>
                <w:szCs w:val="14"/>
                <w:color w:val="auto"/>
              </w:rPr>
              <w:t>Class A Common Stock,</w:t>
            </w:r>
          </w:p>
        </w:tc>
        <w:tc>
          <w:tcPr>
            <w:tcW w:w="920" w:type="dxa"/>
            <w:vAlign w:val="bottom"/>
            <w:tcBorders>
              <w:right w:val="single" w:sz="8" w:color="auto"/>
            </w:tcBorders>
          </w:tcPr>
          <w:p>
            <w:pPr>
              <w:spacing w:after="0"/>
              <w:rPr>
                <w:sz w:val="15"/>
                <w:szCs w:val="15"/>
                <w:color w:val="auto"/>
              </w:rPr>
            </w:pPr>
          </w:p>
        </w:tc>
        <w:tc>
          <w:tcPr>
            <w:tcW w:w="33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left w:val="single" w:sz="8" w:color="auto"/>
              <w:bottom w:val="single" w:sz="8" w:color="auto"/>
            </w:tcBorders>
          </w:tcPr>
          <w:p>
            <w:pPr>
              <w:jc w:val="center"/>
              <w:ind w:left="832"/>
              <w:spacing w:after="0"/>
              <w:rPr>
                <w:sz w:val="20"/>
                <w:szCs w:val="20"/>
                <w:color w:val="auto"/>
              </w:rPr>
            </w:pPr>
            <w:r>
              <w:rPr>
                <w:rFonts w:ascii="Arial" w:cs="Arial" w:eastAsia="Arial" w:hAnsi="Arial"/>
                <w:sz w:val="14"/>
                <w:szCs w:val="14"/>
                <w:color w:val="auto"/>
              </w:rPr>
              <w:t>par value $0.00001 per share</w:t>
            </w:r>
          </w:p>
        </w:tc>
        <w:tc>
          <w:tcPr>
            <w:tcW w:w="920" w:type="dxa"/>
            <w:vAlign w:val="bottom"/>
            <w:tcBorders>
              <w:bottom w:val="single" w:sz="8" w:color="auto"/>
              <w:right w:val="single" w:sz="8" w:color="auto"/>
            </w:tcBorders>
          </w:tcPr>
          <w:p>
            <w:pPr>
              <w:spacing w:after="0"/>
              <w:rPr>
                <w:sz w:val="17"/>
                <w:szCs w:val="17"/>
                <w:color w:val="auto"/>
              </w:rPr>
            </w:pPr>
          </w:p>
        </w:tc>
        <w:tc>
          <w:tcPr>
            <w:tcW w:w="3320" w:type="dxa"/>
            <w:vAlign w:val="bottom"/>
            <w:tcBorders>
              <w:bottom w:val="single" w:sz="8" w:color="auto"/>
            </w:tcBorders>
          </w:tcPr>
          <w:p>
            <w:pPr>
              <w:jc w:val="center"/>
              <w:ind w:left="334"/>
              <w:spacing w:after="0"/>
              <w:rPr>
                <w:sz w:val="20"/>
                <w:szCs w:val="20"/>
                <w:color w:val="auto"/>
              </w:rPr>
            </w:pPr>
            <w:r>
              <w:rPr>
                <w:rFonts w:ascii="Arial" w:cs="Arial" w:eastAsia="Arial" w:hAnsi="Arial"/>
                <w:sz w:val="14"/>
                <w:szCs w:val="14"/>
                <w:color w:val="auto"/>
              </w:rPr>
              <w:t>BROS</w:t>
            </w:r>
          </w:p>
        </w:tc>
        <w:tc>
          <w:tcPr>
            <w:tcW w:w="420" w:type="dxa"/>
            <w:vAlign w:val="bottom"/>
            <w:tcBorders>
              <w:bottom w:val="single" w:sz="8" w:color="auto"/>
              <w:right w:val="single" w:sz="8" w:color="auto"/>
            </w:tcBorders>
          </w:tcPr>
          <w:p>
            <w:pPr>
              <w:spacing w:after="0"/>
              <w:rPr>
                <w:sz w:val="17"/>
                <w:szCs w:val="17"/>
                <w:color w:val="auto"/>
              </w:rPr>
            </w:pP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131E29"/>
              </w:rPr>
              <w:t>The New York Stock Exchange</w:t>
            </w:r>
          </w:p>
        </w:tc>
        <w:tc>
          <w:tcPr>
            <w:tcW w:w="0" w:type="dxa"/>
            <w:vAlign w:val="bottom"/>
          </w:tcPr>
          <w:p>
            <w:pPr>
              <w:spacing w:after="0"/>
              <w:rPr>
                <w:sz w:val="1"/>
                <w:szCs w:val="1"/>
                <w:color w:val="auto"/>
              </w:rPr>
            </w:pPr>
          </w:p>
        </w:tc>
      </w:tr>
    </w:tbl>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131E29"/>
        </w:rPr>
        <w:t xml:space="preserve">Securities registered pursuant to section 12(g) of the Act: </w:t>
      </w:r>
      <w:r>
        <w:rPr>
          <w:rFonts w:ascii="Arial" w:cs="Arial" w:eastAsia="Arial" w:hAnsi="Arial"/>
          <w:sz w:val="14"/>
          <w:szCs w:val="14"/>
          <w:b w:val="1"/>
          <w:bCs w:val="1"/>
          <w:color w:val="131E29"/>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958850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1" w:name="page2"/>
    <w:bookmarkEnd w:id="1"/>
    <w:p>
      <w:pPr>
        <w:ind w:right="2980"/>
        <w:spacing w:after="0" w:line="267" w:lineRule="exact"/>
        <w:rPr>
          <w:sz w:val="20"/>
          <w:szCs w:val="20"/>
          <w:color w:val="auto"/>
        </w:rPr>
      </w:pPr>
      <w:r>
        <w:rPr>
          <w:rFonts w:ascii="Arial" w:cs="Arial" w:eastAsia="Arial" w:hAnsi="Arial"/>
          <w:sz w:val="14"/>
          <w:szCs w:val="14"/>
          <w:color w:val="131E29"/>
        </w:rPr>
        <w:t xml:space="preserve">Indicate by check mark if the registrant is a well-known seasoned issuer, as defined in Rule 405 of the Securities Act.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r>
        <w:rPr>
          <w:rFonts w:ascii="Arial" w:cs="Arial" w:eastAsia="Arial" w:hAnsi="Arial"/>
          <w:sz w:val="14"/>
          <w:szCs w:val="14"/>
          <w:color w:val="131E29"/>
        </w:rPr>
        <w:t xml:space="preserve"> Indicate by check mark if the registrant is not required to file reports pursuant to Section 13 or Section 15(d) of the Act.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Indicate by check mark whether the registrant is a large accelerated filer, an accelerated filer, a non-accelerated filer, a smaller reporting company, or an emerging growth company.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131E29"/>
        </w:rPr>
        <w:t>See the definitions of “large accelerated filer,” “accelerated filer,” “smaller reporting company,” and “emerging growth company” in Rule 12b-2 of the Exchange Act.</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2800" w:type="dxa"/>
            <w:vAlign w:val="bottom"/>
          </w:tcPr>
          <w:p>
            <w:pPr>
              <w:spacing w:after="0"/>
              <w:rPr>
                <w:sz w:val="20"/>
                <w:szCs w:val="20"/>
                <w:color w:val="auto"/>
              </w:rPr>
            </w:pPr>
            <w:r>
              <w:rPr>
                <w:rFonts w:ascii="Arial" w:cs="Arial" w:eastAsia="Arial" w:hAnsi="Arial"/>
                <w:sz w:val="14"/>
                <w:szCs w:val="14"/>
                <w:color w:val="131E29"/>
              </w:rPr>
              <w:t>Large accelerated filer</w:t>
            </w:r>
          </w:p>
        </w:tc>
        <w:tc>
          <w:tcPr>
            <w:tcW w:w="2640" w:type="dxa"/>
            <w:vAlign w:val="bottom"/>
          </w:tcPr>
          <w:p>
            <w:pPr>
              <w:ind w:left="1400"/>
              <w:spacing w:after="0" w:line="141" w:lineRule="exact"/>
              <w:rPr>
                <w:sz w:val="20"/>
                <w:szCs w:val="20"/>
                <w:color w:val="auto"/>
              </w:rPr>
            </w:pPr>
            <w:r>
              <w:rPr>
                <w:rFonts w:ascii="MS PGothic" w:cs="MS PGothic" w:eastAsia="MS PGothic" w:hAnsi="MS PGothic"/>
                <w:sz w:val="14"/>
                <w:szCs w:val="14"/>
                <w:color w:val="131E29"/>
              </w:rPr>
              <w:t>☒</w:t>
            </w:r>
          </w:p>
        </w:tc>
        <w:tc>
          <w:tcPr>
            <w:tcW w:w="4060" w:type="dxa"/>
            <w:vAlign w:val="bottom"/>
          </w:tcPr>
          <w:p>
            <w:pPr>
              <w:ind w:left="1120"/>
              <w:spacing w:after="0"/>
              <w:rPr>
                <w:sz w:val="20"/>
                <w:szCs w:val="20"/>
                <w:color w:val="auto"/>
              </w:rPr>
            </w:pPr>
            <w:r>
              <w:rPr>
                <w:rFonts w:ascii="Arial" w:cs="Arial" w:eastAsia="Arial" w:hAnsi="Arial"/>
                <w:sz w:val="14"/>
                <w:szCs w:val="14"/>
                <w:color w:val="131E29"/>
              </w:rPr>
              <w:t>Accelerated filer</w:t>
            </w:r>
          </w:p>
        </w:tc>
        <w:tc>
          <w:tcPr>
            <w:tcW w:w="1400" w:type="dxa"/>
            <w:vAlign w:val="bottom"/>
          </w:tcPr>
          <w:p>
            <w:pPr>
              <w:ind w:left="1260"/>
              <w:spacing w:after="0" w:line="141" w:lineRule="exact"/>
              <w:rPr>
                <w:sz w:val="20"/>
                <w:szCs w:val="20"/>
                <w:color w:val="auto"/>
              </w:rPr>
            </w:pPr>
            <w:r>
              <w:rPr>
                <w:rFonts w:ascii="MS PGothic" w:cs="MS PGothic" w:eastAsia="MS PGothic" w:hAnsi="MS PGothic"/>
                <w:sz w:val="14"/>
                <w:szCs w:val="14"/>
                <w:color w:val="131E29"/>
                <w:w w:val="85"/>
              </w:rPr>
              <w:t>☐</w:t>
            </w:r>
          </w:p>
        </w:tc>
      </w:tr>
      <w:tr>
        <w:trPr>
          <w:trHeight w:val="212"/>
        </w:trPr>
        <w:tc>
          <w:tcPr>
            <w:tcW w:w="2800" w:type="dxa"/>
            <w:vAlign w:val="bottom"/>
          </w:tcPr>
          <w:p>
            <w:pPr>
              <w:spacing w:after="0"/>
              <w:rPr>
                <w:sz w:val="20"/>
                <w:szCs w:val="20"/>
                <w:color w:val="auto"/>
              </w:rPr>
            </w:pPr>
            <w:r>
              <w:rPr>
                <w:rFonts w:ascii="Arial" w:cs="Arial" w:eastAsia="Arial" w:hAnsi="Arial"/>
                <w:sz w:val="14"/>
                <w:szCs w:val="14"/>
                <w:color w:val="131E29"/>
              </w:rPr>
              <w:t>Non-accelerated filer</w:t>
            </w:r>
          </w:p>
        </w:tc>
        <w:tc>
          <w:tcPr>
            <w:tcW w:w="2640" w:type="dxa"/>
            <w:vAlign w:val="bottom"/>
          </w:tcPr>
          <w:p>
            <w:pPr>
              <w:ind w:left="1400"/>
              <w:spacing w:after="0" w:line="141" w:lineRule="exact"/>
              <w:rPr>
                <w:sz w:val="20"/>
                <w:szCs w:val="20"/>
                <w:color w:val="auto"/>
              </w:rPr>
            </w:pPr>
            <w:r>
              <w:rPr>
                <w:rFonts w:ascii="MS PGothic" w:cs="MS PGothic" w:eastAsia="MS PGothic" w:hAnsi="MS PGothic"/>
                <w:sz w:val="14"/>
                <w:szCs w:val="14"/>
                <w:color w:val="131E29"/>
              </w:rPr>
              <w:t>☐</w:t>
            </w:r>
          </w:p>
        </w:tc>
        <w:tc>
          <w:tcPr>
            <w:tcW w:w="4060" w:type="dxa"/>
            <w:vAlign w:val="bottom"/>
          </w:tcPr>
          <w:p>
            <w:pPr>
              <w:ind w:left="1120"/>
              <w:spacing w:after="0"/>
              <w:rPr>
                <w:sz w:val="20"/>
                <w:szCs w:val="20"/>
                <w:color w:val="auto"/>
              </w:rPr>
            </w:pPr>
            <w:r>
              <w:rPr>
                <w:rFonts w:ascii="Arial" w:cs="Arial" w:eastAsia="Arial" w:hAnsi="Arial"/>
                <w:sz w:val="14"/>
                <w:szCs w:val="14"/>
                <w:color w:val="131E29"/>
              </w:rPr>
              <w:t>Smaller reporting company</w:t>
            </w:r>
          </w:p>
        </w:tc>
        <w:tc>
          <w:tcPr>
            <w:tcW w:w="1400" w:type="dxa"/>
            <w:vAlign w:val="bottom"/>
          </w:tcPr>
          <w:p>
            <w:pPr>
              <w:ind w:left="1260"/>
              <w:spacing w:after="0" w:line="141" w:lineRule="exact"/>
              <w:rPr>
                <w:sz w:val="20"/>
                <w:szCs w:val="20"/>
                <w:color w:val="auto"/>
              </w:rPr>
            </w:pPr>
            <w:r>
              <w:rPr>
                <w:rFonts w:ascii="MS PGothic" w:cs="MS PGothic" w:eastAsia="MS PGothic" w:hAnsi="MS PGothic"/>
                <w:sz w:val="14"/>
                <w:szCs w:val="14"/>
                <w:color w:val="131E29"/>
                <w:w w:val="85"/>
              </w:rPr>
              <w:t>☐</w:t>
            </w:r>
          </w:p>
        </w:tc>
      </w:tr>
      <w:tr>
        <w:trPr>
          <w:trHeight w:val="237"/>
        </w:trPr>
        <w:tc>
          <w:tcPr>
            <w:tcW w:w="28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60" w:type="dxa"/>
            <w:vAlign w:val="bottom"/>
          </w:tcPr>
          <w:p>
            <w:pPr>
              <w:ind w:left="1120"/>
              <w:spacing w:after="0"/>
              <w:rPr>
                <w:sz w:val="20"/>
                <w:szCs w:val="20"/>
                <w:color w:val="auto"/>
              </w:rPr>
            </w:pPr>
            <w:r>
              <w:rPr>
                <w:rFonts w:ascii="Arial" w:cs="Arial" w:eastAsia="Arial" w:hAnsi="Arial"/>
                <w:sz w:val="14"/>
                <w:szCs w:val="14"/>
                <w:color w:val="131E29"/>
              </w:rPr>
              <w:t>Emerging growth company</w:t>
            </w:r>
          </w:p>
        </w:tc>
        <w:tc>
          <w:tcPr>
            <w:tcW w:w="1400" w:type="dxa"/>
            <w:vAlign w:val="bottom"/>
          </w:tcPr>
          <w:p>
            <w:pPr>
              <w:ind w:left="1260"/>
              <w:spacing w:after="0" w:line="141" w:lineRule="exact"/>
              <w:rPr>
                <w:sz w:val="20"/>
                <w:szCs w:val="20"/>
                <w:color w:val="auto"/>
              </w:rPr>
            </w:pPr>
            <w:r>
              <w:rPr>
                <w:rFonts w:ascii="MS PGothic" w:cs="MS PGothic" w:eastAsia="MS PGothic" w:hAnsi="MS PGothic"/>
                <w:sz w:val="14"/>
                <w:szCs w:val="14"/>
                <w:color w:val="131E29"/>
                <w:w w:val="85"/>
              </w:rPr>
              <w:t>☐</w:t>
            </w:r>
          </w:p>
        </w:tc>
      </w:tr>
    </w:tbl>
    <w:p>
      <w:pPr>
        <w:spacing w:after="0" w:line="187"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131E29"/>
        </w:rPr>
        <w:t>☐</w:t>
      </w:r>
    </w:p>
    <w:p>
      <w:pPr>
        <w:spacing w:after="0" w:line="91" w:lineRule="exact"/>
        <w:rPr>
          <w:sz w:val="20"/>
          <w:szCs w:val="20"/>
          <w:color w:val="auto"/>
        </w:rPr>
      </w:pPr>
    </w:p>
    <w:p>
      <w:pPr>
        <w:spacing w:after="0" w:line="188" w:lineRule="exact"/>
        <w:rPr>
          <w:sz w:val="20"/>
          <w:szCs w:val="20"/>
          <w:color w:val="auto"/>
        </w:rPr>
      </w:pPr>
      <w:r>
        <w:rPr>
          <w:rFonts w:ascii="Arial" w:cs="Arial" w:eastAsia="Arial" w:hAnsi="Arial"/>
          <w:sz w:val="14"/>
          <w:szCs w:val="14"/>
          <w:color w:val="131E2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131E29"/>
        </w:rPr>
        <w:t>☐</w:t>
      </w:r>
    </w:p>
    <w:p>
      <w:pPr>
        <w:spacing w:after="0" w:line="60" w:lineRule="exact"/>
        <w:rPr>
          <w:sz w:val="20"/>
          <w:szCs w:val="20"/>
          <w:color w:val="auto"/>
        </w:rPr>
      </w:pPr>
    </w:p>
    <w:p>
      <w:pPr>
        <w:spacing w:after="0" w:line="161" w:lineRule="exact"/>
        <w:rPr>
          <w:sz w:val="20"/>
          <w:szCs w:val="20"/>
          <w:color w:val="auto"/>
        </w:rPr>
      </w:pPr>
      <w:r>
        <w:rPr>
          <w:rFonts w:ascii="Arial" w:cs="Arial" w:eastAsia="Arial" w:hAnsi="Arial"/>
          <w:sz w:val="14"/>
          <w:szCs w:val="14"/>
          <w:color w:val="131E29"/>
        </w:rPr>
        <w:t xml:space="preserve">Indicate by check mark whether the registrant is a shell company (as defined in Rule 12b-2 of the Act). Yes </w:t>
      </w:r>
      <w:r>
        <w:rPr>
          <w:rFonts w:ascii="MS PGothic" w:cs="MS PGothic" w:eastAsia="MS PGothic" w:hAnsi="MS PGothic"/>
          <w:sz w:val="14"/>
          <w:szCs w:val="14"/>
          <w:color w:val="131E29"/>
        </w:rPr>
        <w:t>☐</w:t>
      </w:r>
      <w:r>
        <w:rPr>
          <w:rFonts w:ascii="Arial" w:cs="Arial" w:eastAsia="Arial" w:hAnsi="Arial"/>
          <w:sz w:val="14"/>
          <w:szCs w:val="14"/>
          <w:color w:val="131E29"/>
        </w:rPr>
        <w:t xml:space="preserve"> No </w:t>
      </w:r>
      <w:r>
        <w:rPr>
          <w:rFonts w:ascii="MS PGothic" w:cs="MS PGothic" w:eastAsia="MS PGothic" w:hAnsi="MS PGothic"/>
          <w:sz w:val="14"/>
          <w:szCs w:val="14"/>
          <w:color w:val="131E29"/>
        </w:rPr>
        <w:t>☒</w:t>
      </w:r>
    </w:p>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aggregate market value of the voting and non-voting stock held by non-affiliates of the Registrant, as of June 30, 2024, the last business day of the registrant's most recently completed second fiscal quarter, was approximately $4.9 billion, computed using the closing price on that day of $41.40.</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131E29"/>
        </w:rPr>
        <w:t>As of February 6, 2025, the registrant’s outstanding shares of common stock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100" w:type="dxa"/>
            <w:vAlign w:val="bottom"/>
          </w:tcPr>
          <w:p>
            <w:pPr>
              <w:spacing w:after="0"/>
              <w:rPr>
                <w:sz w:val="18"/>
                <w:szCs w:val="18"/>
                <w:color w:val="auto"/>
              </w:rPr>
            </w:pPr>
          </w:p>
        </w:tc>
        <w:tc>
          <w:tcPr>
            <w:tcW w:w="3240" w:type="dxa"/>
            <w:vAlign w:val="bottom"/>
            <w:shd w:val="clear" w:color="auto" w:fill="D2DCE5"/>
          </w:tcPr>
          <w:p>
            <w:pPr>
              <w:ind w:left="780"/>
              <w:spacing w:after="0"/>
              <w:rPr>
                <w:sz w:val="20"/>
                <w:szCs w:val="20"/>
                <w:color w:val="auto"/>
              </w:rPr>
            </w:pPr>
            <w:r>
              <w:rPr>
                <w:rFonts w:ascii="Arial" w:cs="Arial" w:eastAsia="Arial" w:hAnsi="Arial"/>
                <w:sz w:val="14"/>
                <w:szCs w:val="14"/>
                <w:color w:val="auto"/>
              </w:rPr>
              <w:t>Class A common stock</w:t>
            </w:r>
          </w:p>
        </w:tc>
        <w:tc>
          <w:tcPr>
            <w:tcW w:w="1860" w:type="dxa"/>
            <w:vAlign w:val="bottom"/>
            <w:shd w:val="clear" w:color="auto" w:fill="D2DCE5"/>
          </w:tcPr>
          <w:p>
            <w:pPr>
              <w:jc w:val="right"/>
              <w:spacing w:after="0"/>
              <w:rPr>
                <w:sz w:val="20"/>
                <w:szCs w:val="20"/>
                <w:color w:val="auto"/>
              </w:rPr>
            </w:pPr>
            <w:r>
              <w:rPr>
                <w:rFonts w:ascii="Arial" w:cs="Arial" w:eastAsia="Arial" w:hAnsi="Arial"/>
                <w:sz w:val="14"/>
                <w:szCs w:val="14"/>
                <w:color w:val="auto"/>
              </w:rPr>
              <w:t>116,247,434</w:t>
            </w:r>
          </w:p>
        </w:tc>
        <w:tc>
          <w:tcPr>
            <w:tcW w:w="3080" w:type="dxa"/>
            <w:vAlign w:val="bottom"/>
          </w:tcPr>
          <w:p>
            <w:pPr>
              <w:spacing w:after="0"/>
              <w:rPr>
                <w:sz w:val="18"/>
                <w:szCs w:val="18"/>
                <w:color w:val="auto"/>
              </w:rPr>
            </w:pPr>
          </w:p>
        </w:tc>
      </w:tr>
      <w:tr>
        <w:trPr>
          <w:trHeight w:val="202"/>
        </w:trPr>
        <w:tc>
          <w:tcPr>
            <w:tcW w:w="3100" w:type="dxa"/>
            <w:vAlign w:val="bottom"/>
          </w:tcPr>
          <w:p>
            <w:pPr>
              <w:spacing w:after="0"/>
              <w:rPr>
                <w:sz w:val="17"/>
                <w:szCs w:val="17"/>
                <w:color w:val="auto"/>
              </w:rPr>
            </w:pPr>
          </w:p>
        </w:tc>
        <w:tc>
          <w:tcPr>
            <w:tcW w:w="3240" w:type="dxa"/>
            <w:vAlign w:val="bottom"/>
          </w:tcPr>
          <w:p>
            <w:pPr>
              <w:ind w:left="780"/>
              <w:spacing w:after="0"/>
              <w:rPr>
                <w:sz w:val="20"/>
                <w:szCs w:val="20"/>
                <w:color w:val="auto"/>
              </w:rPr>
            </w:pPr>
            <w:r>
              <w:rPr>
                <w:rFonts w:ascii="Arial" w:cs="Arial" w:eastAsia="Arial" w:hAnsi="Arial"/>
                <w:sz w:val="14"/>
                <w:szCs w:val="14"/>
                <w:color w:val="auto"/>
              </w:rPr>
              <w:t>Class B common stock</w:t>
            </w:r>
          </w:p>
        </w:tc>
        <w:tc>
          <w:tcPr>
            <w:tcW w:w="1860" w:type="dxa"/>
            <w:vAlign w:val="bottom"/>
          </w:tcPr>
          <w:p>
            <w:pPr>
              <w:jc w:val="right"/>
              <w:spacing w:after="0"/>
              <w:rPr>
                <w:sz w:val="20"/>
                <w:szCs w:val="20"/>
                <w:color w:val="auto"/>
              </w:rPr>
            </w:pPr>
            <w:r>
              <w:rPr>
                <w:rFonts w:ascii="Arial" w:cs="Arial" w:eastAsia="Arial" w:hAnsi="Arial"/>
                <w:sz w:val="14"/>
                <w:szCs w:val="14"/>
                <w:color w:val="auto"/>
              </w:rPr>
              <w:t>35,226,680</w:t>
            </w:r>
          </w:p>
        </w:tc>
        <w:tc>
          <w:tcPr>
            <w:tcW w:w="3080" w:type="dxa"/>
            <w:vAlign w:val="bottom"/>
          </w:tcPr>
          <w:p>
            <w:pPr>
              <w:spacing w:after="0"/>
              <w:rPr>
                <w:sz w:val="17"/>
                <w:szCs w:val="17"/>
                <w:color w:val="auto"/>
              </w:rPr>
            </w:pPr>
          </w:p>
        </w:tc>
      </w:tr>
      <w:tr>
        <w:trPr>
          <w:trHeight w:val="222"/>
        </w:trPr>
        <w:tc>
          <w:tcPr>
            <w:tcW w:w="3100" w:type="dxa"/>
            <w:vAlign w:val="bottom"/>
          </w:tcPr>
          <w:p>
            <w:pPr>
              <w:spacing w:after="0"/>
              <w:rPr>
                <w:sz w:val="19"/>
                <w:szCs w:val="19"/>
                <w:color w:val="auto"/>
              </w:rPr>
            </w:pPr>
          </w:p>
        </w:tc>
        <w:tc>
          <w:tcPr>
            <w:tcW w:w="3240" w:type="dxa"/>
            <w:vAlign w:val="bottom"/>
            <w:shd w:val="clear" w:color="auto" w:fill="D2DCE5"/>
          </w:tcPr>
          <w:p>
            <w:pPr>
              <w:ind w:left="780"/>
              <w:spacing w:after="0"/>
              <w:rPr>
                <w:sz w:val="20"/>
                <w:szCs w:val="20"/>
                <w:color w:val="auto"/>
              </w:rPr>
            </w:pPr>
            <w:r>
              <w:rPr>
                <w:rFonts w:ascii="Arial" w:cs="Arial" w:eastAsia="Arial" w:hAnsi="Arial"/>
                <w:sz w:val="14"/>
                <w:szCs w:val="14"/>
                <w:color w:val="auto"/>
              </w:rPr>
              <w:t>Class C common stock</w:t>
            </w:r>
          </w:p>
        </w:tc>
        <w:tc>
          <w:tcPr>
            <w:tcW w:w="1860" w:type="dxa"/>
            <w:vAlign w:val="bottom"/>
            <w:shd w:val="clear" w:color="auto" w:fill="D2DCE5"/>
          </w:tcPr>
          <w:p>
            <w:pPr>
              <w:jc w:val="right"/>
              <w:spacing w:after="0"/>
              <w:rPr>
                <w:sz w:val="20"/>
                <w:szCs w:val="20"/>
                <w:color w:val="auto"/>
              </w:rPr>
            </w:pPr>
            <w:r>
              <w:rPr>
                <w:rFonts w:ascii="Arial" w:cs="Arial" w:eastAsia="Arial" w:hAnsi="Arial"/>
                <w:sz w:val="14"/>
                <w:szCs w:val="14"/>
                <w:color w:val="auto"/>
              </w:rPr>
              <w:t>2,730,334</w:t>
            </w:r>
          </w:p>
        </w:tc>
        <w:tc>
          <w:tcPr>
            <w:tcW w:w="3080" w:type="dxa"/>
            <w:vAlign w:val="bottom"/>
          </w:tcPr>
          <w:p>
            <w:pPr>
              <w:spacing w:after="0"/>
              <w:rPr>
                <w:sz w:val="19"/>
                <w:szCs w:val="19"/>
                <w:color w:val="auto"/>
              </w:rPr>
            </w:pPr>
          </w:p>
        </w:tc>
      </w:tr>
      <w:tr>
        <w:trPr>
          <w:trHeight w:val="1614"/>
        </w:trPr>
        <w:tc>
          <w:tcPr>
            <w:tcW w:w="31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9"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131E29"/>
        </w:rPr>
        <w:t>Documents Incorporated by Reference</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Portions of the registrant’s definitive proxy statement relating to the 2025 Annual Meeting of Stockholders of Dutch Bros Inc., which will be filed with the Securities and Exchange Commission within 120 days of December 31, 2024, are incorporated by reference in Items 10, 11, 12, 13, and 14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840740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228"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3"/>
        </w:trPr>
        <w:tc>
          <w:tcPr>
            <w:tcW w:w="1900" w:type="dxa"/>
            <w:vAlign w:val="bottom"/>
          </w:tcPr>
          <w:p>
            <w:pPr>
              <w:spacing w:after="0"/>
              <w:rPr>
                <w:sz w:val="23"/>
                <w:szCs w:val="23"/>
                <w:color w:val="auto"/>
              </w:rPr>
            </w:pPr>
          </w:p>
        </w:tc>
        <w:tc>
          <w:tcPr>
            <w:tcW w:w="7860" w:type="dxa"/>
            <w:vAlign w:val="bottom"/>
          </w:tcPr>
          <w:p>
            <w:pPr>
              <w:jc w:val="center"/>
              <w:ind w:right="308"/>
              <w:spacing w:after="0"/>
              <w:rPr>
                <w:sz w:val="20"/>
                <w:szCs w:val="20"/>
                <w:color w:val="auto"/>
              </w:rPr>
            </w:pPr>
            <w:r>
              <w:rPr>
                <w:rFonts w:ascii="Arial" w:cs="Arial" w:eastAsia="Arial" w:hAnsi="Arial"/>
                <w:sz w:val="20"/>
                <w:szCs w:val="20"/>
                <w:b w:val="1"/>
                <w:bCs w:val="1"/>
                <w:color w:val="00416B"/>
                <w:w w:val="98"/>
              </w:rPr>
              <w:t>DUTCH BROS INC.</w:t>
            </w:r>
          </w:p>
        </w:tc>
        <w:tc>
          <w:tcPr>
            <w:tcW w:w="1520" w:type="dxa"/>
            <w:vAlign w:val="bottom"/>
          </w:tcPr>
          <w:p>
            <w:pPr>
              <w:spacing w:after="0"/>
              <w:rPr>
                <w:sz w:val="23"/>
                <w:szCs w:val="23"/>
                <w:color w:val="auto"/>
              </w:rPr>
            </w:pPr>
          </w:p>
        </w:tc>
      </w:tr>
      <w:tr>
        <w:trPr>
          <w:trHeight w:val="193"/>
        </w:trPr>
        <w:tc>
          <w:tcPr>
            <w:tcW w:w="1900" w:type="dxa"/>
            <w:vAlign w:val="bottom"/>
          </w:tcPr>
          <w:p>
            <w:pPr>
              <w:spacing w:after="0"/>
              <w:rPr>
                <w:sz w:val="16"/>
                <w:szCs w:val="16"/>
                <w:color w:val="auto"/>
              </w:rPr>
            </w:pPr>
          </w:p>
        </w:tc>
        <w:tc>
          <w:tcPr>
            <w:tcW w:w="7860" w:type="dxa"/>
            <w:vAlign w:val="bottom"/>
          </w:tcPr>
          <w:p>
            <w:pPr>
              <w:jc w:val="center"/>
              <w:ind w:right="308"/>
              <w:spacing w:after="0"/>
              <w:rPr>
                <w:sz w:val="20"/>
                <w:szCs w:val="20"/>
                <w:color w:val="auto"/>
              </w:rPr>
            </w:pPr>
            <w:r>
              <w:rPr>
                <w:rFonts w:ascii="Arial" w:cs="Arial" w:eastAsia="Arial" w:hAnsi="Arial"/>
                <w:sz w:val="14"/>
                <w:szCs w:val="14"/>
                <w:color w:val="131E29"/>
              </w:rPr>
              <w:t>ANNUAL REPORT ON FORM 10-K</w:t>
            </w:r>
          </w:p>
        </w:tc>
        <w:tc>
          <w:tcPr>
            <w:tcW w:w="1520" w:type="dxa"/>
            <w:vAlign w:val="bottom"/>
          </w:tcPr>
          <w:p>
            <w:pPr>
              <w:spacing w:after="0"/>
              <w:rPr>
                <w:sz w:val="16"/>
                <w:szCs w:val="16"/>
                <w:color w:val="auto"/>
              </w:rPr>
            </w:pPr>
          </w:p>
        </w:tc>
      </w:tr>
      <w:tr>
        <w:trPr>
          <w:trHeight w:val="255"/>
        </w:trPr>
        <w:tc>
          <w:tcPr>
            <w:tcW w:w="1900" w:type="dxa"/>
            <w:vAlign w:val="bottom"/>
          </w:tcPr>
          <w:p>
            <w:pPr>
              <w:spacing w:after="0"/>
              <w:rPr>
                <w:sz w:val="22"/>
                <w:szCs w:val="22"/>
                <w:color w:val="auto"/>
              </w:rPr>
            </w:pPr>
          </w:p>
        </w:tc>
        <w:tc>
          <w:tcPr>
            <w:tcW w:w="7860" w:type="dxa"/>
            <w:vAlign w:val="bottom"/>
          </w:tcPr>
          <w:p>
            <w:pPr>
              <w:jc w:val="center"/>
              <w:ind w:right="308"/>
              <w:spacing w:after="0"/>
              <w:rPr>
                <w:sz w:val="20"/>
                <w:szCs w:val="20"/>
                <w:color w:val="auto"/>
              </w:rPr>
            </w:pPr>
            <w:r>
              <w:rPr>
                <w:rFonts w:ascii="Arial" w:cs="Arial" w:eastAsia="Arial" w:hAnsi="Arial"/>
                <w:sz w:val="14"/>
                <w:szCs w:val="14"/>
                <w:color w:val="131E29"/>
                <w:w w:val="99"/>
              </w:rPr>
              <w:t>TABLE OF CONTENTS</w:t>
            </w:r>
          </w:p>
        </w:tc>
        <w:tc>
          <w:tcPr>
            <w:tcW w:w="1520" w:type="dxa"/>
            <w:vAlign w:val="bottom"/>
          </w:tcPr>
          <w:p>
            <w:pPr>
              <w:spacing w:after="0"/>
              <w:rPr>
                <w:sz w:val="22"/>
                <w:szCs w:val="22"/>
                <w:color w:val="auto"/>
              </w:rPr>
            </w:pPr>
          </w:p>
        </w:tc>
      </w:tr>
      <w:tr>
        <w:trPr>
          <w:trHeight w:val="305"/>
        </w:trPr>
        <w:tc>
          <w:tcPr>
            <w:tcW w:w="190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520" w:type="dxa"/>
            <w:vAlign w:val="bottom"/>
          </w:tcPr>
          <w:p>
            <w:pPr>
              <w:ind w:left="840"/>
              <w:spacing w:after="0"/>
              <w:rPr>
                <w:sz w:val="20"/>
                <w:szCs w:val="20"/>
                <w:color w:val="auto"/>
              </w:rPr>
            </w:pPr>
            <w:r>
              <w:rPr>
                <w:rFonts w:ascii="Arial" w:cs="Arial" w:eastAsia="Arial" w:hAnsi="Arial"/>
                <w:sz w:val="14"/>
                <w:szCs w:val="14"/>
                <w:b w:val="1"/>
                <w:bCs w:val="1"/>
                <w:color w:val="131E29"/>
              </w:rPr>
              <w:t>Page</w:t>
            </w:r>
          </w:p>
        </w:tc>
      </w:tr>
      <w:tr>
        <w:trPr>
          <w:trHeight w:val="257"/>
        </w:trPr>
        <w:tc>
          <w:tcPr>
            <w:tcW w:w="19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31E29"/>
              </w:rPr>
              <w:t>Glossary</w:t>
            </w:r>
          </w:p>
        </w:tc>
        <w:tc>
          <w:tcPr>
            <w:tcW w:w="7860" w:type="dxa"/>
            <w:vAlign w:val="bottom"/>
            <w:tcBorders>
              <w:bottom w:val="single" w:sz="8" w:color="DBDBDB"/>
            </w:tcBorders>
          </w:tcPr>
          <w:p>
            <w:pPr>
              <w:spacing w:after="0"/>
              <w:rPr>
                <w:sz w:val="22"/>
                <w:szCs w:val="22"/>
                <w:color w:val="auto"/>
              </w:rPr>
            </w:pPr>
          </w:p>
        </w:tc>
        <w:tc>
          <w:tcPr>
            <w:tcW w:w="1520" w:type="dxa"/>
            <w:vAlign w:val="bottom"/>
            <w:tcBorders>
              <w:bottom w:val="single" w:sz="8" w:color="DBDBDB"/>
            </w:tcBorders>
          </w:tcPr>
          <w:p>
            <w:pPr>
              <w:jc w:val="center"/>
              <w:ind w:left="409"/>
              <w:spacing w:after="0"/>
              <w:rPr>
                <w:sz w:val="20"/>
                <w:szCs w:val="20"/>
                <w:color w:val="auto"/>
              </w:rPr>
            </w:pPr>
            <w:r>
              <w:rPr>
                <w:rFonts w:ascii="Arial" w:cs="Arial" w:eastAsia="Arial" w:hAnsi="Arial"/>
                <w:sz w:val="14"/>
                <w:szCs w:val="14"/>
                <w:color w:val="131E29"/>
              </w:rPr>
              <w:t>1</w:t>
            </w:r>
          </w:p>
        </w:tc>
      </w:tr>
      <w:tr>
        <w:trPr>
          <w:trHeight w:val="203"/>
        </w:trPr>
        <w:tc>
          <w:tcPr>
            <w:tcW w:w="19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131E29"/>
              </w:rPr>
              <w:t>Forward-Looking Statements</w:t>
            </w:r>
          </w:p>
        </w:tc>
        <w:tc>
          <w:tcPr>
            <w:tcW w:w="7860" w:type="dxa"/>
            <w:vAlign w:val="bottom"/>
            <w:tcBorders>
              <w:bottom w:val="single" w:sz="8" w:color="DBDBDB"/>
            </w:tcBorders>
          </w:tcPr>
          <w:p>
            <w:pPr>
              <w:spacing w:after="0"/>
              <w:rPr>
                <w:sz w:val="17"/>
                <w:szCs w:val="17"/>
                <w:color w:val="auto"/>
              </w:rPr>
            </w:pPr>
          </w:p>
        </w:tc>
        <w:tc>
          <w:tcPr>
            <w:tcW w:w="1520" w:type="dxa"/>
            <w:vAlign w:val="bottom"/>
            <w:tcBorders>
              <w:bottom w:val="single" w:sz="8" w:color="DBDBDB"/>
            </w:tcBorders>
          </w:tcPr>
          <w:p>
            <w:pPr>
              <w:jc w:val="center"/>
              <w:ind w:left="409"/>
              <w:spacing w:after="0"/>
              <w:rPr>
                <w:sz w:val="20"/>
                <w:szCs w:val="20"/>
                <w:color w:val="auto"/>
              </w:rPr>
            </w:pPr>
            <w:r>
              <w:rPr>
                <w:rFonts w:ascii="Arial" w:cs="Arial" w:eastAsia="Arial" w:hAnsi="Arial"/>
                <w:sz w:val="14"/>
                <w:szCs w:val="14"/>
                <w:color w:val="131E29"/>
              </w:rPr>
              <w:t>3</w:t>
            </w:r>
          </w:p>
        </w:tc>
      </w:tr>
      <w:tr>
        <w:trPr>
          <w:trHeight w:val="356"/>
        </w:trPr>
        <w:tc>
          <w:tcPr>
            <w:tcW w:w="1900" w:type="dxa"/>
            <w:vAlign w:val="bottom"/>
            <w:tcBorders>
              <w:bottom w:val="single" w:sz="8" w:color="FDE021"/>
            </w:tcBorders>
          </w:tcPr>
          <w:p>
            <w:pPr>
              <w:ind w:left="20"/>
              <w:spacing w:after="0"/>
              <w:rPr>
                <w:sz w:val="20"/>
                <w:szCs w:val="20"/>
                <w:color w:val="auto"/>
              </w:rPr>
            </w:pPr>
            <w:r>
              <w:rPr>
                <w:rFonts w:ascii="Arial" w:cs="Arial" w:eastAsia="Arial" w:hAnsi="Arial"/>
                <w:sz w:val="14"/>
                <w:szCs w:val="14"/>
                <w:b w:val="1"/>
                <w:bCs w:val="1"/>
                <w:color w:val="006098"/>
              </w:rPr>
              <w:t>PART I</w:t>
            </w:r>
          </w:p>
        </w:tc>
        <w:tc>
          <w:tcPr>
            <w:tcW w:w="7860" w:type="dxa"/>
            <w:vAlign w:val="bottom"/>
            <w:tcBorders>
              <w:bottom w:val="single" w:sz="8" w:color="FDE021"/>
            </w:tcBorders>
          </w:tcPr>
          <w:p>
            <w:pPr>
              <w:spacing w:after="0"/>
              <w:rPr>
                <w:sz w:val="24"/>
                <w:szCs w:val="24"/>
                <w:color w:val="auto"/>
              </w:rPr>
            </w:pPr>
          </w:p>
        </w:tc>
        <w:tc>
          <w:tcPr>
            <w:tcW w:w="1520" w:type="dxa"/>
            <w:vAlign w:val="bottom"/>
            <w:tcBorders>
              <w:bottom w:val="single" w:sz="8" w:color="FDE021"/>
            </w:tcBorders>
          </w:tcPr>
          <w:p>
            <w:pPr>
              <w:spacing w:after="0"/>
              <w:rPr>
                <w:sz w:val="24"/>
                <w:szCs w:val="24"/>
                <w:color w:val="auto"/>
              </w:rPr>
            </w:pPr>
          </w:p>
        </w:tc>
      </w:tr>
      <w:tr>
        <w:trPr>
          <w:trHeight w:val="203"/>
        </w:trPr>
        <w:tc>
          <w:tcPr>
            <w:tcW w:w="1900" w:type="dxa"/>
            <w:vAlign w:val="bottom"/>
            <w:tcBorders>
              <w:top w:val="single" w:sz="8" w:color="00416B"/>
              <w:bottom w:val="single" w:sz="8" w:color="D2DCE5"/>
            </w:tcBorders>
          </w:tcPr>
          <w:p>
            <w:pPr>
              <w:ind w:left="100"/>
              <w:spacing w:after="0"/>
              <w:rPr>
                <w:sz w:val="20"/>
                <w:szCs w:val="20"/>
                <w:color w:val="auto"/>
              </w:rPr>
            </w:pPr>
            <w:r>
              <w:rPr>
                <w:rFonts w:ascii="Arial" w:cs="Arial" w:eastAsia="Arial" w:hAnsi="Arial"/>
                <w:sz w:val="14"/>
                <w:szCs w:val="14"/>
                <w:color w:val="131E29"/>
              </w:rPr>
              <w:t>ITEM 1.</w:t>
            </w:r>
          </w:p>
        </w:tc>
        <w:tc>
          <w:tcPr>
            <w:tcW w:w="7860" w:type="dxa"/>
            <w:vAlign w:val="bottom"/>
            <w:tcBorders>
              <w:top w:val="single" w:sz="8" w:color="00416B"/>
              <w:bottom w:val="single" w:sz="8" w:color="D2DCE5"/>
            </w:tcBorders>
          </w:tcPr>
          <w:p>
            <w:pPr>
              <w:ind w:left="60"/>
              <w:spacing w:after="0"/>
              <w:rPr>
                <w:sz w:val="20"/>
                <w:szCs w:val="20"/>
                <w:color w:val="auto"/>
              </w:rPr>
            </w:pPr>
            <w:r>
              <w:rPr>
                <w:rFonts w:ascii="Arial" w:cs="Arial" w:eastAsia="Arial" w:hAnsi="Arial"/>
                <w:sz w:val="14"/>
                <w:szCs w:val="14"/>
                <w:color w:val="131E29"/>
              </w:rPr>
              <w:t>Business</w:t>
            </w:r>
          </w:p>
        </w:tc>
        <w:tc>
          <w:tcPr>
            <w:tcW w:w="1520" w:type="dxa"/>
            <w:vAlign w:val="bottom"/>
            <w:tcBorders>
              <w:top w:val="single" w:sz="8" w:color="00416B"/>
              <w:bottom w:val="single" w:sz="8" w:color="D2DCE5"/>
            </w:tcBorders>
          </w:tcPr>
          <w:p>
            <w:pPr>
              <w:jc w:val="center"/>
              <w:ind w:left="409"/>
              <w:spacing w:after="0"/>
              <w:rPr>
                <w:sz w:val="20"/>
                <w:szCs w:val="20"/>
                <w:color w:val="auto"/>
              </w:rPr>
            </w:pPr>
            <w:r>
              <w:rPr>
                <w:rFonts w:ascii="Arial" w:cs="Arial" w:eastAsia="Arial" w:hAnsi="Arial"/>
                <w:sz w:val="14"/>
                <w:szCs w:val="14"/>
                <w:color w:val="131E29"/>
              </w:rPr>
              <w:t>4</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1A.</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Risk Factors</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18</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1B.</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Unresolved Staff Comments</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65</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1C.</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Cybersecurity</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65</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2.</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Properties</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67</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3.</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Legal Proceedings</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68</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4.</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Mine Safety Disclosures</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68</w:t>
            </w:r>
          </w:p>
        </w:tc>
      </w:tr>
      <w:tr>
        <w:trPr>
          <w:trHeight w:val="441"/>
        </w:trPr>
        <w:tc>
          <w:tcPr>
            <w:tcW w:w="1900" w:type="dxa"/>
            <w:vAlign w:val="bottom"/>
            <w:tcBorders>
              <w:bottom w:val="single" w:sz="8" w:color="FDE021"/>
            </w:tcBorders>
          </w:tcPr>
          <w:p>
            <w:pPr>
              <w:ind w:left="20"/>
              <w:spacing w:after="0"/>
              <w:rPr>
                <w:sz w:val="20"/>
                <w:szCs w:val="20"/>
                <w:color w:val="auto"/>
              </w:rPr>
            </w:pPr>
            <w:r>
              <w:rPr>
                <w:rFonts w:ascii="Arial" w:cs="Arial" w:eastAsia="Arial" w:hAnsi="Arial"/>
                <w:sz w:val="14"/>
                <w:szCs w:val="14"/>
                <w:b w:val="1"/>
                <w:bCs w:val="1"/>
                <w:color w:val="006098"/>
              </w:rPr>
              <w:t>PART II</w:t>
            </w:r>
          </w:p>
        </w:tc>
        <w:tc>
          <w:tcPr>
            <w:tcW w:w="7860" w:type="dxa"/>
            <w:vAlign w:val="bottom"/>
            <w:tcBorders>
              <w:bottom w:val="single" w:sz="8" w:color="FDE021"/>
            </w:tcBorders>
          </w:tcPr>
          <w:p>
            <w:pPr>
              <w:spacing w:after="0"/>
              <w:rPr>
                <w:sz w:val="24"/>
                <w:szCs w:val="24"/>
                <w:color w:val="auto"/>
              </w:rPr>
            </w:pPr>
          </w:p>
        </w:tc>
        <w:tc>
          <w:tcPr>
            <w:tcW w:w="1520" w:type="dxa"/>
            <w:vAlign w:val="bottom"/>
            <w:tcBorders>
              <w:bottom w:val="single" w:sz="8" w:color="FDE021"/>
            </w:tcBorders>
          </w:tcPr>
          <w:p>
            <w:pPr>
              <w:spacing w:after="0"/>
              <w:rPr>
                <w:sz w:val="24"/>
                <w:szCs w:val="24"/>
                <w:color w:val="auto"/>
              </w:rPr>
            </w:pPr>
          </w:p>
        </w:tc>
      </w:tr>
      <w:tr>
        <w:trPr>
          <w:trHeight w:val="203"/>
        </w:trPr>
        <w:tc>
          <w:tcPr>
            <w:tcW w:w="1900" w:type="dxa"/>
            <w:vAlign w:val="bottom"/>
            <w:tcBorders>
              <w:top w:val="single" w:sz="8" w:color="00416B"/>
              <w:bottom w:val="single" w:sz="8" w:color="D2DCE5"/>
            </w:tcBorders>
          </w:tcPr>
          <w:p>
            <w:pPr>
              <w:ind w:left="100"/>
              <w:spacing w:after="0"/>
              <w:rPr>
                <w:sz w:val="20"/>
                <w:szCs w:val="20"/>
                <w:color w:val="auto"/>
              </w:rPr>
            </w:pPr>
            <w:r>
              <w:rPr>
                <w:rFonts w:ascii="Arial" w:cs="Arial" w:eastAsia="Arial" w:hAnsi="Arial"/>
                <w:sz w:val="14"/>
                <w:szCs w:val="14"/>
                <w:color w:val="131E29"/>
              </w:rPr>
              <w:t>ITEM 5.</w:t>
            </w:r>
          </w:p>
        </w:tc>
        <w:tc>
          <w:tcPr>
            <w:tcW w:w="7860" w:type="dxa"/>
            <w:vAlign w:val="bottom"/>
            <w:tcBorders>
              <w:top w:val="single" w:sz="8" w:color="00416B"/>
              <w:bottom w:val="single" w:sz="8" w:color="D2DCE5"/>
            </w:tcBorders>
          </w:tcPr>
          <w:p>
            <w:pPr>
              <w:ind w:left="60"/>
              <w:spacing w:after="0"/>
              <w:rPr>
                <w:sz w:val="20"/>
                <w:szCs w:val="20"/>
                <w:color w:val="auto"/>
              </w:rPr>
            </w:pPr>
            <w:r>
              <w:rPr>
                <w:rFonts w:ascii="Arial" w:cs="Arial" w:eastAsia="Arial" w:hAnsi="Arial"/>
                <w:sz w:val="14"/>
                <w:szCs w:val="14"/>
                <w:color w:val="131E29"/>
              </w:rPr>
              <w:t>Market for Registrant’s Common Equity, Related Stockholder Matters and Issuer Purchases of Equity Securities</w:t>
            </w:r>
          </w:p>
        </w:tc>
        <w:tc>
          <w:tcPr>
            <w:tcW w:w="1520" w:type="dxa"/>
            <w:vAlign w:val="bottom"/>
            <w:tcBorders>
              <w:top w:val="single" w:sz="8" w:color="00416B"/>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69</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6.</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[Reserved]</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71</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7.</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Management’s Discussion and Analysis of Financial Condition and Results of Operations</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72</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7A.</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Quantitative and Qualitative Disclosures About Market Risk</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89</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8.</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Financial Statements and Supplementary Data</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89"/>
              </w:rPr>
              <w:t>90</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9.</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Changes in and Disagreements with Accountants on Accounting and Financial Disclosure</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132</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9A.</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Controls and Procedures</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132</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9B.</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Other Information</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133</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9C.</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Disclosure Regarding Foreign Jurisdictions that Prevent Inspections</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134</w:t>
            </w:r>
          </w:p>
        </w:tc>
      </w:tr>
      <w:tr>
        <w:trPr>
          <w:trHeight w:val="441"/>
        </w:trPr>
        <w:tc>
          <w:tcPr>
            <w:tcW w:w="1900" w:type="dxa"/>
            <w:vAlign w:val="bottom"/>
            <w:tcBorders>
              <w:bottom w:val="single" w:sz="8" w:color="FDE021"/>
            </w:tcBorders>
          </w:tcPr>
          <w:p>
            <w:pPr>
              <w:ind w:left="20"/>
              <w:spacing w:after="0"/>
              <w:rPr>
                <w:sz w:val="20"/>
                <w:szCs w:val="20"/>
                <w:color w:val="auto"/>
              </w:rPr>
            </w:pPr>
            <w:r>
              <w:rPr>
                <w:rFonts w:ascii="Arial" w:cs="Arial" w:eastAsia="Arial" w:hAnsi="Arial"/>
                <w:sz w:val="14"/>
                <w:szCs w:val="14"/>
                <w:b w:val="1"/>
                <w:bCs w:val="1"/>
                <w:color w:val="006098"/>
              </w:rPr>
              <w:t>PART III</w:t>
            </w:r>
          </w:p>
        </w:tc>
        <w:tc>
          <w:tcPr>
            <w:tcW w:w="7860" w:type="dxa"/>
            <w:vAlign w:val="bottom"/>
            <w:tcBorders>
              <w:bottom w:val="single" w:sz="8" w:color="FDE021"/>
            </w:tcBorders>
          </w:tcPr>
          <w:p>
            <w:pPr>
              <w:spacing w:after="0"/>
              <w:rPr>
                <w:sz w:val="24"/>
                <w:szCs w:val="24"/>
                <w:color w:val="auto"/>
              </w:rPr>
            </w:pPr>
          </w:p>
        </w:tc>
        <w:tc>
          <w:tcPr>
            <w:tcW w:w="1520" w:type="dxa"/>
            <w:vAlign w:val="bottom"/>
            <w:tcBorders>
              <w:bottom w:val="single" w:sz="8" w:color="FDE021"/>
            </w:tcBorders>
          </w:tcPr>
          <w:p>
            <w:pPr>
              <w:spacing w:after="0"/>
              <w:rPr>
                <w:sz w:val="24"/>
                <w:szCs w:val="24"/>
                <w:color w:val="auto"/>
              </w:rPr>
            </w:pPr>
          </w:p>
        </w:tc>
      </w:tr>
      <w:tr>
        <w:trPr>
          <w:trHeight w:val="203"/>
        </w:trPr>
        <w:tc>
          <w:tcPr>
            <w:tcW w:w="1900" w:type="dxa"/>
            <w:vAlign w:val="bottom"/>
            <w:tcBorders>
              <w:top w:val="single" w:sz="8" w:color="00416B"/>
              <w:bottom w:val="single" w:sz="8" w:color="D2DCE5"/>
            </w:tcBorders>
          </w:tcPr>
          <w:p>
            <w:pPr>
              <w:ind w:left="100"/>
              <w:spacing w:after="0"/>
              <w:rPr>
                <w:sz w:val="20"/>
                <w:szCs w:val="20"/>
                <w:color w:val="auto"/>
              </w:rPr>
            </w:pPr>
            <w:r>
              <w:rPr>
                <w:rFonts w:ascii="Arial" w:cs="Arial" w:eastAsia="Arial" w:hAnsi="Arial"/>
                <w:sz w:val="14"/>
                <w:szCs w:val="14"/>
                <w:color w:val="131E29"/>
              </w:rPr>
              <w:t>ITEM 10.</w:t>
            </w:r>
          </w:p>
        </w:tc>
        <w:tc>
          <w:tcPr>
            <w:tcW w:w="7860" w:type="dxa"/>
            <w:vAlign w:val="bottom"/>
            <w:tcBorders>
              <w:top w:val="single" w:sz="8" w:color="00416B"/>
              <w:bottom w:val="single" w:sz="8" w:color="D2DCE5"/>
            </w:tcBorders>
          </w:tcPr>
          <w:p>
            <w:pPr>
              <w:ind w:left="60"/>
              <w:spacing w:after="0"/>
              <w:rPr>
                <w:sz w:val="20"/>
                <w:szCs w:val="20"/>
                <w:color w:val="auto"/>
              </w:rPr>
            </w:pPr>
            <w:r>
              <w:rPr>
                <w:rFonts w:ascii="Arial" w:cs="Arial" w:eastAsia="Arial" w:hAnsi="Arial"/>
                <w:sz w:val="14"/>
                <w:szCs w:val="14"/>
                <w:color w:val="131E29"/>
              </w:rPr>
              <w:t>Directors, Executive Officers and Corporate Governance</w:t>
            </w:r>
          </w:p>
        </w:tc>
        <w:tc>
          <w:tcPr>
            <w:tcW w:w="1520" w:type="dxa"/>
            <w:vAlign w:val="bottom"/>
            <w:tcBorders>
              <w:top w:val="single" w:sz="8" w:color="00416B"/>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135</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11.</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Executive Compensation</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135</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12.</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Security Ownership of Certain Beneficial Owners and Management and Related Stockholder Matters</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135</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13.</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Certain Relationships and Related Transactions, and Director Independence</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135</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14.</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Principal Accountant Fees and Services</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135</w:t>
            </w:r>
          </w:p>
        </w:tc>
      </w:tr>
      <w:tr>
        <w:trPr>
          <w:trHeight w:val="441"/>
        </w:trPr>
        <w:tc>
          <w:tcPr>
            <w:tcW w:w="1900" w:type="dxa"/>
            <w:vAlign w:val="bottom"/>
            <w:tcBorders>
              <w:bottom w:val="single" w:sz="8" w:color="FDE021"/>
            </w:tcBorders>
          </w:tcPr>
          <w:p>
            <w:pPr>
              <w:ind w:left="20"/>
              <w:spacing w:after="0"/>
              <w:rPr>
                <w:sz w:val="20"/>
                <w:szCs w:val="20"/>
                <w:color w:val="auto"/>
              </w:rPr>
            </w:pPr>
            <w:r>
              <w:rPr>
                <w:rFonts w:ascii="Arial" w:cs="Arial" w:eastAsia="Arial" w:hAnsi="Arial"/>
                <w:sz w:val="14"/>
                <w:szCs w:val="14"/>
                <w:b w:val="1"/>
                <w:bCs w:val="1"/>
                <w:color w:val="006098"/>
              </w:rPr>
              <w:t>PART IV</w:t>
            </w:r>
          </w:p>
        </w:tc>
        <w:tc>
          <w:tcPr>
            <w:tcW w:w="7860" w:type="dxa"/>
            <w:vAlign w:val="bottom"/>
            <w:tcBorders>
              <w:bottom w:val="single" w:sz="8" w:color="FDE021"/>
            </w:tcBorders>
          </w:tcPr>
          <w:p>
            <w:pPr>
              <w:spacing w:after="0"/>
              <w:rPr>
                <w:sz w:val="24"/>
                <w:szCs w:val="24"/>
                <w:color w:val="auto"/>
              </w:rPr>
            </w:pPr>
          </w:p>
        </w:tc>
        <w:tc>
          <w:tcPr>
            <w:tcW w:w="1520" w:type="dxa"/>
            <w:vAlign w:val="bottom"/>
            <w:tcBorders>
              <w:bottom w:val="single" w:sz="8" w:color="FDE021"/>
            </w:tcBorders>
          </w:tcPr>
          <w:p>
            <w:pPr>
              <w:spacing w:after="0"/>
              <w:rPr>
                <w:sz w:val="24"/>
                <w:szCs w:val="24"/>
                <w:color w:val="auto"/>
              </w:rPr>
            </w:pPr>
          </w:p>
        </w:tc>
      </w:tr>
      <w:tr>
        <w:trPr>
          <w:trHeight w:val="203"/>
        </w:trPr>
        <w:tc>
          <w:tcPr>
            <w:tcW w:w="1900" w:type="dxa"/>
            <w:vAlign w:val="bottom"/>
            <w:tcBorders>
              <w:top w:val="single" w:sz="8" w:color="00416B"/>
              <w:bottom w:val="single" w:sz="8" w:color="D2DCE5"/>
            </w:tcBorders>
          </w:tcPr>
          <w:p>
            <w:pPr>
              <w:ind w:left="100"/>
              <w:spacing w:after="0"/>
              <w:rPr>
                <w:sz w:val="20"/>
                <w:szCs w:val="20"/>
                <w:color w:val="auto"/>
              </w:rPr>
            </w:pPr>
            <w:r>
              <w:rPr>
                <w:rFonts w:ascii="Arial" w:cs="Arial" w:eastAsia="Arial" w:hAnsi="Arial"/>
                <w:sz w:val="14"/>
                <w:szCs w:val="14"/>
                <w:color w:val="131E29"/>
              </w:rPr>
              <w:t>ITEM 15.</w:t>
            </w:r>
          </w:p>
        </w:tc>
        <w:tc>
          <w:tcPr>
            <w:tcW w:w="7860" w:type="dxa"/>
            <w:vAlign w:val="bottom"/>
            <w:tcBorders>
              <w:top w:val="single" w:sz="8" w:color="00416B"/>
              <w:bottom w:val="single" w:sz="8" w:color="D2DCE5"/>
            </w:tcBorders>
          </w:tcPr>
          <w:p>
            <w:pPr>
              <w:ind w:left="60"/>
              <w:spacing w:after="0"/>
              <w:rPr>
                <w:sz w:val="20"/>
                <w:szCs w:val="20"/>
                <w:color w:val="auto"/>
              </w:rPr>
            </w:pPr>
            <w:r>
              <w:rPr>
                <w:rFonts w:ascii="Arial" w:cs="Arial" w:eastAsia="Arial" w:hAnsi="Arial"/>
                <w:sz w:val="14"/>
                <w:szCs w:val="14"/>
                <w:color w:val="131E29"/>
              </w:rPr>
              <w:t>Exhibits and Financial Statement Schedules</w:t>
            </w:r>
          </w:p>
        </w:tc>
        <w:tc>
          <w:tcPr>
            <w:tcW w:w="1520" w:type="dxa"/>
            <w:vAlign w:val="bottom"/>
            <w:tcBorders>
              <w:top w:val="single" w:sz="8" w:color="00416B"/>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136</w:t>
            </w:r>
          </w:p>
        </w:tc>
      </w:tr>
      <w:tr>
        <w:trPr>
          <w:trHeight w:val="203"/>
        </w:trPr>
        <w:tc>
          <w:tcPr>
            <w:tcW w:w="1900" w:type="dxa"/>
            <w:vAlign w:val="bottom"/>
            <w:tcBorders>
              <w:bottom w:val="single" w:sz="8" w:color="D2DCE5"/>
            </w:tcBorders>
          </w:tcPr>
          <w:p>
            <w:pPr>
              <w:ind w:left="100"/>
              <w:spacing w:after="0"/>
              <w:rPr>
                <w:sz w:val="20"/>
                <w:szCs w:val="20"/>
                <w:color w:val="auto"/>
              </w:rPr>
            </w:pPr>
            <w:r>
              <w:rPr>
                <w:rFonts w:ascii="Arial" w:cs="Arial" w:eastAsia="Arial" w:hAnsi="Arial"/>
                <w:sz w:val="14"/>
                <w:szCs w:val="14"/>
                <w:color w:val="131E29"/>
              </w:rPr>
              <w:t>ITEM 16.</w:t>
            </w:r>
          </w:p>
        </w:tc>
        <w:tc>
          <w:tcPr>
            <w:tcW w:w="7860" w:type="dxa"/>
            <w:vAlign w:val="bottom"/>
            <w:tcBorders>
              <w:bottom w:val="single" w:sz="8" w:color="D2DCE5"/>
            </w:tcBorders>
          </w:tcPr>
          <w:p>
            <w:pPr>
              <w:ind w:left="60"/>
              <w:spacing w:after="0"/>
              <w:rPr>
                <w:sz w:val="20"/>
                <w:szCs w:val="20"/>
                <w:color w:val="auto"/>
              </w:rPr>
            </w:pPr>
            <w:r>
              <w:rPr>
                <w:rFonts w:ascii="Arial" w:cs="Arial" w:eastAsia="Arial" w:hAnsi="Arial"/>
                <w:sz w:val="14"/>
                <w:szCs w:val="14"/>
                <w:color w:val="131E29"/>
              </w:rPr>
              <w:t>Form 10-K Summary</w:t>
            </w:r>
          </w:p>
        </w:tc>
        <w:tc>
          <w:tcPr>
            <w:tcW w:w="1520" w:type="dxa"/>
            <w:vAlign w:val="bottom"/>
            <w:tcBorders>
              <w:bottom w:val="single" w:sz="8" w:color="D2DCE5"/>
            </w:tcBorders>
          </w:tcPr>
          <w:p>
            <w:pPr>
              <w:jc w:val="center"/>
              <w:ind w:left="429"/>
              <w:spacing w:after="0"/>
              <w:rPr>
                <w:sz w:val="20"/>
                <w:szCs w:val="20"/>
                <w:color w:val="auto"/>
              </w:rPr>
            </w:pPr>
            <w:r>
              <w:rPr>
                <w:rFonts w:ascii="Arial" w:cs="Arial" w:eastAsia="Arial" w:hAnsi="Arial"/>
                <w:sz w:val="14"/>
                <w:szCs w:val="14"/>
                <w:color w:val="131E29"/>
                <w:w w:val="94"/>
              </w:rPr>
              <w:t>138</w:t>
            </w:r>
          </w:p>
        </w:tc>
      </w:tr>
      <w:tr>
        <w:trPr>
          <w:trHeight w:val="212"/>
        </w:trPr>
        <w:tc>
          <w:tcPr>
            <w:tcW w:w="1900" w:type="dxa"/>
            <w:vAlign w:val="bottom"/>
            <w:tcBorders>
              <w:bottom w:val="single" w:sz="8" w:color="D2DCE5"/>
            </w:tcBorders>
          </w:tcPr>
          <w:p>
            <w:pPr>
              <w:spacing w:after="0"/>
              <w:rPr>
                <w:sz w:val="18"/>
                <w:szCs w:val="18"/>
                <w:color w:val="auto"/>
              </w:rPr>
            </w:pPr>
          </w:p>
        </w:tc>
        <w:tc>
          <w:tcPr>
            <w:tcW w:w="7860" w:type="dxa"/>
            <w:vAlign w:val="bottom"/>
            <w:tcBorders>
              <w:bottom w:val="single" w:sz="8" w:color="D2DCE5"/>
            </w:tcBorders>
          </w:tcPr>
          <w:p>
            <w:pPr>
              <w:spacing w:after="0"/>
              <w:rPr>
                <w:sz w:val="18"/>
                <w:szCs w:val="18"/>
                <w:color w:val="auto"/>
              </w:rPr>
            </w:pPr>
          </w:p>
        </w:tc>
        <w:tc>
          <w:tcPr>
            <w:tcW w:w="1520" w:type="dxa"/>
            <w:vAlign w:val="bottom"/>
            <w:tcBorders>
              <w:bottom w:val="single" w:sz="8" w:color="D2DCE5"/>
            </w:tcBorders>
          </w:tcPr>
          <w:p>
            <w:pPr>
              <w:spacing w:after="0"/>
              <w:rPr>
                <w:sz w:val="18"/>
                <w:szCs w:val="18"/>
                <w:color w:val="auto"/>
              </w:rPr>
            </w:pPr>
          </w:p>
        </w:tc>
      </w:tr>
      <w:tr>
        <w:trPr>
          <w:trHeight w:val="315"/>
        </w:trPr>
        <w:tc>
          <w:tcPr>
            <w:tcW w:w="1900" w:type="dxa"/>
            <w:vAlign w:val="bottom"/>
            <w:tcBorders>
              <w:bottom w:val="single" w:sz="8" w:color="FDE021"/>
            </w:tcBorders>
          </w:tcPr>
          <w:p>
            <w:pPr>
              <w:ind w:left="20"/>
              <w:spacing w:after="0"/>
              <w:rPr>
                <w:sz w:val="20"/>
                <w:szCs w:val="20"/>
                <w:color w:val="auto"/>
              </w:rPr>
            </w:pPr>
            <w:r>
              <w:rPr>
                <w:rFonts w:ascii="Arial" w:cs="Arial" w:eastAsia="Arial" w:hAnsi="Arial"/>
                <w:sz w:val="14"/>
                <w:szCs w:val="14"/>
                <w:b w:val="1"/>
                <w:bCs w:val="1"/>
                <w:color w:val="006098"/>
              </w:rPr>
              <w:t>SIGNATURES</w:t>
            </w:r>
          </w:p>
        </w:tc>
        <w:tc>
          <w:tcPr>
            <w:tcW w:w="7860" w:type="dxa"/>
            <w:vAlign w:val="bottom"/>
            <w:tcBorders>
              <w:bottom w:val="single" w:sz="8" w:color="FDE021"/>
            </w:tcBorders>
          </w:tcPr>
          <w:p>
            <w:pPr>
              <w:spacing w:after="0"/>
              <w:rPr>
                <w:sz w:val="24"/>
                <w:szCs w:val="24"/>
                <w:color w:val="auto"/>
              </w:rPr>
            </w:pPr>
          </w:p>
        </w:tc>
        <w:tc>
          <w:tcPr>
            <w:tcW w:w="1520" w:type="dxa"/>
            <w:vAlign w:val="bottom"/>
            <w:tcBorders>
              <w:bottom w:val="single" w:sz="8" w:color="FDE021"/>
            </w:tcBorders>
          </w:tcPr>
          <w:p>
            <w:pPr>
              <w:jc w:val="center"/>
              <w:ind w:left="429"/>
              <w:spacing w:after="0"/>
              <w:rPr>
                <w:sz w:val="20"/>
                <w:szCs w:val="20"/>
                <w:color w:val="auto"/>
              </w:rPr>
            </w:pPr>
            <w:r>
              <w:rPr>
                <w:rFonts w:ascii="Arial" w:cs="Arial" w:eastAsia="Arial" w:hAnsi="Arial"/>
                <w:sz w:val="14"/>
                <w:szCs w:val="14"/>
                <w:color w:val="131E29"/>
                <w:w w:val="94"/>
              </w:rPr>
              <w:t>139</w:t>
            </w:r>
          </w:p>
        </w:tc>
      </w:tr>
      <w:tr>
        <w:trPr>
          <w:trHeight w:val="1264"/>
        </w:trPr>
        <w:tc>
          <w:tcPr>
            <w:tcW w:w="1900" w:type="dxa"/>
            <w:vAlign w:val="bottom"/>
            <w:tcBorders>
              <w:top w:val="single" w:sz="8" w:color="00416B"/>
              <w:bottom w:val="single" w:sz="8" w:color="9A9A9A"/>
            </w:tcBorders>
          </w:tcPr>
          <w:p>
            <w:pPr>
              <w:spacing w:after="0"/>
              <w:rPr>
                <w:sz w:val="24"/>
                <w:szCs w:val="24"/>
                <w:color w:val="auto"/>
              </w:rPr>
            </w:pPr>
          </w:p>
        </w:tc>
        <w:tc>
          <w:tcPr>
            <w:tcW w:w="7860" w:type="dxa"/>
            <w:vAlign w:val="bottom"/>
            <w:tcBorders>
              <w:top w:val="single" w:sz="8" w:color="00416B"/>
              <w:bottom w:val="single" w:sz="8" w:color="9A9A9A"/>
            </w:tcBorders>
          </w:tcPr>
          <w:p>
            <w:pPr>
              <w:spacing w:after="0"/>
              <w:rPr>
                <w:sz w:val="24"/>
                <w:szCs w:val="24"/>
                <w:color w:val="auto"/>
              </w:rPr>
            </w:pPr>
          </w:p>
        </w:tc>
        <w:tc>
          <w:tcPr>
            <w:tcW w:w="1520" w:type="dxa"/>
            <w:vAlign w:val="bottom"/>
            <w:tcBorders>
              <w:top w:val="single" w:sz="8" w:color="00416B"/>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7" w:right="319" w:bottom="1440" w:gutter="0" w:footer="0" w:header="0"/>
        </w:sectPr>
      </w:pPr>
    </w:p>
    <w:bookmarkStart w:id="4" w:name="page5"/>
    <w:bookmarkEnd w:id="4"/>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GLOSSARY</w:t>
      </w:r>
    </w:p>
    <w:p>
      <w:pPr>
        <w:spacing w:after="0" w:line="31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131E29"/>
        </w:rPr>
        <w:t>As used in this Annual Report on Form 10-K (this Form 10-K), the terms identified below have the meanings specified below unless otherwise noted or the context requires otherwise. References in this Form 10-K to “Dutch Bros,” the “Company,” “we,” “us” and “our” refer to Dutch Bros Inc. and its consolidated subsidiaries unless the context indicates otherwise.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20" w:type="dxa"/>
            <w:vAlign w:val="bottom"/>
            <w:tcBorders>
              <w:bottom w:val="single" w:sz="8" w:color="D7282F"/>
            </w:tcBorders>
          </w:tcPr>
          <w:p>
            <w:pPr>
              <w:ind w:left="1120"/>
              <w:spacing w:after="0"/>
              <w:rPr>
                <w:sz w:val="20"/>
                <w:szCs w:val="20"/>
                <w:color w:val="auto"/>
              </w:rPr>
            </w:pPr>
            <w:r>
              <w:rPr>
                <w:rFonts w:ascii="Arial" w:cs="Arial" w:eastAsia="Arial" w:hAnsi="Arial"/>
                <w:sz w:val="14"/>
                <w:szCs w:val="14"/>
                <w:b w:val="1"/>
                <w:bCs w:val="1"/>
                <w:color w:val="006098"/>
              </w:rPr>
              <w:t>TERM</w:t>
            </w:r>
          </w:p>
        </w:tc>
        <w:tc>
          <w:tcPr>
            <w:tcW w:w="100" w:type="dxa"/>
            <w:vAlign w:val="bottom"/>
            <w:tcBorders>
              <w:bottom w:val="single" w:sz="8" w:color="D2DCE5"/>
            </w:tcBorders>
          </w:tcPr>
          <w:p>
            <w:pPr>
              <w:spacing w:after="0"/>
              <w:rPr>
                <w:sz w:val="17"/>
                <w:szCs w:val="17"/>
                <w:color w:val="auto"/>
              </w:rPr>
            </w:pPr>
          </w:p>
        </w:tc>
        <w:tc>
          <w:tcPr>
            <w:tcW w:w="8300" w:type="dxa"/>
            <w:vAlign w:val="bottom"/>
            <w:tcBorders>
              <w:bottom w:val="single" w:sz="8" w:color="D7282F"/>
            </w:tcBorders>
          </w:tcPr>
          <w:p>
            <w:pPr>
              <w:ind w:left="3740"/>
              <w:spacing w:after="0"/>
              <w:rPr>
                <w:sz w:val="20"/>
                <w:szCs w:val="20"/>
                <w:color w:val="auto"/>
              </w:rPr>
            </w:pPr>
            <w:r>
              <w:rPr>
                <w:rFonts w:ascii="Arial" w:cs="Arial" w:eastAsia="Arial" w:hAnsi="Arial"/>
                <w:sz w:val="14"/>
                <w:szCs w:val="14"/>
                <w:b w:val="1"/>
                <w:bCs w:val="1"/>
                <w:color w:val="006098"/>
              </w:rPr>
              <w:t>DEFINITION</w:t>
            </w:r>
          </w:p>
        </w:tc>
        <w:tc>
          <w:tcPr>
            <w:tcW w:w="260" w:type="dxa"/>
            <w:vAlign w:val="bottom"/>
          </w:tcPr>
          <w:p>
            <w:pPr>
              <w:spacing w:after="0"/>
              <w:rPr>
                <w:sz w:val="17"/>
                <w:szCs w:val="17"/>
                <w:color w:val="auto"/>
              </w:rPr>
            </w:pPr>
          </w:p>
        </w:tc>
      </w:tr>
      <w:tr>
        <w:trPr>
          <w:trHeight w:val="209"/>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2022 Credit Facility</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Has the meaning set forth in NOTE 9 — Debt to the consolidated financial statements, included elsewhere in this Form 10-K</w:t>
            </w:r>
          </w:p>
        </w:tc>
        <w:tc>
          <w:tcPr>
            <w:tcW w:w="260" w:type="dxa"/>
            <w:vAlign w:val="bottom"/>
          </w:tcPr>
          <w:p>
            <w:pPr>
              <w:spacing w:after="0"/>
              <w:rPr>
                <w:sz w:val="18"/>
                <w:szCs w:val="18"/>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AOCI</w:t>
            </w:r>
          </w:p>
        </w:tc>
        <w:tc>
          <w:tcPr>
            <w:tcW w:w="8560" w:type="dxa"/>
            <w:vAlign w:val="bottom"/>
            <w:gridSpan w:val="2"/>
          </w:tcPr>
          <w:p>
            <w:pPr>
              <w:spacing w:after="0"/>
              <w:rPr>
                <w:sz w:val="20"/>
                <w:szCs w:val="20"/>
                <w:color w:val="auto"/>
              </w:rPr>
            </w:pPr>
            <w:r>
              <w:rPr>
                <w:rFonts w:ascii="Arial" w:cs="Arial" w:eastAsia="Arial" w:hAnsi="Arial"/>
                <w:sz w:val="14"/>
                <w:szCs w:val="14"/>
                <w:color w:val="131E29"/>
              </w:rPr>
              <w:t>Accumulated Other Comprehensive Income</w:t>
            </w:r>
          </w:p>
        </w:tc>
      </w:tr>
      <w:tr>
        <w:trPr>
          <w:trHeight w:val="21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ASU</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Accounting Standards Update</w:t>
            </w:r>
          </w:p>
        </w:tc>
        <w:tc>
          <w:tcPr>
            <w:tcW w:w="260" w:type="dxa"/>
            <w:vAlign w:val="bottom"/>
          </w:tcPr>
          <w:p>
            <w:pPr>
              <w:spacing w:after="0"/>
              <w:rPr>
                <w:sz w:val="18"/>
                <w:szCs w:val="18"/>
                <w:color w:val="auto"/>
              </w:rPr>
            </w:pPr>
          </w:p>
        </w:tc>
      </w:t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gridSpan w:val="2"/>
          </w:tcPr>
          <w:p>
            <w:pPr>
              <w:spacing w:after="0"/>
              <w:rPr>
                <w:sz w:val="20"/>
                <w:szCs w:val="20"/>
                <w:color w:val="auto"/>
              </w:rPr>
            </w:pPr>
            <w:r>
              <w:rPr>
                <w:rFonts w:ascii="Arial" w:cs="Arial" w:eastAsia="Arial" w:hAnsi="Arial"/>
                <w:sz w:val="14"/>
                <w:szCs w:val="14"/>
                <w:color w:val="131E29"/>
              </w:rPr>
              <w:t>Average Unit Volume; determined based on the net sales for any trailing twelve-month period for systemwide and company-operated</w:t>
            </w:r>
          </w:p>
        </w:tc>
      </w:tr>
      <w:tr>
        <w:trPr>
          <w:trHeight w:val="200"/>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AUV</w:t>
            </w:r>
          </w:p>
        </w:tc>
        <w:tc>
          <w:tcPr>
            <w:tcW w:w="8560" w:type="dxa"/>
            <w:vAlign w:val="bottom"/>
            <w:gridSpan w:val="2"/>
          </w:tcPr>
          <w:p>
            <w:pPr>
              <w:spacing w:after="0"/>
              <w:rPr>
                <w:sz w:val="20"/>
                <w:szCs w:val="20"/>
                <w:color w:val="auto"/>
              </w:rPr>
            </w:pPr>
            <w:r>
              <w:rPr>
                <w:rFonts w:ascii="Arial" w:cs="Arial" w:eastAsia="Arial" w:hAnsi="Arial"/>
                <w:sz w:val="14"/>
                <w:szCs w:val="14"/>
                <w:color w:val="131E29"/>
              </w:rPr>
              <w:t>shops that have been open a minimum of 15 months.</w:t>
            </w:r>
          </w:p>
        </w:tc>
      </w:tr>
      <w:tr>
        <w:trPr>
          <w:trHeight w:val="21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Blocker Companies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TSG7 A AIV VI Holdings, LLC and DG Coinvestor Blocker, LLC</w:t>
            </w:r>
          </w:p>
        </w:tc>
        <w:tc>
          <w:tcPr>
            <w:tcW w:w="260" w:type="dxa"/>
            <w:vAlign w:val="bottom"/>
          </w:tcPr>
          <w:p>
            <w:pPr>
              <w:spacing w:after="0"/>
              <w:rPr>
                <w:sz w:val="18"/>
                <w:szCs w:val="18"/>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BPS or bps</w:t>
            </w:r>
          </w:p>
        </w:tc>
        <w:tc>
          <w:tcPr>
            <w:tcW w:w="8560" w:type="dxa"/>
            <w:vAlign w:val="bottom"/>
            <w:gridSpan w:val="2"/>
          </w:tcPr>
          <w:p>
            <w:pPr>
              <w:spacing w:after="0"/>
              <w:rPr>
                <w:sz w:val="20"/>
                <w:szCs w:val="20"/>
                <w:color w:val="auto"/>
              </w:rPr>
            </w:pPr>
            <w:r>
              <w:rPr>
                <w:rFonts w:ascii="Arial" w:cs="Arial" w:eastAsia="Arial" w:hAnsi="Arial"/>
                <w:sz w:val="14"/>
                <w:szCs w:val="14"/>
                <w:color w:val="131E29"/>
              </w:rPr>
              <w:t>Basis points which is used to express differences in rates. One basis point is the equivalent of 1/100 of one percent.</w:t>
            </w:r>
          </w:p>
        </w:tc>
      </w:tr>
      <w:tr>
        <w:trPr>
          <w:trHeight w:val="21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CODM</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Chief Operating Decision Maker</w:t>
            </w:r>
          </w:p>
        </w:tc>
        <w:tc>
          <w:tcPr>
            <w:tcW w:w="260" w:type="dxa"/>
            <w:vAlign w:val="bottom"/>
          </w:tcPr>
          <w:p>
            <w:pPr>
              <w:spacing w:after="0"/>
              <w:rPr>
                <w:sz w:val="18"/>
                <w:szCs w:val="18"/>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Co-Founder</w:t>
            </w:r>
          </w:p>
        </w:tc>
        <w:tc>
          <w:tcPr>
            <w:tcW w:w="8560" w:type="dxa"/>
            <w:vAlign w:val="bottom"/>
            <w:gridSpan w:val="2"/>
          </w:tcPr>
          <w:p>
            <w:pPr>
              <w:spacing w:after="0"/>
              <w:rPr>
                <w:sz w:val="20"/>
                <w:szCs w:val="20"/>
                <w:color w:val="auto"/>
              </w:rPr>
            </w:pPr>
            <w:r>
              <w:rPr>
                <w:rFonts w:ascii="Arial" w:cs="Arial" w:eastAsia="Arial" w:hAnsi="Arial"/>
                <w:sz w:val="14"/>
                <w:szCs w:val="14"/>
                <w:color w:val="131E29"/>
              </w:rPr>
              <w:t>Travis Boersma and affiliated entities over which he maintains voting control.</w:t>
            </w:r>
          </w:p>
        </w:tc>
      </w:tr>
      <w:tr>
        <w:trPr>
          <w:trHeight w:val="182"/>
        </w:trPr>
        <w:tc>
          <w:tcPr>
            <w:tcW w:w="26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The Co-Founder and the Sponsor and any of their assignees or successors pursuant to the terms of the Exchange Tax Receivable</w:t>
            </w:r>
          </w:p>
        </w:tc>
        <w:tc>
          <w:tcPr>
            <w:tcW w:w="260" w:type="dxa"/>
            <w:vAlign w:val="bottom"/>
          </w:tcPr>
          <w:p>
            <w:pPr>
              <w:spacing w:after="0"/>
              <w:rPr>
                <w:sz w:val="15"/>
                <w:szCs w:val="15"/>
                <w:color w:val="auto"/>
              </w:rPr>
            </w:pPr>
          </w:p>
        </w:tc>
      </w:tr>
      <w:tr>
        <w:trPr>
          <w:trHeight w:val="206"/>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Continuing Members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Agreement or OpCo LLC Agreement</w:t>
            </w:r>
          </w:p>
        </w:tc>
        <w:tc>
          <w:tcPr>
            <w:tcW w:w="260" w:type="dxa"/>
            <w:vAlign w:val="bottom"/>
          </w:tcPr>
          <w:p>
            <w:pPr>
              <w:spacing w:after="0"/>
              <w:rPr>
                <w:sz w:val="17"/>
                <w:szCs w:val="17"/>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Dutch Bros OpCo</w:t>
            </w:r>
          </w:p>
        </w:tc>
        <w:tc>
          <w:tcPr>
            <w:tcW w:w="8560" w:type="dxa"/>
            <w:vAlign w:val="bottom"/>
            <w:gridSpan w:val="2"/>
          </w:tcPr>
          <w:p>
            <w:pPr>
              <w:spacing w:after="0"/>
              <w:rPr>
                <w:sz w:val="20"/>
                <w:szCs w:val="20"/>
                <w:color w:val="auto"/>
              </w:rPr>
            </w:pPr>
            <w:r>
              <w:rPr>
                <w:rFonts w:ascii="Arial" w:cs="Arial" w:eastAsia="Arial" w:hAnsi="Arial"/>
                <w:sz w:val="14"/>
                <w:szCs w:val="14"/>
                <w:color w:val="131E29"/>
              </w:rPr>
              <w:t>Dutch Mafia, LLC, a Delaware limited liability company and direct subsidiary of Dutch Bros Inc.</w:t>
            </w:r>
          </w:p>
        </w:tc>
      </w:tr>
      <w:tr>
        <w:trPr>
          <w:trHeight w:val="182"/>
        </w:trPr>
        <w:tc>
          <w:tcPr>
            <w:tcW w:w="26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A Delaware corporation, the Class A common stock of which is publicly traded on the New York Stock Exchange under the symbol</w:t>
            </w:r>
          </w:p>
        </w:tc>
        <w:tc>
          <w:tcPr>
            <w:tcW w:w="260" w:type="dxa"/>
            <w:vAlign w:val="bottom"/>
          </w:tcPr>
          <w:p>
            <w:pPr>
              <w:spacing w:after="0"/>
              <w:rPr>
                <w:sz w:val="15"/>
                <w:szCs w:val="15"/>
                <w:color w:val="auto"/>
              </w:rPr>
            </w:pPr>
          </w:p>
        </w:tc>
      </w:tr>
      <w:tr>
        <w:trPr>
          <w:trHeight w:val="206"/>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Dutch Bros Inc.</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“BROS”.</w:t>
            </w:r>
          </w:p>
        </w:tc>
        <w:tc>
          <w:tcPr>
            <w:tcW w:w="260" w:type="dxa"/>
            <w:vAlign w:val="bottom"/>
          </w:tcPr>
          <w:p>
            <w:pPr>
              <w:spacing w:after="0"/>
              <w:rPr>
                <w:sz w:val="17"/>
                <w:szCs w:val="17"/>
                <w:color w:val="auto"/>
              </w:rPr>
            </w:pPr>
          </w:p>
        </w:tc>
      </w:t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gridSpan w:val="2"/>
          </w:tcPr>
          <w:p>
            <w:pPr>
              <w:spacing w:after="0"/>
              <w:rPr>
                <w:sz w:val="20"/>
                <w:szCs w:val="20"/>
                <w:color w:val="auto"/>
              </w:rPr>
            </w:pPr>
            <w:r>
              <w:rPr>
                <w:rFonts w:ascii="Arial" w:cs="Arial" w:eastAsia="Arial" w:hAnsi="Arial"/>
                <w:sz w:val="14"/>
                <w:szCs w:val="14"/>
                <w:color w:val="131E29"/>
              </w:rPr>
              <w:t>The Exchange Tax Receivable Agreement among the Company and the Continuing Members entered into in connection with</w:t>
            </w:r>
          </w:p>
        </w:tc>
      </w:tr>
      <w:tr>
        <w:trPr>
          <w:trHeight w:val="200"/>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Exchange Tax Receivable Agreement</w:t>
            </w:r>
          </w:p>
        </w:tc>
        <w:tc>
          <w:tcPr>
            <w:tcW w:w="8560" w:type="dxa"/>
            <w:vAlign w:val="bottom"/>
            <w:gridSpan w:val="2"/>
          </w:tcPr>
          <w:p>
            <w:pPr>
              <w:spacing w:after="0"/>
              <w:rPr>
                <w:sz w:val="20"/>
                <w:szCs w:val="20"/>
                <w:color w:val="auto"/>
              </w:rPr>
            </w:pPr>
            <w:r>
              <w:rPr>
                <w:rFonts w:ascii="Arial" w:cs="Arial" w:eastAsia="Arial" w:hAnsi="Arial"/>
                <w:sz w:val="14"/>
                <w:szCs w:val="14"/>
                <w:color w:val="131E29"/>
              </w:rPr>
              <w:t>reorganization transactions prior to the IPO.</w:t>
            </w:r>
          </w:p>
        </w:tc>
      </w:tr>
      <w:tr>
        <w:trPr>
          <w:trHeight w:val="21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FASB</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Financial Accounting Standards Board</w:t>
            </w:r>
          </w:p>
        </w:tc>
        <w:tc>
          <w:tcPr>
            <w:tcW w:w="260" w:type="dxa"/>
            <w:vAlign w:val="bottom"/>
          </w:tcPr>
          <w:p>
            <w:pPr>
              <w:spacing w:after="0"/>
              <w:rPr>
                <w:sz w:val="18"/>
                <w:szCs w:val="18"/>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GAAP</w:t>
            </w:r>
          </w:p>
        </w:tc>
        <w:tc>
          <w:tcPr>
            <w:tcW w:w="8560" w:type="dxa"/>
            <w:vAlign w:val="bottom"/>
            <w:gridSpan w:val="2"/>
          </w:tcPr>
          <w:p>
            <w:pPr>
              <w:spacing w:after="0"/>
              <w:rPr>
                <w:sz w:val="20"/>
                <w:szCs w:val="20"/>
                <w:color w:val="auto"/>
              </w:rPr>
            </w:pPr>
            <w:r>
              <w:rPr>
                <w:rFonts w:ascii="Arial" w:cs="Arial" w:eastAsia="Arial" w:hAnsi="Arial"/>
                <w:sz w:val="14"/>
                <w:szCs w:val="14"/>
                <w:color w:val="131E29"/>
              </w:rPr>
              <w:t>U.S. Generally Accepted Accounting Principles</w:t>
            </w:r>
          </w:p>
        </w:tc>
      </w:tr>
      <w:tr>
        <w:trPr>
          <w:trHeight w:val="21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IPO</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Initial Public Offering</w:t>
            </w:r>
          </w:p>
        </w:tc>
        <w:tc>
          <w:tcPr>
            <w:tcW w:w="260" w:type="dxa"/>
            <w:vAlign w:val="bottom"/>
          </w:tcPr>
          <w:p>
            <w:pPr>
              <w:spacing w:after="0"/>
              <w:rPr>
                <w:sz w:val="18"/>
                <w:szCs w:val="18"/>
                <w:color w:val="auto"/>
              </w:rPr>
            </w:pPr>
          </w:p>
        </w:tc>
      </w:t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gridSpan w:val="2"/>
          </w:tcPr>
          <w:p>
            <w:pPr>
              <w:spacing w:after="0"/>
              <w:rPr>
                <w:sz w:val="20"/>
                <w:szCs w:val="20"/>
                <w:color w:val="auto"/>
              </w:rPr>
            </w:pPr>
            <w:r>
              <w:rPr>
                <w:rFonts w:ascii="Arial" w:cs="Arial" w:eastAsia="Arial" w:hAnsi="Arial"/>
                <w:sz w:val="14"/>
                <w:szCs w:val="14"/>
                <w:color w:val="131E29"/>
              </w:rPr>
              <w:t>A group of master broistas who travel to help open new locations and markets. They train new broistas on operations and infuse</w:t>
            </w:r>
          </w:p>
        </w:tc>
      </w:tr>
      <w:tr>
        <w:trPr>
          <w:trHeight w:val="200"/>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MOB</w:t>
            </w:r>
          </w:p>
        </w:tc>
        <w:tc>
          <w:tcPr>
            <w:tcW w:w="8560" w:type="dxa"/>
            <w:vAlign w:val="bottom"/>
            <w:gridSpan w:val="2"/>
          </w:tcPr>
          <w:p>
            <w:pPr>
              <w:spacing w:after="0"/>
              <w:rPr>
                <w:sz w:val="20"/>
                <w:szCs w:val="20"/>
                <w:color w:val="auto"/>
              </w:rPr>
            </w:pPr>
            <w:r>
              <w:rPr>
                <w:rFonts w:ascii="Arial" w:cs="Arial" w:eastAsia="Arial" w:hAnsi="Arial"/>
                <w:sz w:val="14"/>
                <w:szCs w:val="14"/>
                <w:color w:val="131E29"/>
              </w:rPr>
              <w:t>them with the culture of Dutch Bros.</w:t>
            </w:r>
          </w:p>
        </w:tc>
      </w:tr>
      <w:tr>
        <w:trPr>
          <w:trHeight w:val="21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N/M</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A not meaningful percentage.</w:t>
            </w:r>
          </w:p>
        </w:tc>
        <w:tc>
          <w:tcPr>
            <w:tcW w:w="260" w:type="dxa"/>
            <w:vAlign w:val="bottom"/>
          </w:tcPr>
          <w:p>
            <w:pPr>
              <w:spacing w:after="0"/>
              <w:rPr>
                <w:sz w:val="18"/>
                <w:szCs w:val="18"/>
                <w:color w:val="auto"/>
              </w:rPr>
            </w:pP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OpCo LLC Agreement</w:t>
            </w:r>
          </w:p>
        </w:tc>
        <w:tc>
          <w:tcPr>
            <w:tcW w:w="8560" w:type="dxa"/>
            <w:vAlign w:val="bottom"/>
            <w:gridSpan w:val="2"/>
          </w:tcPr>
          <w:p>
            <w:pPr>
              <w:spacing w:after="0"/>
              <w:rPr>
                <w:sz w:val="20"/>
                <w:szCs w:val="20"/>
                <w:color w:val="auto"/>
              </w:rPr>
            </w:pPr>
            <w:r>
              <w:rPr>
                <w:rFonts w:ascii="Arial" w:cs="Arial" w:eastAsia="Arial" w:hAnsi="Arial"/>
                <w:sz w:val="14"/>
                <w:szCs w:val="14"/>
                <w:color w:val="131E29"/>
              </w:rPr>
              <w:t>The Fifth Amended and Restated Limited Liability Company Agreement of Dutch Bros OpCo.</w:t>
            </w:r>
          </w:p>
        </w:tc>
      </w:tr>
      <w:tr>
        <w:trPr>
          <w:trHeight w:val="182"/>
        </w:trPr>
        <w:tc>
          <w:tcPr>
            <w:tcW w:w="26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Class A common units, Class B voting units and Class C voting units of Dutch Bros OpCo, each as further defined in the OpCo LLC</w:t>
            </w:r>
          </w:p>
        </w:tc>
        <w:tc>
          <w:tcPr>
            <w:tcW w:w="260" w:type="dxa"/>
            <w:vAlign w:val="bottom"/>
          </w:tcPr>
          <w:p>
            <w:pPr>
              <w:spacing w:after="0"/>
              <w:rPr>
                <w:sz w:val="15"/>
                <w:szCs w:val="15"/>
                <w:color w:val="auto"/>
              </w:rPr>
            </w:pPr>
          </w:p>
        </w:tc>
      </w:tr>
      <w:tr>
        <w:trPr>
          <w:trHeight w:val="206"/>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OpCo Units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Agreement, collectively.</w:t>
            </w:r>
          </w:p>
        </w:tc>
        <w:tc>
          <w:tcPr>
            <w:tcW w:w="260" w:type="dxa"/>
            <w:vAlign w:val="bottom"/>
          </w:tcPr>
          <w:p>
            <w:pPr>
              <w:spacing w:after="0"/>
              <w:rPr>
                <w:sz w:val="17"/>
                <w:szCs w:val="17"/>
                <w:color w:val="auto"/>
              </w:rPr>
            </w:pPr>
          </w:p>
        </w:tc>
      </w:tr>
      <w:tr>
        <w:trPr>
          <w:trHeight w:val="176"/>
        </w:trPr>
        <w:tc>
          <w:tcPr>
            <w:tcW w:w="2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560" w:type="dxa"/>
            <w:vAlign w:val="bottom"/>
            <w:gridSpan w:val="2"/>
          </w:tcPr>
          <w:p>
            <w:pPr>
              <w:spacing w:after="0"/>
              <w:rPr>
                <w:sz w:val="20"/>
                <w:szCs w:val="20"/>
                <w:color w:val="auto"/>
              </w:rPr>
            </w:pPr>
            <w:r>
              <w:rPr>
                <w:rFonts w:ascii="Arial" w:cs="Arial" w:eastAsia="Arial" w:hAnsi="Arial"/>
                <w:sz w:val="14"/>
                <w:szCs w:val="14"/>
                <w:color w:val="131E29"/>
              </w:rPr>
              <w:t>TSG7 A AIV VI Holdings-A, L.P. and DG Coinvestor Blocker Aggregator, L.P. or their assignees or successors pursuant to the terms</w:t>
            </w:r>
          </w:p>
        </w:tc>
      </w:tr>
      <w:tr>
        <w:trPr>
          <w:trHeight w:val="200"/>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Pre-IPO Blocker Holders</w:t>
            </w:r>
          </w:p>
        </w:tc>
        <w:tc>
          <w:tcPr>
            <w:tcW w:w="8560" w:type="dxa"/>
            <w:vAlign w:val="bottom"/>
            <w:gridSpan w:val="2"/>
          </w:tcPr>
          <w:p>
            <w:pPr>
              <w:spacing w:after="0"/>
              <w:rPr>
                <w:sz w:val="20"/>
                <w:szCs w:val="20"/>
                <w:color w:val="auto"/>
              </w:rPr>
            </w:pPr>
            <w:r>
              <w:rPr>
                <w:rFonts w:ascii="Arial" w:cs="Arial" w:eastAsia="Arial" w:hAnsi="Arial"/>
                <w:sz w:val="14"/>
                <w:szCs w:val="14"/>
                <w:color w:val="131E29"/>
              </w:rPr>
              <w:t>of that certain Reorganization Tax Receivable Agreement.</w:t>
            </w:r>
          </w:p>
        </w:tc>
      </w:tr>
      <w:tr>
        <w:trPr>
          <w:trHeight w:val="21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QSR</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Quick Service Restaurant</w:t>
            </w:r>
          </w:p>
        </w:tc>
        <w:tc>
          <w:tcPr>
            <w:tcW w:w="260" w:type="dxa"/>
            <w:vAlign w:val="bottom"/>
          </w:tcPr>
          <w:p>
            <w:pPr>
              <w:spacing w:after="0"/>
              <w:rPr>
                <w:sz w:val="18"/>
                <w:szCs w:val="18"/>
                <w:color w:val="auto"/>
              </w:rPr>
            </w:pPr>
          </w:p>
        </w:tc>
      </w:tr>
      <w:tr>
        <w:trPr>
          <w:trHeight w:val="17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Reorganization Tax Receivable</w:t>
            </w:r>
          </w:p>
        </w:tc>
        <w:tc>
          <w:tcPr>
            <w:tcW w:w="8560" w:type="dxa"/>
            <w:vAlign w:val="bottom"/>
            <w:gridSpan w:val="2"/>
          </w:tcPr>
          <w:p>
            <w:pPr>
              <w:spacing w:after="0"/>
              <w:rPr>
                <w:sz w:val="20"/>
                <w:szCs w:val="20"/>
                <w:color w:val="auto"/>
              </w:rPr>
            </w:pPr>
            <w:r>
              <w:rPr>
                <w:rFonts w:ascii="Arial" w:cs="Arial" w:eastAsia="Arial" w:hAnsi="Arial"/>
                <w:sz w:val="14"/>
                <w:szCs w:val="14"/>
                <w:color w:val="131E29"/>
              </w:rPr>
              <w:t>The Reorganization Tax Receivable Agreement among the Company and the Pre-IPO Blocker Holders entered into in connection</w:t>
            </w:r>
          </w:p>
        </w:tc>
      </w:tr>
      <w:tr>
        <w:trPr>
          <w:trHeight w:val="200"/>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Agreement</w:t>
            </w:r>
          </w:p>
        </w:tc>
        <w:tc>
          <w:tcPr>
            <w:tcW w:w="8560" w:type="dxa"/>
            <w:vAlign w:val="bottom"/>
            <w:gridSpan w:val="2"/>
          </w:tcPr>
          <w:p>
            <w:pPr>
              <w:spacing w:after="0"/>
              <w:rPr>
                <w:sz w:val="20"/>
                <w:szCs w:val="20"/>
                <w:color w:val="auto"/>
              </w:rPr>
            </w:pPr>
            <w:r>
              <w:rPr>
                <w:rFonts w:ascii="Arial" w:cs="Arial" w:eastAsia="Arial" w:hAnsi="Arial"/>
                <w:sz w:val="14"/>
                <w:szCs w:val="14"/>
                <w:color w:val="131E29"/>
              </w:rPr>
              <w:t>with the reorganization transactions prior to the IPO.</w:t>
            </w:r>
          </w:p>
        </w:tc>
      </w:tr>
      <w:tr>
        <w:trPr>
          <w:trHeight w:val="21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RSA</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Restricted Stock Awards</w:t>
            </w:r>
          </w:p>
        </w:tc>
        <w:tc>
          <w:tcPr>
            <w:tcW w:w="260" w:type="dxa"/>
            <w:vAlign w:val="bottom"/>
          </w:tcPr>
          <w:p>
            <w:pPr>
              <w:spacing w:after="0"/>
              <w:rPr>
                <w:sz w:val="18"/>
                <w:szCs w:val="18"/>
                <w:color w:val="auto"/>
              </w:rPr>
            </w:pPr>
          </w:p>
        </w:tc>
      </w:tr>
      <w:tr>
        <w:trPr>
          <w:trHeight w:val="201"/>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RSU</w:t>
            </w:r>
          </w:p>
        </w:tc>
        <w:tc>
          <w:tcPr>
            <w:tcW w:w="8560" w:type="dxa"/>
            <w:vAlign w:val="bottom"/>
            <w:gridSpan w:val="2"/>
          </w:tcPr>
          <w:p>
            <w:pPr>
              <w:spacing w:after="0"/>
              <w:rPr>
                <w:sz w:val="20"/>
                <w:szCs w:val="20"/>
                <w:color w:val="auto"/>
              </w:rPr>
            </w:pPr>
            <w:r>
              <w:rPr>
                <w:rFonts w:ascii="Arial" w:cs="Arial" w:eastAsia="Arial" w:hAnsi="Arial"/>
                <w:sz w:val="14"/>
                <w:szCs w:val="14"/>
                <w:color w:val="131E29"/>
              </w:rPr>
              <w:t>Restricted Stock Units</w:t>
            </w:r>
          </w:p>
        </w:tc>
      </w:tr>
      <w:tr>
        <w:trPr>
          <w:trHeight w:val="1115"/>
        </w:trPr>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2"/>
          </w:tcPr>
          <w:p>
            <w:pPr>
              <w:ind w:left="7040"/>
              <w:spacing w:after="0"/>
              <w:rPr>
                <w:sz w:val="20"/>
                <w:szCs w:val="20"/>
                <w:color w:val="auto"/>
              </w:rPr>
            </w:pP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w:t>
            </w:r>
          </w:p>
        </w:tc>
      </w:tr>
      <w:tr>
        <w:trPr>
          <w:trHeight w:val="76"/>
        </w:trPr>
        <w:tc>
          <w:tcPr>
            <w:tcW w:w="26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30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-302260</wp:posOffset>
            </wp:positionV>
            <wp:extent cx="134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620" cy="18859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 w:name="page6"/>
    <w:bookmarkEnd w:id="5"/>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300" w:type="dxa"/>
            <w:vAlign w:val="bottom"/>
          </w:tcPr>
          <w:p>
            <w:pPr>
              <w:ind w:left="2380"/>
              <w:spacing w:after="0"/>
              <w:rPr>
                <w:sz w:val="20"/>
                <w:szCs w:val="20"/>
                <w:color w:val="auto"/>
              </w:rPr>
            </w:pPr>
            <w:r>
              <w:rPr>
                <w:rFonts w:ascii="Arial" w:cs="Arial" w:eastAsia="Arial" w:hAnsi="Arial"/>
                <w:sz w:val="20"/>
                <w:szCs w:val="20"/>
                <w:b w:val="1"/>
                <w:bCs w:val="1"/>
                <w:color w:val="00416B"/>
              </w:rPr>
              <w:t>GLOSSARY</w:t>
            </w:r>
          </w:p>
        </w:tc>
      </w:tr>
      <w:tr>
        <w:trPr>
          <w:trHeight w:val="514"/>
        </w:trPr>
        <w:tc>
          <w:tcPr>
            <w:tcW w:w="2720" w:type="dxa"/>
            <w:vAlign w:val="bottom"/>
            <w:gridSpan w:val="2"/>
          </w:tcPr>
          <w:p>
            <w:pPr>
              <w:ind w:left="1120"/>
              <w:spacing w:after="0"/>
              <w:rPr>
                <w:sz w:val="20"/>
                <w:szCs w:val="20"/>
                <w:color w:val="auto"/>
              </w:rPr>
            </w:pPr>
            <w:r>
              <w:rPr>
                <w:rFonts w:ascii="Arial" w:cs="Arial" w:eastAsia="Arial" w:hAnsi="Arial"/>
                <w:sz w:val="14"/>
                <w:szCs w:val="14"/>
                <w:b w:val="1"/>
                <w:bCs w:val="1"/>
                <w:color w:val="006098"/>
              </w:rPr>
              <w:t>TERM</w:t>
            </w:r>
          </w:p>
        </w:tc>
        <w:tc>
          <w:tcPr>
            <w:tcW w:w="8300" w:type="dxa"/>
            <w:vAlign w:val="bottom"/>
          </w:tcPr>
          <w:p>
            <w:pPr>
              <w:ind w:left="3740"/>
              <w:spacing w:after="0"/>
              <w:rPr>
                <w:sz w:val="20"/>
                <w:szCs w:val="20"/>
                <w:color w:val="auto"/>
              </w:rPr>
            </w:pPr>
            <w:r>
              <w:rPr>
                <w:rFonts w:ascii="Arial" w:cs="Arial" w:eastAsia="Arial" w:hAnsi="Arial"/>
                <w:sz w:val="14"/>
                <w:szCs w:val="14"/>
                <w:b w:val="1"/>
                <w:bCs w:val="1"/>
                <w:color w:val="006098"/>
              </w:rPr>
              <w:t>DEFINITION</w:t>
            </w:r>
          </w:p>
        </w:tc>
      </w:tr>
      <w:tr>
        <w:trPr>
          <w:trHeight w:val="173"/>
        </w:trPr>
        <w:tc>
          <w:tcPr>
            <w:tcW w:w="2620" w:type="dxa"/>
            <w:vAlign w:val="bottom"/>
            <w:tcBorders>
              <w:top w:val="single" w:sz="8" w:color="D7282F"/>
            </w:tcBorders>
            <w:shd w:val="clear" w:color="auto" w:fill="D2DCE5"/>
          </w:tcPr>
          <w:p>
            <w:pPr>
              <w:spacing w:after="0"/>
              <w:rPr>
                <w:sz w:val="15"/>
                <w:szCs w:val="15"/>
                <w:color w:val="auto"/>
              </w:rPr>
            </w:pPr>
          </w:p>
        </w:tc>
        <w:tc>
          <w:tcPr>
            <w:tcW w:w="100" w:type="dxa"/>
            <w:vAlign w:val="bottom"/>
            <w:tcBorders>
              <w:top w:val="single" w:sz="8" w:color="D2DCE5"/>
            </w:tcBorders>
            <w:shd w:val="clear" w:color="auto" w:fill="D2DCE5"/>
          </w:tcPr>
          <w:p>
            <w:pPr>
              <w:spacing w:after="0"/>
              <w:rPr>
                <w:sz w:val="15"/>
                <w:szCs w:val="15"/>
                <w:color w:val="auto"/>
              </w:rPr>
            </w:pPr>
          </w:p>
        </w:tc>
        <w:tc>
          <w:tcPr>
            <w:tcW w:w="8300" w:type="dxa"/>
            <w:vAlign w:val="bottom"/>
            <w:tcBorders>
              <w:top w:val="single" w:sz="8" w:color="D7282F"/>
            </w:tcBorders>
            <w:shd w:val="clear" w:color="auto" w:fill="D2DCE5"/>
          </w:tcPr>
          <w:p>
            <w:pPr>
              <w:spacing w:after="0"/>
              <w:rPr>
                <w:sz w:val="20"/>
                <w:szCs w:val="20"/>
                <w:color w:val="auto"/>
              </w:rPr>
            </w:pPr>
            <w:r>
              <w:rPr>
                <w:rFonts w:ascii="Arial" w:cs="Arial" w:eastAsia="Arial" w:hAnsi="Arial"/>
                <w:sz w:val="14"/>
                <w:szCs w:val="14"/>
                <w:color w:val="131E29"/>
              </w:rPr>
              <w:t>The estimated percentage change in year-over-year sales, for the comparable shop base, which we define as shops open for 15</w:t>
            </w:r>
          </w:p>
        </w:tc>
      </w:tr>
      <w:tr>
        <w:trPr>
          <w:trHeight w:val="237"/>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Same Shop Sales</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complete months or longer as of the first day of the reporting period.</w:t>
            </w:r>
          </w:p>
        </w:tc>
      </w:tr>
      <w:tr>
        <w:trPr>
          <w:trHeight w:val="206"/>
        </w:trPr>
        <w:tc>
          <w:tcPr>
            <w:tcW w:w="2720" w:type="dxa"/>
            <w:vAlign w:val="bottom"/>
            <w:gridSpan w:val="2"/>
          </w:tcPr>
          <w:p>
            <w:pPr>
              <w:ind w:left="20"/>
              <w:spacing w:after="0"/>
              <w:rPr>
                <w:sz w:val="20"/>
                <w:szCs w:val="20"/>
                <w:color w:val="auto"/>
              </w:rPr>
            </w:pPr>
            <w:r>
              <w:rPr>
                <w:rFonts w:ascii="Arial" w:cs="Arial" w:eastAsia="Arial" w:hAnsi="Arial"/>
                <w:sz w:val="14"/>
                <w:szCs w:val="14"/>
                <w:b w:val="1"/>
                <w:bCs w:val="1"/>
                <w:color w:val="131E29"/>
              </w:rPr>
              <w:t>SEC</w:t>
            </w:r>
          </w:p>
        </w:tc>
        <w:tc>
          <w:tcPr>
            <w:tcW w:w="8300" w:type="dxa"/>
            <w:vAlign w:val="bottom"/>
          </w:tcPr>
          <w:p>
            <w:pPr>
              <w:spacing w:after="0"/>
              <w:rPr>
                <w:sz w:val="20"/>
                <w:szCs w:val="20"/>
                <w:color w:val="auto"/>
              </w:rPr>
            </w:pPr>
            <w:r>
              <w:rPr>
                <w:rFonts w:ascii="Arial" w:cs="Arial" w:eastAsia="Arial" w:hAnsi="Arial"/>
                <w:sz w:val="14"/>
                <w:szCs w:val="14"/>
                <w:color w:val="131E29"/>
              </w:rPr>
              <w:t>Securities and Exchange Commission</w:t>
            </w:r>
          </w:p>
        </w:tc>
      </w:tr>
      <w:tr>
        <w:trPr>
          <w:trHeight w:val="218"/>
        </w:trPr>
        <w:tc>
          <w:tcPr>
            <w:tcW w:w="27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Sponsor</w:t>
            </w:r>
          </w:p>
        </w:tc>
        <w:tc>
          <w:tcPr>
            <w:tcW w:w="8300" w:type="dxa"/>
            <w:vAlign w:val="bottom"/>
            <w:shd w:val="clear" w:color="auto" w:fill="D2DCE5"/>
          </w:tcPr>
          <w:p>
            <w:pPr>
              <w:spacing w:after="0"/>
              <w:rPr>
                <w:sz w:val="20"/>
                <w:szCs w:val="20"/>
                <w:color w:val="auto"/>
              </w:rPr>
            </w:pPr>
            <w:r>
              <w:rPr>
                <w:rFonts w:ascii="Arial" w:cs="Arial" w:eastAsia="Arial" w:hAnsi="Arial"/>
                <w:sz w:val="14"/>
                <w:szCs w:val="14"/>
                <w:color w:val="131E29"/>
              </w:rPr>
              <w:t>TSG Consumer Partners, L.P. and certain of its affiliates.</w:t>
            </w:r>
          </w:p>
        </w:tc>
      </w:tr>
    </w:tbl>
    <w:p>
      <w:pPr>
        <w:spacing w:after="0" w:line="7" w:lineRule="exact"/>
        <w:rPr>
          <w:sz w:val="20"/>
          <w:szCs w:val="20"/>
          <w:color w:val="auto"/>
        </w:rPr>
      </w:pPr>
    </w:p>
    <w:p>
      <w:pPr>
        <w:jc w:val="both"/>
        <w:ind w:left="20" w:right="280" w:firstLine="2705"/>
        <w:spacing w:after="0" w:line="284" w:lineRule="auto"/>
        <w:rPr>
          <w:sz w:val="20"/>
          <w:szCs w:val="20"/>
          <w:color w:val="auto"/>
        </w:rPr>
      </w:pPr>
      <w:r>
        <w:rPr>
          <w:rFonts w:ascii="Arial" w:cs="Arial" w:eastAsia="Arial" w:hAnsi="Arial"/>
          <w:sz w:val="14"/>
          <w:szCs w:val="14"/>
          <w:color w:val="131E29"/>
        </w:rPr>
        <w:t xml:space="preserve">The Reorganization Tax Receivable Agreement, and the Exchange Tax Receivable Agreement entered into in connection with </w:t>
      </w:r>
      <w:r>
        <w:rPr>
          <w:rFonts w:ascii="Arial" w:cs="Arial" w:eastAsia="Arial" w:hAnsi="Arial"/>
          <w:sz w:val="14"/>
          <w:szCs w:val="14"/>
          <w:b w:val="1"/>
          <w:bCs w:val="1"/>
          <w:color w:val="131E29"/>
        </w:rPr>
        <w:t xml:space="preserve">Tax Receivable Agreements and TRAs </w:t>
      </w:r>
      <w:r>
        <w:rPr>
          <w:rFonts w:ascii="Arial" w:cs="Arial" w:eastAsia="Arial" w:hAnsi="Arial"/>
          <w:sz w:val="14"/>
          <w:szCs w:val="14"/>
          <w:color w:val="131E29"/>
        </w:rPr>
        <w:t>reorganization transactions prior to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000240" cy="134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00240" cy="134620"/>
                    </a:xfrm>
                    <a:prstGeom prst="rect">
                      <a:avLst/>
                    </a:prstGeom>
                    <a:noFill/>
                  </pic:spPr>
                </pic:pic>
              </a:graphicData>
            </a:graphic>
          </wp:anchor>
        </w:drawing>
      </w:r>
    </w:p>
    <w:p>
      <w:pPr>
        <w:ind w:left="20"/>
        <w:spacing w:after="0"/>
        <w:tabs>
          <w:tab w:leader="none" w:pos="2700" w:val="left"/>
        </w:tabs>
        <w:rPr>
          <w:sz w:val="20"/>
          <w:szCs w:val="20"/>
          <w:color w:val="auto"/>
        </w:rPr>
      </w:pPr>
      <w:r>
        <w:rPr>
          <w:rFonts w:ascii="Arial" w:cs="Arial" w:eastAsia="Arial" w:hAnsi="Arial"/>
          <w:sz w:val="14"/>
          <w:szCs w:val="14"/>
          <w:b w:val="1"/>
          <w:bCs w:val="1"/>
          <w:color w:val="131E29"/>
        </w:rPr>
        <w:t>Western United States</w:t>
      </w:r>
      <w:r>
        <w:rPr>
          <w:sz w:val="20"/>
          <w:szCs w:val="20"/>
          <w:color w:val="auto"/>
        </w:rPr>
        <w:tab/>
      </w:r>
      <w:r>
        <w:rPr>
          <w:rFonts w:ascii="Arial" w:cs="Arial" w:eastAsia="Arial" w:hAnsi="Arial"/>
          <w:sz w:val="14"/>
          <w:szCs w:val="14"/>
          <w:color w:val="131E29"/>
        </w:rPr>
        <w:t>The collection of states including Arizona, California, Colorado, Idaho, Nevada, New Mexico, Oregon, Utah and Washington.</w:t>
      </w:r>
    </w:p>
    <w:p>
      <w:pPr>
        <w:spacing w:after="0" w:line="119" w:lineRule="exact"/>
        <w:rPr>
          <w:sz w:val="20"/>
          <w:szCs w:val="20"/>
          <w:color w:val="auto"/>
        </w:rPr>
      </w:pPr>
    </w:p>
    <w:p>
      <w:pPr>
        <w:jc w:val="both"/>
        <w:ind w:right="80"/>
        <w:spacing w:after="0" w:line="298" w:lineRule="auto"/>
        <w:rPr>
          <w:sz w:val="20"/>
          <w:szCs w:val="20"/>
          <w:color w:val="auto"/>
        </w:rPr>
      </w:pPr>
      <w:r>
        <w:rPr>
          <w:rFonts w:ascii="Arial" w:cs="Arial" w:eastAsia="Arial" w:hAnsi="Arial"/>
          <w:sz w:val="11"/>
          <w:szCs w:val="11"/>
          <w:color w:val="131E29"/>
        </w:rPr>
        <w:t>Dutch Bros, our Windmill logo (</w:t>
      </w:r>
      <w:r>
        <w:rPr>
          <w:sz w:val="1"/>
          <w:szCs w:val="1"/>
          <w:color w:val="auto"/>
        </w:rPr>
        <w:drawing>
          <wp:inline distT="0" distB="0" distL="0" distR="0">
            <wp:extent cx="80645" cy="12128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645" cy="121285"/>
                    </a:xfrm>
                    <a:prstGeom prst="rect">
                      <a:avLst/>
                    </a:prstGeom>
                    <a:noFill/>
                    <a:ln>
                      <a:noFill/>
                    </a:ln>
                  </pic:spPr>
                </pic:pic>
              </a:graphicData>
            </a:graphic>
          </wp:inline>
        </w:drawing>
      </w:r>
      <w:r>
        <w:rPr>
          <w:rFonts w:ascii="Arial" w:cs="Arial" w:eastAsia="Arial" w:hAnsi="Arial"/>
          <w:sz w:val="11"/>
          <w:szCs w:val="11"/>
          <w:color w:val="131E29"/>
        </w:rPr>
        <w:t>), Dutch Bros Rebel, and our other registered and common law trade names, trademarks and service marks are the property of Dutch Bros Inc. All other trademarks, trade names and service marks appearing in this Form 10-K are the property of their respective owners. Solely for convenience, the trademarks and trade names in this Form 10-K may be referred to without the ® and ™ symbols, but such references should not be construed as any indicator that their respective owners will not assert their rights thereto.</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 w:name="page7"/>
    <w:bookmarkEnd w:id="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FORWARD-LOOKING STATEMENTS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Certain statements in this Form 10-K, including statements regarding the impact of inflation, increased minimum wages, and general macroeconomic conditions on our results of operations, supply chain or liquidity, the potential impact of actions we have taken to mitigate the impact of unforeseen circumstances, taxes and tax rates, our expectations regarding the number of new shops we may open, anticipated future revenues and earnings, anticipated capital expenditures, consumer demand, and our expectations regarding positive cash flow,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10-K.</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“Item 1A. Risk Factors” of this report, as such risk factors may be amended, supplemented or superseded from time to time by other reports we file with the SEC.</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You should read the consolidated financial statements and the related notes in this Form 10-K together with our analysis and discussion of our consolidated financial condition and results of operations and other financial information included elsewhere in this Form 10-K.</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Website Disclosure</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 w:name="page8"/>
    <w:bookmarkEnd w:id="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61530" cy="80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 BUSINESS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131E29"/>
        </w:rPr>
        <w:t>Dutch Bros Inc. is a Delaware corporation, and its Class A common stock trades on the New York Stock Exchange under the symbol “BROS”.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OUR COMPANY</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 by location count.</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As of December 31, 2024, we had 982 shops, of which 670 were company-operated and 312 were franchise, across 18 states as shown in the graphic below. For additional information regarding company-operated and franchise shops by state, refer to Part I, Item 2 Properties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58420</wp:posOffset>
            </wp:positionV>
            <wp:extent cx="4204335" cy="2445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04335" cy="2445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 w:name="page9"/>
    <w:bookmarkEnd w:id="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The Dutch Bros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2000885" cy="13341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00885" cy="133413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3420"/>
        <w:spacing w:after="0"/>
        <w:rPr>
          <w:sz w:val="20"/>
          <w:szCs w:val="20"/>
          <w:color w:val="auto"/>
        </w:rPr>
      </w:pPr>
      <w:r>
        <w:rPr>
          <w:rFonts w:ascii="Arial" w:cs="Arial" w:eastAsia="Arial" w:hAnsi="Arial"/>
          <w:sz w:val="14"/>
          <w:szCs w:val="14"/>
          <w:color w:val="131E29"/>
        </w:rPr>
        <w:t>Dutch Bros is more than just the products we</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4"/>
          <w:szCs w:val="14"/>
          <w:color w:val="131E29"/>
        </w:rPr>
        <w:t>serve: we are dedicated to making differences in</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4"/>
          <w:szCs w:val="14"/>
          <w:color w:val="131E29"/>
        </w:rPr>
        <w:t>the lives of our employees, customers, and the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4"/>
          <w:szCs w:val="14"/>
          <w:color w:val="131E29"/>
        </w:rPr>
        <w:t>communities in which we operate. Our people are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4"/>
          <w:szCs w:val="14"/>
          <w:color w:val="131E29"/>
        </w:rPr>
        <w:t>the key to our success and our broistas are the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4"/>
          <w:szCs w:val="14"/>
          <w:color w:val="131E29"/>
        </w:rPr>
        <w:t>face of Dutch Bros, delivering on our core values</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4"/>
          <w:szCs w:val="14"/>
          <w:color w:val="131E29"/>
        </w:rPr>
        <w:t>of SPEED, QUALITY and SERVICE.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60" w:hanging="255"/>
        <w:spacing w:after="0" w:line="284" w:lineRule="auto"/>
        <w:tabs>
          <w:tab w:leader="none" w:pos="256" w:val="left"/>
        </w:tabs>
        <w:numPr>
          <w:ilvl w:val="0"/>
          <w:numId w:val="3"/>
        </w:numPr>
        <w:rPr>
          <w:rFonts w:ascii="Arial" w:cs="Arial" w:eastAsia="Arial" w:hAnsi="Arial"/>
          <w:sz w:val="14"/>
          <w:szCs w:val="14"/>
          <w:color w:val="131E29"/>
        </w:rPr>
      </w:pPr>
      <w:r>
        <w:rPr>
          <w:rFonts w:ascii="Arial" w:cs="Arial" w:eastAsia="Arial" w:hAnsi="Arial"/>
          <w:sz w:val="14"/>
          <w:szCs w:val="14"/>
          <w:b w:val="1"/>
          <w:bCs w:val="1"/>
          <w:color w:val="006098"/>
        </w:rPr>
        <w:t xml:space="preserve">SPEED: </w:t>
      </w:r>
      <w:r>
        <w:rPr>
          <w:rFonts w:ascii="Arial" w:cs="Arial" w:eastAsia="Arial" w:hAnsi="Arial"/>
          <w:sz w:val="14"/>
          <w:szCs w:val="14"/>
          <w:color w:val="131E29"/>
        </w:rPr>
        <w:t>Our drive-thru and walk-up windows enable us to rapidly serve our customers. In 2024, we launched mobile order functionality which we expect could help us elevate</w:t>
      </w:r>
      <w:r>
        <w:rPr>
          <w:rFonts w:ascii="Arial" w:cs="Arial" w:eastAsia="Arial" w:hAnsi="Arial"/>
          <w:sz w:val="14"/>
          <w:szCs w:val="14"/>
          <w:b w:val="1"/>
          <w:bCs w:val="1"/>
          <w:color w:val="006098"/>
        </w:rPr>
        <w:t xml:space="preserve"> </w:t>
      </w:r>
      <w:r>
        <w:rPr>
          <w:rFonts w:ascii="Arial" w:cs="Arial" w:eastAsia="Arial" w:hAnsi="Arial"/>
          <w:sz w:val="14"/>
          <w:szCs w:val="14"/>
          <w:color w:val="131E29"/>
        </w:rPr>
        <w:t>throughput and enhance convenience.</w:t>
      </w:r>
    </w:p>
    <w:p>
      <w:pPr>
        <w:ind w:left="260" w:hanging="255"/>
        <w:spacing w:after="0"/>
        <w:tabs>
          <w:tab w:leader="none" w:pos="260" w:val="left"/>
        </w:tabs>
        <w:numPr>
          <w:ilvl w:val="0"/>
          <w:numId w:val="3"/>
        </w:numPr>
        <w:rPr>
          <w:rFonts w:ascii="Arial" w:cs="Arial" w:eastAsia="Arial" w:hAnsi="Arial"/>
          <w:sz w:val="14"/>
          <w:szCs w:val="14"/>
          <w:color w:val="131E29"/>
        </w:rPr>
      </w:pPr>
      <w:r>
        <w:rPr>
          <w:rFonts w:ascii="Arial" w:cs="Arial" w:eastAsia="Arial" w:hAnsi="Arial"/>
          <w:sz w:val="14"/>
          <w:szCs w:val="14"/>
          <w:b w:val="1"/>
          <w:bCs w:val="1"/>
          <w:color w:val="006098"/>
        </w:rPr>
        <w:t xml:space="preserve">QUALITY: </w:t>
      </w:r>
      <w:r>
        <w:rPr>
          <w:rFonts w:ascii="Arial" w:cs="Arial" w:eastAsia="Arial" w:hAnsi="Arial"/>
          <w:sz w:val="14"/>
          <w:szCs w:val="14"/>
          <w:color w:val="131E29"/>
        </w:rPr>
        <w:t>We take pride in the training and skills of our broistas, which enable them to provide consistent, high-quality hand-crafted beverages to our customers.</w:t>
      </w:r>
    </w:p>
    <w:p>
      <w:pPr>
        <w:spacing w:after="0" w:line="51"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3"/>
        </w:numPr>
        <w:rPr>
          <w:rFonts w:ascii="Arial" w:cs="Arial" w:eastAsia="Arial" w:hAnsi="Arial"/>
          <w:sz w:val="14"/>
          <w:szCs w:val="14"/>
          <w:color w:val="131E29"/>
        </w:rPr>
      </w:pPr>
      <w:r>
        <w:rPr>
          <w:rFonts w:ascii="Arial" w:cs="Arial" w:eastAsia="Arial" w:hAnsi="Arial"/>
          <w:sz w:val="14"/>
          <w:szCs w:val="14"/>
          <w:b w:val="1"/>
          <w:bCs w:val="1"/>
          <w:color w:val="006098"/>
        </w:rPr>
        <w:t xml:space="preserve">SERVICE: </w:t>
      </w:r>
      <w:r>
        <w:rPr>
          <w:rFonts w:ascii="Arial" w:cs="Arial" w:eastAsia="Arial" w:hAnsi="Arial"/>
          <w:sz w:val="14"/>
          <w:szCs w:val="14"/>
          <w:color w:val="131E29"/>
        </w:rPr>
        <w:t>We embrace a customer-first attitude and use every interaction to connect with our customers and seek to deliver an experience that exceeds our customers’</w:t>
      </w:r>
      <w:r>
        <w:rPr>
          <w:rFonts w:ascii="Arial" w:cs="Arial" w:eastAsia="Arial" w:hAnsi="Arial"/>
          <w:sz w:val="14"/>
          <w:szCs w:val="14"/>
          <w:b w:val="1"/>
          <w:bCs w:val="1"/>
          <w:color w:val="006098"/>
        </w:rPr>
        <w:t xml:space="preserve"> </w:t>
      </w:r>
      <w:r>
        <w:rPr>
          <w:rFonts w:ascii="Arial" w:cs="Arial" w:eastAsia="Arial" w:hAnsi="Arial"/>
          <w:sz w:val="14"/>
          <w:szCs w:val="14"/>
          <w:color w:val="131E29"/>
        </w:rPr>
        <w:t>expectations.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combination of hand-crafted and high-quality beverages, our unique drive-thru experience, and our community-driven people-first culture has allowed us to successfully open new shops and continue to share the “Dutch Luv”. To achieve these experiences and create meaningful differentiation in our industry, we and our franchise partners are committed to attracting and retaining broistas who deliver an experience that exceeds our customers’ expectations. We empower our broistas to take the extra step to make each customer interaction remarkable.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Menu</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131E29"/>
        </w:rPr>
        <w:t>We sell a wide range of customizable hot, iced, and blended beverages.</w:t>
      </w:r>
    </w:p>
    <w:p>
      <w:pPr>
        <w:spacing w:after="0" w:line="91" w:lineRule="exact"/>
        <w:rPr>
          <w:sz w:val="20"/>
          <w:szCs w:val="20"/>
          <w:color w:val="auto"/>
        </w:rPr>
      </w:pPr>
    </w:p>
    <w:p>
      <w:pPr>
        <w:jc w:val="both"/>
        <w:ind w:left="260" w:hanging="255"/>
        <w:spacing w:after="0" w:line="239" w:lineRule="auto"/>
        <w:tabs>
          <w:tab w:leader="none" w:pos="256" w:val="left"/>
        </w:tabs>
        <w:numPr>
          <w:ilvl w:val="0"/>
          <w:numId w:val="4"/>
        </w:numPr>
        <w:rPr>
          <w:rFonts w:ascii="Arial" w:cs="Arial" w:eastAsia="Arial" w:hAnsi="Arial"/>
          <w:sz w:val="14"/>
          <w:szCs w:val="14"/>
          <w:color w:val="131E29"/>
        </w:rPr>
      </w:pPr>
      <w:r>
        <w:rPr>
          <w:rFonts w:ascii="Arial" w:cs="Arial" w:eastAsia="Arial" w:hAnsi="Arial"/>
          <w:sz w:val="14"/>
          <w:szCs w:val="14"/>
          <w:b w:val="1"/>
          <w:bCs w:val="1"/>
          <w:color w:val="006098"/>
        </w:rPr>
        <w:t xml:space="preserve">Coffee: </w:t>
      </w:r>
      <w:r>
        <w:rPr>
          <w:rFonts w:ascii="Arial" w:cs="Arial" w:eastAsia="Arial" w:hAnsi="Arial"/>
          <w:sz w:val="14"/>
          <w:szCs w:val="14"/>
          <w:color w:val="131E29"/>
        </w:rPr>
        <w:t>coffee-based beverages make up ~50%</w:t>
      </w:r>
      <w:r>
        <w:rPr>
          <w:rFonts w:ascii="Arial" w:cs="Arial" w:eastAsia="Arial" w:hAnsi="Arial"/>
          <w:sz w:val="18"/>
          <w:szCs w:val="18"/>
          <w:color w:val="131E29"/>
          <w:vertAlign w:val="superscript"/>
        </w:rPr>
        <w:t>1</w:t>
      </w:r>
      <w:r>
        <w:rPr>
          <w:rFonts w:ascii="Arial" w:cs="Arial" w:eastAsia="Arial" w:hAnsi="Arial"/>
          <w:sz w:val="14"/>
          <w:szCs w:val="14"/>
          <w:b w:val="1"/>
          <w:bCs w:val="1"/>
          <w:color w:val="006098"/>
        </w:rPr>
        <w:t xml:space="preserve"> </w:t>
      </w:r>
      <w:r>
        <w:rPr>
          <w:rFonts w:ascii="Arial" w:cs="Arial" w:eastAsia="Arial" w:hAnsi="Arial"/>
          <w:sz w:val="14"/>
          <w:szCs w:val="14"/>
          <w:color w:val="131E29"/>
        </w:rPr>
        <w:t>of our menu mix. In our shops, we utilize premium La Marzocco machines to handcraft espresso shots for both our hot and</w:t>
      </w:r>
      <w:r>
        <w:rPr>
          <w:rFonts w:ascii="Arial" w:cs="Arial" w:eastAsia="Arial" w:hAnsi="Arial"/>
          <w:sz w:val="14"/>
          <w:szCs w:val="14"/>
          <w:b w:val="1"/>
          <w:bCs w:val="1"/>
          <w:color w:val="006098"/>
        </w:rPr>
        <w:t xml:space="preserve"> </w:t>
      </w:r>
      <w:r>
        <w:rPr>
          <w:rFonts w:ascii="Arial" w:cs="Arial" w:eastAsia="Arial" w:hAnsi="Arial"/>
          <w:sz w:val="14"/>
          <w:szCs w:val="14"/>
          <w:color w:val="131E29"/>
        </w:rPr>
        <w:t>cold custom classic and signature coffee beverages. We also sell our proprietary coffee-based “Freeze” blended beverages and cold brew. We import and roast our own coffee beans. Our Private Reserve coffee is a 100% Arabica three-bean blend, roasted by Dutch Bros in our Grants Pass, Oregon or Melissa, Texas facilities.</w:t>
      </w:r>
    </w:p>
    <w:p>
      <w:pPr>
        <w:spacing w:after="0" w:line="24" w:lineRule="exact"/>
        <w:rPr>
          <w:rFonts w:ascii="Arial" w:cs="Arial" w:eastAsia="Arial" w:hAnsi="Arial"/>
          <w:sz w:val="14"/>
          <w:szCs w:val="14"/>
          <w:color w:val="131E29"/>
        </w:rPr>
      </w:pPr>
    </w:p>
    <w:p>
      <w:pPr>
        <w:ind w:left="260" w:hanging="255"/>
        <w:spacing w:after="0" w:line="232" w:lineRule="auto"/>
        <w:tabs>
          <w:tab w:leader="none" w:pos="256" w:val="left"/>
        </w:tabs>
        <w:numPr>
          <w:ilvl w:val="0"/>
          <w:numId w:val="4"/>
        </w:numPr>
        <w:rPr>
          <w:rFonts w:ascii="Arial" w:cs="Arial" w:eastAsia="Arial" w:hAnsi="Arial"/>
          <w:sz w:val="14"/>
          <w:szCs w:val="14"/>
          <w:color w:val="131E29"/>
        </w:rPr>
      </w:pPr>
      <w:r>
        <w:rPr>
          <w:rFonts w:ascii="Arial" w:cs="Arial" w:eastAsia="Arial" w:hAnsi="Arial"/>
          <w:sz w:val="14"/>
          <w:szCs w:val="14"/>
          <w:b w:val="1"/>
          <w:bCs w:val="1"/>
          <w:color w:val="006098"/>
        </w:rPr>
        <w:t xml:space="preserve">Energy: </w:t>
      </w:r>
      <w:r>
        <w:rPr>
          <w:rFonts w:ascii="Arial" w:cs="Arial" w:eastAsia="Arial" w:hAnsi="Arial"/>
          <w:sz w:val="14"/>
          <w:szCs w:val="14"/>
          <w:color w:val="131E29"/>
        </w:rPr>
        <w:t>~25%</w:t>
      </w:r>
      <w:r>
        <w:rPr>
          <w:rFonts w:ascii="Arial" w:cs="Arial" w:eastAsia="Arial" w:hAnsi="Arial"/>
          <w:sz w:val="18"/>
          <w:szCs w:val="18"/>
          <w:color w:val="131E29"/>
          <w:vertAlign w:val="superscript"/>
        </w:rPr>
        <w:t>1</w:t>
      </w:r>
      <w:r>
        <w:rPr>
          <w:rFonts w:ascii="Arial" w:cs="Arial" w:eastAsia="Arial" w:hAnsi="Arial"/>
          <w:sz w:val="14"/>
          <w:szCs w:val="14"/>
          <w:b w:val="1"/>
          <w:bCs w:val="1"/>
          <w:color w:val="006098"/>
        </w:rPr>
        <w:t xml:space="preserve"> </w:t>
      </w:r>
      <w:r>
        <w:rPr>
          <w:rFonts w:ascii="Arial" w:cs="Arial" w:eastAsia="Arial" w:hAnsi="Arial"/>
          <w:sz w:val="14"/>
          <w:szCs w:val="14"/>
          <w:color w:val="131E29"/>
        </w:rPr>
        <w:t>of our menu mix is based upon our proprietary Dutch Bros Rebel® energy drink, which is highly customizable with flavors and modifiers and can be served</w:t>
      </w:r>
      <w:r>
        <w:rPr>
          <w:rFonts w:ascii="Arial" w:cs="Arial" w:eastAsia="Arial" w:hAnsi="Arial"/>
          <w:sz w:val="14"/>
          <w:szCs w:val="14"/>
          <w:b w:val="1"/>
          <w:bCs w:val="1"/>
          <w:color w:val="006098"/>
        </w:rPr>
        <w:t xml:space="preserve"> </w:t>
      </w:r>
      <w:r>
        <w:rPr>
          <w:rFonts w:ascii="Arial" w:cs="Arial" w:eastAsia="Arial" w:hAnsi="Arial"/>
          <w:sz w:val="14"/>
          <w:szCs w:val="14"/>
          <w:color w:val="131E29"/>
        </w:rPr>
        <w:t>blended or over ice. Our energy platform helps unlock the afternoon daypart and helps us appeal to a diverse customer base.</w:t>
      </w:r>
    </w:p>
    <w:p>
      <w:pPr>
        <w:ind w:left="260" w:hanging="255"/>
        <w:spacing w:after="0" w:line="221" w:lineRule="auto"/>
        <w:tabs>
          <w:tab w:leader="none" w:pos="256" w:val="left"/>
        </w:tabs>
        <w:numPr>
          <w:ilvl w:val="0"/>
          <w:numId w:val="4"/>
        </w:numPr>
        <w:rPr>
          <w:rFonts w:ascii="Arial" w:cs="Arial" w:eastAsia="Arial" w:hAnsi="Arial"/>
          <w:sz w:val="14"/>
          <w:szCs w:val="14"/>
          <w:color w:val="131E29"/>
        </w:rPr>
      </w:pPr>
      <w:r>
        <w:rPr>
          <w:rFonts w:ascii="Arial" w:cs="Arial" w:eastAsia="Arial" w:hAnsi="Arial"/>
          <w:sz w:val="14"/>
          <w:szCs w:val="14"/>
          <w:b w:val="1"/>
          <w:bCs w:val="1"/>
          <w:color w:val="006098"/>
        </w:rPr>
        <w:t xml:space="preserve">Refreshments and Other: </w:t>
      </w:r>
      <w:r>
        <w:rPr>
          <w:rFonts w:ascii="Arial" w:cs="Arial" w:eastAsia="Arial" w:hAnsi="Arial"/>
          <w:sz w:val="14"/>
          <w:szCs w:val="14"/>
          <w:color w:val="131E29"/>
        </w:rPr>
        <w:t>the remaining ~25%</w:t>
      </w:r>
      <w:r>
        <w:rPr>
          <w:rFonts w:ascii="Arial" w:cs="Arial" w:eastAsia="Arial" w:hAnsi="Arial"/>
          <w:sz w:val="18"/>
          <w:szCs w:val="18"/>
          <w:color w:val="131E29"/>
          <w:vertAlign w:val="superscript"/>
        </w:rPr>
        <w:t>1</w:t>
      </w:r>
      <w:r>
        <w:rPr>
          <w:rFonts w:ascii="Arial" w:cs="Arial" w:eastAsia="Arial" w:hAnsi="Arial"/>
          <w:sz w:val="14"/>
          <w:szCs w:val="14"/>
          <w:b w:val="1"/>
          <w:bCs w:val="1"/>
          <w:color w:val="006098"/>
        </w:rPr>
        <w:t xml:space="preserve"> </w:t>
      </w:r>
      <w:r>
        <w:rPr>
          <w:rFonts w:ascii="Arial" w:cs="Arial" w:eastAsia="Arial" w:hAnsi="Arial"/>
          <w:sz w:val="14"/>
          <w:szCs w:val="14"/>
          <w:color w:val="131E29"/>
        </w:rPr>
        <w:t>of our menu mix is a wide variety of teas, lemonades, smoothies, food, and sodas offering caffeine-lite and caffeine-free</w:t>
      </w:r>
      <w:r>
        <w:rPr>
          <w:rFonts w:ascii="Arial" w:cs="Arial" w:eastAsia="Arial" w:hAnsi="Arial"/>
          <w:sz w:val="14"/>
          <w:szCs w:val="14"/>
          <w:b w:val="1"/>
          <w:bCs w:val="1"/>
          <w:color w:val="006098"/>
        </w:rPr>
        <w:t xml:space="preserve"> </w:t>
      </w:r>
      <w:r>
        <w:rPr>
          <w:rFonts w:ascii="Arial" w:cs="Arial" w:eastAsia="Arial" w:hAnsi="Arial"/>
          <w:sz w:val="14"/>
          <w:szCs w:val="14"/>
          <w:color w:val="131E29"/>
        </w:rPr>
        <w:t>beverages that can be enjoyed across all dayparts and by customers of all ages.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8" w:lineRule="exact"/>
        <w:rPr>
          <w:sz w:val="20"/>
          <w:szCs w:val="20"/>
          <w:color w:val="auto"/>
        </w:rPr>
      </w:pPr>
    </w:p>
    <w:p>
      <w:pPr>
        <w:ind w:left="220" w:hanging="215"/>
        <w:spacing w:after="0"/>
        <w:tabs>
          <w:tab w:leader="none" w:pos="220" w:val="left"/>
        </w:tabs>
        <w:numPr>
          <w:ilvl w:val="0"/>
          <w:numId w:val="5"/>
        </w:numPr>
        <w:rPr>
          <w:rFonts w:ascii="Arial" w:cs="Arial" w:eastAsia="Arial" w:hAnsi="Arial"/>
          <w:sz w:val="18"/>
          <w:szCs w:val="18"/>
          <w:color w:val="131E29"/>
          <w:vertAlign w:val="superscript"/>
        </w:rPr>
      </w:pPr>
      <w:r>
        <w:rPr>
          <w:rFonts w:ascii="Arial" w:cs="Arial" w:eastAsia="Arial" w:hAnsi="Arial"/>
          <w:sz w:val="11"/>
          <w:szCs w:val="11"/>
          <w:color w:val="131E29"/>
        </w:rPr>
        <w:t>Based on number of drinks sold across our system in 2024.</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 w:name="page10"/>
    <w:bookmarkEnd w:id="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Customization is at the core of what we do, and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-71755</wp:posOffset>
            </wp:positionV>
            <wp:extent cx="1758315" cy="1172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58315" cy="1172210"/>
                    </a:xfrm>
                    <a:prstGeom prst="rect">
                      <a:avLst/>
                    </a:prstGeom>
                    <a:noFill/>
                  </pic:spPr>
                </pic:pic>
              </a:graphicData>
            </a:graphic>
          </wp:anchor>
        </w:drawing>
      </w:r>
    </w:p>
    <w:p>
      <w:pPr>
        <w:spacing w:after="0" w:line="3"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encourage our customers to make their drinks “their own”</w:t>
      </w:r>
    </w:p>
    <w:p>
      <w:pPr>
        <w:spacing w:after="0" w:line="9" w:lineRule="exact"/>
        <w:rPr>
          <w:sz w:val="20"/>
          <w:szCs w:val="20"/>
          <w:color w:val="auto"/>
        </w:rPr>
      </w:pPr>
    </w:p>
    <w:p>
      <w:pPr>
        <w:ind w:left="2900"/>
        <w:spacing w:after="0"/>
        <w:tabs>
          <w:tab w:leader="none" w:pos="3480" w:val="left"/>
          <w:tab w:leader="none" w:pos="3800" w:val="left"/>
          <w:tab w:leader="none" w:pos="4420" w:val="left"/>
          <w:tab w:leader="none" w:pos="4660" w:val="left"/>
          <w:tab w:leader="none" w:pos="5200" w:val="left"/>
          <w:tab w:leader="none" w:pos="5560" w:val="left"/>
          <w:tab w:leader="none" w:pos="6000" w:val="left"/>
        </w:tabs>
        <w:rPr>
          <w:sz w:val="20"/>
          <w:szCs w:val="20"/>
          <w:color w:val="auto"/>
        </w:rPr>
      </w:pPr>
      <w:r>
        <w:rPr>
          <w:rFonts w:ascii="Arial" w:cs="Arial" w:eastAsia="Arial" w:hAnsi="Arial"/>
          <w:sz w:val="14"/>
          <w:szCs w:val="14"/>
          <w:color w:val="131E29"/>
        </w:rPr>
        <w:t>through</w:t>
        <w:tab/>
        <w:t>the</w:t>
        <w:tab/>
        <w:t>addition</w:t>
        <w:tab/>
        <w:t>of</w:t>
        <w:tab/>
        <w:t>flavors</w:t>
        <w:tab/>
        <w:t>and</w:t>
        <w:tab/>
        <w:t>other</w:t>
        <w:tab/>
        <w:t>modifiers</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including protein milk, boba, soft top and a variety of other</w:t>
      </w:r>
    </w:p>
    <w:p>
      <w:pPr>
        <w:spacing w:after="0" w:line="9" w:lineRule="exact"/>
        <w:rPr>
          <w:sz w:val="20"/>
          <w:szCs w:val="20"/>
          <w:color w:val="auto"/>
        </w:rPr>
      </w:pPr>
    </w:p>
    <w:p>
      <w:pPr>
        <w:ind w:left="2900"/>
        <w:spacing w:after="0"/>
        <w:tabs>
          <w:tab w:leader="none" w:pos="3440" w:val="left"/>
          <w:tab w:leader="none" w:pos="3800" w:val="left"/>
          <w:tab w:leader="none" w:pos="4500" w:val="left"/>
          <w:tab w:leader="none" w:pos="4820" w:val="left"/>
          <w:tab w:leader="none" w:pos="5380" w:val="left"/>
          <w:tab w:leader="none" w:pos="5720" w:val="left"/>
        </w:tabs>
        <w:rPr>
          <w:sz w:val="20"/>
          <w:szCs w:val="20"/>
          <w:color w:val="auto"/>
        </w:rPr>
      </w:pPr>
      <w:r>
        <w:rPr>
          <w:rFonts w:ascii="Arial" w:cs="Arial" w:eastAsia="Arial" w:hAnsi="Arial"/>
          <w:sz w:val="14"/>
          <w:szCs w:val="14"/>
          <w:color w:val="131E29"/>
        </w:rPr>
        <w:t>mix-ins</w:t>
        <w:tab/>
        <w:t>and</w:t>
        <w:tab/>
        <w:t>toppings.</w:t>
        <w:tab/>
        <w:t>We</w:t>
        <w:tab/>
        <w:t>believe</w:t>
        <w:tab/>
        <w:t>this</w:t>
        <w:tab/>
        <w:t>customization</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process helps create a competitive moat and drives a</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broad demographic appeal. Because of our robust pantry</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and “made-to-order” process, we also have the ability to</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tailor many of our drinks to specific dietary needs, including</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sugar-free, dairy-free, caffeine-free, and fat-free, which</w:t>
      </w:r>
    </w:p>
    <w:p>
      <w:pPr>
        <w:spacing w:after="0" w:line="9" w:lineRule="exact"/>
        <w:rPr>
          <w:sz w:val="20"/>
          <w:szCs w:val="20"/>
          <w:color w:val="auto"/>
        </w:rPr>
      </w:pPr>
    </w:p>
    <w:p>
      <w:pPr>
        <w:ind w:left="2900"/>
        <w:spacing w:after="0"/>
        <w:rPr>
          <w:sz w:val="20"/>
          <w:szCs w:val="20"/>
          <w:color w:val="auto"/>
        </w:rPr>
      </w:pPr>
      <w:r>
        <w:rPr>
          <w:rFonts w:ascii="Arial" w:cs="Arial" w:eastAsia="Arial" w:hAnsi="Arial"/>
          <w:sz w:val="14"/>
          <w:szCs w:val="14"/>
          <w:color w:val="131E29"/>
        </w:rPr>
        <w:t>positions us favorably as customer trends evolve.</w:t>
      </w: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Dutch Rewards Loyalty Program</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Dutch Rewards is our app-based digital loyalty program. In 2024, approximately 68% of all transactions were attributable to Dutch Rewards members, up from approximately 65% in 2023.</w:t>
      </w:r>
    </w:p>
    <w:p>
      <w:pPr>
        <w:spacing w:after="0" w:line="78" w:lineRule="exact"/>
        <w:rPr>
          <w:sz w:val="20"/>
          <w:szCs w:val="20"/>
          <w:color w:val="auto"/>
        </w:rPr>
      </w:pPr>
    </w:p>
    <w:p>
      <w:pPr>
        <w:jc w:val="both"/>
        <w:ind w:left="20" w:right="6640"/>
        <w:spacing w:after="0" w:line="265" w:lineRule="auto"/>
        <w:rPr>
          <w:sz w:val="20"/>
          <w:szCs w:val="20"/>
          <w:color w:val="auto"/>
        </w:rPr>
      </w:pPr>
      <w:r>
        <w:rPr>
          <w:rFonts w:ascii="Arial" w:cs="Arial" w:eastAsia="Arial" w:hAnsi="Arial"/>
          <w:sz w:val="14"/>
          <w:szCs w:val="14"/>
          <w:color w:val="131E29"/>
        </w:rPr>
        <w:t>Dutch Rewards uses a spend-based model, where customers collect points that can be redeemed for rewards. These rewards can be utilized to receive free drinks or shared with others. Points and rewards generally expire after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3028315</wp:posOffset>
            </wp:positionH>
            <wp:positionV relativeFrom="paragraph">
              <wp:posOffset>-441325</wp:posOffset>
            </wp:positionV>
            <wp:extent cx="1030605" cy="2183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0605" cy="2183130"/>
                    </a:xfrm>
                    <a:prstGeom prst="rect">
                      <a:avLst/>
                    </a:prstGeom>
                    <a:noFill/>
                  </pic:spPr>
                </pic:pic>
              </a:graphicData>
            </a:graphic>
          </wp:anchor>
        </w:drawing>
      </w:r>
    </w:p>
    <w:p>
      <w:pPr>
        <w:spacing w:after="0" w:line="33" w:lineRule="exact"/>
        <w:rPr>
          <w:sz w:val="20"/>
          <w:szCs w:val="20"/>
          <w:color w:val="auto"/>
        </w:rPr>
      </w:pPr>
    </w:p>
    <w:p>
      <w:pPr>
        <w:jc w:val="both"/>
        <w:ind w:left="20" w:right="6640"/>
        <w:spacing w:after="0" w:line="259" w:lineRule="auto"/>
        <w:rPr>
          <w:sz w:val="20"/>
          <w:szCs w:val="20"/>
          <w:color w:val="auto"/>
        </w:rPr>
      </w:pPr>
      <w:r>
        <w:rPr>
          <w:rFonts w:ascii="Arial" w:cs="Arial" w:eastAsia="Arial" w:hAnsi="Arial"/>
          <w:sz w:val="14"/>
          <w:szCs w:val="14"/>
          <w:color w:val="131E29"/>
        </w:rPr>
        <w:t>We offer members the ability to preload funds on their account and pay through our app, a function we call Dutch Pass. In addition to being convenient for customers, Dutch Pass enables us to increase our speed of service by reducing the payment collection time. Our Dutch Pass functionality also allows users to purchase and share digital gift cards, providing more customers the opportunity to share in the Dutch Bros experience.</w:t>
      </w:r>
    </w:p>
    <w:p>
      <w:pPr>
        <w:spacing w:after="0" w:line="184" w:lineRule="exact"/>
        <w:rPr>
          <w:sz w:val="20"/>
          <w:szCs w:val="20"/>
          <w:color w:val="auto"/>
        </w:rPr>
      </w:pPr>
    </w:p>
    <w:p>
      <w:pPr>
        <w:jc w:val="both"/>
        <w:ind w:left="20" w:right="6640"/>
        <w:spacing w:after="0" w:line="258" w:lineRule="auto"/>
        <w:rPr>
          <w:sz w:val="20"/>
          <w:szCs w:val="20"/>
          <w:color w:val="auto"/>
        </w:rPr>
      </w:pPr>
      <w:r>
        <w:rPr>
          <w:rFonts w:ascii="Arial" w:cs="Arial" w:eastAsia="Arial" w:hAnsi="Arial"/>
          <w:sz w:val="14"/>
          <w:szCs w:val="14"/>
          <w:color w:val="131E29"/>
        </w:rPr>
        <w:t>We utilize Dutch Rewards to communicate and interact directly with our customers and drive traffic. We see an opportunity to continue enhancing the sophistication of our segmentation and targeting efforts, using consumer insights to drive behaviors that we expect will create lasting value. We intend to continue investing in consumer insights and moving toward more personalized marketing to offer targeted messaging, offers, and rewards that enhance the Dutch Bros experience at an attractive return on investment.</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Mobile Order</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2024, we launched mobile order functionality within our Dutch Rewards app. As of December 31, 2024, over 95% of systemwide shops had mobile order functionality enabled. In most cases, customers can choose to park and pick-up at our walk-up window or pick up their order in our drive thru. To date, many customers have chosen to utilize the pick-up feature, which we believe has considerable capacity. Whether customers choose our drive thru or walk-up window, their drink is personally delivered with a friendly interaction from a broista, which we believe helps maintain and strengthen service and connection as competitive differentiators.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mobile order system interacts with our existing point-of-sale and kitchen display system, easing integration with our operations. We believe our shops are well situated for mobile order, with multiple beverage production bars and escape lanes and pick-up windows at many of our shops. We have the ability to throttle production at peak times to help ensure smooth operations.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 w:name="page11"/>
    <w:bookmarkEnd w:id="1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believe mobile order provides enhanced convenience to our customers, allowing for orders to be placed in advance of customers arriving at a shop and offering an alternative to waiting in line. Compared to our peers in the beverage industry, we believe we have an opportunity to drive traffic in the morning daypart. Mobile order may present an opportunity to appeal to a broader range of customers who may be time-constrained in the morning and have not previously considered Dutch Bros as part of their morning routine.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Shops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Speed is core to what we do at Dutch Bros. We primarily utilize a drive-thru model: approximately 90% of our business is conducted through the drive-thru with the remaining 10% conducted at our walk-up windows. The vast majority of our shops do not have lobbies with customer seating areas. We believe this business model places a premium on customer convenience without sacrificing the personal experience. Our shops and our real estate strategy are designed from the ground up to support this drive-thru centric business.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Although our shops typically have a smaller overall footprint than other drive-thru formats, essentially all of our square footage is used to support the production of beverages. We typically target lots that are at least 25,000 square feet to handle substantial car volume. Except for a handful of legacy “coffee houses,” which do have lobby areas, our shops are designed to enable customers to drive-thru or walk-up and enjoy their beverage off premises. Most of our shops feature either a single or double drive-thru window with multiple feeder lanes for traffic flow and a walk-up window.</w:t>
      </w:r>
    </w:p>
    <w:p>
      <w:pPr>
        <w:spacing w:after="0" w:line="95" w:lineRule="exact"/>
        <w:rPr>
          <w:sz w:val="20"/>
          <w:szCs w:val="20"/>
          <w:color w:val="auto"/>
        </w:rPr>
      </w:pPr>
    </w:p>
    <w:p>
      <w:pPr>
        <w:ind w:left="20"/>
        <w:spacing w:after="0"/>
        <w:tabs>
          <w:tab w:leader="none" w:pos="2200" w:val="left"/>
          <w:tab w:leader="none" w:pos="5040" w:val="left"/>
        </w:tabs>
        <w:rPr>
          <w:sz w:val="20"/>
          <w:szCs w:val="20"/>
          <w:color w:val="auto"/>
        </w:rPr>
      </w:pPr>
      <w:r>
        <w:rPr>
          <w:rFonts w:ascii="Arial" w:cs="Arial" w:eastAsia="Arial" w:hAnsi="Arial"/>
          <w:sz w:val="14"/>
          <w:szCs w:val="14"/>
          <w:b w:val="1"/>
          <w:bCs w:val="1"/>
          <w:color w:val="006098"/>
        </w:rPr>
        <w:t>Legacy Configuration</w:t>
      </w:r>
      <w:r>
        <w:rPr>
          <w:sz w:val="20"/>
          <w:szCs w:val="20"/>
          <w:color w:val="auto"/>
        </w:rPr>
        <w:tab/>
      </w:r>
      <w:r>
        <w:rPr>
          <w:rFonts w:ascii="Arial" w:cs="Arial" w:eastAsia="Arial" w:hAnsi="Arial"/>
          <w:sz w:val="14"/>
          <w:szCs w:val="14"/>
          <w:b w:val="1"/>
          <w:bCs w:val="1"/>
          <w:color w:val="006098"/>
        </w:rPr>
        <w:t>Current Configuration</w:t>
      </w:r>
      <w:r>
        <w:rPr>
          <w:sz w:val="20"/>
          <w:szCs w:val="20"/>
          <w:color w:val="auto"/>
        </w:rPr>
        <w:tab/>
      </w:r>
      <w:r>
        <w:rPr>
          <w:rFonts w:ascii="Arial" w:cs="Arial" w:eastAsia="Arial" w:hAnsi="Arial"/>
          <w:sz w:val="14"/>
          <w:szCs w:val="14"/>
          <w:b w:val="1"/>
          <w:bCs w:val="1"/>
          <w:color w:val="006098"/>
        </w:rPr>
        <w:t>Endcap Configuration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48260</wp:posOffset>
            </wp:positionV>
            <wp:extent cx="4601845" cy="1165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0184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2200" w:val="left"/>
          <w:tab w:leader="none" w:pos="5040" w:val="left"/>
        </w:tabs>
        <w:rPr>
          <w:sz w:val="20"/>
          <w:szCs w:val="20"/>
          <w:color w:val="auto"/>
        </w:rPr>
      </w:pPr>
      <w:r>
        <w:rPr>
          <w:rFonts w:ascii="Arial" w:cs="Arial" w:eastAsia="Arial" w:hAnsi="Arial"/>
          <w:sz w:val="14"/>
          <w:szCs w:val="14"/>
          <w:b w:val="1"/>
          <w:bCs w:val="1"/>
          <w:color w:val="131E29"/>
        </w:rPr>
        <w:t xml:space="preserve">Size: </w:t>
      </w:r>
      <w:r>
        <w:rPr>
          <w:rFonts w:ascii="Arial" w:cs="Arial" w:eastAsia="Arial" w:hAnsi="Arial"/>
          <w:sz w:val="14"/>
          <w:szCs w:val="14"/>
          <w:color w:val="131E29"/>
        </w:rPr>
        <w:t>~500 square feet</w:t>
      </w:r>
      <w:r>
        <w:rPr>
          <w:sz w:val="20"/>
          <w:szCs w:val="20"/>
          <w:color w:val="auto"/>
        </w:rPr>
        <w:tab/>
      </w:r>
      <w:r>
        <w:rPr>
          <w:rFonts w:ascii="Arial" w:cs="Arial" w:eastAsia="Arial" w:hAnsi="Arial"/>
          <w:sz w:val="14"/>
          <w:szCs w:val="14"/>
          <w:b w:val="1"/>
          <w:bCs w:val="1"/>
          <w:color w:val="131E29"/>
        </w:rPr>
        <w:t xml:space="preserve">Size: </w:t>
      </w:r>
      <w:r>
        <w:rPr>
          <w:rFonts w:ascii="Arial" w:cs="Arial" w:eastAsia="Arial" w:hAnsi="Arial"/>
          <w:sz w:val="14"/>
          <w:szCs w:val="14"/>
          <w:color w:val="131E29"/>
        </w:rPr>
        <w:t>~800-1,000 square feet</w:t>
      </w:r>
      <w:r>
        <w:rPr>
          <w:sz w:val="20"/>
          <w:szCs w:val="20"/>
          <w:color w:val="auto"/>
        </w:rPr>
        <w:tab/>
      </w:r>
      <w:r>
        <w:rPr>
          <w:rFonts w:ascii="Arial" w:cs="Arial" w:eastAsia="Arial" w:hAnsi="Arial"/>
          <w:sz w:val="14"/>
          <w:szCs w:val="14"/>
          <w:b w:val="1"/>
          <w:bCs w:val="1"/>
          <w:color w:val="131E29"/>
        </w:rPr>
        <w:t xml:space="preserve">Size: </w:t>
      </w:r>
      <w:r>
        <w:rPr>
          <w:rFonts w:ascii="Arial" w:cs="Arial" w:eastAsia="Arial" w:hAnsi="Arial"/>
          <w:sz w:val="14"/>
          <w:szCs w:val="14"/>
          <w:color w:val="131E29"/>
        </w:rPr>
        <w:t>~1,200 square feet</w:t>
      </w:r>
    </w:p>
    <w:p>
      <w:pPr>
        <w:spacing w:after="0" w:line="94" w:lineRule="exact"/>
        <w:rPr>
          <w:sz w:val="20"/>
          <w:szCs w:val="20"/>
          <w:color w:val="auto"/>
        </w:rPr>
      </w:pPr>
    </w:p>
    <w:p>
      <w:pPr>
        <w:ind w:left="20"/>
        <w:spacing w:after="0"/>
        <w:tabs>
          <w:tab w:leader="none" w:pos="2200" w:val="left"/>
          <w:tab w:leader="none" w:pos="5040" w:val="left"/>
        </w:tabs>
        <w:rPr>
          <w:sz w:val="20"/>
          <w:szCs w:val="20"/>
          <w:color w:val="auto"/>
        </w:rPr>
      </w:pPr>
      <w:r>
        <w:rPr>
          <w:rFonts w:ascii="Arial" w:cs="Arial" w:eastAsia="Arial" w:hAnsi="Arial"/>
          <w:sz w:val="14"/>
          <w:szCs w:val="14"/>
          <w:b w:val="1"/>
          <w:bCs w:val="1"/>
          <w:color w:val="131E29"/>
        </w:rPr>
        <w:t xml:space="preserve">Geographies: </w:t>
      </w:r>
      <w:r>
        <w:rPr>
          <w:rFonts w:ascii="Arial" w:cs="Arial" w:eastAsia="Arial" w:hAnsi="Arial"/>
          <w:sz w:val="14"/>
          <w:szCs w:val="14"/>
          <w:color w:val="131E29"/>
        </w:rPr>
        <w:t>Legacy West</w:t>
      </w:r>
      <w:r>
        <w:rPr>
          <w:sz w:val="20"/>
          <w:szCs w:val="20"/>
          <w:color w:val="auto"/>
        </w:rPr>
        <w:tab/>
      </w:r>
      <w:r>
        <w:rPr>
          <w:rFonts w:ascii="Arial" w:cs="Arial" w:eastAsia="Arial" w:hAnsi="Arial"/>
          <w:sz w:val="14"/>
          <w:szCs w:val="14"/>
          <w:b w:val="1"/>
          <w:bCs w:val="1"/>
          <w:color w:val="131E29"/>
        </w:rPr>
        <w:t xml:space="preserve">Geographies: </w:t>
      </w:r>
      <w:r>
        <w:rPr>
          <w:rFonts w:ascii="Arial" w:cs="Arial" w:eastAsia="Arial" w:hAnsi="Arial"/>
          <w:sz w:val="14"/>
          <w:szCs w:val="14"/>
          <w:color w:val="131E29"/>
        </w:rPr>
        <w:t>Widespread</w:t>
      </w:r>
      <w:r>
        <w:rPr>
          <w:sz w:val="20"/>
          <w:szCs w:val="20"/>
          <w:color w:val="auto"/>
        </w:rPr>
        <w:tab/>
      </w:r>
      <w:r>
        <w:rPr>
          <w:rFonts w:ascii="Arial" w:cs="Arial" w:eastAsia="Arial" w:hAnsi="Arial"/>
          <w:sz w:val="14"/>
          <w:szCs w:val="14"/>
          <w:b w:val="1"/>
          <w:bCs w:val="1"/>
          <w:color w:val="131E29"/>
        </w:rPr>
        <w:t xml:space="preserve">Geographies: </w:t>
      </w:r>
      <w:r>
        <w:rPr>
          <w:rFonts w:ascii="Arial" w:cs="Arial" w:eastAsia="Arial" w:hAnsi="Arial"/>
          <w:sz w:val="14"/>
          <w:szCs w:val="14"/>
          <w:color w:val="131E29"/>
        </w:rPr>
        <w:t>Select Locations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Coast</w:t>
      </w:r>
    </w:p>
    <w:p>
      <w:pPr>
        <w:sectPr>
          <w:pgSz w:w="11900" w:h="16838" w:orient="portrait"/>
          <w:cols w:equalWidth="0" w:num="1">
            <w:col w:w="11280"/>
          </w:cols>
          <w:pgMar w:left="300" w:top="133" w:right="319" w:bottom="1440" w:gutter="0" w:footer="0" w:header="0"/>
        </w:sectPr>
      </w:pPr>
    </w:p>
    <w:p>
      <w:pPr>
        <w:spacing w:after="0" w:line="80" w:lineRule="exact"/>
        <w:rPr>
          <w:sz w:val="20"/>
          <w:szCs w:val="20"/>
          <w:color w:val="auto"/>
        </w:rPr>
      </w:pPr>
    </w:p>
    <w:p>
      <w:pPr>
        <w:jc w:val="both"/>
        <w:ind w:left="20"/>
        <w:spacing w:after="0" w:line="262" w:lineRule="auto"/>
        <w:rPr>
          <w:sz w:val="20"/>
          <w:szCs w:val="20"/>
          <w:color w:val="auto"/>
        </w:rPr>
      </w:pPr>
      <w:r>
        <w:rPr>
          <w:rFonts w:ascii="Arial" w:cs="Arial" w:eastAsia="Arial" w:hAnsi="Arial"/>
          <w:sz w:val="14"/>
          <w:szCs w:val="14"/>
          <w:b w:val="1"/>
          <w:bCs w:val="1"/>
          <w:color w:val="131E29"/>
        </w:rPr>
        <w:t xml:space="preserve">Characteristics: </w:t>
      </w:r>
      <w:r>
        <w:rPr>
          <w:rFonts w:ascii="Arial" w:cs="Arial" w:eastAsia="Arial" w:hAnsi="Arial"/>
          <w:sz w:val="14"/>
          <w:szCs w:val="14"/>
          <w:color w:val="131E29"/>
        </w:rPr>
        <w:t>May have</w:t>
      </w:r>
      <w:r>
        <w:rPr>
          <w:rFonts w:ascii="Arial" w:cs="Arial" w:eastAsia="Arial" w:hAnsi="Arial"/>
          <w:sz w:val="14"/>
          <w:szCs w:val="14"/>
          <w:b w:val="1"/>
          <w:bCs w:val="1"/>
          <w:color w:val="131E29"/>
        </w:rPr>
        <w:t xml:space="preserve"> </w:t>
      </w:r>
      <w:r>
        <w:rPr>
          <w:rFonts w:ascii="Arial" w:cs="Arial" w:eastAsia="Arial" w:hAnsi="Arial"/>
          <w:sz w:val="14"/>
          <w:szCs w:val="14"/>
          <w:color w:val="131E29"/>
        </w:rPr>
        <w:t>drive-thru lanes on both sides of the building; walk-up window optional; no lobby; storage outbuilding may be needed.</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color w:val="131E29"/>
        </w:rPr>
        <w:t xml:space="preserve">Characteristics: </w:t>
      </w:r>
      <w:r>
        <w:rPr>
          <w:rFonts w:ascii="Arial" w:cs="Arial" w:eastAsia="Arial" w:hAnsi="Arial"/>
          <w:sz w:val="14"/>
          <w:szCs w:val="14"/>
          <w:color w:val="131E29"/>
        </w:rPr>
        <w:t>Multiple drive-thru lanes</w:t>
      </w:r>
      <w:r>
        <w:rPr>
          <w:rFonts w:ascii="Arial" w:cs="Arial" w:eastAsia="Arial" w:hAnsi="Arial"/>
          <w:sz w:val="14"/>
          <w:szCs w:val="14"/>
          <w:b w:val="1"/>
          <w:bCs w:val="1"/>
          <w:color w:val="131E29"/>
        </w:rPr>
        <w:t xml:space="preserve"> </w:t>
      </w:r>
      <w:r>
        <w:rPr>
          <w:rFonts w:ascii="Arial" w:cs="Arial" w:eastAsia="Arial" w:hAnsi="Arial"/>
          <w:sz w:val="14"/>
          <w:szCs w:val="14"/>
          <w:color w:val="131E29"/>
        </w:rPr>
        <w:t>served by one window; ample car stacking and circulation, escape lane likely; walk-up window standard; no lobby.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131E29"/>
        </w:rPr>
        <w:t xml:space="preserve">Characteristics: </w:t>
      </w:r>
      <w:r>
        <w:rPr>
          <w:rFonts w:ascii="Arial" w:cs="Arial" w:eastAsia="Arial" w:hAnsi="Arial"/>
          <w:sz w:val="14"/>
          <w:szCs w:val="14"/>
          <w:color w:val="131E29"/>
        </w:rPr>
        <w:t>Attached to the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131E29"/>
        </w:rPr>
        <w:t>end of a strip center or purpose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built  with  co-tenants;  may  have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lobby with walk-up window, but no</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seating.</w:t>
      </w:r>
    </w:p>
    <w:p>
      <w:pPr>
        <w:spacing w:after="0" w:line="174" w:lineRule="exact"/>
        <w:rPr>
          <w:sz w:val="20"/>
          <w:szCs w:val="20"/>
          <w:color w:val="auto"/>
        </w:rPr>
      </w:pPr>
    </w:p>
    <w:p>
      <w:pPr>
        <w:sectPr>
          <w:pgSz w:w="11900" w:h="16838" w:orient="portrait"/>
          <w:cols w:equalWidth="0" w:num="3">
            <w:col w:w="2120" w:space="100"/>
            <w:col w:w="2740" w:space="100"/>
            <w:col w:w="6220"/>
          </w:cols>
          <w:pgMar w:left="300" w:top="133" w:right="319" w:bottom="1440" w:gutter="0" w:footer="0" w:header="0"/>
          <w:type w:val="continuous"/>
        </w:sectPr>
      </w:pPr>
    </w:p>
    <w:p>
      <w:pPr>
        <w:ind w:right="20"/>
        <w:spacing w:after="0" w:line="290" w:lineRule="auto"/>
        <w:rPr>
          <w:sz w:val="20"/>
          <w:szCs w:val="20"/>
          <w:color w:val="auto"/>
        </w:rPr>
      </w:pPr>
      <w:r>
        <w:rPr>
          <w:rFonts w:ascii="Arial" w:cs="Arial" w:eastAsia="Arial" w:hAnsi="Arial"/>
          <w:sz w:val="14"/>
          <w:szCs w:val="14"/>
          <w:color w:val="131E29"/>
        </w:rPr>
        <w:t>When our shops are busy, a “runner” broista leaves the shop and greets our customers before they reach the drive-thru window. The runner explains the menu and helps customers personalize their orders. Using tablets, our runners take orders, sending them to broistas inside the shop, who utilize our flexible systems to hand-craft custom beverages.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Many of our shops also have walk-up ordering windows and “escape lanes” that enable customers to exit the line after a runner delivers their drink before reaching the window, helping increase throughput and reducing congestion. For illustration of our shop model, see the graphic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31750</wp:posOffset>
            </wp:positionV>
            <wp:extent cx="4204335" cy="1664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204335" cy="166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Long-Term Franchise Partners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believe we have a high-quality and strong franchise base, made up of long-term franchise partners. Many of these franchise partners began their Dutch Bros journeys working in the shops as broistas.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Throughout our history, we have used a variety of development models, including both franchise and company-operated led growth. We currently utilize a mixed model, where we continue to encourage our franchisees to develop within their existing operating areas (where we believe there is significant room for continued growth) while developing new regions with company-operated shops.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Since 2017, our focus has been a company-operated strategy with all operators recruited from within our system. While we maintain great relationships with our existing franchise partners and they continue to open new shops as they look to infill their high-demand markets, we anticipate that the majority of new shops we open each year will be company-operated shops.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OUR GROWTH STRATEGIES</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are a high-growth company with considerable whitespace and opportunities. We will continue expanding our business to positively impact our communities through the following growth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45085</wp:posOffset>
            </wp:positionV>
            <wp:extent cx="707390" cy="1064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7390" cy="1064260"/>
                    </a:xfrm>
                    <a:prstGeom prst="rect">
                      <a:avLst/>
                    </a:prstGeom>
                    <a:noFill/>
                  </pic:spPr>
                </pic:pic>
              </a:graphicData>
            </a:graphic>
          </wp:anchor>
        </w:drawing>
      </w:r>
    </w:p>
    <w:p>
      <w:pPr>
        <w:spacing w:after="0" w:line="68"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006098"/>
        </w:rPr>
        <w:t>GROW OUR PEOPLE: SCALE OUR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55245</wp:posOffset>
            </wp:positionV>
            <wp:extent cx="3314700" cy="141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14700" cy="141605"/>
                    </a:xfrm>
                    <a:prstGeom prst="rect">
                      <a:avLst/>
                    </a:prstGeom>
                    <a:noFill/>
                  </pic:spPr>
                </pic:pic>
              </a:graphicData>
            </a:graphic>
          </wp:anchor>
        </w:drawing>
        <w:drawing>
          <wp:anchor simplePos="0" relativeHeight="251657728" behindDoc="1" locked="0" layoutInCell="0" allowOverlap="1">
            <wp:simplePos x="0" y="0"/>
            <wp:positionH relativeFrom="column">
              <wp:posOffset>919480</wp:posOffset>
            </wp:positionH>
            <wp:positionV relativeFrom="paragraph">
              <wp:posOffset>28575</wp:posOffset>
            </wp:positionV>
            <wp:extent cx="331470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14700" cy="6985"/>
                    </a:xfrm>
                    <a:prstGeom prst="rect">
                      <a:avLst/>
                    </a:prstGeom>
                    <a:noFill/>
                  </pic:spPr>
                </pic:pic>
              </a:graphicData>
            </a:graphic>
          </wp:anchor>
        </w:drawing>
      </w:r>
    </w:p>
    <w:p>
      <w:pPr>
        <w:spacing w:after="0" w:line="84" w:lineRule="exact"/>
        <w:rPr>
          <w:sz w:val="20"/>
          <w:szCs w:val="20"/>
          <w:color w:val="auto"/>
        </w:rPr>
      </w:pPr>
    </w:p>
    <w:p>
      <w:pPr>
        <w:ind w:left="1720" w:hanging="258"/>
        <w:spacing w:after="0"/>
        <w:tabs>
          <w:tab w:leader="none" w:pos="1720"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Recruit, develop, and retain great people</w:t>
      </w:r>
    </w:p>
    <w:p>
      <w:pPr>
        <w:spacing w:after="0" w:line="125" w:lineRule="exact"/>
        <w:rPr>
          <w:rFonts w:ascii="Arial" w:cs="Arial" w:eastAsia="Arial" w:hAnsi="Arial"/>
          <w:sz w:val="14"/>
          <w:szCs w:val="14"/>
          <w:color w:val="131E29"/>
        </w:rPr>
      </w:pPr>
    </w:p>
    <w:p>
      <w:pPr>
        <w:jc w:val="both"/>
        <w:ind w:left="1720" w:right="4640" w:hanging="258"/>
        <w:spacing w:after="0" w:line="271" w:lineRule="auto"/>
        <w:tabs>
          <w:tab w:leader="none" w:pos="1716"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Provide robust internal training and career advancement programs, which help develop a high-quality talent pool of candidates seeking larger roles within the Company</w:t>
      </w:r>
    </w:p>
    <w:p>
      <w:pPr>
        <w:spacing w:after="0" w:line="70" w:lineRule="exact"/>
        <w:rPr>
          <w:rFonts w:ascii="Arial" w:cs="Arial" w:eastAsia="Arial" w:hAnsi="Arial"/>
          <w:sz w:val="14"/>
          <w:szCs w:val="14"/>
          <w:color w:val="131E29"/>
        </w:rPr>
      </w:pPr>
    </w:p>
    <w:p>
      <w:pPr>
        <w:ind w:left="1720" w:right="4620" w:hanging="258"/>
        <w:spacing w:after="0" w:line="290" w:lineRule="auto"/>
        <w:tabs>
          <w:tab w:leader="none" w:pos="1716"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Target 100% internal promotion for regional operators from a list of 400+ qualified candidates with an average tenure of 7 years</w:t>
      </w:r>
    </w:p>
    <w:p>
      <w:pPr>
        <w:spacing w:after="0" w:line="67" w:lineRule="exact"/>
        <w:rPr>
          <w:rFonts w:ascii="Arial" w:cs="Arial" w:eastAsia="Arial" w:hAnsi="Arial"/>
          <w:sz w:val="14"/>
          <w:szCs w:val="14"/>
          <w:color w:val="131E29"/>
        </w:rPr>
      </w:pPr>
    </w:p>
    <w:p>
      <w:pPr>
        <w:ind w:left="1720" w:hanging="258"/>
        <w:spacing w:after="0"/>
        <w:tabs>
          <w:tab w:leader="none" w:pos="1720" w:val="left"/>
        </w:tabs>
        <w:numPr>
          <w:ilvl w:val="0"/>
          <w:numId w:val="6"/>
        </w:numPr>
        <w:rPr>
          <w:rFonts w:ascii="Arial" w:cs="Arial" w:eastAsia="Arial" w:hAnsi="Arial"/>
          <w:sz w:val="14"/>
          <w:szCs w:val="14"/>
          <w:color w:val="131E29"/>
        </w:rPr>
      </w:pPr>
      <w:r>
        <w:rPr>
          <w:rFonts w:ascii="Arial" w:cs="Arial" w:eastAsia="Arial" w:hAnsi="Arial"/>
          <w:sz w:val="14"/>
          <w:szCs w:val="14"/>
          <w:color w:val="131E29"/>
        </w:rPr>
        <w:t>Invest in our leadership team to support operations and drive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-806450</wp:posOffset>
            </wp:positionV>
            <wp:extent cx="3314700" cy="855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14700" cy="85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 w:name="page13"/>
    <w:bookmarkEnd w:id="12"/>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664845</wp:posOffset>
            </wp:positionV>
            <wp:extent cx="727710" cy="970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710" cy="97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006098"/>
        </w:rPr>
        <w:t>GROW OUR SHOP BASE: EXECUTE ON OUR LARGE WHITESPACE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55245</wp:posOffset>
            </wp:positionV>
            <wp:extent cx="328803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88030" cy="134620"/>
                    </a:xfrm>
                    <a:prstGeom prst="rect">
                      <a:avLst/>
                    </a:prstGeom>
                    <a:noFill/>
                  </pic:spPr>
                </pic:pic>
              </a:graphicData>
            </a:graphic>
          </wp:anchor>
        </w:drawing>
        <w:drawing>
          <wp:anchor simplePos="0" relativeHeight="251657728" behindDoc="1" locked="0" layoutInCell="0" allowOverlap="1">
            <wp:simplePos x="0" y="0"/>
            <wp:positionH relativeFrom="column">
              <wp:posOffset>919480</wp:posOffset>
            </wp:positionH>
            <wp:positionV relativeFrom="paragraph">
              <wp:posOffset>28575</wp:posOffset>
            </wp:positionV>
            <wp:extent cx="328803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88030" cy="6985"/>
                    </a:xfrm>
                    <a:prstGeom prst="rect">
                      <a:avLst/>
                    </a:prstGeom>
                    <a:noFill/>
                  </pic:spPr>
                </pic:pic>
              </a:graphicData>
            </a:graphic>
          </wp:anchor>
        </w:drawing>
      </w:r>
    </w:p>
    <w:p>
      <w:pPr>
        <w:spacing w:after="0" w:line="74" w:lineRule="exact"/>
        <w:rPr>
          <w:sz w:val="20"/>
          <w:szCs w:val="20"/>
          <w:color w:val="auto"/>
        </w:rPr>
      </w:pPr>
    </w:p>
    <w:p>
      <w:pPr>
        <w:ind w:left="1720" w:hanging="258"/>
        <w:spacing w:after="0"/>
        <w:tabs>
          <w:tab w:leader="none" w:pos="1720" w:val="left"/>
        </w:tabs>
        <w:numPr>
          <w:ilvl w:val="0"/>
          <w:numId w:val="7"/>
        </w:numPr>
        <w:rPr>
          <w:rFonts w:ascii="Arial" w:cs="Arial" w:eastAsia="Arial" w:hAnsi="Arial"/>
          <w:sz w:val="14"/>
          <w:szCs w:val="14"/>
          <w:color w:val="131E29"/>
        </w:rPr>
      </w:pPr>
      <w:r>
        <w:rPr>
          <w:rFonts w:ascii="Arial" w:cs="Arial" w:eastAsia="Arial" w:hAnsi="Arial"/>
          <w:sz w:val="14"/>
          <w:szCs w:val="14"/>
          <w:color w:val="131E29"/>
        </w:rPr>
        <w:t>Open new shops with superior financial returns</w:t>
      </w:r>
    </w:p>
    <w:p>
      <w:pPr>
        <w:spacing w:after="0" w:line="104" w:lineRule="exact"/>
        <w:rPr>
          <w:rFonts w:ascii="Arial" w:cs="Arial" w:eastAsia="Arial" w:hAnsi="Arial"/>
          <w:sz w:val="14"/>
          <w:szCs w:val="14"/>
          <w:color w:val="131E29"/>
        </w:rPr>
      </w:pPr>
    </w:p>
    <w:p>
      <w:pPr>
        <w:ind w:left="1720" w:hanging="258"/>
        <w:spacing w:after="0"/>
        <w:tabs>
          <w:tab w:leader="none" w:pos="1720" w:val="left"/>
        </w:tabs>
        <w:numPr>
          <w:ilvl w:val="0"/>
          <w:numId w:val="7"/>
        </w:numPr>
        <w:rPr>
          <w:rFonts w:ascii="Arial" w:cs="Arial" w:eastAsia="Arial" w:hAnsi="Arial"/>
          <w:sz w:val="14"/>
          <w:szCs w:val="14"/>
          <w:color w:val="131E29"/>
        </w:rPr>
      </w:pPr>
      <w:r>
        <w:rPr>
          <w:rFonts w:ascii="Arial" w:cs="Arial" w:eastAsia="Arial" w:hAnsi="Arial"/>
          <w:sz w:val="14"/>
          <w:szCs w:val="14"/>
          <w:color w:val="131E29"/>
        </w:rPr>
        <w:t>Target a “mid-teens” annual new shop growth rate</w:t>
      </w:r>
    </w:p>
    <w:p>
      <w:pPr>
        <w:spacing w:after="0" w:line="146" w:lineRule="exact"/>
        <w:rPr>
          <w:rFonts w:ascii="Arial" w:cs="Arial" w:eastAsia="Arial" w:hAnsi="Arial"/>
          <w:sz w:val="14"/>
          <w:szCs w:val="14"/>
          <w:color w:val="131E29"/>
        </w:rPr>
      </w:pPr>
    </w:p>
    <w:p>
      <w:pPr>
        <w:ind w:left="1720" w:right="4680" w:hanging="258"/>
        <w:spacing w:after="0" w:line="290" w:lineRule="auto"/>
        <w:tabs>
          <w:tab w:leader="none" w:pos="1716" w:val="left"/>
        </w:tabs>
        <w:numPr>
          <w:ilvl w:val="0"/>
          <w:numId w:val="7"/>
        </w:numPr>
        <w:rPr>
          <w:rFonts w:ascii="Arial" w:cs="Arial" w:eastAsia="Arial" w:hAnsi="Arial"/>
          <w:sz w:val="14"/>
          <w:szCs w:val="14"/>
          <w:color w:val="131E29"/>
        </w:rPr>
      </w:pPr>
      <w:r>
        <w:rPr>
          <w:rFonts w:ascii="Arial" w:cs="Arial" w:eastAsia="Arial" w:hAnsi="Arial"/>
          <w:sz w:val="14"/>
          <w:szCs w:val="14"/>
          <w:color w:val="131E29"/>
        </w:rPr>
        <w:t>Invest in our shop development teams so they can utilize new data sources, analytic techniques, and tighter underwriting standards</w:t>
      </w:r>
    </w:p>
    <w:p>
      <w:pPr>
        <w:spacing w:after="0" w:line="77" w:lineRule="exact"/>
        <w:rPr>
          <w:rFonts w:ascii="Arial" w:cs="Arial" w:eastAsia="Arial" w:hAnsi="Arial"/>
          <w:sz w:val="14"/>
          <w:szCs w:val="14"/>
          <w:color w:val="131E29"/>
        </w:rPr>
      </w:pPr>
    </w:p>
    <w:p>
      <w:pPr>
        <w:ind w:left="1720" w:right="4680" w:hanging="258"/>
        <w:spacing w:after="0" w:line="290" w:lineRule="auto"/>
        <w:tabs>
          <w:tab w:leader="none" w:pos="1716" w:val="left"/>
        </w:tabs>
        <w:numPr>
          <w:ilvl w:val="0"/>
          <w:numId w:val="7"/>
        </w:numPr>
        <w:rPr>
          <w:rFonts w:ascii="Arial" w:cs="Arial" w:eastAsia="Arial" w:hAnsi="Arial"/>
          <w:sz w:val="14"/>
          <w:szCs w:val="14"/>
          <w:color w:val="131E29"/>
        </w:rPr>
      </w:pPr>
      <w:r>
        <w:rPr>
          <w:rFonts w:ascii="Arial" w:cs="Arial" w:eastAsia="Arial" w:hAnsi="Arial"/>
          <w:sz w:val="14"/>
          <w:szCs w:val="14"/>
          <w:color w:val="131E29"/>
        </w:rPr>
        <w:t>Utilize a refined real estate strategy that balances penetration and pacing to support new shop productivity as we grow in new markets</w:t>
      </w:r>
    </w:p>
    <w:p>
      <w:pPr>
        <w:spacing w:after="0" w:line="268" w:lineRule="exact"/>
        <w:rPr>
          <w:rFonts w:ascii="Arial" w:cs="Arial" w:eastAsia="Arial" w:hAnsi="Arial"/>
          <w:sz w:val="14"/>
          <w:szCs w:val="14"/>
          <w:color w:val="131E29"/>
        </w:rPr>
      </w:pPr>
    </w:p>
    <w:p>
      <w:pPr>
        <w:ind w:left="1700"/>
        <w:spacing w:after="0"/>
        <w:rPr>
          <w:rFonts w:ascii="Arial" w:cs="Arial" w:eastAsia="Arial" w:hAnsi="Arial"/>
          <w:sz w:val="14"/>
          <w:szCs w:val="14"/>
          <w:color w:val="131E29"/>
        </w:rPr>
      </w:pPr>
      <w:r>
        <w:rPr>
          <w:rFonts w:ascii="Arial" w:cs="Arial" w:eastAsia="Arial" w:hAnsi="Arial"/>
          <w:sz w:val="14"/>
          <w:szCs w:val="14"/>
          <w:b w:val="1"/>
          <w:bCs w:val="1"/>
          <w:color w:val="006098"/>
        </w:rPr>
        <w:t>GROW TRANSACTIONS: DEVELOP SALES LAYERS</w:t>
      </w:r>
    </w:p>
    <w:p>
      <w:pPr>
        <w:spacing w:after="0" w:line="93" w:lineRule="exact"/>
        <w:rPr>
          <w:rFonts w:ascii="Arial" w:cs="Arial" w:eastAsia="Arial" w:hAnsi="Arial"/>
          <w:sz w:val="14"/>
          <w:szCs w:val="14"/>
          <w:color w:val="131E29"/>
        </w:rPr>
      </w:pPr>
    </w:p>
    <w:p>
      <w:pPr>
        <w:jc w:val="both"/>
        <w:ind w:left="1960" w:right="4680" w:hanging="254"/>
        <w:spacing w:after="0" w:line="271" w:lineRule="auto"/>
        <w:tabs>
          <w:tab w:leader="none" w:pos="1956" w:val="left"/>
        </w:tabs>
        <w:numPr>
          <w:ilvl w:val="1"/>
          <w:numId w:val="7"/>
        </w:numPr>
        <w:rPr>
          <w:rFonts w:ascii="Arial" w:cs="Arial" w:eastAsia="Arial" w:hAnsi="Arial"/>
          <w:sz w:val="14"/>
          <w:szCs w:val="14"/>
          <w:color w:val="131E29"/>
        </w:rPr>
      </w:pPr>
      <w:r>
        <w:rPr>
          <w:rFonts w:ascii="Arial" w:cs="Arial" w:eastAsia="Arial" w:hAnsi="Arial"/>
          <w:sz w:val="14"/>
          <w:szCs w:val="14"/>
          <w:b w:val="1"/>
          <w:bCs w:val="1"/>
          <w:color w:val="00416B"/>
        </w:rPr>
        <w:t xml:space="preserve">Innovation </w:t>
      </w:r>
      <w:r>
        <w:rPr>
          <w:rFonts w:ascii="Arial" w:cs="Arial" w:eastAsia="Arial" w:hAnsi="Arial"/>
          <w:sz w:val="14"/>
          <w:szCs w:val="14"/>
          <w:color w:val="131E29"/>
        </w:rPr>
        <w:t>- assume an innovation leadership position within the</w:t>
      </w:r>
      <w:r>
        <w:rPr>
          <w:rFonts w:ascii="Arial" w:cs="Arial" w:eastAsia="Arial" w:hAnsi="Arial"/>
          <w:sz w:val="14"/>
          <w:szCs w:val="14"/>
          <w:b w:val="1"/>
          <w:bCs w:val="1"/>
          <w:color w:val="00416B"/>
        </w:rPr>
        <w:t xml:space="preserve"> </w:t>
      </w:r>
      <w:r>
        <w:rPr>
          <w:rFonts w:ascii="Arial" w:cs="Arial" w:eastAsia="Arial" w:hAnsi="Arial"/>
          <w:sz w:val="14"/>
          <w:szCs w:val="14"/>
          <w:color w:val="131E29"/>
        </w:rPr>
        <w:t>beverage industry, keeping the brand fresh and encouraging trial and frequency</w:t>
      </w:r>
    </w:p>
    <w:p>
      <w:pPr>
        <w:spacing w:after="0" w:line="48" w:lineRule="exact"/>
        <w:rPr>
          <w:rFonts w:ascii="Arial" w:cs="Arial" w:eastAsia="Arial" w:hAnsi="Arial"/>
          <w:sz w:val="14"/>
          <w:szCs w:val="14"/>
          <w:color w:val="131E29"/>
        </w:rPr>
      </w:pPr>
    </w:p>
    <w:p>
      <w:pPr>
        <w:ind w:left="1960" w:right="4660" w:hanging="254"/>
        <w:spacing w:after="0" w:line="290" w:lineRule="auto"/>
        <w:tabs>
          <w:tab w:leader="none" w:pos="1956" w:val="left"/>
        </w:tabs>
        <w:numPr>
          <w:ilvl w:val="1"/>
          <w:numId w:val="7"/>
        </w:numPr>
        <w:rPr>
          <w:rFonts w:ascii="Arial" w:cs="Arial" w:eastAsia="Arial" w:hAnsi="Arial"/>
          <w:sz w:val="14"/>
          <w:szCs w:val="14"/>
          <w:color w:val="131E29"/>
        </w:rPr>
      </w:pPr>
      <w:r>
        <w:rPr>
          <w:rFonts w:ascii="Arial" w:cs="Arial" w:eastAsia="Arial" w:hAnsi="Arial"/>
          <w:sz w:val="14"/>
          <w:szCs w:val="14"/>
          <w:b w:val="1"/>
          <w:bCs w:val="1"/>
          <w:color w:val="00416B"/>
        </w:rPr>
        <w:t xml:space="preserve">Paid Media </w:t>
      </w:r>
      <w:r>
        <w:rPr>
          <w:rFonts w:ascii="Arial" w:cs="Arial" w:eastAsia="Arial" w:hAnsi="Arial"/>
          <w:sz w:val="14"/>
          <w:szCs w:val="14"/>
          <w:color w:val="131E29"/>
        </w:rPr>
        <w:t>- build brand awareness in new and existing markets through</w:t>
      </w:r>
      <w:r>
        <w:rPr>
          <w:rFonts w:ascii="Arial" w:cs="Arial" w:eastAsia="Arial" w:hAnsi="Arial"/>
          <w:sz w:val="14"/>
          <w:szCs w:val="14"/>
          <w:b w:val="1"/>
          <w:bCs w:val="1"/>
          <w:color w:val="00416B"/>
        </w:rPr>
        <w:t xml:space="preserve"> </w:t>
      </w:r>
      <w:r>
        <w:rPr>
          <w:rFonts w:ascii="Arial" w:cs="Arial" w:eastAsia="Arial" w:hAnsi="Arial"/>
          <w:sz w:val="14"/>
          <w:szCs w:val="14"/>
          <w:color w:val="131E29"/>
        </w:rPr>
        <w:t>enhanced messaging and elevated spending</w:t>
      </w:r>
    </w:p>
    <w:p>
      <w:pPr>
        <w:spacing w:after="0" w:line="35" w:lineRule="exact"/>
        <w:rPr>
          <w:rFonts w:ascii="Arial" w:cs="Arial" w:eastAsia="Arial" w:hAnsi="Arial"/>
          <w:sz w:val="14"/>
          <w:szCs w:val="14"/>
          <w:color w:val="131E29"/>
        </w:rPr>
      </w:pPr>
    </w:p>
    <w:p>
      <w:pPr>
        <w:ind w:left="1960" w:right="4680" w:hanging="254"/>
        <w:spacing w:after="0" w:line="290" w:lineRule="auto"/>
        <w:tabs>
          <w:tab w:leader="none" w:pos="1956" w:val="left"/>
        </w:tabs>
        <w:numPr>
          <w:ilvl w:val="1"/>
          <w:numId w:val="7"/>
        </w:numPr>
        <w:rPr>
          <w:rFonts w:ascii="Arial" w:cs="Arial" w:eastAsia="Arial" w:hAnsi="Arial"/>
          <w:sz w:val="14"/>
          <w:szCs w:val="14"/>
          <w:color w:val="131E29"/>
        </w:rPr>
      </w:pPr>
      <w:r>
        <w:rPr>
          <w:rFonts w:ascii="Arial" w:cs="Arial" w:eastAsia="Arial" w:hAnsi="Arial"/>
          <w:sz w:val="14"/>
          <w:szCs w:val="14"/>
          <w:b w:val="1"/>
          <w:bCs w:val="1"/>
          <w:color w:val="00416B"/>
        </w:rPr>
        <w:t xml:space="preserve">Dutch Rewards </w:t>
      </w:r>
      <w:r>
        <w:rPr>
          <w:rFonts w:ascii="Arial" w:cs="Arial" w:eastAsia="Arial" w:hAnsi="Arial"/>
          <w:sz w:val="14"/>
          <w:szCs w:val="14"/>
          <w:color w:val="131E29"/>
        </w:rPr>
        <w:t>- increase sophistication of our segmentation and offers</w:t>
      </w:r>
      <w:r>
        <w:rPr>
          <w:rFonts w:ascii="Arial" w:cs="Arial" w:eastAsia="Arial" w:hAnsi="Arial"/>
          <w:sz w:val="14"/>
          <w:szCs w:val="14"/>
          <w:b w:val="1"/>
          <w:bCs w:val="1"/>
          <w:color w:val="00416B"/>
        </w:rPr>
        <w:t xml:space="preserve"> </w:t>
      </w:r>
      <w:r>
        <w:rPr>
          <w:rFonts w:ascii="Arial" w:cs="Arial" w:eastAsia="Arial" w:hAnsi="Arial"/>
          <w:sz w:val="14"/>
          <w:szCs w:val="14"/>
          <w:color w:val="131E29"/>
        </w:rPr>
        <w:t>to drive more effective communication and higher frequency</w:t>
      </w:r>
    </w:p>
    <w:p>
      <w:pPr>
        <w:spacing w:after="0" w:line="35" w:lineRule="exact"/>
        <w:rPr>
          <w:rFonts w:ascii="Arial" w:cs="Arial" w:eastAsia="Arial" w:hAnsi="Arial"/>
          <w:sz w:val="14"/>
          <w:szCs w:val="14"/>
          <w:color w:val="131E29"/>
        </w:rPr>
      </w:pPr>
    </w:p>
    <w:p>
      <w:pPr>
        <w:jc w:val="both"/>
        <w:ind w:left="1960" w:right="4680" w:hanging="254"/>
        <w:spacing w:after="0" w:line="271" w:lineRule="auto"/>
        <w:tabs>
          <w:tab w:leader="none" w:pos="1956" w:val="left"/>
        </w:tabs>
        <w:numPr>
          <w:ilvl w:val="1"/>
          <w:numId w:val="7"/>
        </w:numPr>
        <w:rPr>
          <w:rFonts w:ascii="Arial" w:cs="Arial" w:eastAsia="Arial" w:hAnsi="Arial"/>
          <w:sz w:val="14"/>
          <w:szCs w:val="14"/>
          <w:color w:val="131E29"/>
        </w:rPr>
      </w:pPr>
      <w:r>
        <w:rPr>
          <w:rFonts w:ascii="Arial" w:cs="Arial" w:eastAsia="Arial" w:hAnsi="Arial"/>
          <w:sz w:val="14"/>
          <w:szCs w:val="14"/>
          <w:b w:val="1"/>
          <w:bCs w:val="1"/>
          <w:color w:val="00416B"/>
        </w:rPr>
        <w:t xml:space="preserve">Mobile Order </w:t>
      </w:r>
      <w:r>
        <w:rPr>
          <w:rFonts w:ascii="Arial" w:cs="Arial" w:eastAsia="Arial" w:hAnsi="Arial"/>
          <w:sz w:val="14"/>
          <w:szCs w:val="14"/>
          <w:color w:val="131E29"/>
        </w:rPr>
        <w:t>- offer greater convenience, widen our addressable</w:t>
      </w:r>
      <w:r>
        <w:rPr>
          <w:rFonts w:ascii="Arial" w:cs="Arial" w:eastAsia="Arial" w:hAnsi="Arial"/>
          <w:sz w:val="14"/>
          <w:szCs w:val="14"/>
          <w:b w:val="1"/>
          <w:bCs w:val="1"/>
          <w:color w:val="00416B"/>
        </w:rPr>
        <w:t xml:space="preserve"> </w:t>
      </w:r>
      <w:r>
        <w:rPr>
          <w:rFonts w:ascii="Arial" w:cs="Arial" w:eastAsia="Arial" w:hAnsi="Arial"/>
          <w:sz w:val="14"/>
          <w:szCs w:val="14"/>
          <w:color w:val="131E29"/>
        </w:rPr>
        <w:t>customer set, and seek to drive frequency, especially in the morning daypart where customers may have greater time constraints.</w:t>
      </w:r>
    </w:p>
    <w:p>
      <w:pPr>
        <w:spacing w:after="0" w:line="48" w:lineRule="exact"/>
        <w:rPr>
          <w:rFonts w:ascii="Arial" w:cs="Arial" w:eastAsia="Arial" w:hAnsi="Arial"/>
          <w:sz w:val="14"/>
          <w:szCs w:val="14"/>
          <w:color w:val="131E29"/>
        </w:rPr>
      </w:pPr>
    </w:p>
    <w:p>
      <w:pPr>
        <w:jc w:val="both"/>
        <w:ind w:left="1960" w:right="4680" w:hanging="254"/>
        <w:spacing w:after="0" w:line="262" w:lineRule="auto"/>
        <w:tabs>
          <w:tab w:leader="none" w:pos="1956" w:val="left"/>
        </w:tabs>
        <w:numPr>
          <w:ilvl w:val="1"/>
          <w:numId w:val="7"/>
        </w:numPr>
        <w:rPr>
          <w:rFonts w:ascii="Arial" w:cs="Arial" w:eastAsia="Arial" w:hAnsi="Arial"/>
          <w:sz w:val="14"/>
          <w:szCs w:val="14"/>
          <w:color w:val="131E29"/>
        </w:rPr>
      </w:pPr>
      <w:r>
        <w:rPr>
          <w:rFonts w:ascii="Arial" w:cs="Arial" w:eastAsia="Arial" w:hAnsi="Arial"/>
          <w:sz w:val="14"/>
          <w:szCs w:val="14"/>
          <w:b w:val="1"/>
          <w:bCs w:val="1"/>
          <w:color w:val="00416B"/>
        </w:rPr>
        <w:t xml:space="preserve">Food </w:t>
      </w:r>
      <w:r>
        <w:rPr>
          <w:rFonts w:ascii="Arial" w:cs="Arial" w:eastAsia="Arial" w:hAnsi="Arial"/>
          <w:sz w:val="14"/>
          <w:szCs w:val="14"/>
          <w:color w:val="131E29"/>
        </w:rPr>
        <w:t>- test an expanded food offering in 2025 to better address customer</w:t>
      </w:r>
      <w:r>
        <w:rPr>
          <w:rFonts w:ascii="Arial" w:cs="Arial" w:eastAsia="Arial" w:hAnsi="Arial"/>
          <w:sz w:val="14"/>
          <w:szCs w:val="14"/>
          <w:b w:val="1"/>
          <w:bCs w:val="1"/>
          <w:color w:val="00416B"/>
        </w:rPr>
        <w:t xml:space="preserve"> </w:t>
      </w:r>
      <w:r>
        <w:rPr>
          <w:rFonts w:ascii="Arial" w:cs="Arial" w:eastAsia="Arial" w:hAnsi="Arial"/>
          <w:sz w:val="14"/>
          <w:szCs w:val="14"/>
          <w:color w:val="131E29"/>
        </w:rPr>
        <w:t>needs in the critical morning daypart. We aim to capture beverage occasions that might be “lost” by potential customers who desire breakfast with their morning beverage and choose options other than Dutch Bros currently.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-2933065</wp:posOffset>
            </wp:positionV>
            <wp:extent cx="3288030" cy="774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88030" cy="77470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-1902460</wp:posOffset>
            </wp:positionV>
            <wp:extent cx="4197350" cy="30181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97350" cy="3018155"/>
                    </a:xfrm>
                    <a:prstGeom prst="rect">
                      <a:avLst/>
                    </a:prstGeom>
                    <a:noFill/>
                  </pic:spPr>
                </pic:pic>
              </a:graphicData>
            </a:graphic>
          </wp:anchor>
        </w:drawing>
      </w:r>
    </w:p>
    <w:p>
      <w:pPr>
        <w:spacing w:after="0" w:line="173" w:lineRule="exact"/>
        <w:rPr>
          <w:sz w:val="20"/>
          <w:szCs w:val="20"/>
          <w:color w:val="auto"/>
        </w:rPr>
      </w:pPr>
    </w:p>
    <w:p>
      <w:pPr>
        <w:ind w:left="1460"/>
        <w:spacing w:after="0"/>
        <w:rPr>
          <w:sz w:val="20"/>
          <w:szCs w:val="20"/>
          <w:color w:val="auto"/>
        </w:rPr>
      </w:pPr>
      <w:r>
        <w:rPr>
          <w:rFonts w:ascii="Arial" w:cs="Arial" w:eastAsia="Arial" w:hAnsi="Arial"/>
          <w:sz w:val="14"/>
          <w:szCs w:val="14"/>
          <w:b w:val="1"/>
          <w:bCs w:val="1"/>
          <w:color w:val="006098"/>
        </w:rPr>
        <w:t>GROW MARGINS: DELIVER LONG-TERM MARGIN EXPANSION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28575</wp:posOffset>
            </wp:positionV>
            <wp:extent cx="3288030" cy="2895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88030" cy="289560"/>
                    </a:xfrm>
                    <a:prstGeom prst="rect">
                      <a:avLst/>
                    </a:prstGeom>
                    <a:noFill/>
                  </pic:spPr>
                </pic:pic>
              </a:graphicData>
            </a:graphic>
          </wp:anchor>
        </w:drawing>
      </w:r>
    </w:p>
    <w:p>
      <w:pPr>
        <w:spacing w:after="0" w:line="105" w:lineRule="exact"/>
        <w:rPr>
          <w:sz w:val="20"/>
          <w:szCs w:val="20"/>
          <w:color w:val="auto"/>
        </w:rPr>
      </w:pPr>
    </w:p>
    <w:p>
      <w:pPr>
        <w:ind w:left="1720" w:right="4680" w:hanging="258"/>
        <w:spacing w:after="0" w:line="290" w:lineRule="auto"/>
        <w:tabs>
          <w:tab w:leader="none" w:pos="1716" w:val="left"/>
        </w:tabs>
        <w:numPr>
          <w:ilvl w:val="0"/>
          <w:numId w:val="8"/>
        </w:numPr>
        <w:rPr>
          <w:rFonts w:ascii="Arial" w:cs="Arial" w:eastAsia="Arial" w:hAnsi="Arial"/>
          <w:sz w:val="14"/>
          <w:szCs w:val="14"/>
          <w:color w:val="131E29"/>
        </w:rPr>
      </w:pPr>
      <w:r>
        <w:rPr>
          <w:rFonts w:ascii="Arial" w:cs="Arial" w:eastAsia="Arial" w:hAnsi="Arial"/>
          <w:sz w:val="14"/>
          <w:szCs w:val="14"/>
          <w:color w:val="131E29"/>
        </w:rPr>
        <w:t>Continue targeting year-2 contribution margins of 30%+ for new shops, which support quick paybacks and funds new unit growth</w:t>
      </w:r>
    </w:p>
    <w:p>
      <w:pPr>
        <w:spacing w:after="0" w:line="77" w:lineRule="exact"/>
        <w:rPr>
          <w:rFonts w:ascii="Arial" w:cs="Arial" w:eastAsia="Arial" w:hAnsi="Arial"/>
          <w:sz w:val="14"/>
          <w:szCs w:val="14"/>
          <w:color w:val="131E29"/>
        </w:rPr>
      </w:pPr>
    </w:p>
    <w:p>
      <w:pPr>
        <w:jc w:val="both"/>
        <w:ind w:left="1720" w:right="4680" w:hanging="258"/>
        <w:spacing w:after="0" w:line="271" w:lineRule="auto"/>
        <w:tabs>
          <w:tab w:leader="none" w:pos="1716" w:val="left"/>
        </w:tabs>
        <w:numPr>
          <w:ilvl w:val="0"/>
          <w:numId w:val="8"/>
        </w:numPr>
        <w:rPr>
          <w:rFonts w:ascii="Arial" w:cs="Arial" w:eastAsia="Arial" w:hAnsi="Arial"/>
          <w:sz w:val="14"/>
          <w:szCs w:val="14"/>
          <w:color w:val="131E29"/>
        </w:rPr>
      </w:pPr>
      <w:r>
        <w:rPr>
          <w:rFonts w:ascii="Arial" w:cs="Arial" w:eastAsia="Arial" w:hAnsi="Arial"/>
          <w:sz w:val="14"/>
          <w:szCs w:val="14"/>
          <w:color w:val="131E29"/>
        </w:rPr>
        <w:t>Seek opportunities to continue to reinforce our shop-level P&amp;L through operational improvement, which will enable us to continue investing to maintain our competitive advantages</w:t>
      </w:r>
    </w:p>
    <w:p>
      <w:pPr>
        <w:spacing w:after="0" w:line="91" w:lineRule="exact"/>
        <w:rPr>
          <w:rFonts w:ascii="Arial" w:cs="Arial" w:eastAsia="Arial" w:hAnsi="Arial"/>
          <w:sz w:val="14"/>
          <w:szCs w:val="14"/>
          <w:color w:val="131E29"/>
        </w:rPr>
      </w:pPr>
    </w:p>
    <w:p>
      <w:pPr>
        <w:ind w:left="1720" w:right="4660" w:hanging="258"/>
        <w:spacing w:after="0" w:line="290" w:lineRule="auto"/>
        <w:tabs>
          <w:tab w:leader="none" w:pos="1716" w:val="left"/>
        </w:tabs>
        <w:numPr>
          <w:ilvl w:val="0"/>
          <w:numId w:val="8"/>
        </w:numPr>
        <w:rPr>
          <w:rFonts w:ascii="Arial" w:cs="Arial" w:eastAsia="Arial" w:hAnsi="Arial"/>
          <w:sz w:val="14"/>
          <w:szCs w:val="14"/>
          <w:color w:val="131E29"/>
        </w:rPr>
      </w:pPr>
      <w:r>
        <w:rPr>
          <w:rFonts w:ascii="Arial" w:cs="Arial" w:eastAsia="Arial" w:hAnsi="Arial"/>
          <w:sz w:val="14"/>
          <w:szCs w:val="14"/>
          <w:color w:val="131E29"/>
        </w:rPr>
        <w:t>Continue targeting and achieving Adjusted SG&amp;A leverage through strong revenue growth and smart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-681990</wp:posOffset>
            </wp:positionV>
            <wp:extent cx="3288030" cy="673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88030" cy="673735"/>
                    </a:xfrm>
                    <a:prstGeom prst="rect">
                      <a:avLst/>
                    </a:prstGeom>
                    <a:noFill/>
                  </pic:spPr>
                </pic:pic>
              </a:graphicData>
            </a:graphic>
          </wp:anchor>
        </w:drawing>
      </w: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Operations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Coffee Procurement and Roasting</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We pride ourselves on the quality of our coffee. To ensure we are able to consistently deliver high-quality coffee across all shops in our system, we are actively involved in the sourcing, roasting, packaging, and distribution of coffee beans.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 w:name="page14"/>
    <w:bookmarkEnd w:id="1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We partner with third-party importers and exporters to purchase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-4445</wp:posOffset>
            </wp:positionV>
            <wp:extent cx="1239520" cy="2068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9520" cy="2068195"/>
                    </a:xfrm>
                    <a:prstGeom prst="rect">
                      <a:avLst/>
                    </a:prstGeom>
                    <a:noFill/>
                  </pic:spPr>
                </pic:pic>
              </a:graphicData>
            </a:graphic>
          </wp:anchor>
        </w:drawing>
      </w:r>
    </w:p>
    <w:p>
      <w:pPr>
        <w:spacing w:after="0" w:line="3"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import our green coffee beans. Through this relationship, we source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high-quality coffee beans from across Central and South America.</w:t>
      </w:r>
    </w:p>
    <w:p>
      <w:pPr>
        <w:spacing w:after="0" w:line="122"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Since 2021, we have partnered with Enveritas, an independent nonprofit</w:t>
      </w:r>
    </w:p>
    <w:p>
      <w:pPr>
        <w:spacing w:after="0" w:line="23" w:lineRule="exact"/>
        <w:rPr>
          <w:sz w:val="20"/>
          <w:szCs w:val="20"/>
          <w:color w:val="auto"/>
        </w:rPr>
      </w:pPr>
    </w:p>
    <w:p>
      <w:pPr>
        <w:ind w:left="2080"/>
        <w:spacing w:after="0"/>
        <w:tabs>
          <w:tab w:leader="none" w:pos="2980" w:val="left"/>
          <w:tab w:leader="none" w:pos="3360" w:val="left"/>
          <w:tab w:leader="none" w:pos="4020" w:val="left"/>
          <w:tab w:leader="none" w:pos="4980" w:val="left"/>
          <w:tab w:leader="none" w:pos="5860" w:val="left"/>
          <w:tab w:leader="none" w:pos="6160" w:val="left"/>
        </w:tabs>
        <w:rPr>
          <w:sz w:val="20"/>
          <w:szCs w:val="20"/>
          <w:color w:val="auto"/>
        </w:rPr>
      </w:pPr>
      <w:r>
        <w:rPr>
          <w:rFonts w:ascii="Arial" w:cs="Arial" w:eastAsia="Arial" w:hAnsi="Arial"/>
          <w:sz w:val="14"/>
          <w:szCs w:val="14"/>
          <w:color w:val="131E29"/>
        </w:rPr>
        <w:t>organization</w:t>
        <w:tab/>
        <w:t>that</w:t>
        <w:tab/>
        <w:t>provides</w:t>
        <w:tab/>
        <w:t>sustainability</w:t>
        <w:tab/>
        <w:t>verifications</w:t>
        <w:tab/>
        <w:t>for</w:t>
      </w:r>
      <w:r>
        <w:rPr>
          <w:sz w:val="20"/>
          <w:szCs w:val="20"/>
          <w:color w:val="auto"/>
        </w:rPr>
        <w:tab/>
      </w:r>
      <w:r>
        <w:rPr>
          <w:rFonts w:ascii="Arial" w:cs="Arial" w:eastAsia="Arial" w:hAnsi="Arial"/>
          <w:sz w:val="13"/>
          <w:szCs w:val="13"/>
          <w:color w:val="131E29"/>
        </w:rPr>
        <w:t>coffee.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Annually, we have our green coffee purchases and our farmer support</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impact investments assessed against Enveritas’ responsible sourcing</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standards. In their evaluation, Enveritas maps our sourcing footprint and</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evaluates and monitors environmental, economic, and social conditions</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within the sourcing areas where we purchase our coffee, including child</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labor and forced labor.</w:t>
      </w:r>
    </w:p>
    <w:p>
      <w:pPr>
        <w:spacing w:after="0" w:line="122"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Within Dutch Bros, we sponsor a Coffee Origins Impact Program</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focused  on  continuous  improvement  and  targeted  investments  in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environmental, economic, and social conditions within our supply chain.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We are also proud members of World Coffee Research, an organization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dedicated to ensuring the future of coffee with a strategic aim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preserve origin diversity in the face of climate change and accelerate</w:t>
      </w:r>
    </w:p>
    <w:p>
      <w:pPr>
        <w:spacing w:after="0" w:line="9" w:lineRule="exact"/>
        <w:rPr>
          <w:sz w:val="20"/>
          <w:szCs w:val="20"/>
          <w:color w:val="auto"/>
        </w:rPr>
      </w:pPr>
    </w:p>
    <w:p>
      <w:pPr>
        <w:ind w:left="2080"/>
        <w:spacing w:after="0"/>
        <w:tabs>
          <w:tab w:leader="none" w:pos="2860" w:val="left"/>
          <w:tab w:leader="none" w:pos="3160" w:val="left"/>
          <w:tab w:leader="none" w:pos="3680" w:val="left"/>
          <w:tab w:leader="none" w:pos="4500" w:val="left"/>
          <w:tab w:leader="none" w:pos="4860" w:val="left"/>
          <w:tab w:leader="none" w:pos="5460" w:val="left"/>
          <w:tab w:leader="none" w:pos="6140" w:val="left"/>
        </w:tabs>
        <w:rPr>
          <w:sz w:val="20"/>
          <w:szCs w:val="20"/>
          <w:color w:val="auto"/>
        </w:rPr>
      </w:pPr>
      <w:r>
        <w:rPr>
          <w:rFonts w:ascii="Arial" w:cs="Arial" w:eastAsia="Arial" w:hAnsi="Arial"/>
          <w:sz w:val="14"/>
          <w:szCs w:val="14"/>
          <w:color w:val="131E29"/>
        </w:rPr>
        <w:t>innovation</w:t>
        <w:tab/>
        <w:t>for</w:t>
        <w:tab/>
        <w:t>coffee</w:t>
        <w:tab/>
        <w:t>agriculture</w:t>
        <w:tab/>
        <w:t>and</w:t>
        <w:tab/>
        <w:t>climate</w:t>
        <w:tab/>
        <w:t>resistant</w:t>
        <w:tab/>
        <w:t>varietal</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174625</wp:posOffset>
            </wp:positionV>
            <wp:extent cx="1158875" cy="9569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58875" cy="956945"/>
                    </a:xfrm>
                    <a:prstGeom prst="rect">
                      <a:avLst/>
                    </a:prstGeom>
                    <a:noFill/>
                  </pic:spPr>
                </pic:pic>
              </a:graphicData>
            </a:graphic>
          </wp:anchor>
        </w:drawing>
      </w:r>
    </w:p>
    <w:p>
      <w:pPr>
        <w:spacing w:after="0" w:line="261"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We currently roast all our coffee in our roasting facilities in Grants Pass,</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Oregon and Melissa, Texas. We roast our coffee bean varietals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specific profiles designed to highlight each of the coffee beans’ unique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flavors and aromas. After the coffee beans are roasted, we blend them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to create our signature Private Reserve espresso blend.</w:t>
      </w:r>
    </w:p>
    <w:p>
      <w:pPr>
        <w:spacing w:after="0" w:line="165"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We package and ship our Private Reserve, Decaf and White Coffee</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espresso blends to several distributors across the country that supply all</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4"/>
          <w:szCs w:val="14"/>
          <w:color w:val="131E29"/>
        </w:rPr>
        <w:t>our company-operated and franchised shops.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designed our supply chain to be flexible in response to changes in the market. On average, we typically have approximately four months of green coffee bean inventory stored at our two ports of entry in the United States or at our roasting facilities. In the event of a supply disruption in any one of our production origins, we have identified alternate coffee beans with substantially similar flavor profiles that can be sourced and incorporated to produce our blend.</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In mid-2024, we opened a new roasting facility in Melissa, Texas. We expect this facility will increase the resilience of our supply chain and reduce transportation costs as we expand company-operated shops eastward within the United States.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Sourcing and Supply Chain</w:t>
      </w:r>
    </w:p>
    <w:p>
      <w:pPr>
        <w:spacing w:after="0" w:line="92"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131E29"/>
        </w:rPr>
        <w:t>In addition to coffee purchases, we also source dairy, syrups, packaging, Dutch Bros Rebel energy drink, and other items. We strive to have multiple sources for our key commodities, including dairy, to provide stability. As we grow eastward, we are continuing to adjust our supplier and distribution network to find partners more centrally located to our expanding shop base while continuing to evaluate our current market partnerships to ensure that they can grow and scale in accordance with our future plans. Strategically, our Supply Chain team is recalibrating its Innovation to Implementation pipeline, aiming to add more process capabilities while remaining nimble for increased product innovation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 w:name="page15"/>
    <w:bookmarkEnd w:id="14"/>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664845</wp:posOffset>
            </wp:positionV>
            <wp:extent cx="545465" cy="12261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546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right="6820"/>
        <w:spacing w:after="0" w:line="262" w:lineRule="auto"/>
        <w:rPr>
          <w:sz w:val="20"/>
          <w:szCs w:val="20"/>
          <w:color w:val="auto"/>
        </w:rPr>
      </w:pPr>
      <w:r>
        <w:rPr>
          <w:rFonts w:ascii="Arial" w:cs="Arial" w:eastAsia="Arial" w:hAnsi="Arial"/>
          <w:sz w:val="14"/>
          <w:szCs w:val="14"/>
          <w:color w:val="131E29"/>
        </w:rPr>
        <w:t>We also manufacture our own proprietary Dutch Bros Rebel energy drink via a co-bottling and co-packaging relationship. Neither our Dutch Bros Rebel energy drink, nor our syrups contain high-fructose corn syrup, as we use pure cane sugar as a sweetener for our non-sugar free offerings.</w:t>
      </w:r>
    </w:p>
    <w:p>
      <w:pPr>
        <w:spacing w:after="0" w:line="97" w:lineRule="exact"/>
        <w:rPr>
          <w:sz w:val="20"/>
          <w:szCs w:val="20"/>
          <w:color w:val="auto"/>
        </w:rPr>
      </w:pPr>
    </w:p>
    <w:p>
      <w:pPr>
        <w:ind w:left="20" w:right="6840"/>
        <w:spacing w:after="0" w:line="262" w:lineRule="auto"/>
        <w:rPr>
          <w:sz w:val="20"/>
          <w:szCs w:val="20"/>
          <w:color w:val="auto"/>
        </w:rPr>
      </w:pPr>
      <w:r>
        <w:rPr>
          <w:rFonts w:ascii="Arial" w:cs="Arial" w:eastAsia="Arial" w:hAnsi="Arial"/>
          <w:sz w:val="14"/>
          <w:szCs w:val="14"/>
          <w:color w:val="131E29"/>
        </w:rPr>
        <w:t>As we scale, we continue to look for opportunities to mitigate our impact on the environment. In 2023, we began rolling out tap systems and distributing our Dutch Bros Rebel energy drink via a “bag in a box” system for use in shop beverage taps, with a goal of helping us reduce our dependence on aluminum cans.</w:t>
      </w: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Quality, Health, and Safety</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and our franchise partners strive to maintain a safe, healthy environment at each shop through the careful training and supervision of personnel and by following rigorous quality standards. Our quality assurance team informs, monitors, and reports on standards for preparation and cleaning at each of our shops. The quality assurance team inspects both Company-owned and franchise shops on a regular cadence. As part of our people-first culture, the health and safety of our customers and employees are our highest priority.</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Our commitment to beverage and food safety is strengthened through the direct relationships among our supply chain, culinary research and development, food safety, operations, and quality control teams. We collaborate with our supply chain partners on material decisions regarding ingredients and process changes to ensure our final customer-facing product meets our standards of approval. We examine new and existing suppliers’ food safety and quality records through compliance assessments, and we reserve the right to conduct spot-checks, onsite audits, and verify insurance coverage. We believe that our established requirement for franchise partners to purchase supplies and equipment from approved vendors further enhances safety and quality within our system.</w:t>
      </w:r>
    </w:p>
    <w:p>
      <w:pPr>
        <w:spacing w:after="0" w:line="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Furthermore, as part of our broista onboarding process, new hires are taken through our “broista manifesto” which includes food safety training. Before working a shift on their own, broistas must pass our “flow check” test, which ensures they can make every drink to our high standards.</w:t>
      </w:r>
    </w:p>
    <w:p>
      <w:pPr>
        <w:spacing w:after="0" w:line="35"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131E29"/>
        </w:rPr>
        <w:t>Our supply chain risk model stretches beyond food safety and quality assurance practices. Products are evaluated for risk on the basis of other numerous factors, including price volatility, supply continuity, and sustainability.</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People</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people are the heart of our mission and the foundation of our success. We strive to build meaningful relationships with our employees, who are key members of the communities we love and serve. We attract individuals who love growth, thrive in unique and fun environments, and radiate positivity. With a love for life, a natural ability to connect with others in any circumstance, and a genuine smile, our team members embody everything that makes Dutch Bros special.</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As of December 31, 2024, we and our franchise partners have approximately 26,000 employees, of which approximately 18,000 employees are in our company-operated shops and headquarters. The chart below provides the approximate percentage of systemwide employees by shop type and state location: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5" w:name="page16"/>
    <w:bookmarkEnd w:id="15"/>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651510</wp:posOffset>
            </wp:positionV>
            <wp:extent cx="4130040" cy="29711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30040" cy="2971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131E29"/>
        </w:rPr>
        <w:t>The charts below provide the approximate percentages of our company-operated shop and headquarters employees by gender and 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1532255</wp:posOffset>
            </wp:positionH>
            <wp:positionV relativeFrom="paragraph">
              <wp:posOffset>95885</wp:posOffset>
            </wp:positionV>
            <wp:extent cx="4109720" cy="20212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09720" cy="202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6" w:name="page17"/>
    <w:bookmarkEnd w:id="1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Sharing the Dutch Luv</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We are committed to sharing the Dutch Luv at our headquarters, at the window, and in our communities, cultivating an inclusive environment of love, acceptance, and kindness. Our commitment strives to ensure all customers, crews, and communities are welcomed, honored, and loved.</w:t>
      </w:r>
    </w:p>
    <w:p>
      <w:pPr>
        <w:spacing w:after="0" w:line="35" w:lineRule="exact"/>
        <w:rPr>
          <w:sz w:val="20"/>
          <w:szCs w:val="20"/>
          <w:color w:val="auto"/>
        </w:rPr>
      </w:pPr>
    </w:p>
    <w:p>
      <w:pPr>
        <w:jc w:val="both"/>
        <w:ind w:left="260" w:hanging="255"/>
        <w:spacing w:after="0" w:line="271" w:lineRule="auto"/>
        <w:tabs>
          <w:tab w:leader="none" w:pos="256" w:val="left"/>
        </w:tabs>
        <w:numPr>
          <w:ilvl w:val="0"/>
          <w:numId w:val="9"/>
        </w:numPr>
        <w:rPr>
          <w:rFonts w:ascii="Arial" w:cs="Arial" w:eastAsia="Arial" w:hAnsi="Arial"/>
          <w:sz w:val="14"/>
          <w:szCs w:val="14"/>
          <w:color w:val="131E29"/>
        </w:rPr>
      </w:pPr>
      <w:r>
        <w:rPr>
          <w:rFonts w:ascii="Arial" w:cs="Arial" w:eastAsia="Arial" w:hAnsi="Arial"/>
          <w:sz w:val="14"/>
          <w:szCs w:val="14"/>
          <w:color w:val="131E29"/>
        </w:rPr>
        <w:t>Building Community Through Employee Resource Groups: Expanded and enriched Employee Resource Groups foster connection, belonging, and shared purpose among employees and allies. These groups create spaces where individuals can celebrate their identities, support one another, and collaborate on initiatives that make a meaningful impact, strengthening the sense of community across the organization.</w:t>
      </w:r>
    </w:p>
    <w:p>
      <w:pPr>
        <w:spacing w:after="0" w:line="6" w:lineRule="exact"/>
        <w:rPr>
          <w:rFonts w:ascii="Arial" w:cs="Arial" w:eastAsia="Arial" w:hAnsi="Arial"/>
          <w:sz w:val="14"/>
          <w:szCs w:val="14"/>
          <w:color w:val="131E29"/>
        </w:rPr>
      </w:pPr>
    </w:p>
    <w:p>
      <w:pPr>
        <w:ind w:left="260" w:hanging="255"/>
        <w:spacing w:after="0"/>
        <w:tabs>
          <w:tab w:leader="none" w:pos="260" w:val="left"/>
        </w:tabs>
        <w:numPr>
          <w:ilvl w:val="0"/>
          <w:numId w:val="9"/>
        </w:numPr>
        <w:rPr>
          <w:rFonts w:ascii="Arial" w:cs="Arial" w:eastAsia="Arial" w:hAnsi="Arial"/>
          <w:sz w:val="14"/>
          <w:szCs w:val="14"/>
          <w:color w:val="131E29"/>
        </w:rPr>
      </w:pPr>
      <w:r>
        <w:rPr>
          <w:rFonts w:ascii="Arial" w:cs="Arial" w:eastAsia="Arial" w:hAnsi="Arial"/>
          <w:sz w:val="14"/>
          <w:szCs w:val="14"/>
          <w:color w:val="131E29"/>
        </w:rPr>
        <w:t>Continuous improvement of our library of training, events, and resources to headquarters employees and shop management.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Total Rewards</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At our company, we are committed to fostering a dynamic and supportive workplace that nurtures the growth and satisfaction of our employees. To remain competitive in today’s ever-evolving business landscape, we routinely evaluate and adjust our salary and wage offerings, ensuring alignment with current labor market conditions.</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As part of our strategic growth initiatives, we continuously enhance our total rewards program, which is designed to attract and retain exceptional talent. Our comprehensive suite of benefits reflects this commitment and includes several key offerings for our broistas, shop management, and headquarters employees, such as:</w:t>
      </w:r>
    </w:p>
    <w:p>
      <w:pPr>
        <w:spacing w:after="0" w:line="35"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Competitive Compensation: We uphold a company-wide minimum wage of at least $10.00 per hour, ensuring fair pay across all markets.</w:t>
      </w:r>
    </w:p>
    <w:p>
      <w:pPr>
        <w:spacing w:after="0" w:line="51" w:lineRule="exact"/>
        <w:rPr>
          <w:rFonts w:ascii="Arial" w:cs="Arial" w:eastAsia="Arial" w:hAnsi="Arial"/>
          <w:sz w:val="14"/>
          <w:szCs w:val="14"/>
          <w:color w:val="131E29"/>
        </w:rPr>
      </w:pPr>
    </w:p>
    <w:p>
      <w:pPr>
        <w:ind w:left="260" w:hanging="255"/>
        <w:spacing w:after="0" w:line="284" w:lineRule="auto"/>
        <w:tabs>
          <w:tab w:leader="none" w:pos="256"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Parental Leave: Employees in management roles and those at our headquarters benefit from more than eight weeks of company-paid parental leave after completing one year of service.</w:t>
      </w:r>
    </w:p>
    <w:p>
      <w:pPr>
        <w:ind w:left="260" w:hanging="255"/>
        <w:spacing w:after="0" w:line="284" w:lineRule="auto"/>
        <w:tabs>
          <w:tab w:leader="none" w:pos="256"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Wellness Initiatives: Our wellness program empowers employees to prioritize their health and well-being, while our employee assistance program offers free access to support resources for all team members.</w:t>
      </w:r>
    </w:p>
    <w:p>
      <w:pPr>
        <w:ind w:left="260" w:hanging="255"/>
        <w:spacing w:after="0" w:line="284" w:lineRule="auto"/>
        <w:tabs>
          <w:tab w:leader="none" w:pos="256"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Tuition Assistance: We provide financial support for professional development through tuition assistance, available after one full year of service, enabling our employees to enhance their skills and advance in their careers.</w:t>
      </w:r>
    </w:p>
    <w:p>
      <w:pPr>
        <w:ind w:left="260" w:hanging="255"/>
        <w:spacing w:after="0"/>
        <w:tabs>
          <w:tab w:leader="none" w:pos="260"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Flexible Working Arrangements: Flexible working arrangements are a feature of our headquarters, which fosters a positive work-life balance through a hybrid work environment.</w:t>
      </w:r>
    </w:p>
    <w:p>
      <w:pPr>
        <w:spacing w:after="0" w:line="51" w:lineRule="exact"/>
        <w:rPr>
          <w:rFonts w:ascii="Arial" w:cs="Arial" w:eastAsia="Arial" w:hAnsi="Arial"/>
          <w:sz w:val="14"/>
          <w:szCs w:val="14"/>
          <w:color w:val="131E29"/>
        </w:rPr>
      </w:pPr>
    </w:p>
    <w:p>
      <w:pPr>
        <w:ind w:left="260" w:hanging="255"/>
        <w:spacing w:after="0" w:line="284" w:lineRule="auto"/>
        <w:tabs>
          <w:tab w:leader="none" w:pos="256"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Community Engagement: We encourage social responsibility by offering up to 16 hours of paid volunteer time for all employees, allowing them to contribute positively to their communities.</w:t>
      </w:r>
    </w:p>
    <w:p>
      <w:pPr>
        <w:ind w:left="260" w:hanging="255"/>
        <w:spacing w:after="0"/>
        <w:tabs>
          <w:tab w:leader="none" w:pos="260" w:val="left"/>
        </w:tabs>
        <w:numPr>
          <w:ilvl w:val="0"/>
          <w:numId w:val="10"/>
        </w:numPr>
        <w:rPr>
          <w:rFonts w:ascii="Arial" w:cs="Arial" w:eastAsia="Arial" w:hAnsi="Arial"/>
          <w:sz w:val="14"/>
          <w:szCs w:val="14"/>
          <w:color w:val="131E29"/>
        </w:rPr>
      </w:pPr>
      <w:r>
        <w:rPr>
          <w:rFonts w:ascii="Arial" w:cs="Arial" w:eastAsia="Arial" w:hAnsi="Arial"/>
          <w:sz w:val="14"/>
          <w:szCs w:val="14"/>
          <w:color w:val="131E29"/>
        </w:rPr>
        <w:t>Growth Opportunities: Our culture emphasizes teamwork and collaboration, with numerous opportunities for leadership development and career advancement.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Training and Development</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We are committed to inspiring and facilitating personal and professional growth for our people as they fulfill their dreams and contribute to their communities. As part of this commitment, we provide resources to train and develop our people.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Broista Training</w:t>
      </w:r>
    </w:p>
    <w:p>
      <w:pPr>
        <w:spacing w:after="0" w:line="49" w:lineRule="exact"/>
        <w:rPr>
          <w:sz w:val="20"/>
          <w:szCs w:val="20"/>
          <w:color w:val="auto"/>
        </w:rPr>
      </w:pPr>
    </w:p>
    <w:p>
      <w:pPr>
        <w:ind w:left="260" w:hanging="255"/>
        <w:spacing w:after="0"/>
        <w:tabs>
          <w:tab w:leader="none" w:pos="260" w:val="left"/>
        </w:tabs>
        <w:numPr>
          <w:ilvl w:val="0"/>
          <w:numId w:val="11"/>
        </w:numPr>
        <w:rPr>
          <w:rFonts w:ascii="Arial" w:cs="Arial" w:eastAsia="Arial" w:hAnsi="Arial"/>
          <w:sz w:val="14"/>
          <w:szCs w:val="14"/>
          <w:color w:val="131E29"/>
        </w:rPr>
      </w:pPr>
      <w:r>
        <w:rPr>
          <w:rFonts w:ascii="Arial" w:cs="Arial" w:eastAsia="Arial" w:hAnsi="Arial"/>
          <w:sz w:val="14"/>
          <w:szCs w:val="14"/>
          <w:color w:val="131E29"/>
        </w:rPr>
        <w:t>2 day cultural immersion, history, and fundamental knowledge</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1"/>
        </w:numPr>
        <w:rPr>
          <w:rFonts w:ascii="Arial" w:cs="Arial" w:eastAsia="Arial" w:hAnsi="Arial"/>
          <w:sz w:val="14"/>
          <w:szCs w:val="14"/>
          <w:color w:val="131E29"/>
        </w:rPr>
      </w:pPr>
      <w:r>
        <w:rPr>
          <w:rFonts w:ascii="Arial" w:cs="Arial" w:eastAsia="Arial" w:hAnsi="Arial"/>
          <w:sz w:val="14"/>
          <w:szCs w:val="14"/>
          <w:color w:val="131E29"/>
        </w:rPr>
        <w:t>10 shifts of on-the-job training</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1"/>
        </w:numPr>
        <w:rPr>
          <w:rFonts w:ascii="Arial" w:cs="Arial" w:eastAsia="Arial" w:hAnsi="Arial"/>
          <w:sz w:val="14"/>
          <w:szCs w:val="14"/>
          <w:color w:val="131E29"/>
        </w:rPr>
      </w:pPr>
      <w:r>
        <w:rPr>
          <w:rFonts w:ascii="Arial" w:cs="Arial" w:eastAsia="Arial" w:hAnsi="Arial"/>
          <w:sz w:val="14"/>
          <w:szCs w:val="14"/>
          <w:color w:val="131E29"/>
        </w:rPr>
        <w:t>Review of “Manifesto,” field guide, and employee handbook, and have proficiency tests twice per year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7" w:name="page18"/>
    <w:bookmarkEnd w:id="1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Leadership Pathways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exclusively source regional operators, who we view as the linchpins of our field organization and lead between 3-7 shops at scale, from within our organization. For our continued growth, it is critical that we consistently train and develop new leaders. Our leadership development program outlines shop growth opportunities at all levels of the organization and furthers our philosophy of hiring and developing leaders from within. This program provides ample opportunities for our shop broistas to create their own pathway, which can be a mix of Path A and B, to reach their potential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56515</wp:posOffset>
            </wp:positionV>
            <wp:extent cx="6137910" cy="134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37910" cy="134620"/>
                    </a:xfrm>
                    <a:prstGeom prst="rect">
                      <a:avLst/>
                    </a:prstGeom>
                    <a:noFill/>
                  </pic:spPr>
                </pic:pic>
              </a:graphicData>
            </a:graphic>
          </wp:anchor>
        </w:drawing>
      </w:r>
    </w:p>
    <w:p>
      <w:pPr>
        <w:spacing w:after="0" w:line="75"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FFFFFF"/>
        </w:rPr>
        <w:t>Broista</w:t>
      </w:r>
    </w:p>
    <w:p>
      <w:pPr>
        <w:spacing w:after="0" w:line="70" w:lineRule="exact"/>
        <w:rPr>
          <w:sz w:val="20"/>
          <w:szCs w:val="20"/>
          <w:color w:val="auto"/>
        </w:rPr>
      </w:pPr>
    </w:p>
    <w:p>
      <w:pPr>
        <w:jc w:val="center"/>
        <w:ind w:right="80"/>
        <w:spacing w:after="0"/>
        <w:rPr>
          <w:sz w:val="20"/>
          <w:szCs w:val="20"/>
          <w:color w:val="auto"/>
        </w:rPr>
      </w:pPr>
      <w:r>
        <w:rPr>
          <w:rFonts w:ascii="Wingdings" w:cs="Wingdings" w:eastAsia="Wingdings" w:hAnsi="Wingdings"/>
          <w:sz w:val="25"/>
          <w:szCs w:val="25"/>
          <w:b w:val="1"/>
          <w:bCs w:val="1"/>
          <w:color w:val="FDE021"/>
        </w:rPr>
        <w:t>ê</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29845</wp:posOffset>
            </wp:positionV>
            <wp:extent cx="6137910" cy="13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37910" cy="134620"/>
                    </a:xfrm>
                    <a:prstGeom prst="rect">
                      <a:avLst/>
                    </a:prstGeom>
                    <a:noFill/>
                  </pic:spPr>
                </pic:pic>
              </a:graphicData>
            </a:graphic>
          </wp:anchor>
        </w:drawing>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Shift Lead</w:t>
      </w:r>
    </w:p>
    <w:p>
      <w:pPr>
        <w:spacing w:after="0" w:line="70" w:lineRule="exact"/>
        <w:rPr>
          <w:sz w:val="20"/>
          <w:szCs w:val="20"/>
          <w:color w:val="auto"/>
        </w:rPr>
      </w:pPr>
    </w:p>
    <w:p>
      <w:pPr>
        <w:ind w:left="5840" w:hanging="877"/>
        <w:spacing w:after="0"/>
        <w:tabs>
          <w:tab w:leader="none" w:pos="5840" w:val="left"/>
        </w:tabs>
        <w:numPr>
          <w:ilvl w:val="0"/>
          <w:numId w:val="12"/>
        </w:numPr>
        <w:rPr>
          <w:rFonts w:ascii="Wingdings" w:cs="Wingdings" w:eastAsia="Wingdings" w:hAnsi="Wingdings"/>
          <w:sz w:val="25"/>
          <w:szCs w:val="25"/>
          <w:b w:val="1"/>
          <w:bCs w:val="1"/>
          <w:color w:val="FDE021"/>
        </w:rPr>
      </w:pPr>
      <w:r>
        <w:rPr>
          <w:rFonts w:ascii="Wingdings" w:cs="Wingdings" w:eastAsia="Wingdings" w:hAnsi="Wingdings"/>
          <w:sz w:val="25"/>
          <w:szCs w:val="25"/>
          <w:b w:val="1"/>
          <w:bCs w:val="1"/>
          <w:color w:val="FDE021"/>
        </w:rPr>
        <w:t>î</w:t>
      </w:r>
    </w:p>
    <w:p>
      <w:pPr>
        <w:spacing w:after="0" w:line="53" w:lineRule="exact"/>
        <w:rPr>
          <w:sz w:val="20"/>
          <w:szCs w:val="20"/>
          <w:color w:val="auto"/>
        </w:rPr>
      </w:pPr>
    </w:p>
    <w:p>
      <w:pPr>
        <w:ind w:left="1240"/>
        <w:spacing w:after="0"/>
        <w:tabs>
          <w:tab w:leader="none" w:pos="6240" w:val="left"/>
        </w:tabs>
        <w:rPr>
          <w:sz w:val="20"/>
          <w:szCs w:val="20"/>
          <w:color w:val="auto"/>
        </w:rPr>
      </w:pPr>
      <w:r>
        <w:rPr>
          <w:rFonts w:ascii="Arial" w:cs="Arial" w:eastAsia="Arial" w:hAnsi="Arial"/>
          <w:sz w:val="14"/>
          <w:szCs w:val="14"/>
          <w:b w:val="1"/>
          <w:bCs w:val="1"/>
          <w:color w:val="006098"/>
        </w:rPr>
        <w:t xml:space="preserve">Path A: </w:t>
      </w:r>
      <w:r>
        <w:rPr>
          <w:rFonts w:ascii="Arial" w:cs="Arial" w:eastAsia="Arial" w:hAnsi="Arial"/>
          <w:sz w:val="14"/>
          <w:szCs w:val="14"/>
          <w:color w:val="131E29"/>
        </w:rPr>
        <w:t>Shop Level Operations</w:t>
      </w:r>
      <w:r>
        <w:rPr>
          <w:sz w:val="20"/>
          <w:szCs w:val="20"/>
          <w:color w:val="auto"/>
        </w:rPr>
        <w:tab/>
      </w:r>
      <w:r>
        <w:rPr>
          <w:rFonts w:ascii="Arial" w:cs="Arial" w:eastAsia="Arial" w:hAnsi="Arial"/>
          <w:sz w:val="14"/>
          <w:szCs w:val="14"/>
          <w:b w:val="1"/>
          <w:bCs w:val="1"/>
          <w:color w:val="00416B"/>
        </w:rPr>
        <w:t xml:space="preserve">Path B: </w:t>
      </w:r>
      <w:r>
        <w:rPr>
          <w:rFonts w:ascii="Arial" w:cs="Arial" w:eastAsia="Arial" w:hAnsi="Arial"/>
          <w:sz w:val="14"/>
          <w:szCs w:val="14"/>
          <w:color w:val="131E29"/>
        </w:rPr>
        <w:t>Shop Opening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150495</wp:posOffset>
            </wp:positionV>
            <wp:extent cx="6169660" cy="934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69660" cy="934720"/>
                    </a:xfrm>
                    <a:prstGeom prst="rect">
                      <a:avLst/>
                    </a:prstGeom>
                    <a:noFill/>
                  </pic:spPr>
                </pic:pic>
              </a:graphicData>
            </a:graphic>
          </wp:anchor>
        </w:drawing>
      </w:r>
    </w:p>
    <w:p>
      <w:pPr>
        <w:spacing w:after="0" w:line="360" w:lineRule="exact"/>
        <w:rPr>
          <w:sz w:val="20"/>
          <w:szCs w:val="20"/>
          <w:color w:val="auto"/>
        </w:rPr>
      </w:pPr>
    </w:p>
    <w:p>
      <w:pPr>
        <w:ind w:left="2740"/>
        <w:spacing w:after="0"/>
        <w:rPr>
          <w:sz w:val="20"/>
          <w:szCs w:val="20"/>
          <w:color w:val="auto"/>
        </w:rPr>
      </w:pPr>
      <w:r>
        <w:rPr>
          <w:rFonts w:ascii="Arial" w:cs="Arial" w:eastAsia="Arial" w:hAnsi="Arial"/>
          <w:sz w:val="14"/>
          <w:szCs w:val="14"/>
          <w:color w:val="131E29"/>
        </w:rPr>
        <w:t>Shop Lead</w:t>
      </w:r>
    </w:p>
    <w:p>
      <w:pPr>
        <w:spacing w:after="0" w:line="179" w:lineRule="exact"/>
        <w:rPr>
          <w:sz w:val="20"/>
          <w:szCs w:val="20"/>
          <w:color w:val="auto"/>
        </w:rPr>
      </w:pPr>
    </w:p>
    <w:p>
      <w:pPr>
        <w:ind w:left="7360"/>
        <w:spacing w:after="0"/>
        <w:rPr>
          <w:sz w:val="20"/>
          <w:szCs w:val="20"/>
          <w:color w:val="auto"/>
        </w:rPr>
      </w:pPr>
      <w:r>
        <w:rPr>
          <w:rFonts w:ascii="Arial" w:cs="Arial" w:eastAsia="Arial" w:hAnsi="Arial"/>
          <w:sz w:val="14"/>
          <w:szCs w:val="14"/>
          <w:color w:val="131E29"/>
        </w:rPr>
        <w:t>Master of Broistas (MOB)</w:t>
      </w:r>
    </w:p>
    <w:p>
      <w:pPr>
        <w:spacing w:after="0" w:line="51" w:lineRule="exact"/>
        <w:rPr>
          <w:sz w:val="20"/>
          <w:szCs w:val="20"/>
          <w:color w:val="auto"/>
        </w:rPr>
      </w:pPr>
    </w:p>
    <w:p>
      <w:pPr>
        <w:ind w:left="2800"/>
        <w:spacing w:after="0"/>
        <w:rPr>
          <w:sz w:val="20"/>
          <w:szCs w:val="20"/>
          <w:color w:val="auto"/>
        </w:rPr>
      </w:pPr>
      <w:r>
        <w:rPr>
          <w:rFonts w:ascii="Arial" w:cs="Arial" w:eastAsia="Arial" w:hAnsi="Arial"/>
          <w:sz w:val="14"/>
          <w:szCs w:val="14"/>
          <w:color w:val="131E29"/>
        </w:rPr>
        <w:t>Manager</w:t>
      </w:r>
    </w:p>
    <w:p>
      <w:pPr>
        <w:spacing w:after="0" w:line="51" w:lineRule="exact"/>
        <w:rPr>
          <w:sz w:val="20"/>
          <w:szCs w:val="20"/>
          <w:color w:val="auto"/>
        </w:rPr>
      </w:pPr>
    </w:p>
    <w:p>
      <w:pPr>
        <w:ind w:left="7820"/>
        <w:spacing w:after="0"/>
        <w:rPr>
          <w:sz w:val="20"/>
          <w:szCs w:val="20"/>
          <w:color w:val="auto"/>
        </w:rPr>
      </w:pPr>
      <w:r>
        <w:rPr>
          <w:rFonts w:ascii="Arial" w:cs="Arial" w:eastAsia="Arial" w:hAnsi="Arial"/>
          <w:sz w:val="14"/>
          <w:szCs w:val="14"/>
          <w:color w:val="131E29"/>
        </w:rPr>
        <w:t>Lead MOB</w:t>
      </w:r>
    </w:p>
    <w:p>
      <w:pPr>
        <w:spacing w:after="0" w:line="51" w:lineRule="exact"/>
        <w:rPr>
          <w:sz w:val="20"/>
          <w:szCs w:val="20"/>
          <w:color w:val="auto"/>
        </w:rPr>
      </w:pPr>
    </w:p>
    <w:p>
      <w:pPr>
        <w:ind w:left="2500"/>
        <w:spacing w:after="0"/>
        <w:rPr>
          <w:sz w:val="20"/>
          <w:szCs w:val="20"/>
          <w:color w:val="auto"/>
        </w:rPr>
      </w:pPr>
      <w:r>
        <w:rPr>
          <w:rFonts w:ascii="Arial" w:cs="Arial" w:eastAsia="Arial" w:hAnsi="Arial"/>
          <w:sz w:val="14"/>
          <w:szCs w:val="14"/>
          <w:color w:val="131E29"/>
        </w:rPr>
        <w:t>Regional Manager</w:t>
      </w:r>
    </w:p>
    <w:p>
      <w:pPr>
        <w:spacing w:after="0" w:line="198" w:lineRule="exact"/>
        <w:rPr>
          <w:sz w:val="20"/>
          <w:szCs w:val="20"/>
          <w:color w:val="auto"/>
        </w:rPr>
      </w:pPr>
    </w:p>
    <w:p>
      <w:pPr>
        <w:ind w:left="5840" w:hanging="877"/>
        <w:spacing w:after="0"/>
        <w:tabs>
          <w:tab w:leader="none" w:pos="5840" w:val="left"/>
        </w:tabs>
        <w:numPr>
          <w:ilvl w:val="0"/>
          <w:numId w:val="13"/>
        </w:numPr>
        <w:rPr>
          <w:rFonts w:ascii="Wingdings" w:cs="Wingdings" w:eastAsia="Wingdings" w:hAnsi="Wingdings"/>
          <w:sz w:val="25"/>
          <w:szCs w:val="25"/>
          <w:b w:val="1"/>
          <w:bCs w:val="1"/>
          <w:color w:val="FDE021"/>
        </w:rPr>
      </w:pPr>
      <w:r>
        <w:rPr>
          <w:rFonts w:ascii="Wingdings" w:cs="Wingdings" w:eastAsia="Wingdings" w:hAnsi="Wingdings"/>
          <w:sz w:val="25"/>
          <w:szCs w:val="25"/>
          <w:b w:val="1"/>
          <w:bCs w:val="1"/>
          <w:color w:val="FDE021"/>
        </w:rPr>
        <w:t>í</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29845</wp:posOffset>
            </wp:positionV>
            <wp:extent cx="6137910" cy="134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37910" cy="134620"/>
                    </a:xfrm>
                    <a:prstGeom prst="rect">
                      <a:avLst/>
                    </a:prstGeom>
                    <a:noFill/>
                  </pic:spPr>
                </pic:pic>
              </a:graphicData>
            </a:graphic>
          </wp:anchor>
        </w:drawing>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FFFFFF"/>
        </w:rPr>
        <w:t>Regional Operator</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131E29"/>
        </w:rPr>
        <w:t>This leadership program develops a pipeline of home-grown talent, which we believe will be sufficient for our new shop growth over the next several years.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Philanthropy</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131E29"/>
        </w:rPr>
        <w:t>Since our inception, we have been dedicated to giving back to the communities in which we serve, and we consider our brand to be a powerful platform for social impact. Our philanthropic efforts support local and national causes. A culture of philanthropy and giving back to build better communities permeates the entire Dutch Bros organization, energizing our broistas and customers alike.</w:t>
      </w:r>
    </w:p>
    <w:p>
      <w:pPr>
        <w:spacing w:after="0" w:line="10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host three company-wide giveback days each year. Dutch Bros, along with our franchise partners and the Dutch Bros Foundation (the Foundation) provide donations for funds raised in each of these giveback days. The Foundation is a not-for-profit founded by the Company that provides philanthropy to coffee farmers and local communities.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8" w:name="page19"/>
    <w:bookmarkEnd w:id="18"/>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664845</wp:posOffset>
            </wp:positionV>
            <wp:extent cx="3867150" cy="9702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67150" cy="970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ind w:right="5280"/>
        <w:spacing w:after="0"/>
        <w:tabs>
          <w:tab w:leader="none" w:pos="3460" w:val="left"/>
          <w:tab w:leader="none" w:pos="1040" w:val="left"/>
        </w:tabs>
        <w:rPr>
          <w:sz w:val="20"/>
          <w:szCs w:val="20"/>
          <w:color w:val="auto"/>
        </w:rPr>
      </w:pPr>
      <w:r>
        <w:rPr>
          <w:rFonts w:ascii="Arial" w:cs="Arial" w:eastAsia="Arial" w:hAnsi="Arial"/>
          <w:sz w:val="14"/>
          <w:szCs w:val="14"/>
          <w:b w:val="1"/>
          <w:bCs w:val="1"/>
          <w:color w:val="006098"/>
        </w:rPr>
        <w:t>“Dutch Luv”</w:t>
      </w:r>
      <w:r>
        <w:rPr>
          <w:sz w:val="20"/>
          <w:szCs w:val="20"/>
          <w:color w:val="auto"/>
        </w:rPr>
        <w:tab/>
      </w:r>
      <w:r>
        <w:rPr>
          <w:rFonts w:ascii="Arial" w:cs="Arial" w:eastAsia="Arial" w:hAnsi="Arial"/>
          <w:sz w:val="14"/>
          <w:szCs w:val="14"/>
          <w:b w:val="1"/>
          <w:bCs w:val="1"/>
          <w:color w:val="006098"/>
        </w:rPr>
        <w:t>“Drink One for Dane”</w:t>
      </w:r>
      <w:r>
        <w:rPr>
          <w:sz w:val="20"/>
          <w:szCs w:val="20"/>
          <w:color w:val="auto"/>
        </w:rPr>
        <w:tab/>
      </w:r>
      <w:r>
        <w:rPr>
          <w:rFonts w:ascii="Arial" w:cs="Arial" w:eastAsia="Arial" w:hAnsi="Arial"/>
          <w:sz w:val="14"/>
          <w:szCs w:val="14"/>
          <w:b w:val="1"/>
          <w:bCs w:val="1"/>
          <w:color w:val="006098"/>
        </w:rPr>
        <w:t>“Buck for Kids”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4150360" cy="673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50360" cy="673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p>
      <w:pPr>
        <w:spacing w:after="0" w:line="51" w:lineRule="exact"/>
        <w:rPr>
          <w:sz w:val="20"/>
          <w:szCs w:val="20"/>
          <w:color w:val="auto"/>
        </w:rPr>
      </w:pPr>
    </w:p>
    <w:p>
      <w:pPr>
        <w:jc w:val="both"/>
        <w:ind w:left="20"/>
        <w:spacing w:after="0" w:line="262" w:lineRule="auto"/>
        <w:rPr>
          <w:sz w:val="20"/>
          <w:szCs w:val="20"/>
          <w:color w:val="auto"/>
        </w:rPr>
      </w:pPr>
      <w:r>
        <w:rPr>
          <w:rFonts w:ascii="Arial" w:cs="Arial" w:eastAsia="Arial" w:hAnsi="Arial"/>
          <w:sz w:val="14"/>
          <w:szCs w:val="14"/>
          <w:color w:val="131E29"/>
        </w:rPr>
        <w:t>Every February, we donate proceeds from every drink sold to local organizations working to fight food insecurity in our communities.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Every May, in honor of our co-founder Dane Boersma, we raise funds for the Muscular Dystrophy Association to find a cause and cure for ALS, or Lou Gehrig’s disease.</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131E29"/>
        </w:rPr>
        <w:t>Every September, we dedicate a</w:t>
      </w:r>
    </w:p>
    <w:p>
      <w:pPr>
        <w:spacing w:after="0" w:line="23" w:lineRule="exact"/>
        <w:rPr>
          <w:sz w:val="20"/>
          <w:szCs w:val="20"/>
          <w:color w:val="auto"/>
        </w:rPr>
      </w:pPr>
    </w:p>
    <w:p>
      <w:pPr>
        <w:spacing w:after="0"/>
        <w:tabs>
          <w:tab w:leader="none" w:pos="320" w:val="left"/>
          <w:tab w:leader="none" w:pos="560" w:val="left"/>
          <w:tab w:leader="none" w:pos="1120" w:val="left"/>
          <w:tab w:leader="none" w:pos="1820" w:val="left"/>
        </w:tabs>
        <w:rPr>
          <w:sz w:val="20"/>
          <w:szCs w:val="20"/>
          <w:color w:val="auto"/>
        </w:rPr>
      </w:pPr>
      <w:r>
        <w:rPr>
          <w:rFonts w:ascii="Arial" w:cs="Arial" w:eastAsia="Arial" w:hAnsi="Arial"/>
          <w:sz w:val="14"/>
          <w:szCs w:val="14"/>
          <w:color w:val="131E29"/>
        </w:rPr>
        <w:t>day</w:t>
        <w:tab/>
        <w:t>to</w:t>
        <w:tab/>
        <w:t>donate</w:t>
        <w:tab/>
        <w:t>proceeds</w:t>
        <w:tab/>
        <w:t>from</w:t>
      </w:r>
    </w:p>
    <w:p>
      <w:pPr>
        <w:spacing w:after="0" w:line="9" w:lineRule="exact"/>
        <w:rPr>
          <w:sz w:val="20"/>
          <w:szCs w:val="20"/>
          <w:color w:val="auto"/>
        </w:rPr>
      </w:pPr>
    </w:p>
    <w:p>
      <w:pPr>
        <w:spacing w:after="0"/>
        <w:tabs>
          <w:tab w:leader="none" w:pos="460" w:val="left"/>
          <w:tab w:leader="none" w:pos="900" w:val="left"/>
          <w:tab w:leader="none" w:pos="1300" w:val="left"/>
          <w:tab w:leader="none" w:pos="1540" w:val="left"/>
        </w:tabs>
        <w:rPr>
          <w:sz w:val="20"/>
          <w:szCs w:val="20"/>
          <w:color w:val="auto"/>
        </w:rPr>
      </w:pPr>
      <w:r>
        <w:rPr>
          <w:rFonts w:ascii="Arial" w:cs="Arial" w:eastAsia="Arial" w:hAnsi="Arial"/>
          <w:sz w:val="14"/>
          <w:szCs w:val="14"/>
          <w:color w:val="131E29"/>
        </w:rPr>
        <w:t>every</w:t>
        <w:tab/>
        <w:t>drink</w:t>
        <w:tab/>
        <w:t>sold</w:t>
        <w:tab/>
        <w:t>to</w:t>
        <w:tab/>
        <w:t>nonprofit</w:t>
      </w:r>
    </w:p>
    <w:p>
      <w:pPr>
        <w:spacing w:after="0" w:line="9" w:lineRule="exact"/>
        <w:rPr>
          <w:sz w:val="20"/>
          <w:szCs w:val="20"/>
          <w:color w:val="auto"/>
        </w:rPr>
      </w:pPr>
    </w:p>
    <w:p>
      <w:pPr>
        <w:spacing w:after="0"/>
        <w:tabs>
          <w:tab w:leader="none" w:pos="1040" w:val="left"/>
          <w:tab w:leader="none" w:pos="1700" w:val="left"/>
        </w:tabs>
        <w:rPr>
          <w:sz w:val="20"/>
          <w:szCs w:val="20"/>
          <w:color w:val="auto"/>
        </w:rPr>
      </w:pPr>
      <w:r>
        <w:rPr>
          <w:rFonts w:ascii="Arial" w:cs="Arial" w:eastAsia="Arial" w:hAnsi="Arial"/>
          <w:sz w:val="14"/>
          <w:szCs w:val="14"/>
          <w:color w:val="131E29"/>
        </w:rPr>
        <w:t>organizations</w:t>
        <w:tab/>
        <w:t>helping</w:t>
        <w:tab/>
        <w:t>create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brighter futures for local kids.</w:t>
      </w:r>
    </w:p>
    <w:p>
      <w:pPr>
        <w:spacing w:after="0" w:line="281" w:lineRule="exact"/>
        <w:rPr>
          <w:sz w:val="20"/>
          <w:szCs w:val="20"/>
          <w:color w:val="auto"/>
        </w:rPr>
      </w:pPr>
    </w:p>
    <w:p>
      <w:pPr>
        <w:sectPr>
          <w:pgSz w:w="11900" w:h="16838" w:orient="portrait"/>
          <w:cols w:equalWidth="0" w:num="3">
            <w:col w:w="2080" w:space="120"/>
            <w:col w:w="2080" w:space="120"/>
            <w:col w:w="6880"/>
          </w:cols>
          <w:pgMar w:left="300" w:top="133" w:right="319" w:bottom="1440" w:gutter="0" w:footer="0" w:header="0"/>
          <w:type w:val="continuous"/>
        </w:sectPr>
      </w:pPr>
    </w:p>
    <w:p>
      <w:pPr>
        <w:ind w:left="2760"/>
        <w:spacing w:after="0"/>
        <w:rPr>
          <w:sz w:val="20"/>
          <w:szCs w:val="20"/>
          <w:color w:val="auto"/>
        </w:rPr>
      </w:pPr>
      <w:r>
        <w:rPr>
          <w:rFonts w:ascii="Arial" w:cs="Arial" w:eastAsia="Arial" w:hAnsi="Arial"/>
          <w:sz w:val="14"/>
          <w:szCs w:val="14"/>
          <w:b w:val="1"/>
          <w:bCs w:val="1"/>
          <w:color w:val="131E29"/>
        </w:rPr>
        <w:t>2024 Donations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415036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50360" cy="6985"/>
                    </a:xfrm>
                    <a:prstGeom prst="rect">
                      <a:avLst/>
                    </a:prstGeom>
                    <a:noFill/>
                  </pic:spPr>
                </pic:pic>
              </a:graphicData>
            </a:graphic>
          </wp:anchor>
        </w:drawing>
      </w:r>
    </w:p>
    <w:p>
      <w:pPr>
        <w:spacing w:after="0" w:line="42" w:lineRule="exact"/>
        <w:rPr>
          <w:sz w:val="20"/>
          <w:szCs w:val="20"/>
          <w:color w:val="auto"/>
        </w:rPr>
      </w:pPr>
    </w:p>
    <w:p>
      <w:pPr>
        <w:ind w:left="700"/>
        <w:spacing w:after="0"/>
        <w:tabs>
          <w:tab w:leader="none" w:pos="2860" w:val="left"/>
          <w:tab w:leader="none" w:pos="4740" w:val="left"/>
        </w:tabs>
        <w:rPr>
          <w:sz w:val="20"/>
          <w:szCs w:val="20"/>
          <w:color w:val="auto"/>
        </w:rPr>
      </w:pPr>
      <w:r>
        <w:rPr>
          <w:rFonts w:ascii="Arial" w:cs="Arial" w:eastAsia="Arial" w:hAnsi="Arial"/>
          <w:sz w:val="14"/>
          <w:szCs w:val="14"/>
          <w:color w:val="131E29"/>
        </w:rPr>
        <w:t>$0.9 million</w:t>
      </w:r>
      <w:r>
        <w:rPr>
          <w:sz w:val="20"/>
          <w:szCs w:val="20"/>
          <w:color w:val="auto"/>
        </w:rPr>
        <w:tab/>
      </w:r>
      <w:r>
        <w:rPr>
          <w:rFonts w:ascii="Arial" w:cs="Arial" w:eastAsia="Arial" w:hAnsi="Arial"/>
          <w:sz w:val="14"/>
          <w:szCs w:val="14"/>
          <w:color w:val="131E29"/>
        </w:rPr>
        <w:t>$2.5 million</w:t>
      </w:r>
      <w:r>
        <w:rPr>
          <w:sz w:val="20"/>
          <w:szCs w:val="20"/>
          <w:color w:val="auto"/>
        </w:rPr>
        <w:tab/>
      </w:r>
      <w:r>
        <w:rPr>
          <w:rFonts w:ascii="Arial" w:cs="Arial" w:eastAsia="Arial" w:hAnsi="Arial"/>
          <w:sz w:val="14"/>
          <w:szCs w:val="14"/>
          <w:color w:val="131E29"/>
        </w:rPr>
        <w:t>More than $1.0 million</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In addition, during 2024, we donated our previous Grants Pass, Oregon headquarters building for development of a children’s learning center and recorded a net donation of $1.8 million.</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Competition</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beverage industry is highly competitive and fragmented, and our shops compete on a variety of factors, including convenience, taste, price, quality, service, labor, and location. We believe our primary competitors include national and regional coffee chains, local specialty coffee shops, regional drive-thru beverage chains, and drive-thru quick service restaurants with coffee and other beverage programs. Our competitors operate company-operated, franchised, and mixed business models. In addition, we also compete with convenience stores.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Intellectual Property</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own many registered trademarks and service marks in the United States, the most important of which might be our trademarked Windmill logo. Other important trademarks include our “Dutch Bros,” “Dutch Bros Coffee,” “Dutch Bros Rebel,” and “Dutch Bros. Blue Rebel” word marks and our recognizable Dutch Bros sign logo. We believe the Dutch Bros name and the many distinctive marks associated with it are of significant value and are very important to our business. Accordingly, as a general policy, we pursue registration and monitor the use of our marks in the United States and challenge unauthorized use.</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license the use of our marks to franchise partners, third-party vendors and others through franchise agreements, vendor agreements, and licensing agreements. These agreements typically restrict third parties’ activities with respect to use of the marks, impose brand standards requirements, and require licensees to inform us of any potential infringement of the marks.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131E29"/>
        </w:rPr>
        <w:t>We register some of our copyrighted material and otherwise rely on common law protection of our copyrighted works. Such copyrighted materials are not material to our business.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Government Regulation and Environmental Matters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extensive federal, state, local, and foreign laws and regulations, as well as other statutory and regulatory requirements, including those related to, among others, nutritional content labeling and disclosure requirements, food safety regulations, local licensure, building, and zoning regulations, employment regulations, and laws and regulations related to our licensed operations. New laws and regulations or new interpretations of existing laws and regulations may also impact our business. The costs of compliance with these laws and regulations are high, are likely to increase in the future, and any failure on our part to comply with these laws may subject us to significant liabilities and other penalties. See "Risk Related to Regulation and Litigation" in Item 1A, Risk Factors for more information.</w:t>
      </w:r>
    </w:p>
    <w:p>
      <w:pPr>
        <w:spacing w:after="0" w:line="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are not aware of any federal, state, or local provisions that have been enacted or adopted regulating the discharge of materials into the environment, or otherwise relating to the protection of the environment, that have materially affected, or are reasonably expected to materially affect, our results of operations, competitive position, or capital expenditures.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Seasonality</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Our business is subject to seasonal fluctuations that impact our revenue and shop gross profit margins. We typically experience higher nominal system sales in the summer months, which impacts revenue and shop gross profit margins in our second and third quarters of our fiscal year.</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Information About our Executive Officers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131E29"/>
        </w:rPr>
        <w:t>The executive officers of Dutch Bros Inc. as of the filing of this Form 10-K, are as follows:</w:t>
      </w:r>
    </w:p>
    <w:p>
      <w:pPr>
        <w:spacing w:after="0" w:line="136" w:lineRule="exact"/>
        <w:rPr>
          <w:sz w:val="20"/>
          <w:szCs w:val="20"/>
          <w:color w:val="auto"/>
        </w:rPr>
      </w:pPr>
    </w:p>
    <w:p>
      <w:pPr>
        <w:ind w:left="20"/>
        <w:spacing w:after="0"/>
        <w:tabs>
          <w:tab w:leader="none" w:pos="7940" w:val="left"/>
        </w:tabs>
        <w:rPr>
          <w:sz w:val="20"/>
          <w:szCs w:val="20"/>
          <w:color w:val="auto"/>
        </w:rPr>
      </w:pPr>
      <w:r>
        <w:rPr>
          <w:rFonts w:ascii="Arial" w:cs="Arial" w:eastAsia="Arial" w:hAnsi="Arial"/>
          <w:sz w:val="14"/>
          <w:szCs w:val="14"/>
          <w:b w:val="1"/>
          <w:bCs w:val="1"/>
          <w:color w:val="006098"/>
        </w:rPr>
        <w:t>Travis Boersma, 54</w:t>
      </w:r>
      <w:r>
        <w:rPr>
          <w:sz w:val="20"/>
          <w:szCs w:val="20"/>
          <w:color w:val="auto"/>
        </w:rPr>
        <w:tab/>
      </w:r>
      <w:r>
        <w:rPr>
          <w:rFonts w:ascii="Arial" w:cs="Arial" w:eastAsia="Arial" w:hAnsi="Arial"/>
          <w:sz w:val="14"/>
          <w:szCs w:val="14"/>
          <w:b w:val="1"/>
          <w:bCs w:val="1"/>
          <w:color w:val="006098"/>
        </w:rPr>
        <w:t>Co-founder and 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Mr. Boersma is our Co-Founder and has served as our Executive Chairman since August 2021 and as the Executive Chairman of Dutch Bros OpCo since February 2021. Prior to serving as our Executive Chairman, he served as the Chief Executive Officer of Dutch Bros OpCo from February 2019 to February 2021. Mr. Boersma has led us as Co-Founder since 1992. Mr. Boersma attended Southern Oregon University.</w:t>
      </w:r>
    </w:p>
    <w:p>
      <w:pPr>
        <w:spacing w:after="0" w:line="91" w:lineRule="exact"/>
        <w:rPr>
          <w:sz w:val="20"/>
          <w:szCs w:val="20"/>
          <w:color w:val="auto"/>
        </w:rPr>
      </w:pPr>
    </w:p>
    <w:p>
      <w:pPr>
        <w:ind w:left="20"/>
        <w:spacing w:after="0"/>
        <w:tabs>
          <w:tab w:leader="none" w:pos="8720" w:val="left"/>
        </w:tabs>
        <w:rPr>
          <w:sz w:val="20"/>
          <w:szCs w:val="20"/>
          <w:color w:val="auto"/>
        </w:rPr>
      </w:pPr>
      <w:r>
        <w:rPr>
          <w:rFonts w:ascii="Arial" w:cs="Arial" w:eastAsia="Arial" w:hAnsi="Arial"/>
          <w:sz w:val="14"/>
          <w:szCs w:val="14"/>
          <w:b w:val="1"/>
          <w:bCs w:val="1"/>
          <w:color w:val="006098"/>
        </w:rPr>
        <w:t>Christine Barone, 51</w:t>
      </w:r>
      <w:r>
        <w:rPr>
          <w:sz w:val="20"/>
          <w:szCs w:val="20"/>
          <w:color w:val="auto"/>
        </w:rPr>
        <w:tab/>
      </w:r>
      <w:r>
        <w:rPr>
          <w:rFonts w:ascii="Arial" w:cs="Arial" w:eastAsia="Arial" w:hAnsi="Arial"/>
          <w:sz w:val="14"/>
          <w:szCs w:val="14"/>
          <w:b w:val="1"/>
          <w:bCs w:val="1"/>
          <w:color w:val="006098"/>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Ms. Barone has served as our Chief Executive Officer and as a member of our Board since January 2024, and as our President since February 2023. Ms. Barone has worked in the food service and beverage industries for more than a decade, and most recently served as Chief Executive Officer at True Food Kitchen, a high growth restaurant and lifestyle brand, from August 2016 to February 2023. Prior to that, she served in various leadership roles at Starbucks Corporation (Nasdaq: SBUX). Earlier in her career, she held positions with Bain &amp; Company and Raymond James. Since March 2020, Ms. Barone has served on the Board of Directors of Yelp Inc. Ms. Barone holds a B.A. in Applied Mathematics and an M.B.A. from Harvard University.</w:t>
      </w:r>
    </w:p>
    <w:p>
      <w:pPr>
        <w:spacing w:after="0" w:line="140" w:lineRule="exact"/>
        <w:rPr>
          <w:sz w:val="20"/>
          <w:szCs w:val="20"/>
          <w:color w:val="auto"/>
        </w:rPr>
      </w:pPr>
    </w:p>
    <w:p>
      <w:pPr>
        <w:ind w:left="20"/>
        <w:spacing w:after="0"/>
        <w:tabs>
          <w:tab w:leader="none" w:pos="9740" w:val="left"/>
        </w:tabs>
        <w:rPr>
          <w:sz w:val="20"/>
          <w:szCs w:val="20"/>
          <w:color w:val="auto"/>
        </w:rPr>
      </w:pPr>
      <w:r>
        <w:rPr>
          <w:rFonts w:ascii="Arial" w:cs="Arial" w:eastAsia="Arial" w:hAnsi="Arial"/>
          <w:sz w:val="14"/>
          <w:szCs w:val="14"/>
          <w:b w:val="1"/>
          <w:bCs w:val="1"/>
          <w:color w:val="006098"/>
        </w:rPr>
        <w:t>Joshua Guenser, 46</w:t>
      </w:r>
      <w:r>
        <w:rPr>
          <w:sz w:val="20"/>
          <w:szCs w:val="20"/>
          <w:color w:val="auto"/>
        </w:rPr>
        <w:tab/>
      </w:r>
      <w:r>
        <w:rPr>
          <w:rFonts w:ascii="Arial" w:cs="Arial" w:eastAsia="Arial" w:hAnsi="Arial"/>
          <w:sz w:val="14"/>
          <w:szCs w:val="14"/>
          <w:b w:val="1"/>
          <w:bCs w:val="1"/>
          <w:color w:val="006098"/>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Mr. Guenser has served as our Chief Financial Officer since May 2024, after a transitional period as Incoming Chief Financial Officer from February 2024 to May 2024. Mr. Guenser served as Chief Financial Officer of MOD Super Fast Pizza Holdings, LLC, a US-based fast-casual pizza restaurant chain, from March 2020 to January 2024. Prior to that, he served in various roles at Starbucks Corporation (Nasdaq: SBUX), a global coffee chain, from October 2009 to March 2020, most recently as Senior Vice President, Finance - Americas from January 2019 to March 2020, and prior to that, as Vice President, Finance - US Retail from July 2018 to January 2019. Mr. Guenser holds a Master of Professional Accounting and a B.A. in Business Administration from the University of Washington.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0" w:name="page21"/>
    <w:bookmarkEnd w:id="2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9640" w:val="left"/>
        </w:tabs>
        <w:rPr>
          <w:sz w:val="20"/>
          <w:szCs w:val="20"/>
          <w:color w:val="auto"/>
        </w:rPr>
      </w:pPr>
      <w:r>
        <w:rPr>
          <w:rFonts w:ascii="Arial" w:cs="Arial" w:eastAsia="Arial" w:hAnsi="Arial"/>
          <w:sz w:val="14"/>
          <w:szCs w:val="14"/>
          <w:b w:val="1"/>
          <w:bCs w:val="1"/>
          <w:color w:val="006098"/>
        </w:rPr>
        <w:t>Sumi Ghosh, 57</w:t>
      </w:r>
      <w:r>
        <w:rPr>
          <w:sz w:val="20"/>
          <w:szCs w:val="20"/>
          <w:color w:val="auto"/>
        </w:rPr>
        <w:tab/>
      </w:r>
      <w:r>
        <w:rPr>
          <w:rFonts w:ascii="Arial" w:cs="Arial" w:eastAsia="Arial" w:hAnsi="Arial"/>
          <w:sz w:val="14"/>
          <w:szCs w:val="14"/>
          <w:b w:val="1"/>
          <w:bCs w:val="1"/>
          <w:color w:val="006098"/>
        </w:rPr>
        <w:t>President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Mr. Ghosh has served as our President of Operations since April 2024, after a transitional period as Incoming President of Operations from January 2024 to March 2024. Mr. Ghosh served as Global VP of Nike Stores for NIKE, Inc. (NYSE: NKE), a multinational athletic, footwear, apparel, equipment, and services corporation, from November 2021 to December 2023. Prior to that, he served as Chief Operating Officer of Foxtrot Ventures Inc., a food and drink convenience store and delivery service, from December 2020 to September 2021. He held various roles at Starbucks Corporation (Nasdaq: SBUX), a global coffee chain, from 2008 to December 2020, most recently as Senior Vice President of Siren Retail, Global Roastery and Reserve Stores from January 2019 to December 2020, and before that as Chief Executive Officer and Managing Director of TATA Starbucks Private Limited from January 2016 to January 2019. Mr. Ghosh serves on the Boards of Directors of the non-profit organizations India Initiative and New City Church. He holds a B.A. in Advertising from Michigan State University.</w:t>
      </w:r>
    </w:p>
    <w:p>
      <w:pPr>
        <w:spacing w:after="0" w:line="99" w:lineRule="exact"/>
        <w:rPr>
          <w:sz w:val="20"/>
          <w:szCs w:val="20"/>
          <w:color w:val="auto"/>
        </w:rPr>
      </w:pPr>
    </w:p>
    <w:p>
      <w:pPr>
        <w:ind w:left="20"/>
        <w:spacing w:after="0"/>
        <w:tabs>
          <w:tab w:leader="none" w:pos="9700" w:val="left"/>
        </w:tabs>
        <w:rPr>
          <w:sz w:val="20"/>
          <w:szCs w:val="20"/>
          <w:color w:val="auto"/>
        </w:rPr>
      </w:pPr>
      <w:r>
        <w:rPr>
          <w:rFonts w:ascii="Arial" w:cs="Arial" w:eastAsia="Arial" w:hAnsi="Arial"/>
          <w:sz w:val="14"/>
          <w:szCs w:val="14"/>
          <w:b w:val="1"/>
          <w:bCs w:val="1"/>
          <w:color w:val="006098"/>
        </w:rPr>
        <w:t>Tana Davila, 42</w:t>
      </w:r>
      <w:r>
        <w:rPr>
          <w:sz w:val="20"/>
          <w:szCs w:val="20"/>
          <w:color w:val="auto"/>
        </w:rPr>
        <w:tab/>
      </w:r>
      <w:r>
        <w:rPr>
          <w:rFonts w:ascii="Arial" w:cs="Arial" w:eastAsia="Arial" w:hAnsi="Arial"/>
          <w:sz w:val="13"/>
          <w:szCs w:val="13"/>
          <w:b w:val="1"/>
          <w:bCs w:val="1"/>
          <w:color w:val="006098"/>
        </w:rPr>
        <w:t>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Ms. Davila has served as our Chief Marketing Officer since June 2023. Prior to joining Dutch Bros, she served as Chief Marketing Officer at CKE Restaurants, Inc., a quick service restaurant group, from September 2022 to June 2023. Prior to that, she served in various roles at PF Chang’s China Bistro Inc., a casual dining restaurant chain, including most recently as Chief Marketing Officer from September 2019 to August 2022, as Senior Vice President – Marketing from January 2019 to September 2019, and as Vice President – Marketing and Brand Development from November 2017 to January 2019. Ms. Davila is a Fulbright Scholar and holds a B.A. in International Studies and German from Washington University in St. Louis, a J.D. from Seton Hall University, and an M.B.A. from Emory University.</w:t>
      </w:r>
    </w:p>
    <w:p>
      <w:pPr>
        <w:spacing w:after="0" w:line="140" w:lineRule="exact"/>
        <w:rPr>
          <w:sz w:val="20"/>
          <w:szCs w:val="20"/>
          <w:color w:val="auto"/>
        </w:rPr>
      </w:pPr>
    </w:p>
    <w:p>
      <w:pPr>
        <w:ind w:left="20"/>
        <w:spacing w:after="0"/>
        <w:tabs>
          <w:tab w:leader="none" w:pos="10000" w:val="left"/>
        </w:tabs>
        <w:rPr>
          <w:sz w:val="20"/>
          <w:szCs w:val="20"/>
          <w:color w:val="auto"/>
        </w:rPr>
      </w:pPr>
      <w:r>
        <w:rPr>
          <w:rFonts w:ascii="Arial" w:cs="Arial" w:eastAsia="Arial" w:hAnsi="Arial"/>
          <w:sz w:val="14"/>
          <w:szCs w:val="14"/>
          <w:b w:val="1"/>
          <w:bCs w:val="1"/>
          <w:color w:val="006098"/>
        </w:rPr>
        <w:t>Victoria Tullett, 57</w:t>
      </w:r>
      <w:r>
        <w:rPr>
          <w:sz w:val="20"/>
          <w:szCs w:val="20"/>
          <w:color w:val="auto"/>
        </w:rPr>
        <w:tab/>
      </w:r>
      <w:r>
        <w:rPr>
          <w:rFonts w:ascii="Arial" w:cs="Arial" w:eastAsia="Arial" w:hAnsi="Arial"/>
          <w:sz w:val="13"/>
          <w:szCs w:val="13"/>
          <w:b w:val="1"/>
          <w:bCs w:val="1"/>
          <w:color w:val="006098"/>
        </w:rPr>
        <w:t>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Ms. Tullett has served as our Chief Legal Officer since September 2022 and has more than 20 years of experience helping diverse organizations manage operational risk and achieve record levels of growth, compliance, and profitability. Prior to joining Dutch Bros, she served Papa Murphy’s International, a franchise model take-and-bake pizza company, for more than 20 years in various roles, including most recently as Senior Vice President, General Counsel, and head of new store Development from May 2019 to August 2022, and from May 2014 to May 2019, as Chief Legal Officer while the company was publicly traded on the Nasdaq. In addition to her role at Dutch Bros, Ms. Tullett serves on the Board of Directors for Vancouver Symphony Orchestra. Ms. Tullett holds a J.D. from Lewis &amp; Clark, Northwestern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6153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131E29"/>
        </w:rPr>
        <w:t>Please refer to our website for a complete listing of our executive management team.</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Available Information</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website address is dutchbros.com. Our Form 10-K, Quarterly Reports on Form 10-Q, Current Reports on Form 8-K, and other filings with the SEC, and all amendments to these filings, can be obtained free of charge from our website at https://investors.dutchbros.com/financials/sec-filings/default.aspx or by contacting our Investor Relations department at our office address listed above as soon as reasonably practical following our filing or furnishing of any of these reports with the SEC. The SEC maintains a website that contains reports, proxy and information statements, and other information regarding issuers that file electronically with the SEC at www.sec.gov. We also routinely use the investor relations page on our website as a channel of distribution for important Company information, including press releases, analyst presentations, and financial and corporate governance information.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1" w:name="page22"/>
    <w:bookmarkEnd w:id="2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1A. 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Summary of Risk Factors</w:t>
      </w:r>
    </w:p>
    <w:p>
      <w:pPr>
        <w:spacing w:after="0" w:line="142" w:lineRule="exact"/>
        <w:rPr>
          <w:sz w:val="20"/>
          <w:szCs w:val="20"/>
          <w:color w:val="auto"/>
        </w:rPr>
      </w:pPr>
    </w:p>
    <w:p>
      <w:pPr>
        <w:jc w:val="both"/>
        <w:spacing w:after="0" w:line="270" w:lineRule="auto"/>
        <w:rPr>
          <w:sz w:val="20"/>
          <w:szCs w:val="20"/>
          <w:color w:val="auto"/>
        </w:rPr>
      </w:pPr>
      <w:r>
        <w:rPr>
          <w:rFonts w:ascii="Arial" w:cs="Arial" w:eastAsia="Arial" w:hAnsi="Arial"/>
          <w:sz w:val="14"/>
          <w:szCs w:val="14"/>
          <w:i w:val="1"/>
          <w:iCs w:val="1"/>
          <w:color w:val="131E29"/>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10-K and our other filings with the SEC before making investment decisions regarding our Class A common stock.</w:t>
      </w:r>
    </w:p>
    <w:p>
      <w:pPr>
        <w:spacing w:after="0" w:line="91" w:lineRule="exact"/>
        <w:rPr>
          <w:sz w:val="20"/>
          <w:szCs w:val="20"/>
          <w:color w:val="auto"/>
        </w:rPr>
      </w:pPr>
    </w:p>
    <w:p>
      <w:pPr>
        <w:ind w:left="260" w:hanging="255"/>
        <w:spacing w:after="0"/>
        <w:tabs>
          <w:tab w:leader="none" w:pos="260"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Evolving consumer preferences and tastes or changes in consumer spending may adversely affect our business.</w:t>
      </w:r>
    </w:p>
    <w:p>
      <w:pPr>
        <w:spacing w:after="0" w:line="51" w:lineRule="exact"/>
        <w:rPr>
          <w:rFonts w:ascii="Arial" w:cs="Arial" w:eastAsia="Arial" w:hAnsi="Arial"/>
          <w:sz w:val="14"/>
          <w:szCs w:val="14"/>
          <w:color w:val="131E29"/>
        </w:rPr>
      </w:pPr>
    </w:p>
    <w:p>
      <w:pPr>
        <w:ind w:left="260" w:hanging="255"/>
        <w:spacing w:after="0" w:line="284" w:lineRule="auto"/>
        <w:tabs>
          <w:tab w:leader="none" w:pos="256"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jc w:val="both"/>
        <w:ind w:left="260" w:hanging="255"/>
        <w:spacing w:after="0" w:line="271" w:lineRule="auto"/>
        <w:tabs>
          <w:tab w:leader="none" w:pos="256"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6" w:lineRule="exact"/>
        <w:rPr>
          <w:rFonts w:ascii="Arial" w:cs="Arial" w:eastAsia="Arial" w:hAnsi="Arial"/>
          <w:sz w:val="14"/>
          <w:szCs w:val="14"/>
          <w:color w:val="131E29"/>
        </w:rPr>
      </w:pPr>
    </w:p>
    <w:p>
      <w:pPr>
        <w:ind w:left="260" w:hanging="255"/>
        <w:spacing w:after="0"/>
        <w:tabs>
          <w:tab w:leader="none" w:pos="260"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Our failure to manage our growth effectively could harm our business and operating results.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Our inability to identify, recruit, and retain qualified individuals for our shops could slow our growth and adversely impact our ability to operate.</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Our shops are geographically concentrated in the Western United States, and we could be negatively affected by conditions specific to that region.</w:t>
      </w:r>
    </w:p>
    <w:p>
      <w:pPr>
        <w:spacing w:after="0" w:line="51" w:lineRule="exact"/>
        <w:rPr>
          <w:rFonts w:ascii="Arial" w:cs="Arial" w:eastAsia="Arial" w:hAnsi="Arial"/>
          <w:sz w:val="14"/>
          <w:szCs w:val="14"/>
          <w:color w:val="131E29"/>
        </w:rPr>
      </w:pPr>
    </w:p>
    <w:p>
      <w:pPr>
        <w:ind w:left="260" w:hanging="255"/>
        <w:spacing w:after="0" w:line="284" w:lineRule="auto"/>
        <w:tabs>
          <w:tab w:leader="none" w:pos="256"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ind w:left="260" w:hanging="255"/>
        <w:spacing w:after="0" w:line="284" w:lineRule="auto"/>
        <w:tabs>
          <w:tab w:leader="none" w:pos="256"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ind w:left="260" w:hanging="255"/>
        <w:spacing w:after="0"/>
        <w:tabs>
          <w:tab w:leader="none" w:pos="260"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Our success depends substantially on the value of our brand and failure to preserve its value could have a negative impact on our financial results.</w:t>
      </w:r>
    </w:p>
    <w:p>
      <w:pPr>
        <w:spacing w:after="0" w:line="51" w:lineRule="exact"/>
        <w:rPr>
          <w:rFonts w:ascii="Arial" w:cs="Arial" w:eastAsia="Arial" w:hAnsi="Arial"/>
          <w:sz w:val="14"/>
          <w:szCs w:val="14"/>
          <w:color w:val="131E29"/>
        </w:rPr>
      </w:pPr>
    </w:p>
    <w:p>
      <w:pPr>
        <w:jc w:val="both"/>
        <w:ind w:left="260" w:hanging="255"/>
        <w:spacing w:after="0" w:line="271" w:lineRule="auto"/>
        <w:tabs>
          <w:tab w:leader="none" w:pos="256"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spacing w:after="0" w:line="6" w:lineRule="exact"/>
        <w:rPr>
          <w:rFonts w:ascii="Arial" w:cs="Arial" w:eastAsia="Arial" w:hAnsi="Arial"/>
          <w:sz w:val="14"/>
          <w:szCs w:val="14"/>
          <w:color w:val="131E29"/>
        </w:rPr>
      </w:pPr>
    </w:p>
    <w:p>
      <w:pPr>
        <w:ind w:left="260" w:hanging="255"/>
        <w:spacing w:after="0"/>
        <w:tabs>
          <w:tab w:leader="none" w:pos="260"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Changes in the availability of and the cost of labor could harm our business.</w:t>
      </w:r>
    </w:p>
    <w:p>
      <w:pPr>
        <w:spacing w:after="0" w:line="51" w:lineRule="exact"/>
        <w:rPr>
          <w:rFonts w:ascii="Arial" w:cs="Arial" w:eastAsia="Arial" w:hAnsi="Arial"/>
          <w:sz w:val="14"/>
          <w:szCs w:val="14"/>
          <w:color w:val="131E29"/>
        </w:rPr>
      </w:pPr>
    </w:p>
    <w:p>
      <w:pPr>
        <w:ind w:left="260" w:hanging="255"/>
        <w:spacing w:after="0" w:line="284" w:lineRule="auto"/>
        <w:tabs>
          <w:tab w:leader="none" w:pos="256"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Our culture has contributed to our success, and if we cannot maintain this culture as we grow, we could lose the high employee engagement fostered by our culture, which could harm our business.</w:t>
      </w:r>
    </w:p>
    <w:p>
      <w:pPr>
        <w:ind w:left="260" w:hanging="255"/>
        <w:spacing w:after="0"/>
        <w:tabs>
          <w:tab w:leader="none" w:pos="260"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Our Co-Founder continues to have significant influence over us, which could limit your ability to influence the outcome of matters submitted to stockholders for a vote.</w:t>
      </w:r>
    </w:p>
    <w:p>
      <w:pPr>
        <w:spacing w:after="0" w:line="51"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14"/>
        </w:numPr>
        <w:rPr>
          <w:rFonts w:ascii="Arial" w:cs="Arial" w:eastAsia="Arial" w:hAnsi="Arial"/>
          <w:sz w:val="14"/>
          <w:szCs w:val="14"/>
          <w:color w:val="131E29"/>
        </w:rPr>
      </w:pPr>
      <w:r>
        <w:rPr>
          <w:rFonts w:ascii="Arial" w:cs="Arial" w:eastAsia="Arial" w:hAnsi="Arial"/>
          <w:sz w:val="14"/>
          <w:szCs w:val="14"/>
          <w:color w:val="131E29"/>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2" w:name="page23"/>
    <w:bookmarkEnd w:id="2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hanging="255"/>
        <w:spacing w:after="0" w:line="284" w:lineRule="auto"/>
        <w:tabs>
          <w:tab w:leader="none" w:pos="256"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Our growth strategy depends in part on opening new shops in existing and new markets. We may be unsuccessful in opening new shops or establishing new markets, which could adversely affect our growth.</w:t>
      </w:r>
    </w:p>
    <w:p>
      <w:pPr>
        <w:ind w:left="260" w:hanging="255"/>
        <w:spacing w:after="0" w:line="284" w:lineRule="auto"/>
        <w:tabs>
          <w:tab w:leader="none" w:pos="256"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jc w:val="both"/>
        <w:ind w:left="260" w:hanging="255"/>
        <w:spacing w:after="0" w:line="262" w:lineRule="auto"/>
        <w:tabs>
          <w:tab w:leader="none" w:pos="256" w:val="left"/>
        </w:tabs>
        <w:numPr>
          <w:ilvl w:val="0"/>
          <w:numId w:val="15"/>
        </w:numPr>
        <w:rPr>
          <w:rFonts w:ascii="Arial" w:cs="Arial" w:eastAsia="Arial" w:hAnsi="Arial"/>
          <w:sz w:val="14"/>
          <w:szCs w:val="14"/>
          <w:color w:val="131E29"/>
        </w:rPr>
      </w:pPr>
      <w:r>
        <w:rPr>
          <w:rFonts w:ascii="Arial" w:cs="Arial" w:eastAsia="Arial" w:hAnsi="Arial"/>
          <w:sz w:val="14"/>
          <w:szCs w:val="14"/>
          <w:color w:val="131E29"/>
        </w:rPr>
        <w:t>Dutch Bros OpCo may make distributions of cash to Dutch Bros Inc. in excess of the amounts used by Dutch Bros Inc. to make distributions to its stockholders and pay its expenses (including taxes and payments under the Tax Receivable Agreements). In certain circumstances, such excess cash could cause the value of a share of Class A common stock to be deemed to increase relative to the value of a Dutch Bros OpCo Class A common unit, and if actions are not taken to address this issue the Continuing Members could benefit disproportionately from any additional value of a share of Class A common stock attributable to such cash if they exercise their redemption or exchange rights.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 Factors</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131E29"/>
        </w:rPr>
        <w:t>You should carefully consider the risks described below in addition to the other information set forth in this Form 10-K, including “Management’s Discussion and Analysis of Financial Condition and Results of Operations,” “Quantitative and Qualitative Disclosures about Market Risk,” our consolidated financial statements and related notes in this Form 10-K,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Evolving consumer preferences and tastes or changes in consumer spending may adversely affect our business.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due to price increases necessary to cover the costs of new beverages or higher input costs), brand perception (such as the existence or expansion of our competitors), platforms (such as features of our mobile application and changes in our loyalty rewards programs and initiatives), a reduction in individual vehicle ownership, which in turn may reduce the usefulness and convenience of our drive-thru shops, or customers reducing their demand for our current offerings as new beverages are introduced. We may not be successful in introducing new products or new features to our mobile application that are adopted by our customers. Experimentation with and implementation of innovations in products and technologies may result in inefficiencies, such as a slowdown in our shop operations and traffic flow, disruption of workflows, technical glitches, disruption of current systems and technology, and negative customer experiences.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3" w:name="page24"/>
    <w:bookmarkEnd w:id="2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attributed to the consumption of various food and beverage products. While we offer alternatives, including reduced sugar and sugar-free items, negative publicity or an unfavorable perception of the health effects of sugar, caffeine, or other ingredients in our products could significantly reduce the demand for our beverages and could harm our business.</w:t>
      </w:r>
    </w:p>
    <w:p>
      <w:pPr>
        <w:spacing w:after="0" w:line="5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Our financial condition and results of operations are subject to, and may be adversely affected by, a number of factors, many of which are also largely outside our control.</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spacing w:after="0" w:line="49" w:lineRule="exact"/>
        <w:rPr>
          <w:sz w:val="20"/>
          <w:szCs w:val="20"/>
          <w:color w:val="auto"/>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increases in real estate or labor costs in certain markets, which we have recently experienced;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changes in consumer preferences;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disruptions in our supply chain;</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the impact of shortages or inflation on our cost of goods or labor, including construction supplies and labor, which we have recently seen;</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changes in governmental laws and rules, including those regarding minimum wage, and approaches to taxation;</w:t>
      </w:r>
    </w:p>
    <w:p>
      <w:pPr>
        <w:spacing w:after="0" w:line="51" w:lineRule="exact"/>
        <w:rPr>
          <w:rFonts w:ascii="Arial" w:cs="Arial" w:eastAsia="Arial" w:hAnsi="Arial"/>
          <w:sz w:val="14"/>
          <w:szCs w:val="14"/>
          <w:color w:val="131E29"/>
        </w:rPr>
      </w:pPr>
    </w:p>
    <w:p>
      <w:pPr>
        <w:ind w:left="260" w:hanging="255"/>
        <w:spacing w:after="0" w:line="284" w:lineRule="auto"/>
        <w:tabs>
          <w:tab w:leader="none" w:pos="256"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severe weather or other natural or man-made disasters affecting a large market or several closely located markets that may temporarily but significantly affect our business in such markets, including the price or availability of goods;</w:t>
      </w:r>
    </w:p>
    <w:p>
      <w:pPr>
        <w:jc w:val="both"/>
        <w:ind w:left="260" w:hanging="255"/>
        <w:spacing w:after="0" w:line="271" w:lineRule="auto"/>
        <w:tabs>
          <w:tab w:leader="none" w:pos="256"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labor discord or disruption, geopolitical events, social unrest, war, including repercussions of the war between Russia and Ukraine or the war between Israel and Hamas and the related risk of larger regional conflicts, terrorism, political instability or uncertainty, acts of public violence, boycotts, hostilities and social unrest, or resurgence of or new epidemics; and</w:t>
      </w:r>
    </w:p>
    <w:p>
      <w:pPr>
        <w:spacing w:after="0" w:line="6" w:lineRule="exact"/>
        <w:rPr>
          <w:rFonts w:ascii="Arial" w:cs="Arial" w:eastAsia="Arial" w:hAnsi="Arial"/>
          <w:sz w:val="14"/>
          <w:szCs w:val="14"/>
          <w:color w:val="131E29"/>
        </w:rPr>
      </w:pPr>
    </w:p>
    <w:p>
      <w:pPr>
        <w:ind w:left="260" w:hanging="255"/>
        <w:spacing w:after="0"/>
        <w:tabs>
          <w:tab w:leader="none" w:pos="260" w:val="left"/>
        </w:tabs>
        <w:numPr>
          <w:ilvl w:val="0"/>
          <w:numId w:val="16"/>
        </w:numPr>
        <w:rPr>
          <w:rFonts w:ascii="Arial" w:cs="Arial" w:eastAsia="Arial" w:hAnsi="Arial"/>
          <w:sz w:val="14"/>
          <w:szCs w:val="14"/>
          <w:color w:val="131E29"/>
        </w:rPr>
      </w:pPr>
      <w:r>
        <w:rPr>
          <w:rFonts w:ascii="Arial" w:cs="Arial" w:eastAsia="Arial" w:hAnsi="Arial"/>
          <w:sz w:val="14"/>
          <w:szCs w:val="14"/>
          <w:color w:val="131E29"/>
        </w:rPr>
        <w:t>adverse outcomes of litigation.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marketing programs may not be successful, and our new menu items, advertising campaigns, and other initiatives may not generate increased revenues or profits.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incur costs and expend resources in our marketing efforts on new menu items, advertising campaigns to raise brand awareness and attract and retain customers, and other initiatives. For example, we began testing hot food offerings in a limited number of shops and implemented mobile order capabilities in over 95% of shops during 2024. These initiatives, and other initiatives we implement, may not be successful in creating new occasions in our shops or improving our financial condition and results of operations, resulting in expenses incurred without the benefit of higher revenue. For example, new menu offerings may not generate enough customer interest and sales to become profitable or cover the costs of their implementation, and may reduce our operating income. Additionally, some of our competitors have substantially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for example if our marketing efforts do not continue to appeal to our current customers or are perceived negatively, there could be an adverse effect on our revenues and profits could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4" w:name="page25"/>
    <w:bookmarkEnd w:id="2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From time to time our marketing efforts include limited releases of either paid or complimentary merchandise. These limited releases may be unsuccessful in creating increased demand and result in incurred cost without additional benefit. They may also be more successful than planned, resulting in product scarcity and negative customer sentiment, including potential social media backlash, which could harm our reputation and negatively affect our profits.</w:t>
      </w:r>
    </w:p>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including Dunkin’, CosMc’s, Starbucks,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Certain markets may limit the number of drive-thru businesses operating within their geographic region, which could negatively affect our ability to grow into those markets. Some of our competitors have substantially greater financial and other resources to devote to innovation in products, technology, and market and consumer data analytics, including integration, use, or offering of new technologies, including artificial intelligence (AI). We may be unable to offer new or innovative products and technologies to our customers that are offered by our competitors, or there may be a delay in our ability to innovate or implement new technologies. Any of these competitive factors may harm our business.</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Additionally, if our competitors begin to evolve their business strategies and adopt aspects of the Dutch Bros business model, such as our drive-thru convenience, digital ordering, and similar product offerings or branding, our customers may be drawn to those competitors for their beverage needs and our business could be harmed.</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strategic initiatives and growth strategy may be unsuccessful which could adversely affect our business and financial results.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As of December 31, 2024, Dutch Bros had 982 shops across 18 states, of which 670 were company-operated and 312 were franchised. One of the key means to achieving our growth strategy will be through opening new shops and operating those shops on a profitable basis. During the year ended December 31, 2024, we opened 128 new company-operated shops, across 15 states. Our ability to open new shops is dependent upon a number of factors, many of which are beyond our control, including our and our franchise partners’ ability to:</w:t>
      </w:r>
    </w:p>
    <w:p>
      <w:pPr>
        <w:spacing w:after="0" w:line="53" w:lineRule="exact"/>
        <w:rPr>
          <w:sz w:val="20"/>
          <w:szCs w:val="20"/>
          <w:color w:val="auto"/>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identify available and suitable sites, specifically for drive-thru locations;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compete for such sites;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reach acceptable agreements regarding the lease of locations;</w:t>
      </w:r>
    </w:p>
    <w:p>
      <w:pPr>
        <w:spacing w:after="0" w:line="51" w:lineRule="exact"/>
        <w:rPr>
          <w:rFonts w:ascii="Arial" w:cs="Arial" w:eastAsia="Arial" w:hAnsi="Arial"/>
          <w:sz w:val="14"/>
          <w:szCs w:val="14"/>
          <w:color w:val="131E29"/>
        </w:rPr>
      </w:pPr>
    </w:p>
    <w:p>
      <w:pPr>
        <w:ind w:left="260" w:hanging="255"/>
        <w:spacing w:after="0" w:line="284" w:lineRule="auto"/>
        <w:tabs>
          <w:tab w:leader="none" w:pos="256"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obtain or have available the financing required to acquire and operate a shop, including construction and opening costs, which includes access to build-to-suit leases and ground lease construction arrangements;</w:t>
      </w: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respond to unforeseen engineering or environmental problems with leased premises;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avoid the impact of inclement weather, natural disasters, and other calamities;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7"/>
        </w:numPr>
        <w:rPr>
          <w:rFonts w:ascii="Arial" w:cs="Arial" w:eastAsia="Arial" w:hAnsi="Arial"/>
          <w:sz w:val="14"/>
          <w:szCs w:val="14"/>
          <w:color w:val="131E29"/>
        </w:rPr>
      </w:pPr>
      <w:r>
        <w:rPr>
          <w:rFonts w:ascii="Arial" w:cs="Arial" w:eastAsia="Arial" w:hAnsi="Arial"/>
          <w:sz w:val="14"/>
          <w:szCs w:val="14"/>
          <w:color w:val="131E29"/>
        </w:rPr>
        <w:t>hire, train, and retain the skilled management and other employees necessary to meet staffing needs;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5" w:name="page26"/>
    <w:bookmarkEnd w:id="2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hanging="255"/>
        <w:spacing w:after="0" w:line="284" w:lineRule="auto"/>
        <w:tabs>
          <w:tab w:leader="none" w:pos="256"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obtain, in a timely manner and for an acceptable cost, required licenses, permits, and regulatory approvals and respond effectively to any changes in local, state, or federal law and regulations, such as regulatory bans on new drive-thru businesses, that adversely affect our and our franchise partners’ costs or ability to open new shops; and</w:t>
      </w:r>
    </w:p>
    <w:p>
      <w:pPr>
        <w:ind w:left="260" w:hanging="255"/>
        <w:spacing w:after="0" w:line="265" w:lineRule="auto"/>
        <w:tabs>
          <w:tab w:leader="none" w:pos="256" w:val="left"/>
        </w:tabs>
        <w:numPr>
          <w:ilvl w:val="0"/>
          <w:numId w:val="18"/>
        </w:numPr>
        <w:rPr>
          <w:rFonts w:ascii="Arial" w:cs="Arial" w:eastAsia="Arial" w:hAnsi="Arial"/>
          <w:sz w:val="14"/>
          <w:szCs w:val="14"/>
          <w:color w:val="131E29"/>
        </w:rPr>
      </w:pPr>
      <w:r>
        <w:rPr>
          <w:rFonts w:ascii="Arial" w:cs="Arial" w:eastAsia="Arial" w:hAnsi="Arial"/>
          <w:sz w:val="14"/>
          <w:szCs w:val="14"/>
          <w:color w:val="131E29"/>
        </w:rPr>
        <w:t>control construction and equipment cost increases for new shops and secure the services of qualified contractors and subcontractors in an increasingly competitive environment.</w:t>
      </w:r>
    </w:p>
    <w:p>
      <w:pPr>
        <w:spacing w:after="0" w:line="28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131E29"/>
        </w:rPr>
        <w:t>In addition, we may experience delays in our shop development and expansion plans due to unexpectedly long processing times or delays on the part of governmental agencies who issue necessary licenses, permits, and approvals. Delays in the permitting or licensure processes that may result from government shutdowns, staffing shortages, or similar actions that are out of our control, due to, among other things, loss of or uncertainty around federal funding, including the receipt of federal funding by states or state agencies where we operate, could lead to delays in building our shops and affect our shop development and expansion plans, which could harm our results of operations and financial condition</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part of our longer-term growth strategy, we expect to continue to enter into geographic markets in which we have little or no prior operating experience. The challenges of entering new markets include: adapting to local regulations or restrictions that may limit our ability to open new shops, restrictions on the use of certain branding, or increases in the cost of development; difficulties in hiring qualified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w:t>
      </w:r>
    </w:p>
    <w:p>
      <w:pPr>
        <w:spacing w:after="0" w:line="5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New shops, once opened, may not be profitable or may close, and the increases in average per shop revenue and comparable sales that we have experienced in the past may not be indicative of future results.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We plan to continue to open additional company-operated Dutch Bros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delays due to scarcity of construction labor,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Due to the impact of inflation and other factors, we are experiencing increased costs in connection with new shops.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6" w:name="page27"/>
    <w:bookmarkEnd w:id="2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Some of Dutch Bros’ shops open with an initial start-up period of higher-than-normal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we do not expect our AUV and comparable sales to continue to increase at the rates achieved over the past several years. Our ability to operate new shops profitably and increase average shop revenue and comparable shop sales will depend on many factors, some of which are beyond our control, including:</w:t>
      </w:r>
    </w:p>
    <w:p>
      <w:pPr>
        <w:spacing w:after="0" w:line="53" w:lineRule="exact"/>
        <w:rPr>
          <w:sz w:val="20"/>
          <w:szCs w:val="20"/>
          <w:color w:val="auto"/>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consumer awareness and understanding of the Dutch Bros brand;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general economic conditions, such as inflation, which can affect shop traffic, local labor costs, and prices we pay for the beverage and other supplies we use;</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consumption patterns and beverage preferences that differ from region to region;</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changes in consumer preferences and discretionary spending, which we have seen impacted recently by factors such as inflation;</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difficulties obtaining or maintaining adequate relationships with distributors or suppliers in new markets;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increases or continued elevation in prices for commodities, including coffee, milk, and flavored syrups;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inefficiency in our labor costs as the staff gains experience;</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competition, either from our competitors in the food service and restaurant industry or our own shops;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temporary and permanent site characteristics of new shops;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changes in government regulation;</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our ability to hire, motivate, and retain qualified employees who share our values;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our ability to operate effectively, including timely open and meet demand due to scarcity of equipment or other materials; and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19"/>
        </w:numPr>
        <w:rPr>
          <w:rFonts w:ascii="Arial" w:cs="Arial" w:eastAsia="Arial" w:hAnsi="Arial"/>
          <w:sz w:val="14"/>
          <w:szCs w:val="14"/>
          <w:color w:val="131E29"/>
        </w:rPr>
      </w:pPr>
      <w:r>
        <w:rPr>
          <w:rFonts w:ascii="Arial" w:cs="Arial" w:eastAsia="Arial" w:hAnsi="Arial"/>
          <w:sz w:val="14"/>
          <w:szCs w:val="14"/>
          <w:color w:val="131E29"/>
        </w:rPr>
        <w:t>other unanticipated increases in costs, including costs of construction materials and trade labor, any of which could give rise to delays or cost overruns.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If our new shops do not perform as planned or close, our business and future prospects could be harmed. In addition, an inability to achieve our expected average shop revenue could harm our business.</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Additionally, opening new shops in existing markets may negatively impact sales at our, and our franchise partners’, existing shops. The consumer target area of our shops varies by location, depending on a number of factors, including population density, other local retail and business attractions, area demographics, and geography.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 significant in the future as we continue to expand our operations, and we expect it will have an impact on our sales growth, which could, in turn, harm our business.</w:t>
      </w:r>
    </w:p>
    <w:p>
      <w:pPr>
        <w:spacing w:after="0" w:line="22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7" w:name="page28"/>
    <w:bookmarkEnd w:id="2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failure to manage our growth effectively could harm our business and operating results.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could be harmed, including by a decline in financial performance. If we experience a decline in financial performance, we may decrease the number of or discontinue new Dutch Bros shop openings, or we may decide to close shops that we are unable to operate in a profitable manner.</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customer demand. Additionally, we may face challenges of integrating, developing, training, and motivating a rapidly growing employee base in our various shops and maintaining our company culture across multiple offices and shops. In 2024, we shifted approximately 40% of our total support staff to our Phoenix, Arizona office. In connection with our reorganization, we experienced increased turnover of support staff employees unable or unwilling to relocate to Arizona and may see further increased turnover in our support functions, which could potentially lead to inefficiencies, such as operational delays or disruptions and increased labor costs. In addition, increased turnover of support staff employees could make it difficult to retain other employees necessary to maintain an effective system of internal controls, including internal control over financial reporting, and timely file periodic reports with the SEC. Our ability to manage our growth effectively will require us to continue to enhance our systems, procedures and controls, and to locate, hire, train, and retain management and broistas, particularly in new markets which may require significant capital expenditures.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Damage to our brand or reputation or negative publicity could negatively impact our business.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may, from time to time, be faced with negative publicity, including on social media, regardless of its accuracy, relating to: beverage quality; pricing; the safety, sanitation and welfare of our shops; customer complaints or litigation alleging illness or injury; health inspection scores; integrity of our or our suppliers’ or franchise partners’ food processing, employment practices, and other policies, practices, and procedures; or employee relationships and welfare; the appearance of our shops on third-party delivery platforms that may contain inaccurate menu pricing and extended delivery times; related parties, such as our Co-Founder, and their reputation, public perception, or actions, whether or not related to Dutch Bros; or other matters. Negative publicity may adversely affect us, regardless of whether the allegations are substantiated or whether we are determined to be responsible, and it may be difficult to address negative publicity, including as a result of fictitious media content (such as content produced by generative AI technologies or bad actors).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8" w:name="page29"/>
    <w:bookmarkEnd w:id="2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also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Additionally, social media platforms and similar devices, including blogs, social media websites and other forms of internet-based communications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Such platforms could be used for or result in polarizing campaigns or movements involving our brand. Information posted may be adverse to our interests or may be inaccurate, each of which may harm our performance, prospects, or business. The harm may be immediate without affording us an opportunity for redress or correction and, as we grow our brand awareness, the risk of visibility and potential magnitude of any resulting harm increases.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131E29"/>
        </w:rPr>
        <w:t>Ultimately, the risks associated with any such negative publicity or incorrect information cannot be completely eliminated or mitigated and may harm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inability to identify, recruit, and retain qualified individuals for our shops could slow our growth and adversely impact our ability to operate.</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29" w:name="page30"/>
    <w:bookmarkEnd w:id="2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are subject to the risks associated with leasing space subject to long-term non-cancelable leases and, with respect to the real property that we own, owning real estate.</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including facilities for corporate support staff,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and company facilities, we are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operating results and growth strategies are closely tied to the success of our franchise partners and we have limited control with respect to their operations.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Additionally, our franchise partners’ interests may conflict or diverge with our interests in the future, which could have a negative impact on our business.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of December 31, 2024, approximately 32%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spacing w:after="0" w:line="4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or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 In addition, franchise partners may desire to sell their franchise locations, in some cases, to a third party, or to the Company, which may result in unexpected costs to the Company related to evaluating or consummating these transactions.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0" w:name="page31"/>
    <w:bookmarkEnd w:id="3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While we are responsible for ensuring the success of our entire system of shops and for taking a longer-term view with respect to system improvements, our franchise partners have individual business strategies and objectives, which might conflict with our interests. We may not be able to extend or renew agreements with our franchise partners on favorable terms.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shops are geographically concentrated in the Western United States, and we could be negatively affected by conditions specific to that region.</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As of December 31, 2024, our company-operated and franchised shops in the Western United States represent approximately 70% of our total shops. Adverse changes in demographic, unemployment, economic, regulatory, or weather conditions in the Western United States, including recent significant increases in gas prices, have harmed, and may continue to harm, our business. As a result of our concentration in this market, we have been, and in the future may be, disproportionately affected by these adverse conditions compared to other chain beverage shops with a more expansive national footprint. For example, in recent years, wildfires spread across most western states causing poor air quality which reduced consumers’ willingness to venture outside their homes and, we believe, reduced our AUVs, and any future wildfires may have a similar impact. If we experience wildfires, such wildfires may also damage shops and the communities in which they operate which could decrease demand for our products. For example, in 2018 a wildfire partially destroyed a town in northern California and damaged one of our shops. In addition to rebuilding costs, prolonged economic recovery within affected communities may have a negative impact on our results of operations. In addition, until our roasting facility in Texas is operating at full capacity, our roasting operations are concentrated in this region and may experience closures or be subject to damage due to adverse weather conditions occurring in the Western United States. For example, in 2022 our roasting facility was temporarily under a “Level 1 - Be Ready” evacuation alert due to the Rum Creek Fire. Future wildfires may result in actual evacuations and closures, which would disrupt our operations and may harm our business.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1" w:name="page32"/>
    <w:bookmarkEnd w:id="3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Interruption of our supply chain of coffee, flavored syrups or other ingredients, coffee machines, and other restaurant equipment or packaging could affect our ability to produce or deliver our products and could negatively impact our business and profitability.</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Any material interruption in our supply chain, such as material interruption of the supply of coffee, flavored syrups, dairy, coffee machines, cans for our Dutch Bros Rebel energy drink, and other restaurant equipment or packaging, including any packaging for our for our proprietary products, for any reason, including: the casualty loss of our roasting facilities; interruptions in service by our third-party logistic service providers or common carriers that ship goods within our distribution channels; trade restrictions, such as increased tariffs or quotas, embargoes or customs restrictions; pandemics; social or labor unrest; acts of terrorism; natural disasters; or political disputes and military conflicts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Uncertainty around potential tariffs, embargoes, or similar restrictions could cause uncertainty and disruption in our supply chain, whether or not any such tariffs, embargoes, or similar restrictions are ultimately enacted, and could have a negative material impact on our business and our profitability. For example, in January 2025, the US President announced the imposition of tariffs and other sanctions on Canada, Mexico, and Colombia, and it remains uncertain whether they, or similar measures, will ultimately be enacted. Any tariffs or other barriers to trade affecting Central and South America, from where we source our coffee beans, could lead to, among other things, shortages and higher cost of procurement, and could negatively impact our business and profitability.</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Additionally, most of our beverages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Rebel energy drinks, where we rely on relationships with our co-packers, Portland Bottling Co. and Lieb Foods, LLC to blend, package, label, and warehouse these drinks. Sales of Dutch Bros Rebel energy drinks accounted for approximately 26% of our systemwide net sales in the year ended December 31, 2024. Failures by our co-packers or any of our other suppliers or distributors to meet our standards, provide products in a timely and efficient manner, or comply with applicable laws is beyond our control. Failures by a supplier could have a direct negative impact that would harm our business by reducing our and our franchise partners’ sales, which would reduce income from direct sales and royalties.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find acceptable replacements or substitutes, or adapt our construction strategies effectively, we may be unable to sustain our growth, and it may negatively affect our business and profitability. Finding acceptable replacements or substitutes may require trial and error that could cause losses or delays. If construction and building materials are not of the quality or durability we typically require, this may lead to increased maintenance costs or even business interruption for necessary repairs or replacements in the future, and may also lead to construction defect claims which could be time-consuming and expensive to resolve. If we are unable to locate sufficient building or construction materials, or to successfully scale our construction and new shop opening operations, we may not be able to achieve our stated growth objectives.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2" w:name="page33"/>
    <w:bookmarkEnd w:id="3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among other factors,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increased significantly in 2022, has since remained elevated, and further increased significantly during the year ended December 31, 2024, and we expect will continue increasing during 2025. Because of the significance of coffee beans to our operations, combined with our ability to only partially mitigate future price risk through purchasing practices,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also purchase significant amounts of dairy products, particularly milk, to support the needs of our shops. For example, in 2022, there were material increases in dairy costs and such dairy costs remained elevated through, and increased further in, the third quarter of 2024. If dairy costs further increase, this could harm our business. Additionally, and although less significant to our operations than coffee or dairy, other commodities, including but not limited to cocoa, plant-based “milks,” tea, sugar, syrups, energy and packaging material, such as plastics, corrugate, and canning materials, are important to our operations, and may be subject to increased costs, which could negatively impact our margins. For example, the cost of sugar increased significantly in 2022 and 2023, and remained elevated during 2024, and the cost of cocoa increased significantly during 2024.</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Increases in the cost of other commodities, such as petroleum, may increase the cost of our packing materials, or lack of availability, whether due to supply shortages, tariffs or similar governmental measures, delays or interruptions in processing, may impact consumer spending, or could otherwise harm our business. For example, in 2022, we believe fluctuating increases in gas prices negatively impacted consumer discretionary spending, particularly in the Western United States where such increases were relatively higher and where our shops are geographically concentrated.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3" w:name="page34"/>
    <w:bookmarkEnd w:id="3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If we fail to offer high-quality customer experience, our business and reputation will suffer.</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spacing w:after="0" w:line="5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If we fail to maintain adequate operational and financial resources, particularly if we continue to grow rapidly, we may be unable to execute our business plan or maintain high levels of service and customer satisfaction.</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continuous growth and expansion have placed, and may continue to place, significant demands on our management and our operational and financial resources.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and within our hybrid remote and remote workforce.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have a limited history of operating with a dispersed workforce and the long-term impact on our financial results and business operations are uncertain.</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 2024, we shifted approximately 40% of our total support staff to our Phoenix, Arizona office. In addition, effective September 3, 2024, all employees who were not classified as remote were required to begin working in-person at either our Grants Pass or Phoenix offices at least four days a week. Our management and support functions are now working out of multiple offices and, in some cases, continuing to work remotely.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4" w:name="page35"/>
    <w:bookmarkEnd w:id="3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have a limited history of operating with a dispersed workforce and the impact on our financial results and business operations remains uncertain, particularly in the near term. Additionally, there is no guarantee that we will realize any anticipated benefits to our business from our in-person and remote workforce, such as any cost savings or operational efficiencies. Our ongoing return to in-person work in-office and maintenance of a dispersed workforce may make it increasingly difficult to manage our business and adequately oversee our employees and business functions, potentially resulting in harm to our company culture, increased employee attrition, the loss of key personnel, difficulty in properly classifying employees, and harm to the growth of our business.</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may also experience an increased risk of privacy and data security breaches and incidents involving our information technology networks and systems and data processing as our employees continue to utilize network connections outside our premises or network, including working at home, while in transit, and in public locations. 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 Any of these factors could adversely affect our financial condition and operating results.</w:t>
      </w:r>
    </w:p>
    <w:p>
      <w:pPr>
        <w:spacing w:after="0" w:line="55"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i w:val="1"/>
          <w:iCs w:val="1"/>
          <w:color w:val="006098"/>
        </w:rPr>
        <w:t>We are increasingly dependent on information technology and our ability to process data in order to operate and sell our products, and if we (or the third parties with whom we work) are unable to protect against software and hardware vulnerabilities, service interruptions, data corruption, cyber-based attacks, ransomware, fraud, or security breaches, or if we (or the third parties with whom we work)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spacing w:after="0" w:line="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Sensitive Information); to manage a variety of business processes and activities; for financial reporting purposes; to operate our business; to process orders; to accept payments using credit cards and debit cards; to accept payments using the Dutch Rewards mobile app; for legal purposes; and to comply with regulatory, legal and tax requirements.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(and those of the third parties with whom we work) information technology networks and systems, and the Processing of Sensitive Information they perform, may be vulnerable to data security and privacy threats, cyber and otherwise. These threats are prevalent, continue to rise,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market, produce, sell, and distribute our products.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5" w:name="page36"/>
    <w:bookmarkEnd w:id="3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risk of unauthorized circumvention of our security measures or those of the third parties with whom we work has been heightened by advances in computer and software capabilities and the increasing sophistication of actors who employ complex techniques, including, without limitation, “phishing” or social engineering incidents (including deep fakes, which are becoming increasingly difficult to detect), ransomware, extortion, account takeover attacks, personnel misconduct or error, denial or degradation of service attacks, malicious code (such as viruses or worms), supply-chain attacks, software bugs, adware, attacks enhanced or facilitated by AI, or malware and other similar threats. In particular, severe ransomware attacks are becoming increasingly prevalent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We may also experience server malfunctions, software or hardware failures, telecommunications failures, 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rely upon third parties to operate critical business systems to process Sensitive Information in a variety of contexts, including, without limitation, third 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Dutch Rewards mobile app, and other functions.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third parties with whom we work supply chains have not been compromised.</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While we have implemented security measures designed to protect against security incidents, our security measures (and those of the third parties with whom we work) may not be adequate to prevent or detect service interruption, system failure data loss, fraud or theft, or other material adverse consequences. Moreover, we take steps designed to detect, mitigate, and remediate vulnerabilities in our information systems (such as our hardware or software and those of the third parties with whom we work). We may not, however, detect and remediate all such vulnerabilities, including on a timely basis. Vulnerabilities could be exploited and result in a security incident. We expect similar issues to arise in the future as the Dutch Rewards mobile app is more widely adopted, and as we continue to expand the features and functionality of the Dutch Rewards mobile app.</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Any of the previously identified or similar threats and issues could cause a security incident or other interruption that could result in unauthorized, unlawful, or accidental acquisition, modification, destruction, loss, alteration, encryption, disclosure of, or access to Sensitive Information or our information technology networks and systems (or those of the third parties with whom we work). For example, we have been the target of unsuccessful phishing attempts in the past, and expect such attempts will continue in the future.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6" w:name="page37"/>
    <w:bookmarkEnd w:id="3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may expend significant resources or modify our business activities to try to protect against such security incidents and/or fraud.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and our Processing of Sensitive Information, no security solution, strategy, or measures can address all possible security threats and/or fraud. Additionally, Sensitive Information of the Company or our customers could be leaked, disclosed, or revealed as a result of or in connection with the use of generative AI technologies by our employees’, personnel’s, or third parties with whom we work.</w:t>
      </w:r>
    </w:p>
    <w:p>
      <w:pPr>
        <w:spacing w:after="0" w:line="5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Applicable data privacy and security obligations may require us, or we may voluntarily choose, to notify relevant stakeholders of security incidents including affected individuals, customers, regulators, and investors. Such disclosures are costly, and the disclosure or the failure to comply with such requirements could lead to adverse consequences. If we or a third party with whom we work experiences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with whom we work) to process payments, regulatory scrutiny, actions or investigations, a loss of confidence in our business, systems and Processing of Sensitive Information, a diversion of management’s time and attention, and significant fines, penalties, assessments, fees and expenses.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may not have adequate insurance coverage for handling security incidents, including fines, judgments, settlements, penalties, costs, attorney fees and other impacts that arise out of incidents or breaches. If the impacts of a security incident,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continue to be available on acceptable terms or that our insurers will not deny coverage as to all or part of any future claim or loss.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information security risks are likely to increase as we continue to expand, grow our customer base, and process, store, and transmit increasingly large amounts of personal and/or Sensitive Information.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Pandemics or disease outbreaks have had, and may continue to have, an effect on our business and results of operations.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Pandemics or disease outbreaks, such as the COVID-19 pandemic, have impacted and may continue to impact customer traffic at our Dutch Bros shops and may make it more difficult to staff our shops and, in more severe cases, may cause a temporary inability to obtain supplies and may increase commodity costs. The extent of the impact of pandemics or disease outbreaks on our business, operations, and development timelines and plans will depend on the specifics of any particular pandemic or disease outbreak that cannot be predicted at this time.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7" w:name="page38"/>
    <w:bookmarkEnd w:id="3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Our operations have been, and may continue to be, disrupted when employees or employees of our franchise partners are suspected of having a communicable disease or other illnesses since this requires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success is heavily reliant on our franchise partners and another pandemic may cause financial distress for certain franchise partners that have been or will be impacted, such as those partners who were negatively impacted by the COVID-19 pandemic. As a result of distress, our franchise partners may not be able to meet their financial obligations as they come due, including the payment of royalties, rent, or other amounts due to us. For example, in the past, this has led to write-offs of amounts we had due from our franchise partners beyond amounts we have reserved, as well as decreased future collections from franchise partners. Franchise partners’ financial distress has also led to, and may continue to lead to, permanent shop closures and delayed or reduced new franchise partner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While we have developed and continue to develop plans to help mitigate the potential negative impact of a pandemic, these efforts may not be effective, and any protracted economic downturn will likely limit the effectiveness of our efforts. Accordingly, it is not possible for us to predict the duration and extent to which this will affect our business at this time. There is no guarantee that a future outbreak of COVID-19 or any other widespread epidemics will not occur, or that the global economy will recover to pre-pandemic levels, either of which could seriously harm our business.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Unstable market and economic conditions may have serious adverse consequences on our business and financial condition.</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The global credit and financial markets have experienced extreme volatility and disruptions (including as a result of the COVID-19 pandemic and actual or perceived changes in interest rates, continued economic inflation, and failures of financial institutions), which has included severely diminished liquidity and credit availability, declines in consumer confidence, prolonged weak consumer demand, a decrease in consumer discretionary spending, declines in economic growth, high inflation, uncertainty about economic stability, and increases in unemployment rates. The financial markets and the global economy may also be adversely affected by the current or anticipated impact of military conflict, including the war between Russia and Ukraine and the war between Israel and Hamas, terrorism, or other geopolitical events. Sanctions imposed by the United States and other countries in response to such conflicts, including the war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8" w:name="page39"/>
    <w:bookmarkEnd w:id="3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Brand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success depends substantially on the value of our brand and failure to preserve its value could have a negative impact on our financial results.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or foster an inclusive and diverse environment, our brand value may be diminished.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or are not fostering an inclusive and diverse environment, regardless of whether such claims or perceptions are substantiated. Our corporate reputation could also suffer from negative publicity or consumer sentiment regarding Dutch Bros’ action or inaction or brand imagery, or a real or perceived failure of corporate governance or misconduct by any officer or any employee or representative of us or a franchise partner. Our corporate reputation could suffer from negative publicity or consumer sentiment regarding our charitable giving practices, campaigns, and marketing around such campaigns, including any change to our charitable giving practices or long-standing giveback days (“Drink One for Dane,” “Dutch Luv,” and “Buck for Kids”). We empower our operators and franchise partners to create their own local, shop-specific giveback programs within their communities. If the recipient of discretionary donations is subject to negative publicity or consumer sentiment, Dutch Bros could experience the same.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39" w:name="page40"/>
    <w:bookmarkEnd w:id="3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Ongoing public and government scrutiny of environmental, social, and corporate governance (ESG) matters or our reporting of such matters could negatively impact our business.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There has been an ongoing public focus, including from the United States federal and state governments, on ESG matters, including with respect to climate change, greenhouse gases, water resources, packaging and waste, animal health and welfare, deforestation, and land use. We are working to manage the risks and costs to us, our franchise partners and our supply chain associated with these types of ESG matters, however, there is no assurance that such efforts will result in the intended effective management of such risks and costs. In addition, as the result of such focus on ESG matters, we may face increased pressure to provide expanded disclosure, make or expand commitments, set targets, or establish additional goals and take actions to meet such goals, in connection with such ESG matters. These matters and our efforts to address them could expose us to market, operational, reputational, and execution costs or risks.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As ESG best practices and reporting standards continue to develop, we may incur increasing costs relating to ESG monitoring and reporting and complying with ESG initiatives.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spacing w:after="0" w:line="5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may not be able to adequately protect our intellectual property, including trademarks, trade names, and service marks, which, in turn, could harm the value of our brand and adversely affect our business.</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and foreign trademark, copyright, and trade secret laws, as well as license agreements, nondisclosure agreements, and confidentiality and other contractual provisions to protect our intellectual property. Nevertheless, our competitors may develop similar marks, menu items, and concepts, and adequate remedies may not be available in the event of an unauthorized use or disclosure of our trade secrets and other intellectual property.</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and in foreign jurisdictions.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trademark applications will be approved in a timely manner or at all, or that such registrations will effectively protect our brand names and trademarks.</w:t>
      </w:r>
    </w:p>
    <w:p>
      <w:pPr>
        <w:spacing w:after="0" w:line="5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Additionally, the steps we have taken to protect our intellectual property in the United States and internationally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We license our intellectual property to third parties with whom we do business, which could result in misuse of our intellectual property and harm to our brand. Even with our own franchise partners, whose activities are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0" w:name="page41"/>
    <w:bookmarkEnd w:id="4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may also from time to time be required to institute enforcement action, including litigation, to enforce and preserve the value of our trademarks, service marks and other intellectual property. Such litigation could result in substantial costs and diversion of resources and could negatively affect our sales, business, profitability, and prospects regardless of whether we can successfully enforce our rights.</w:t>
      </w:r>
    </w:p>
    <w:p>
      <w:pPr>
        <w:spacing w:after="0" w:line="4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Third parties may oppose our trademark and service mark applications, or otherwise challenge our use of the trademarks and service marks. This risk may increase as we enter new markets with localized competitors. In the event that these or other intellectual property rights are successfully challenged, we could experience brand dilution or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third-party intellectual property that we use or wish to use in our business (whether or not asserted against us in litigation), we may not be able to enter into licensing or other arrangements with the owner of such intellectual property at a reasonable cost or on reasonable terms.</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negatively affect our brand and reduce our sales.</w:t>
      </w:r>
    </w:p>
    <w:p>
      <w:pPr>
        <w:spacing w:after="0" w:line="3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131E29"/>
        </w:rPr>
        <w:t>Incidents or reports, whether true or not, of food-borne or water-borne illness or other food safety issues, food contamination or tampering, employee hygiene and cleanliness failures, allergen cross-contamination, or improper employee conduct at our shops could lead to product liability or other claims. Such incidents or reports could negatively affect our brand and reputation as well as our business, revenue, and profits. Validated food safety issues could also result in regulatory action and may lead to a recall of impacted offerings. Similar incidents or reports occurring at coffee and convenience shops unrelated to us could likewise create negative publicity, which could negatively impact consumer behavior towards us.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cannot guarantee to customers that our internal controls and training will be fully effective in preventing all food-borne illnesses. Our new strategic initiatives, such as hot food, may require new or increased food safety measures, which we may not be successful in implementing. In addition, we rely on third party vendors to supply our ingredients and, in some cases, to assemble and package our products, whose practices and any resulting food safety and quality concerns could negatively impact our business New illnesses resistant to our, or our third party vendors’,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w:t>
      </w:r>
    </w:p>
    <w:p>
      <w:pPr>
        <w:spacing w:after="0" w:line="5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If we, our franchise partners, or our vendors are unable to protect our customers’ credit and debit card data or confidential information in connection with processing the same or confidential employee information, we could be exposed to data loss, litigation, liability, and reputational damage.</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1" w:name="page42"/>
    <w:bookmarkEnd w:id="4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rules governing electronic funds transfers, including the Payment Card Industry Data Security Standard (PCI DSS) as discussed further below.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w:t>
      </w:r>
    </w:p>
    <w:p>
      <w:pPr>
        <w:spacing w:after="0" w:line="5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that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w:t>
      </w:r>
    </w:p>
    <w:p>
      <w:pPr>
        <w:spacing w:after="0" w:line="6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are subject to payment-related fraud and an increase in or failure to deal effectively with fraud, fraudulent activities, fictitious transactions, or illegal transactions would materially and adversely affect our business, results of operations, and financial condition.</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process a significant volume of credit and debit card transactions on a daily basis through our point of sale and order management systems and our Dutch Rewards mobile app. We have in the past, and may again in the future, be the victim of fraudulent transactions arising out of the actual or alleged theft of credit or debit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platforms, including mobile and other devices. We expect that technically knowledgeable criminals will continue to attempt to circumvent our anti -fraud systems. In addition, the payment card networks have rules around acceptable chargeback ratios. If we are unable to effectively combat the use of fraudulent or stolen credit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Further, payments systems we use are susceptible to potentially illegal or improper uses, including money laundering, transactions in violation of economic and trade sanctions, corruption and bribery, terrorist financing, customer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results of operations, and financial condition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2" w:name="page43"/>
    <w:bookmarkEnd w:id="4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People and Culture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Changes in the availability of and the cost of labor could harm our business.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broistas are typically paid wage rates at or based on the applicable federal, state, or local minimum wage, and increases in the applicable minimum wage have in the past and will increase labor costs. From time to time, legislative proposals are made to increase the minimum wage at the federal, state, and local level, such as Assembly Bill 1228 in California, which created a minimum wage of $20 per hour for fast food workers, effective April 1, 2024, among other provisions.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typically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or if such increase is delayed, this is likely to result in lower revenue, and may also reduce margins.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to which we expand.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Changing conditions beyond our control, including the potential effects of climate change, could affect the desirability of working in our shops, such as increases in extreme heat or cold, wildfire smoke, and other extreme weather events that make working outdoors or in a limited space more difficult.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spacing w:after="0" w:line="23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3" w:name="page44"/>
    <w:bookmarkEnd w:id="4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depend on our executive officers and other key employees, and the loss of one or more of these employees or an inability to attract and retain other highly skilled employees could harm our business.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success depends largely upon the continued services of our executive officers and other key employees, and the hiring and retention of additional executives and other key personnel. We rely on our leadership team in the areas of finance, marketing, sales, customer experience, and selling, general and administrative. As we look to expand our business and strengthen the depth of our senior management team, we expect there will be changes in our executive management team resulting from the hiring or departure of executives, which could disrupt our business. In January 2024, our prior Chief Executive Officer, Joth Ricci, transitioned and Christine Barone was appointed as our Chief Executive Officer. In addition, in April 2024, Brian Maxwell transitioned from the role of our Chief Operating Officer to the newly created role of Vice Chair, and Sumi Ghosh was appointed President of Operations, and in May 2024, our prior Chief Financial Officer, Charley Jemley, transitioned into the role of Strategic Advisor and Joshua Guenser was appointed as our Chief Financial Officer. Changes in our executive management team may also cause disruptions in, and harm to, our business. The loss of one or more of our executive officers or key employees could harm our business.</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spacing w:after="0" w:line="5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Our culture has contributed to our success, and if we cannot maintain this culture as we grow, we could lose the high employee engagement fostered by our culture, which could harm our business.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 emphasis on shared values and a commitment to diversity and inclusion. In 2024, we shifted approximately 40% of our total support staff to our Phoenix, Arizona office, which may create additional challenges maintaining our corporate culture. As we continue to develop and expand across the United States, we will need to maintain our culture among a larger number of employees dispersed in various geographic regions. Any failure to preserve our company culture could negatively affect our future success, including our ability to retain and recruit personnel, and result in a loss of customer loyalty.</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Unionization activities may disrupt our operations and affect our profitability.</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one or more labor disputes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4" w:name="page45"/>
    <w:bookmarkEnd w:id="4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Regulation and Litigation</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Changes in statutory, regulatory, accounting, and other legal requirements, including changes in accounting principles generally accepted in the United States, could potentially impact our operating and financial results.</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wage and hour laws, among others, could potentially impact our operations and financial results.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Generally accepted accounting principles in the United States (GAAP)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spacing w:after="0" w:line="3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Fluctuations in our tax obligations and effective tax rate and realization of our deferred tax assets may result in volatility of our operating results and adversely affect our financial condition.</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spacing w:after="0" w:line="55" w:lineRule="exact"/>
        <w:rPr>
          <w:sz w:val="20"/>
          <w:szCs w:val="20"/>
          <w:color w:val="auto"/>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changes in the valuation of our deferred tax assets and liabilities;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expected timing and amount of the release of any tax valuation allowance;</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changes in tax laws, regulations, or interpretations thereof; or</w:t>
      </w:r>
    </w:p>
    <w:p>
      <w:pPr>
        <w:spacing w:after="0" w:line="51"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20"/>
        </w:numPr>
        <w:rPr>
          <w:rFonts w:ascii="Arial" w:cs="Arial" w:eastAsia="Arial" w:hAnsi="Arial"/>
          <w:sz w:val="14"/>
          <w:szCs w:val="14"/>
          <w:color w:val="131E29"/>
        </w:rPr>
      </w:pPr>
      <w:r>
        <w:rPr>
          <w:rFonts w:ascii="Arial" w:cs="Arial" w:eastAsia="Arial" w:hAnsi="Arial"/>
          <w:sz w:val="14"/>
          <w:szCs w:val="14"/>
          <w:color w:val="131E29"/>
        </w:rPr>
        <w:t>future earnings being lower than anticipated in jurisdictions where we have lower statutory tax rates and higher than anticipated earnings in jurisdictions where we have higher statutory tax rates.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In addition, our effective tax rate in a given financial statement period may be materially impacted by a variety of factors including but not limited to changes in the mix and level of earnings, varying tax rates in the different jurisdictions in which we operate, fluctuations in the valuation allowance, or by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5" w:name="page46"/>
    <w:bookmarkEnd w:id="4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are subject to many federal, state, and local laws with which compliance is both costly and complex.</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 food service and restaurant industry is subject to extensive federal, state, and local laws and regulations, including those relating to health care reform, building and zoning requirements, and the preparation and sale of food and beverages for consumption. Such laws and regulations are subject to change from time to time. Our failure to comply with these laws and regulations as they evolve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development and operation of a shop depends, to a significant extent, on the selection of suitable sites for drive-thrus, which are subject to unique permitting, zoning, land use, environmental, traffic, and other regulations and requirements. Drive-thru concepts in general may not be seen as desirable in some jurisdictions, and the long lines that may result from the popularity of our brand and success of our shops may lead to negative perceptions from neighboring businesses and residences, which may lead to difficulties in obtaining or maintaining required permits. We are also subject to licensing and regulation by state and local authorities relating to health, sanitation, safety, and fire standards.</w:t>
      </w:r>
    </w:p>
    <w:p>
      <w:pPr>
        <w:spacing w:after="0" w:line="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our compliance efforts in these areas will continue to increase, which may result in additional costs and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and the United States government continues to expand the sectors of the food industry that must adopt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spacing w:after="0" w:line="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6" w:name="page47"/>
    <w:bookmarkEnd w:id="4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 addition, our franchise activities are subject to laws enacted by a number of states and rules and regulations promulgated by the Franchise Trade Commission (the FTC). Failure to comply with new or existing franchise laws, rules, and regulations in any jurisdiction or to obtain required government approvals could negatively affect our franchising activities and our relationships with our franchisees.</w:t>
      </w:r>
    </w:p>
    <w:p>
      <w:pPr>
        <w:spacing w:after="0" w:line="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We (and the third parties with whom we work) are subject to stringent and changing laws, regulations, industry standards, contractual obligations, policies, and other obligations related to data privacy and security. The actual or perceived failure by us or the third parties with whom we work to comply with such obligations, may harm our business, financial condition and results of operations, and prospects.</w:t>
      </w:r>
    </w:p>
    <w:p>
      <w:pPr>
        <w:spacing w:after="0" w:line="3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Process Sensitive Information to provide our products and services and other business functions. Our Processing activities may subject us to numerous data privacy and security obligations, such as various laws, regulations, guidance, industry standards, external and internal privacy and security policies, contracts, and other obligations that govern data privacy, security, and Processing of personal information by us and the third parties with whom we work.</w:t>
      </w:r>
    </w:p>
    <w:p>
      <w:pPr>
        <w:spacing w:after="0" w:line="4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Data privacy and security have become a significant issue in the United States. The legal and regulatory framework for data privacy and security issues is rapidly evolving and is expected to increase our compliance costs and exposure to liability. The number and scope of data privacy and security obligations is changing, subject to differing applications and interpretations, and may be inconsistent among jurisdictions, or in conflict with other obligations. We expect that there will continue to be new data privacy and security obligations, and any significant change to data privacy and security obligations could increase compliance costs for us and the third parties with whom we work and may necessitate changes to our services, information technologies, systems, and practices and to those of any third parties that Process personal information on our behalf. In addition, these obligations may require us to change our business model.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7" w:name="page48"/>
    <w:bookmarkEnd w:id="4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In the United States, federal, state, and local governments have enacted numerous data privacy and security laws, including data breach notification laws, personal information privacy laws, consumer protection laws (e.g., Section 5 of the Federal Trade Commission Act), and other similar laws (e.g., wiretapping laws). Additional data privacy and security laws include the Telephone Consumer Protection Act (TCPA), the Electronic Communications Privacy Act, the Computer Fraud and Abuse Act, the California Consumer Privacy Act, as amended (the CCPA), other state, local, and federal laws relating to data privacy and security, and rules and regulations promulgated under the authority of the Federal Trade Commission. In the past few years, numerous states in the United States—including California, Virginia, Colorado, Connecticut, Oregon, New Hampshire, Texas, Montana, and Utah—have enacted comprehensive privacy laws that impose certain obligations on covered businesses, including providing specific disclosures in privacy notices and affording residents with certain rights concerning their personal information. As applicable, such rights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These laws also impose stricter requirements for processing certain personal information, including sensitive personal data, such as data protection impact assessments. These state laws allow for statutory fines for noncompliance. For example, the CCPA applies to personal information of consumers, business representatives, and employees who are California residents, and requires businesses to provide specific disclosures in privacy notices and honor requests of California residents to exercise certain privacy rights. The CCPA provides for fines and allows private litigants affected by certain data breaches to seek to recover potentially significant statutory damages. In addition, other data privacy and security laws have been proposed at the federal, state, and local levels in recent years, which could further complicate compliance efforts.</w:t>
      </w:r>
    </w:p>
    <w:p>
      <w:pPr>
        <w:spacing w:after="0" w:line="2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addition, we are subject to the terms of our external and internal privacy and security policies, marketing materials, and other statements, such as compliance with certain certifications, industry standards, publications and frameworks and contractual obligations to third parties related to data privacy, security and Processing of Sensitive Information.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are also contractually subject to data privacy and security obligations, including contractual obligations to indemnify and hold harmless third parties from the costs or consequences of non-compliance with data privacy laws or other related obligations and to comply with industry standards adopted by industry groups. We may become subject to new data privacy and security contractual obligations in the future. Additionally, because we accept payments using credit cards and debit cards, we are subject to the PCI DSS. The PCI DSS requires companies to adopt certain measures to ensure the security of cardholder information, including using and maintaining firewalls, adopting proper password protections for certain devices and software, and restricting data access. Noncompliance with the PCI DSS can result in penalties ranging from $5,000 to $100,000 per month by credit card companies, litigation, damage to our reputation, and revenue losses. We may also rely on third parties to process payment card data, and those third parties may be subject to PCI DSS. Our business may be negatively affected if these third parties are fined or suffer other consequences as a result of PCI DSS noncompliance (or perceived noncompliance).</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Furthermore, we rely on a variety of marketing techniques and practices, including email and social media marketing, online targeted advertising, and cookie-based Processing, to sell our products and services and to attract new customers. We, and the third parties with whom we work, may be subject to various current and future obligations that govern marketing and advertising practices. For example, the Controlling the Assault of Non-Solicited Pornography and Marketing Act of 2003 (CAN-SPAM) and the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8" w:name="page49"/>
    <w:bookmarkEnd w:id="4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technologies. Our use of this technology could result in additional compliance costs, regulatory investigations and actions, and lawsuits. If we are unable to use generative AI technologies, it could make our business less efficient and result in competitive disadvantages.</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We may at times fail to comply with applicable data privacy and security obligations, or may be perceived to have failed to do so. Moreover, despite our efforts, we may not be successful in achieving compliance if our employees, partners, or other third parties with whom we work do not comply with applicable data privacy and security obligations. Any failure (or perceived failure) by us or a third party with whom we work to comply with applicable data privacy and security obligations could subject us to litigation (including class claims), mass arbitration demands, claims, proceedings, actions or investigations by governmental entities, authorities, private parties, or regulators; additional reporting requirements and/or oversight; bans on Processing personal information; and orders to destroy or not use personal information.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 foregoing could result in an adverse consequences, including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spacing w:after="0" w:line="6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and our franchise partners are subject to extensive government regulations that could result in claims leading to increased costs and restrict our ability to operate franchises.</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Additionally, governmental authorities may adopt broad standards for determining when two or more entities may be deemed joint employers of the same employees. For example, the National Labor Relations Board passed a rule in October 2023, broadening the standards applicable to establishing a joint employer relationship and Congress has a legislation proposal in process that could shift more liability for franchise partner employment practices onto franchisors. The federal PRO Act would codify the Browning-Ferris decision that redefined joint employment to include a broader category of conduct by the franchisor. If the proposed or similar laws or rules come into effect, it could increase the possibility of Dutch Bros being held liable for our franchise partners’ employment practices.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49" w:name="page50"/>
    <w:bookmarkEnd w:id="4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Beverage and restaurant companies have been the target of class action lawsuits and other proceedings that are costly, divert management attention and, if successful, could result in our payment of substantial damages or settlement costs.</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Our business is subject to the risk of litigation by employees, customers, competitors, landlords, or neighboring businesses, suppliers, franchise partners, stockholders, or others through private actions, class actions, administrative proceedings, regulatory actions, or other litigation. For example, in March 2023, a putative class action lawsuit was filed alleging that Dutch Bros Inc. and certain of its executive officers made false or misleading statements about the impact of commodity inflation on our financial results, which lawsuit was followed by a number of stockholder derivative lawsuits based on substantially the same underlying factual allegations. While all claims in the above-described putative class action lawsuit were dismissed by the court with prejudice, and all stockholder derivative lawsuits based on substantially the same underlying factual allegations have been dismissed, the outcome of litigation, particularly class action and regulatory actions, is difficult to assess or quantify. In recent years, beverage and restaurant companies have also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 even if such lawsuits may ultimately be decided in our favor.</w:t>
      </w:r>
    </w:p>
    <w:p>
      <w:pPr>
        <w:spacing w:after="0" w:line="6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Occasionally, we and our franchise partners are involved in disputes with neighbors, government officials, and landlords over the lines of cars attempting to visit our shops. These disputes have led to and could lead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0" w:name="page51"/>
    <w:bookmarkEnd w:id="5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Legislation and regulations requiring the display and provision of nutritional information for our menu offerings, and new information, attitudes, or regulations regarding diet and health or adverse opinions about the health effects of consuming our menu offerings, could affect consumer preferences and negatively impact our business, financial condition, and results of operations.</w:t>
      </w:r>
    </w:p>
    <w:p>
      <w:pPr>
        <w:spacing w:after="0" w:line="3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Government regulation and customer consumption habits may impact our business as a result of changes in attitudes regarding diet and health (including use of weight-loss or appetite-suppressing drugs)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the availability of this information. The PPACA further permits the Food and Drug Administration to require covered restaurants to make additional nutrient disclosures, such as disclosure of trans-fat content. An unfavorable report on, or reaction to, our menu ingredients, the size of our portions or the nutritional content of our menu items could negatively influence the demand for our offerings.</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cannot make any assurances regarding our ability to effectively respond to changes in customer health perceptions or our ability to successfully implement nutrient content disclosure requirements or other resulting regulations, including potential regulations around the use of certain ingredients or additives, or to adapt our menu offerings to trends in drinking and consumption habits. The imposition of menu-labeling laws and such other regulations could have an adverse effect on our results of operations and financial position, as well as the food service and restaurant industry in general.</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may be unable to identify all potential allergens present in our products at the time of purchase, whether they may have been introduced by us or by our third party vendors. This could result in the inability of some customers to purchase our products, or could result in negative health consequences for individuals sensitive to such allergens who choose to purchase our products regardless. A potentially serious allergic reaction to our products may result in negative public perception and could harm our business and results of operations.</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addition, social media has contributed to an increase in “secret menu” style drinks that are not created or marketed by us. Such drinks can be ordered by customers, for example, by asking for specific combinations of flavors or ingredients. We have no control over such trends, may not become timely aware of them, and may be unable to provide nutritional information for them. Such trends may also result in the mixture of ingredients in ways that could be perceived negatively, including with regard to health effects, and such perception could harm our business.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1" w:name="page52"/>
    <w:bookmarkEnd w:id="5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Our Organizational Structure</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spacing w:after="0" w:line="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economic interest in Dutch Bros OpCo will increase over time as the Continuing Members redeem or exchange their Dutch Bros OpCo Class A common units for shares of Class A common stock or cash, and, accordingly, Dutch Bros Inc.’s allocable share of Dutch Bros OpCo’s net taxable income is expected to increase over time.</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The OpCo LLC Agreement generally requires Dutch Bros OpCo to make pro rata cash distributions to the holders of Dutch Bros OpCo Class A common units, including Dutch Bros Inc., in amounts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or its subsidiaries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Dutch Bros OpCo’s ability to make distributions to Dutch Bros Inc.</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2" w:name="page53"/>
    <w:bookmarkEnd w:id="5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4" w:lineRule="auto"/>
        <w:rPr>
          <w:sz w:val="20"/>
          <w:szCs w:val="20"/>
          <w:color w:val="auto"/>
        </w:rPr>
      </w:pPr>
      <w:r>
        <w:rPr>
          <w:rFonts w:ascii="Arial" w:cs="Arial" w:eastAsia="Arial" w:hAnsi="Arial"/>
          <w:sz w:val="14"/>
          <w:szCs w:val="14"/>
          <w:b w:val="1"/>
          <w:bCs w:val="1"/>
          <w:i w:val="1"/>
          <w:iCs w:val="1"/>
          <w:color w:val="006098"/>
        </w:rPr>
        <w:t>Dutch Bros OpCo may make distributions of cash to Dutch Bros Inc. in excess of the amounts used by Dutch Bros Inc. to make distributions to its stockholders and pay its expenses (including taxes and payments under the Tax Receivable Agreements). In certain circumstances, such excess cash could cause the value of a share of Class A common stock to be deemed to increase relative to the value of a Dutch Bros OpCo Class A common unit, and if actions are not taken to address this issue the Continuing Members could benefit disproportionately from any additional value of a share of Class A common stock attributable to such cash if they exercise their redemption or exchange rights.</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Distributions required under the OpCo LLC Agreement from Dutch Bros OpCo to Dutch Bros Inc. may in certain periods exceed Dutch Bros Inc.’s liabilities, including tax liabilities, obligations to make payments under the Tax Receivable Agreements, and other expenses. Dutch Bros Inc.’s board of directors will, subject to applicable restrictions in any contract or agreement, including debt agreements, or any applicable law, determine from time to time the use of any such cash in excess of its liabilities so accumulated, which may include, among other uses, holding such cash balance in Dutch Bros Inc., purchasing additional Class A common units, lending such cash to Dutch Bros OpCo for operations, or using such cash to pay dividends on its Class A common stock. Dutch Bros Inc. has no obligation to distribute such cash to its stockholders and may be restricted from making such distributions to its stockholders. See “Restrictions imposed by our outstanding indebtedness and any future indebtedness may limit our ability to operate our business, execute our growth strategy, and finance our future operations or capital needs or engage in other business activities.” See also Item 9B Other Information “Dutch Bros OpCo Fifth Amended and Restated Limited Liability Company Agreement” and “Class A Common Unit Issuance and Share Cancellation.”</w:t>
      </w:r>
    </w:p>
    <w:p>
      <w:pPr>
        <w:spacing w:after="0" w:line="5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If future cash distributions from Dutch Bros OpCo exceed Dutch Bros Inc.’s liabilities and Dutch Bros Inc. retains such excess cash balance, the shares of Class A common stock may be deemed to increase in value relative to the Dutch Bros OpCo Class A common units. If there is an increase in the relative value of a share of Class A common stock, Continuing Members could be viewed as disproportionately benefiting because the OpCo LLC Agreement and our certificate of incorporation provide that each Dutch Bros OpCo Class A common unit may be redeemed or exchanged for one share Class A common stock. For example, Continuing Members could disproportionately benefit in instances where they have received a tax distribution from Dutch Bros OpCo and subsequently redeem or exchange Dutch Bros OpCo Class A common units for shares of Class A common stock on a one-to-one basis when the value of the Class A common stock is increased relative to the Dutch Bros OpCo Class A common units as a result of Dutch Bros Inc. retaining any cash distribution from Dutch Bros OpCo in excess of Dutch Bros Inc.’s liabilities. If Dutch Bros Inc. retains such excess cash, we may implement measures to mitigate any arguable disproportionate benefits to Continuing Members and to maintain the equal value of Dutch Bros OpCo Class A common units relative to the shares of Class A common stock into which they are exchangeable. Such measures may require consent from Continuing Members, amendment to the OpCo LLC Agreement or our amended and restated certificate of incorporation or approvals required under our governing documents, third-party agreements, including our debt agreements, or applicable law. No assurance can be given that we will be able to obtain the required consents or approvals or that we will be able to maintain the equal value of Dutch Bros OpCo Class A common units and corresponding shares of Class A common stock at all times. To the extent we are unable to fully eliminate any value disparity, our Continuing Members may arguably disproportionately benefit if they acquire shares of Class A common stock in redemption or exchange of their Dutch Bros OpCo Class A common units.</w:t>
      </w:r>
    </w:p>
    <w:p>
      <w:pPr>
        <w:spacing w:after="0" w:line="6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The Tax Receivable Agreements with the Continuing Members and Pre-IPO Blocker Holders require Dutch Bros Inc. to make cash payments to them in respect of certain tax benefits to which it may become entitled, and such payments may be substantial.</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3" w:name="page54"/>
    <w:bookmarkEnd w:id="5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In connection with the IPO, Dutch Bros Inc. entered into the Tax Receivable Agreements with the Continuing Members and the Pre-IPO Blocker Holders. These Tax Receivable Agreements provide for the payment by Dutch Bros Inc. to the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w:t>
      </w:r>
    </w:p>
    <w:p>
      <w:pPr>
        <w:jc w:val="both"/>
        <w:ind w:firstLine="5"/>
        <w:spacing w:after="0" w:line="254" w:lineRule="auto"/>
        <w:tabs>
          <w:tab w:leader="none" w:pos="196" w:val="left"/>
        </w:tabs>
        <w:numPr>
          <w:ilvl w:val="0"/>
          <w:numId w:val="21"/>
        </w:numPr>
        <w:rPr>
          <w:rFonts w:ascii="Arial" w:cs="Arial" w:eastAsia="Arial" w:hAnsi="Arial"/>
          <w:sz w:val="14"/>
          <w:szCs w:val="14"/>
          <w:color w:val="131E29"/>
        </w:rPr>
      </w:pPr>
      <w:r>
        <w:rPr>
          <w:rFonts w:ascii="Arial" w:cs="Arial" w:eastAsia="Arial" w:hAnsi="Arial"/>
          <w:sz w:val="14"/>
          <w:szCs w:val="14"/>
          <w:color w:val="131E29"/>
        </w:rPr>
        <w:t>adjustments that will increase the tax basis of the tangible and intangible assets of the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earlier acquisition of other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Dutch Bros OpCo Class A common units or the Pre-IPO Blocker Holders.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4" w:name="page55"/>
    <w:bookmarkEnd w:id="5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w:t>
      </w:r>
    </w:p>
    <w:p>
      <w:pPr>
        <w:spacing w:after="0" w:line="23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In certain cases, payments under the Tax Receivable Agreements may be accelerated and/or significantly exceed the actual benefits Dutch Bros Inc. realizes in respect of the tax attributes subject to the Tax Receivable Agreements.</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5" w:name="page56"/>
    <w:bookmarkEnd w:id="5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transactions or negatively impact the value received by owners of our Class A common stock in a change of control transaction.</w:t>
      </w:r>
    </w:p>
    <w:p>
      <w:pPr>
        <w:spacing w:after="0" w:line="5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spacing w:after="0" w:line="2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spacing w:after="0" w:line="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Risks Related to Ownership of Our Class A Common Stock</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Additional stock issuances (including pursuant to the redemption or exchange of Dutch Bros OpCo Class A common units from our Continuing Members) could result in significant dilution to our stockholders and cause the trading price of our Class A common stock to decline.</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may issue our capital stock or securities convertible into our capital stock from time to time in connection with financing our business operations and growth, to repay debt, or for acquisitions, investments, or otherwise (including pursuant to the redemption or exchange of Dutch Bros OpCo Class A common units from our Continuing Members). Any such issuances could result in substantial dilution to our existing stockholders and cause the trading price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6" w:name="page57"/>
    <w:bookmarkEnd w:id="5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In particular, following the issuance of shares of Class A common stock in connection with the redemption or exchange of Dutch Bros OpCo Class A common units from our Continuing Members (together with the cancellation of any shares of our Class B common stock or Class C common stock paired with such units), such shares of Class A common stock will have the same economic rights as other shares of Class A common stock. For example, in each of February, March, and June 2024, we facilitated a registered underwritten public offering of shares of our Class A common stock by our Sponsor. In connection with such offerings, our Sponsor exchanged an aggregate of approximately 19 million Dutch Bros OpCo Class A common units and converted an aggregate of approximately 6 million shares of our Class D common stock for approximately 25 million shares of our Class A common stock.</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The trading price of our Class A common stock may be volatile, and you could lose all or part of your investment.</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w:t>
      </w:r>
    </w:p>
    <w:p>
      <w:pPr>
        <w:spacing w:after="0" w:line="49" w:lineRule="exact"/>
        <w:rPr>
          <w:sz w:val="20"/>
          <w:szCs w:val="20"/>
          <w:color w:val="auto"/>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price and volume fluctuations in the overall stock market from time to time;</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volatility in the trading prices and trading volumes of competitors’ stocks;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changes in operating performance and stock market valuations of other companies generally, or those in our industry in particular;</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sales of shares of our Class A common stock by us or our stockholders, including the Continuing Members;</w:t>
      </w:r>
    </w:p>
    <w:p>
      <w:pPr>
        <w:spacing w:after="0" w:line="51" w:lineRule="exact"/>
        <w:rPr>
          <w:rFonts w:ascii="Arial" w:cs="Arial" w:eastAsia="Arial" w:hAnsi="Arial"/>
          <w:sz w:val="14"/>
          <w:szCs w:val="14"/>
          <w:color w:val="131E29"/>
        </w:rPr>
      </w:pPr>
    </w:p>
    <w:p>
      <w:pPr>
        <w:ind w:left="260" w:hanging="255"/>
        <w:spacing w:after="0" w:line="284" w:lineRule="auto"/>
        <w:tabs>
          <w:tab w:leader="none" w:pos="256"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failure of securities analysts to maintain coverage of us, changes in financial estimates by securities analysts who follow our company, or our failure to meet these estimates or the expectations of investors;</w:t>
      </w:r>
    </w:p>
    <w:p>
      <w:pPr>
        <w:jc w:val="both"/>
        <w:ind w:left="260" w:hanging="255"/>
        <w:spacing w:after="0" w:line="271" w:lineRule="auto"/>
        <w:tabs>
          <w:tab w:leader="none" w:pos="256"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 particularly in light of the significant portion of our revenue derived from a limited number of customers;</w:t>
      </w:r>
    </w:p>
    <w:p>
      <w:pPr>
        <w:spacing w:after="0" w:line="6"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announcements by us or our competitors of new products or services;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the public’s reaction to our press releases, other public announcements, and filings with the SEC;</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rumors and market speculation involving us or other companies in our industry;</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actual or anticipated changes in our results of operations or fluctuations in our results of operations;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actual or anticipated developments in our business, our competitors’ businesses, or the competitive landscape generally;</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litigation involving us, our industry or both, or investigations by regulators into our operations or those of our competitors;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actual or perceived privacy or data security incidents;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developments or disputes concerning our intellectual property or other proprietary rights;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announced or completed acquisitions of businesses, franchises or other assets by us or our competitors;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new laws or regulations or new interpretations of existing laws or regulations applicable to our business;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changes in accounting standards, policies, guidelines, interpretations or principles;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any significant change in our management; and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2"/>
        </w:numPr>
        <w:rPr>
          <w:rFonts w:ascii="Arial" w:cs="Arial" w:eastAsia="Arial" w:hAnsi="Arial"/>
          <w:sz w:val="14"/>
          <w:szCs w:val="14"/>
          <w:color w:val="131E29"/>
        </w:rPr>
      </w:pPr>
      <w:r>
        <w:rPr>
          <w:rFonts w:ascii="Arial" w:cs="Arial" w:eastAsia="Arial" w:hAnsi="Arial"/>
          <w:sz w:val="14"/>
          <w:szCs w:val="14"/>
          <w:color w:val="131E29"/>
        </w:rPr>
        <w:t>general political and economic conditions and slow or negative growth of our markets.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7" w:name="page58"/>
    <w:bookmarkEnd w:id="5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In addition, in the past, following periods of volatility in the overall market and in the market price of a particular company’s securities, securities class action litigation has often been instituted against these companies. For example, in March 2023, a putative class action lawsuit was filed alleging that Dutch Bros Inc. and certain of its executive officers made false or misleading statements about the impact of commodity inflation on our financial results for the first quarter of 2022, which lawsuit was followed by a number of additional lawsuits based on substantially the same underlying factual allegations. While all claims in the above-described putative class action lawsuit were dismissed by the court with prejudice, and all additional lawsuits based on substantially the same underlying factual allegations have been withdrawn, other litigation, if instituted against us, could result in substantial costs and a diversion of our management’s attention and resources.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The multi-class structure of our common stock has the effect of concentrating voting control with our Co-Founder, limiting your ability to influence corporate matters.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Each share of our Class A common stock entitles its holder to one vote on all matters on which stockholders are entitled to vote generally. Our shares of Class B common stock have no economic rights but each share entitles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Prior to the Secondary Offering in June 2024, our shares of Class C common stock and Class D common stock entitled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As a result of the Secondary Offering in June 2024, the aggregate number of outstanding shares of our Class C common stock and Class D common stock represent less than 5% of the total outstanding shares of common stock. All of the outstanding shares of Class D common stock were converted into an equal number of shares of Class A common stock in June 2024 and there are no shares of Class D common stock outstanding. Pursuant to our amended and restated certificate of incorporation, our board of directors fixed September 30, 2024 as the date the number of votes per share of the remaining outstanding shares of Class C common stock was reduced to one vote per share. Our shares of Class C common stock have no economic rights. All of our Class C common stock are held by certain Continuing Members affiliated with our Sponsor.</w:t>
      </w:r>
    </w:p>
    <w:p>
      <w:pPr>
        <w:spacing w:after="0" w:line="5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to have value. Because of the ten-to-one voting ratio between our Class B common stock, on the one hand, and our Class A common stock on the other hand, our Co-Founder, as the holder of all of our Class B common stock, will continue to control a majority of the combined voting power of our common stock and therefore be able to control all matters submitted to our stockholders so long as the shares held by our Co-Founder collectively represent at least a majority of the total voting power. This concentrated control will limit or preclude the ability of holders of Class A common stock to influence corporate matters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8" w:name="page59"/>
    <w:bookmarkEnd w:id="5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As a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Co-Founder continues to have significant influence over us, which could limit your ability to influence the outcome of matters submitted to stockholders for a vote.</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As of December 31, 2024, our Co-Founder beneficially owned approximately 74.8% of the combined voting power of our Class A common stock, Class B common stock, and Class C common stock (since June 2024, no shares of Class D common stock were outstanding). Each share of Class A common stock entitles the holder to one vote and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Thus, our Co-Founder exercises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 It is possible that our Co-Founder’s interests may not align with the interests of our other stockholders.</w:t>
      </w:r>
    </w:p>
    <w:p>
      <w:pPr>
        <w:spacing w:after="0" w:line="6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Our Co-Founder owned approximately 32.9% of the Dutch Bros OpCo Class A common units as of December 31, 2024. Because he holds some of his ownership interest in our business directly in Dutch Bros OpCo, rather than through Dutch Bros Inc., our Co-Founder may have conflicting interests with holders of shares of our Class A common stock. For example, if Dutch Bros OpCo makes distributions to Dutch Bros Inc., the non-managing members of Dutch Bros OpCo will also be entitled to receive such distributions pro rata in accordance with their ownership of Dutch Bros OpCo Class A common units and their preferences as to the timing and amount of any such distributions may differ from those of our public stockholders. Our Co-Founder may also have different tax positions from Dutch Bros Inc. that could influence his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(pre-IPO Dutch Bros OpCo unitholders and Pre-IPO Blocker Holders) tax or other considerations even where no similar benefit would accrue to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59" w:name="page60"/>
    <w:bookmarkEnd w:id="5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spacing w:after="0" w:line="2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As of December 31, 2024, our Co-Founder beneficially owned approximately 74.8% of the combined voting power of our Class A common stock, Class B common stock, and Class C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53" w:lineRule="exact"/>
        <w:rPr>
          <w:sz w:val="20"/>
          <w:szCs w:val="20"/>
          <w:color w:val="auto"/>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a board that is composed of a majority of “independent directors,” as defined under the New York Stock Exchange rules;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a compensation committee that is composed entirely of independent directors; and</w:t>
      </w:r>
    </w:p>
    <w:p>
      <w:pPr>
        <w:spacing w:after="0" w:line="51"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23"/>
        </w:numPr>
        <w:rPr>
          <w:rFonts w:ascii="Arial" w:cs="Arial" w:eastAsia="Arial" w:hAnsi="Arial"/>
          <w:sz w:val="14"/>
          <w:szCs w:val="14"/>
          <w:color w:val="131E29"/>
        </w:rPr>
      </w:pPr>
      <w:r>
        <w:rPr>
          <w:rFonts w:ascii="Arial" w:cs="Arial" w:eastAsia="Arial" w:hAnsi="Arial"/>
          <w:sz w:val="14"/>
          <w:szCs w:val="14"/>
          <w:color w:val="131E29"/>
        </w:rPr>
        <w:t>director nominations be made, or recommended to the full board of directors, by its independent directors, or by a nominations/governance committee that is composed entirely of independent directors.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have in the past, and may in the future, utilize one or more of these exemptions until we are no longer eligible for them. Accordingly, you do not have the same protections afforded to stockholders of companies that are subject to all the corporate governance requirements of the New York Stock Exchange.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Certain of our directors have in the past and may in the future have relationships with our Sponsor, which may cause conflicts of interest with respect to our business.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Certain of our directors have in the past been, and may in the future be, affiliated with our Sponsor. Such Sponsor-affiliated directors have fiduciary duties to us and, in addition, have duties to our Sponsor. As a result, such a director may face real or apparent conflicts of interest with respect to matters affecting both us and our Sponsor, whose interests may be adverse to ours in some circumstances.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Additionally, our amended and restated certificate of incorporation provides that we renounce any interest or expectancy in, or in being offered an opportunity to participate in, business opportunities that are from time to time available to Sponsor and of its officers, directors, agents, stockholders, members, partners, affiliates and subsidiaries and each such party shall not have any obligation to offer us those opportunities unless presented to one of our directors or officers in his or her capacity as a director or officer.</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Future sales of shares of our Class A common stock could cause the market price of our Class A common stock to decline.</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Sales of a substantial number of shares of our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Subject to the terms of the OpCo LLC Agreement, as of December 31, 2024, an aggregate of 61,771,949 Dutch Bros OpCo Class A common units may be redeemed or exchanged for shares of our Class A common stock. Any shares we issue upon redemption or exchange of Dutch Bros OpCo Class A common units will be “restricted securities” as defined in Rule 144 and may not be sold in the absence of registration under the Securities Act of 1933, as amended (Securities Act) unless an exemption from registration is available, including the exemptions contained in Rule 144.</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However, all such shares are now eligible for resale in the public market, subject, in the case of shares held by our affiliates, to volume, manner of sale, and other limitations under Rule 144.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0" w:name="page61"/>
    <w:bookmarkEnd w:id="6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006098"/>
        </w:rPr>
        <w:t>Our trading price and trading volume could decline if securities or industry analysts do not publish research about our business, or if they publish unfavorable research.</w:t>
      </w:r>
    </w:p>
    <w:p>
      <w:pPr>
        <w:spacing w:after="0" w:line="24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General Risks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Our results may fluctuate significantly and may not meet our expectations or those of investors or securities analysts.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spacing w:after="0" w:line="49" w:lineRule="exact"/>
        <w:rPr>
          <w:sz w:val="20"/>
          <w:szCs w:val="20"/>
          <w:color w:val="auto"/>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changes in consumer tastes and nutritional and dietary trends;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successful identification and acquisition of appropriate sites to timely develop and expand our number of profitable shops;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protection of our brand and reputation;</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dependence on a small number of suppliers, including for roasting;</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expectations regarding our future operating and financial performance;</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the size of our addressable markets, market share, and market trends;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effective management and continued growth of our workforce and operations;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our ability to attract, retain, and motivate skilled personnel, including key members of our senior management;</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generation of projected same shop sales growth;</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the sufficiency of our cash, cash equivalents, and investments to meet our liquidity needs;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dependence on long-term non-cancelable leases;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our employees and the status of our workers;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our inability to maintain good relationships with our franchising partners;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the timing and amount of deferred expenses related to the maintenance of company-operated shops;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the effects of seasonal trends on our results of operations;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our vulnerability to global financial market conditions, including the continuing effects from the recent recession;</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adverse weather conditions in local or regional areas where our shops are located; and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4"/>
        </w:numPr>
        <w:rPr>
          <w:rFonts w:ascii="Arial" w:cs="Arial" w:eastAsia="Arial" w:hAnsi="Arial"/>
          <w:sz w:val="14"/>
          <w:szCs w:val="14"/>
          <w:color w:val="131E29"/>
        </w:rPr>
      </w:pPr>
      <w:r>
        <w:rPr>
          <w:rFonts w:ascii="Arial" w:cs="Arial" w:eastAsia="Arial" w:hAnsi="Arial"/>
          <w:sz w:val="14"/>
          <w:szCs w:val="14"/>
          <w:color w:val="131E29"/>
        </w:rPr>
        <w:t>our realization of any benefit from our organizational structure net of expenses associated with the same (including our obligations under the Tax Receivable Agreements).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Any one or more of the factors above may result in significant fluctuations in our results of operations, which may negatively impact the trading price of our Class A common stock.</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131E29"/>
        </w:rPr>
        <w:t>You should not rely on our past results as an indicator of our future performance.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1" w:name="page62"/>
    <w:bookmarkEnd w:id="6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99" w:lineRule="auto"/>
        <w:rPr>
          <w:sz w:val="20"/>
          <w:szCs w:val="20"/>
          <w:color w:val="auto"/>
        </w:rPr>
      </w:pPr>
      <w:r>
        <w:rPr>
          <w:rFonts w:ascii="Arial" w:cs="Arial" w:eastAsia="Arial" w:hAnsi="Arial"/>
          <w:sz w:val="14"/>
          <w:szCs w:val="14"/>
          <w:b w:val="1"/>
          <w:bCs w:val="1"/>
          <w:i w:val="1"/>
          <w:iCs w:val="1"/>
          <w:color w:val="006098"/>
        </w:rPr>
        <w:t>Our outstanding indebtedness could materially adversely affect our financial condition and our ability to operate our business, pursue our growth strategy, and react to changes in the economy or industry.</w:t>
      </w:r>
    </w:p>
    <w:p>
      <w:pPr>
        <w:spacing w:after="0" w:line="2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As of December 31, 2024, we had $234.7 million outstanding under our term loan facility. In addition, subject to certain restrictions under the 2022 Credit Facility, we may incur additional debt.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131E29"/>
        </w:rPr>
        <w:t>Our debt could have important consequences to you, including the following:</w:t>
      </w:r>
    </w:p>
    <w:p>
      <w:pPr>
        <w:spacing w:after="0" w:line="136" w:lineRule="exact"/>
        <w:rPr>
          <w:sz w:val="20"/>
          <w:szCs w:val="20"/>
          <w:color w:val="auto"/>
        </w:rPr>
      </w:pPr>
    </w:p>
    <w:p>
      <w:pPr>
        <w:ind w:left="260" w:hanging="255"/>
        <w:spacing w:after="0" w:line="284" w:lineRule="auto"/>
        <w:tabs>
          <w:tab w:leader="none" w:pos="256"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it may be difficult for us to satisfy our obligations, including debt service requirements under our outstanding debt, resulting in possible defaults on and acceleration of such indebtedness;</w:t>
      </w:r>
    </w:p>
    <w:p>
      <w:pPr>
        <w:ind w:left="260" w:hanging="255"/>
        <w:spacing w:after="0" w:line="284" w:lineRule="auto"/>
        <w:tabs>
          <w:tab w:leader="none" w:pos="256"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we may need to issue additional Class A common stock to fund the repayment of our debt, which would result in additional dilution to existing investors and may cause our stock price to decline;</w:t>
      </w: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our ability to obtain additional financing for working capital, capital expenditures, debt service requirements, or other general corporate purposes may be impaired;</w:t>
      </w:r>
    </w:p>
    <w:p>
      <w:pPr>
        <w:spacing w:after="0" w:line="51" w:lineRule="exact"/>
        <w:rPr>
          <w:rFonts w:ascii="Arial" w:cs="Arial" w:eastAsia="Arial" w:hAnsi="Arial"/>
          <w:sz w:val="14"/>
          <w:szCs w:val="14"/>
          <w:color w:val="131E29"/>
        </w:rPr>
      </w:pPr>
    </w:p>
    <w:p>
      <w:pPr>
        <w:ind w:left="260" w:hanging="255"/>
        <w:spacing w:after="0" w:line="284" w:lineRule="auto"/>
        <w:tabs>
          <w:tab w:leader="none" w:pos="256"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w:t>
      </w: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we are more vulnerable to economic downturns and adverse industry conditions and our flexibility to plan for, or react to, changes in our business or industry is more limited;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our ability to capitalize on business opportunities and to react to competitive pressures, as compared to our competitors, may be compromised due to our level of debt; and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5"/>
        </w:numPr>
        <w:rPr>
          <w:rFonts w:ascii="Arial" w:cs="Arial" w:eastAsia="Arial" w:hAnsi="Arial"/>
          <w:sz w:val="14"/>
          <w:szCs w:val="14"/>
          <w:color w:val="131E29"/>
        </w:rPr>
      </w:pPr>
      <w:r>
        <w:rPr>
          <w:rFonts w:ascii="Arial" w:cs="Arial" w:eastAsia="Arial" w:hAnsi="Arial"/>
          <w:sz w:val="14"/>
          <w:szCs w:val="14"/>
          <w:color w:val="131E29"/>
        </w:rPr>
        <w:t>our ability to borrow additional funds or to refinance debt may be limited.</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Furthermore, all of our debt under our 2022 Credit Facility bears interest at variable rates, which may increase from time to time. If these rates were to increase significantly, whether because of an increase in market interest rates or a decrease in our creditworthiness, our ability to borrow additional funds may be reduced and the risks related to our substantial debt would intensify.</w:t>
      </w:r>
    </w:p>
    <w:p>
      <w:pPr>
        <w:spacing w:after="0" w:line="5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Restrictions imposed by our outstanding indebtedness and any future indebtedness may limit our ability to operate our business, execute our growth strategy, and finance our future operations or capital needs or engage in other business activities.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131E29"/>
        </w:rPr>
        <w:t>The covenants under our 2022 Credit Facility restrict our ability, among other things, to:</w:t>
      </w:r>
    </w:p>
    <w:p>
      <w:pPr>
        <w:spacing w:after="0" w:line="136" w:lineRule="exact"/>
        <w:rPr>
          <w:sz w:val="20"/>
          <w:szCs w:val="20"/>
          <w:color w:val="auto"/>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incur additional debt;</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grant liens on assets;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sell or dispose of assets;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merge with or acquire other companies, or make other investments;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enter into sale and leaseback transactions and swap agreements;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liquidate or dissolve ourselves;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engage in businesses that are not in a related line of business; or</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6"/>
        </w:numPr>
        <w:rPr>
          <w:rFonts w:ascii="Arial" w:cs="Arial" w:eastAsia="Arial" w:hAnsi="Arial"/>
          <w:sz w:val="14"/>
          <w:szCs w:val="14"/>
          <w:color w:val="131E29"/>
        </w:rPr>
      </w:pPr>
      <w:r>
        <w:rPr>
          <w:rFonts w:ascii="Arial" w:cs="Arial" w:eastAsia="Arial" w:hAnsi="Arial"/>
          <w:sz w:val="14"/>
          <w:szCs w:val="14"/>
          <w:color w:val="131E29"/>
        </w:rPr>
        <w:t>pay dividends or make other distributions.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For example, our 2022 Credit Facility generally requires that any cash distributions received by Dutch Bros Inc. that exceed its actual tax liability and operating expenses generally must be reinvested into Dutch Bros OpCo, which restricts our ability to distribute such cash to our stockholders or to retain such cash in Dutch Bros Inc. for other uses.</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In addition, our 2022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2" w:name="page63"/>
    <w:bookmarkEnd w:id="6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A breach of any of the covenants in the 2022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2022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2022 Credit Facility or any applicable law. Our obligations under the 2022 Credit Facility are guaranteed by our subsidiaries and secured by substantially all of our and such subsidiary guarantors’ assets.</w:t>
      </w: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2022 Credit Facility or the exercise by the applicable lenders of their rights and remedies would likely have a material adverse effect on our business.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131E29"/>
        </w:rPr>
        <w:t>As a result of these restrictions, we may be:</w:t>
      </w:r>
    </w:p>
    <w:p>
      <w:pPr>
        <w:spacing w:after="0" w:line="136" w:lineRule="exact"/>
        <w:rPr>
          <w:sz w:val="20"/>
          <w:szCs w:val="20"/>
          <w:color w:val="auto"/>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limited in how we conduct our business;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unable to raise additional debt or equity financing to operate during general economic or business downturns; or</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7"/>
        </w:numPr>
        <w:rPr>
          <w:rFonts w:ascii="Arial" w:cs="Arial" w:eastAsia="Arial" w:hAnsi="Arial"/>
          <w:sz w:val="14"/>
          <w:szCs w:val="14"/>
          <w:color w:val="131E29"/>
        </w:rPr>
      </w:pPr>
      <w:r>
        <w:rPr>
          <w:rFonts w:ascii="Arial" w:cs="Arial" w:eastAsia="Arial" w:hAnsi="Arial"/>
          <w:sz w:val="14"/>
          <w:szCs w:val="14"/>
          <w:color w:val="131E29"/>
        </w:rPr>
        <w:t>unable to compete effectively or to take advantage of new business opportunities.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These restrictions may affect our ability to grow in accordance with our strategy.</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are vulnerable to interest rate risk with respect to our debt, and swap agreements entered into to manage such risk may not effectively limit our exposure.</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are subject to interest rate risk in connection with our 2022 Credit Facility, which carries interest at a floating rate. We have, and may in the future, use interest rate swap agreements to fix all or a portion of our variable rate debt in order to manage interest rate risk. We may not be successful in structuring such agreements to manage our risks effectively in the future, which could adversely affect our business, financial condition, and results of operations. There can be no assurance that we can develop and implement a strategy that can effectively insulate us from risks associated with interest rate fluctuations, or that our swap agreements will have the desired beneficial impact. We might be subject to additional costs, such as transaction or termination fees, if we terminate these arrangements.</w:t>
      </w:r>
    </w:p>
    <w:p>
      <w:pPr>
        <w:spacing w:after="0" w:line="5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If we fail to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spacing w:after="0" w:line="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are required, pursuant to Section 404 of the Sarbanes-Oxley Act (Section 404) to furnish a report by management on, among other things, the effectiveness of our internal control over financial reporting. This assessment requires disclosure of any material weaknesses identified by our management in our internal control over financial reporting. In addition, our independent registered public accounting firm is required to attest to the effectiveness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3" w:name="page64"/>
    <w:bookmarkEnd w:id="6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During the evaluation and testing process of our internal controls, if we identify one or more material weaknesses in our internal control over financial reporting, we will be unable to certify that our internal control over financial reporting is effective. We have previously identified and remediated material weaknesses in our internal control over financial reporting and cannot assure you that there will not be material weaknesses in our internal control over financial reporting in the future. For example, in connection with the audit of our consolidated financial statements as of and for the year ended December 31, 2022, our management and auditors determined that material weaknesses existed in the internal control over financial reporting. Although we have implemented measures designed to improve our internal control over financial reporting and remediated these material weaknesses, we cannot assure you that the measures we have taken to date will be sufficient to avoid potential future material weaknesses</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If we identify new material weaknesses in our internal control over financial reporting, if we are unable to comply with the requirements of Section 404 of the Sarbanes-Oxley Act, if we are unable to conclude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5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2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131E29"/>
        </w:rPr>
        <w:t>The Sarbanes-Oxley Act requires, among other things, that we maintain effective disclosure controls and procedures and internal control over financial reporting. For example, as we prepared to become a public company, we worked to improve the controls around our key accounting processes and our quarterly close process, and we hired additional accounting and finance personnel to help us implement those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current controls and any new controls that we develop may become inadequate because of changes in conditions in our business. In addition, changes in reporting requirements or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4" w:name="page65"/>
    <w:bookmarkEnd w:id="6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Further, deficiencies in our disclosure controls and internal control over financial reporting have been and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As a public company, we are required to provide an annual management report on the effectiveness of our internal control over financial reporting, and make a formal assessment of the effectiveness of our internal control over financial reporting in compliance with the SEC rules that implement Section 404 of the Sarbanes-Oxley Act.</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Our independent registered public accounting firm is required to formally attest to the effectiveness of our internal control over financial reporting. Our independent registered public accounting firm has issued in the past and may in the future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w:t>
      </w:r>
    </w:p>
    <w:p>
      <w:pPr>
        <w:spacing w:after="0" w:line="5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spacing w:after="0" w:line="2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5" w:name="page66"/>
    <w:bookmarkEnd w:id="6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We may need additional capital, and we cannot be sure that additional financing will be available.</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Prior to our IPO, we financed our operations and capital expenditures primarily through sales of OpCo Units that are convertible into our capital stock and debt financing. Thereafter, we have financed our operations and capital expenditures primarily through the sale of Dutch Bros Inc. Class A common stock and debt financing. For example, in September 2023, we raised additional capital through the sale and issuance of approximately 13.3 million shares of our Class A common stock in an underwritten public offering. In the future, we may raise additional capital through additional equity or debt financings to support our business growth, to respond to business opportunities, challenges, or unforeseen circumstances, to repay our debt,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6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If a financial institution holding our funds fails, we may not be able to pay our operational expenses or make other payments, which could adversely impact our liquidity and financial performance. Deterioration of financial markets may result in our inability to borrow on favorable terms, which could adversely impact our ability to pursue our growth and other strategic initiatives.</w:t>
      </w:r>
    </w:p>
    <w:p>
      <w:pPr>
        <w:spacing w:after="0" w:line="3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We regularly maintain cash balances at financial institutions in amounts exceeding the Federal Deposit Insurance Corporation (FDIC) insurance limit. If a financial institution in which we hold such funds fails, or is subject to significant adverse conditions in the financial or credit markets, we could lose all or a portion of our uninsured funds, or be subject to a delay in accessing all or a portion of our funds. If we are unable to access all or a significant portion of our funds for any extended period of time, we may not be able to pay our operational expenses or make other payments, including to our vendors and employees, and we may be subject to other operational challenges, any of which could adversely impact our liquidity and financial performance. In addition, any inability of our franchisees, suppliers, distributors, or other third parties to meet their contractual obligations to the Company because of similar risks could adversely impact our business and financial performance.</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Despite the steps taken to date by the FDIC to protect depositors, the follow-on effects of the events surrounding the March 2023 failures of Silicon Valley Bank and Signature Bank and the pressures on other financial institutions and the broader financial services industry are unknown and could include failures of other financial institutions or wide-ranging liquidity shortages. In the event of a sustained deterioration of financial market liquidity, we may be unable to borrow from financial institutions on favorable terms, or at all, which could adversely impact our ability to pursue our growth strategy and fund strategic initiatives.</w:t>
      </w:r>
    </w:p>
    <w:p>
      <w:pPr>
        <w:spacing w:after="0" w:line="5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006098"/>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131E29"/>
        </w:rPr>
        <w:t>Our amended and restated certificate of incorporation provides that, unless we consent in writing to the selection of an alternative forum, the Court of Chancery of the State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131E29"/>
        </w:rPr>
        <w:t>Delaware is the exclusive forum for the following types of actions or proceedings under Delaware statutory or common law:</w:t>
      </w:r>
    </w:p>
    <w:p>
      <w:pPr>
        <w:spacing w:after="0" w:line="80" w:lineRule="exact"/>
        <w:rPr>
          <w:sz w:val="20"/>
          <w:szCs w:val="20"/>
          <w:color w:val="auto"/>
        </w:rPr>
      </w:pPr>
    </w:p>
    <w:p>
      <w:pPr>
        <w:ind w:left="260" w:hanging="255"/>
        <w:spacing w:after="0"/>
        <w:tabs>
          <w:tab w:leader="none" w:pos="260" w:val="left"/>
        </w:tabs>
        <w:numPr>
          <w:ilvl w:val="0"/>
          <w:numId w:val="28"/>
        </w:numPr>
        <w:rPr>
          <w:rFonts w:ascii="Arial" w:cs="Arial" w:eastAsia="Arial" w:hAnsi="Arial"/>
          <w:sz w:val="14"/>
          <w:szCs w:val="14"/>
          <w:color w:val="131E29"/>
        </w:rPr>
      </w:pPr>
      <w:r>
        <w:rPr>
          <w:rFonts w:ascii="Arial" w:cs="Arial" w:eastAsia="Arial" w:hAnsi="Arial"/>
          <w:sz w:val="14"/>
          <w:szCs w:val="14"/>
          <w:color w:val="131E29"/>
        </w:rPr>
        <w:t>any derivative claim or cause of action brought on our behalf;</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6" w:name="page67"/>
    <w:bookmarkEnd w:id="6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any claim or cause of action for a breach of fiduciary duty owed by any of our current or former directors, officers, or other employees to us or our stockholders;</w:t>
      </w:r>
    </w:p>
    <w:p>
      <w:pPr>
        <w:spacing w:after="0" w:line="51" w:lineRule="exact"/>
        <w:rPr>
          <w:rFonts w:ascii="Arial" w:cs="Arial" w:eastAsia="Arial" w:hAnsi="Arial"/>
          <w:sz w:val="14"/>
          <w:szCs w:val="14"/>
          <w:color w:val="131E29"/>
        </w:rPr>
      </w:pPr>
    </w:p>
    <w:p>
      <w:pPr>
        <w:ind w:left="260" w:hanging="255"/>
        <w:spacing w:after="0" w:line="284" w:lineRule="auto"/>
        <w:tabs>
          <w:tab w:leader="none" w:pos="256"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ind w:left="260" w:hanging="255"/>
        <w:spacing w:after="0" w:line="284" w:lineRule="auto"/>
        <w:tabs>
          <w:tab w:leader="none" w:pos="256"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any claim or cause of action as to which the Delaware General Corporation Law confers jurisdiction to the Court of Chancery of the State of Delaware; and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29"/>
        </w:numPr>
        <w:rPr>
          <w:rFonts w:ascii="Arial" w:cs="Arial" w:eastAsia="Arial" w:hAnsi="Arial"/>
          <w:sz w:val="14"/>
          <w:szCs w:val="14"/>
          <w:color w:val="131E29"/>
        </w:rPr>
      </w:pPr>
      <w:r>
        <w:rPr>
          <w:rFonts w:ascii="Arial" w:cs="Arial" w:eastAsia="Arial" w:hAnsi="Arial"/>
          <w:sz w:val="14"/>
          <w:szCs w:val="14"/>
          <w:color w:val="131E29"/>
        </w:rPr>
        <w:t>any claim or cause of action against us or any of our current or former directors, officers, or other employees governed by the internal affairs doctrine.</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This provision would not apply to suits brought to enforce a duty or liability created by the Exchange Act or any other claim for which the U.S. federal courts have exclusive jurisdiction. In addition, our amended 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These choices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Additionally, our amended and restated certificate of incorporation provides that any person or entity holding, owning, or otherwise acquiring any interest in any of our securities shall be deemed to have notice of and consented to these provisions.</w:t>
      </w:r>
    </w:p>
    <w:p>
      <w:pPr>
        <w:spacing w:after="0" w:line="3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006098"/>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131E29"/>
        </w:rPr>
        <w:t>Our charter documents also contain other provisions that could have an anti-takeover effect, such as:</w:t>
      </w:r>
    </w:p>
    <w:p>
      <w:pPr>
        <w:spacing w:after="0" w:line="136" w:lineRule="exact"/>
        <w:rPr>
          <w:sz w:val="20"/>
          <w:szCs w:val="20"/>
          <w:color w:val="auto"/>
        </w:rPr>
      </w:pPr>
    </w:p>
    <w:p>
      <w:pPr>
        <w:ind w:left="260" w:hanging="255"/>
        <w:spacing w:after="0"/>
        <w:tabs>
          <w:tab w:leader="none" w:pos="260" w:val="left"/>
        </w:tabs>
        <w:numPr>
          <w:ilvl w:val="0"/>
          <w:numId w:val="30"/>
        </w:numPr>
        <w:rPr>
          <w:rFonts w:ascii="Arial" w:cs="Arial" w:eastAsia="Arial" w:hAnsi="Arial"/>
          <w:sz w:val="14"/>
          <w:szCs w:val="14"/>
          <w:color w:val="131E29"/>
        </w:rPr>
      </w:pPr>
      <w:r>
        <w:rPr>
          <w:rFonts w:ascii="Arial" w:cs="Arial" w:eastAsia="Arial" w:hAnsi="Arial"/>
          <w:sz w:val="14"/>
          <w:szCs w:val="14"/>
          <w:color w:val="131E29"/>
        </w:rPr>
        <w:t>permitting the board of directors to establish the number of directors and fill any vacancies and newly created directorships;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7" w:name="page68"/>
    <w:bookmarkEnd w:id="6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providing that directors may only be removed pursuant to the provisions of Section 141(k) of the Delaware General Corporation Law;</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prohibiting cumulative voting for directors;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requiring super-majority voting to amend some provisions in our amended and restated bylaws;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authorizing the issuance of “blank check” preferred stock that our board of directors could use to implement a stockholder rights plan;</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eliminating the ability of stockholders to call special meetings of stockholders; and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31"/>
        </w:numPr>
        <w:rPr>
          <w:rFonts w:ascii="Arial" w:cs="Arial" w:eastAsia="Arial" w:hAnsi="Arial"/>
          <w:sz w:val="14"/>
          <w:szCs w:val="14"/>
          <w:color w:val="131E29"/>
        </w:rPr>
      </w:pPr>
      <w:r>
        <w:rPr>
          <w:rFonts w:ascii="Arial" w:cs="Arial" w:eastAsia="Arial" w:hAnsi="Arial"/>
          <w:sz w:val="14"/>
          <w:szCs w:val="14"/>
          <w:color w:val="131E29"/>
        </w:rPr>
        <w:t>our multi-class common stock structure as described above.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Catastrophic events may disrupt our business.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Labor discord or disruption, geopolitical events, social unrest, war, including repercussions of the recent war between Russia and Ukraine and the war between Israel and Hamas, terrorism, political instability, acts of public violence, boycotts, hostilities and social unrest, and other health pandemics that lead to avoidance of public places or cause people to stay at home could harm our business.</w:t>
      </w:r>
    </w:p>
    <w:p>
      <w:pPr>
        <w:spacing w:after="0" w:line="4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131E29"/>
        </w:rPr>
        <w:t>Additionally, natural disasters or other catastrophic events may cause damage or disruption to our operations, international commerce, and the global economy, and thus could harm our business. In particular, the west coast wildfires and wildfire smoke and extreme weather conditions in other areas in which we operate, such as hurricanes, high winds, and flooding in Texas and other states, water scarcity or drought in California and other states, extreme heat and cold, snow or ice storms, and other extreme weather events across the country, and disease outbreaks or pandemics,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 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property loss, reputational harm, breaches of data security, and loss of critical data, all of which would harm our business, results of operations, and financial condition. Our drive-thru model relies heavily on the ability of customers to safely drive to and from our shops, which can be negatively affected by extreme weather. Such extreme weather events may affect traffic to our shops and may have a harmful effect on the local economy, decreasing the demand for our products. For example, we experienced shop closures as a result of hurricanes in Texas and Florida during the third quarter of 2024. In addition, the insurance we maintain would likely not be adequate to cover our losses resulting from disasters or other business interruptions.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8" w:name="page69"/>
    <w:bookmarkEnd w:id="6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Economic and business factors that are largely beyond our control may adversely affect consumer behavior and the results of our operations.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uncertainty, or divisions, including due to the changes in both the executive and legislative branches of the US federal government in 2025, may have a negative effect on consumer confidence and discretionary spending. For example, the federal government provided relief from student loan payments beginning in March 2020, and extended such relief multiple times through September 2023, when loan payments resumed. This and similar governmental acts could have significant impact on consumer discretionary spending. A significant decrease in our customer traffic or average value per transaction without a corresponding decrease in costs would put downward pressure on margins and would negatively impact our financial results.</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1B. UNRESOLVED STAFF COMMENTS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1C. CYBERSECURITY</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Risk Management and Strategy</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rely on information technology networks and systems and data processing to manage a variety of business processes and activities, including, without limitation, to process customer payments and conduct our marketing efforts. 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customer data.</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We utilize certain third-party service providers to perform a variety of functions, such as outsourcing certain business critical functions, augmenting staff for after-hours support, help tracking chain of custody for physical PCI devices for our shops, providing applications, hosting our systems, distributing our products, property management, providing cloud-based infrastructure, data center facilities, encryption and authentication technology, supporting corporate productivity services, and other functions. Depending on the nature of the services provided, the sensitivity and quantity of information processed, and the identity of the service provider, for certain service providers, our vendor management process includes reviewing the cybersecurity practices of certain providers, contractually imposing obligations on certain providers related to the services they provide and/or the information they process, conducting security vulnerability assessments, requiring providers to complete written questionnaires regarding their services and data handling practices, conducting periodic re-assessments during their engagement, using a third party vendor management security company to provide certain ongoing monitoring, or annually collecting certain information security-related compliance documentation and reports.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69" w:name="page70"/>
    <w:bookmarkEnd w:id="6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Risks from cybersecurity threats are among those that we address in the Company’s general risk management program. As part of our overall risk management processes, the Company maintains various policies related to information security, including, for example, an Incident Response Policy and a Cybersecurity Incident Reporting Policy. We identify cybersecurity threats as part of our risk management processes, including (depending on the environment or systems) through internal monitoring, monitoring the threat environment using manual and automated tools, subscribing to reports and services that identify cybersecurity threats, analyzing reports of threats and actors, conducting scans of the threat environments, evaluating our and our industry’s risk profile, evaluating threats reported to us, conducting threat assessments for internal and external threats, and conducting security vulnerability assessments to identify vulnerabilities. Our information technology team is responsible for identifying, assessing, and managing the Company’s cybersecurity threats and risks under the oversight of our Chief Technology and Information Officer. This team works with third parties from time to time to help identify, assess, and manage cybersecurity risks, including professional services firms and other vendors.</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Based on our assessment process, we implement and maintain various technical, physical, and organizational measures designed to manage and mitigate cybersecurity risks and potential material impacts. Depending on the environment or systems, we implement measures designed to prevent, detect, respond to, mitigate, and recover from identified and significant cybersecurity threats. The risk management and reduction measures we implement for certain of our environments or systems include: policies and procedures designed to address cybersecurity threats, including an incident response policy, acceptable use policy, and vulnerability management policy; internal and/or external security audit assessments of select environments to assess our exposure to cybersecurity threats, compliance with risk mitigation procedures, and the effectiveness of relevant controls; documented risk assessments; encryption of certain data; network security controls in certain systems; physical and electronic access controls in certain environments; asset management, tracking and disposal; systems monitoring of certain systems; employee security training; penetration testing of certain environments; maintaining cyber insurance; and a dedicated cybersecurity leader.</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Our business, results of operations, financial condition, or reputation could be materially affected as a result of certain risks from cybersecurity threats, including for example, due to: the cost of and modification of business activities and implementation of security measures; system failure, data loss, fraud or theft; disruptions, including in operations; delays in remediation of high risk or critical vulnerabilities; costs of notices and other disclosures that may be required by applicable data privacy and security obligations; or our inability to recover such costs under insurance policies or contractual rights. See "Risks Related to Our Business" in Item 1A, Risk Factors for more information and a description of the risks from cybersecurity threats that materially affect the Company.</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Governance</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The Audit and Risk Committee of the board of directors is responsible for oversight of the Company’s processes and policies for enterprise risk identification, management, and assessment, including certain risks around data privacy, technology, and information security. Our cybersecurity risk assessment and management processes are implemented and maintained by certain Company management, including our Chief Technology and Information Officer, Venki Krishnababu, who has over 30 years of experience in the information technology field. Prior to serving the Company, Mr. Krishnababu served in various information technology roles, most recently as Chief Technology Officer, at lululemon athletica inc. (NASDAQ: LULU), and prior to that as Chief Technology Officer at Premera Blue Cross.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Chief Technology and Information Officer is responsible for hiring appropriate personnel, helping to integrate cybersecurity risk considerations into the Company’s overall risk management strategy, and communicating key priorities to relevant personnel. Our Chief Technology and Information Officer and his team are responsible for approving budgets, helping prepare for cybersecurity incidents, approving cybersecurity processes, and reviewing security assessments and other security-related reports.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0" w:name="page71"/>
    <w:bookmarkEnd w:id="7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131E29"/>
        </w:rPr>
        <w:t>Our cybersecurity incident response processes are designed to escalate certain cybersecurity incidents to members of management depending on the circumstances, including reporting certain incidents to a cross-functional group responsible for making ongoing assessments of reported incidents. This group is led by our Chief Legal Officer and Chief Technology and Information Officer, and includes members of our standing Disclosure Committee. The Chief Legal Officer is responsible for informing the Audit and Risk Committee regarding certain significant cybersecurity threats and risks, and meets with the Audit and Risk Committee periodically or at special meetings to review and discuss issues. Additionally, our Chief Legal Officer oversees an annual enterprise risk assessment that addresses certain applicable cybersecurity risks, the results of which are presented to the Audit and Risk Committee. We also engage a third party consulting firm to assist with our annual enterprise risk assessment. Our Chief Legal Officer works with the Board, senior management, others at various levels of the organization, and our outside advisors to help identify, assess, and validate the Company’s top risks, taking into account past risk mitigation activities and future plans. Under our Cybersecurity Incident Reporting Policy, the Chief Legal Officer is also responsible for communicating to the Audit and Risk Committee the activities of the Company related to the assessments and reporting of potentially significant cybersecurity incidents.</w:t>
      </w:r>
    </w:p>
    <w:p>
      <w:pPr>
        <w:spacing w:after="0" w:line="5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2. PROPERTIES</w:t>
      </w:r>
    </w:p>
    <w:p>
      <w:pPr>
        <w:spacing w:after="0" w:line="1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As of December 31, 2024, we had 670 company-operated and 312 franchise shops with 982 total shops in 18 states. The chart below shows our properties by state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31750</wp:posOffset>
            </wp:positionV>
            <wp:extent cx="4130040" cy="29102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130040" cy="2910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1" w:name="page72"/>
    <w:bookmarkEnd w:id="7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In addition to our company-operated shops, we own and lease the following facilities: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131E29"/>
              </w:rPr>
              <w:t>Location</w:t>
            </w:r>
          </w:p>
        </w:tc>
        <w:tc>
          <w:tcPr>
            <w:tcW w:w="80" w:type="dxa"/>
            <w:vAlign w:val="bottom"/>
            <w:tcBorders>
              <w:bottom w:val="single" w:sz="8" w:color="D2DCE5"/>
            </w:tcBorders>
          </w:tcPr>
          <w:p>
            <w:pPr>
              <w:spacing w:after="0"/>
              <w:rPr>
                <w:sz w:val="17"/>
                <w:szCs w:val="17"/>
                <w:color w:val="auto"/>
              </w:rPr>
            </w:pPr>
          </w:p>
        </w:tc>
        <w:tc>
          <w:tcPr>
            <w:tcW w:w="492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131E29"/>
              </w:rPr>
              <w:t>Primary Function(s)</w:t>
            </w:r>
          </w:p>
        </w:tc>
        <w:tc>
          <w:tcPr>
            <w:tcW w:w="100" w:type="dxa"/>
            <w:vAlign w:val="bottom"/>
            <w:tcBorders>
              <w:bottom w:val="single" w:sz="8" w:color="D2DCE5"/>
            </w:tcBorders>
          </w:tcPr>
          <w:p>
            <w:pPr>
              <w:spacing w:after="0"/>
              <w:rPr>
                <w:sz w:val="17"/>
                <w:szCs w:val="17"/>
                <w:color w:val="auto"/>
              </w:rPr>
            </w:pPr>
          </w:p>
        </w:tc>
        <w:tc>
          <w:tcPr>
            <w:tcW w:w="17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131E29"/>
              </w:rPr>
              <w:t>Square Feet</w:t>
            </w:r>
          </w:p>
        </w:tc>
        <w:tc>
          <w:tcPr>
            <w:tcW w:w="100" w:type="dxa"/>
            <w:vAlign w:val="bottom"/>
            <w:tcBorders>
              <w:bottom w:val="single" w:sz="8" w:color="D2DCE5"/>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Owned or Leased</w:t>
            </w:r>
          </w:p>
        </w:tc>
      </w:tr>
      <w:tr>
        <w:trPr>
          <w:trHeight w:val="209"/>
        </w:trPr>
        <w:tc>
          <w:tcPr>
            <w:tcW w:w="27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Headquarters office space</w:t>
            </w:r>
          </w:p>
        </w:tc>
        <w:tc>
          <w:tcPr>
            <w:tcW w:w="1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7"/>
              </w:rPr>
              <w:t>21,000</w:t>
            </w:r>
          </w:p>
        </w:tc>
        <w:tc>
          <w:tcPr>
            <w:tcW w:w="100" w:type="dxa"/>
            <w:vAlign w:val="bottom"/>
            <w:shd w:val="clear" w:color="auto" w:fill="D2DCE5"/>
          </w:tcPr>
          <w:p>
            <w:pPr>
              <w:spacing w:after="0"/>
              <w:rPr>
                <w:sz w:val="18"/>
                <w:szCs w:val="18"/>
                <w:color w:val="auto"/>
              </w:rPr>
            </w:pPr>
          </w:p>
        </w:tc>
        <w:tc>
          <w:tcPr>
            <w:tcW w:w="17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Leased</w:t>
            </w:r>
          </w:p>
        </w:tc>
      </w:tr>
      <w:tr>
        <w:trPr>
          <w:trHeight w:val="202"/>
        </w:trPr>
        <w:tc>
          <w:tcPr>
            <w:tcW w:w="2740" w:type="dxa"/>
            <w:vAlign w:val="bottom"/>
            <w:gridSpan w:val="2"/>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tcPr>
          <w:p>
            <w:pPr>
              <w:ind w:left="20"/>
              <w:spacing w:after="0"/>
              <w:rPr>
                <w:sz w:val="20"/>
                <w:szCs w:val="20"/>
                <w:color w:val="auto"/>
              </w:rPr>
            </w:pPr>
            <w:r>
              <w:rPr>
                <w:rFonts w:ascii="Arial" w:cs="Arial" w:eastAsia="Arial" w:hAnsi="Arial"/>
                <w:sz w:val="14"/>
                <w:szCs w:val="14"/>
                <w:color w:val="131E29"/>
              </w:rPr>
              <w:t>Roasting and packing facility</w:t>
            </w:r>
          </w:p>
        </w:tc>
        <w:tc>
          <w:tcPr>
            <w:tcW w:w="1700" w:type="dxa"/>
            <w:vAlign w:val="bottom"/>
          </w:tcPr>
          <w:p>
            <w:pPr>
              <w:jc w:val="center"/>
              <w:spacing w:after="0"/>
              <w:rPr>
                <w:sz w:val="20"/>
                <w:szCs w:val="20"/>
                <w:color w:val="auto"/>
              </w:rPr>
            </w:pPr>
            <w:r>
              <w:rPr>
                <w:rFonts w:ascii="Arial" w:cs="Arial" w:eastAsia="Arial" w:hAnsi="Arial"/>
                <w:sz w:val="14"/>
                <w:szCs w:val="14"/>
                <w:color w:val="131E29"/>
                <w:w w:val="97"/>
              </w:rPr>
              <w:t>36,000</w:t>
            </w: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131E29"/>
                <w:w w:val="99"/>
              </w:rPr>
              <w:t>Owned</w:t>
            </w:r>
          </w:p>
        </w:tc>
      </w:tr>
      <w:tr>
        <w:trPr>
          <w:trHeight w:val="222"/>
        </w:trPr>
        <w:tc>
          <w:tcPr>
            <w:tcW w:w="27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Grants Pass, Oregon</w:t>
            </w:r>
          </w:p>
        </w:tc>
        <w:tc>
          <w:tcPr>
            <w:tcW w:w="50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Roasting and warehouse facility</w:t>
            </w:r>
          </w:p>
        </w:tc>
        <w:tc>
          <w:tcPr>
            <w:tcW w:w="1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7"/>
              </w:rPr>
              <w:t>21,000</w:t>
            </w:r>
          </w:p>
        </w:tc>
        <w:tc>
          <w:tcPr>
            <w:tcW w:w="100" w:type="dxa"/>
            <w:vAlign w:val="bottom"/>
            <w:shd w:val="clear" w:color="auto" w:fill="D2DCE5"/>
          </w:tcPr>
          <w:p>
            <w:pPr>
              <w:spacing w:after="0"/>
              <w:rPr>
                <w:sz w:val="19"/>
                <w:szCs w:val="19"/>
                <w:color w:val="auto"/>
              </w:rPr>
            </w:pPr>
          </w:p>
        </w:tc>
        <w:tc>
          <w:tcPr>
            <w:tcW w:w="17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Leased</w:t>
            </w:r>
          </w:p>
        </w:tc>
      </w:tr>
      <w:tr>
        <w:trPr>
          <w:trHeight w:val="202"/>
        </w:trPr>
        <w:tc>
          <w:tcPr>
            <w:tcW w:w="2740" w:type="dxa"/>
            <w:vAlign w:val="bottom"/>
            <w:gridSpan w:val="2"/>
          </w:tcPr>
          <w:p>
            <w:pPr>
              <w:ind w:left="20"/>
              <w:spacing w:after="0"/>
              <w:rPr>
                <w:sz w:val="20"/>
                <w:szCs w:val="20"/>
                <w:color w:val="auto"/>
              </w:rPr>
            </w:pPr>
            <w:r>
              <w:rPr>
                <w:rFonts w:ascii="Arial" w:cs="Arial" w:eastAsia="Arial" w:hAnsi="Arial"/>
                <w:sz w:val="14"/>
                <w:szCs w:val="14"/>
                <w:color w:val="131E29"/>
              </w:rPr>
              <w:t>Melissa, Texas</w:t>
            </w:r>
          </w:p>
        </w:tc>
        <w:tc>
          <w:tcPr>
            <w:tcW w:w="5020" w:type="dxa"/>
            <w:vAlign w:val="bottom"/>
            <w:gridSpan w:val="2"/>
          </w:tcPr>
          <w:p>
            <w:pPr>
              <w:ind w:left="20"/>
              <w:spacing w:after="0"/>
              <w:rPr>
                <w:sz w:val="20"/>
                <w:szCs w:val="20"/>
                <w:color w:val="auto"/>
              </w:rPr>
            </w:pPr>
            <w:r>
              <w:rPr>
                <w:rFonts w:ascii="Arial" w:cs="Arial" w:eastAsia="Arial" w:hAnsi="Arial"/>
                <w:sz w:val="14"/>
                <w:szCs w:val="14"/>
                <w:color w:val="131E29"/>
              </w:rPr>
              <w:t>Roasting and packing facility</w:t>
            </w:r>
          </w:p>
        </w:tc>
        <w:tc>
          <w:tcPr>
            <w:tcW w:w="1700" w:type="dxa"/>
            <w:vAlign w:val="bottom"/>
          </w:tcPr>
          <w:p>
            <w:pPr>
              <w:jc w:val="center"/>
              <w:spacing w:after="0"/>
              <w:rPr>
                <w:sz w:val="20"/>
                <w:szCs w:val="20"/>
                <w:color w:val="auto"/>
              </w:rPr>
            </w:pPr>
            <w:r>
              <w:rPr>
                <w:rFonts w:ascii="Arial" w:cs="Arial" w:eastAsia="Arial" w:hAnsi="Arial"/>
                <w:sz w:val="14"/>
                <w:szCs w:val="14"/>
                <w:color w:val="131E29"/>
                <w:w w:val="97"/>
              </w:rPr>
              <w:t>65,000</w:t>
            </w:r>
          </w:p>
        </w:tc>
        <w:tc>
          <w:tcPr>
            <w:tcW w:w="100" w:type="dxa"/>
            <w:vAlign w:val="bottom"/>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131E29"/>
                <w:w w:val="99"/>
              </w:rPr>
              <w:t>Owned</w:t>
            </w:r>
          </w:p>
        </w:tc>
      </w:tr>
      <w:tr>
        <w:trPr>
          <w:trHeight w:val="222"/>
        </w:trPr>
        <w:tc>
          <w:tcPr>
            <w:tcW w:w="27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Scottsdale, Arizona</w:t>
            </w:r>
          </w:p>
        </w:tc>
        <w:tc>
          <w:tcPr>
            <w:tcW w:w="50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Office space</w:t>
            </w:r>
          </w:p>
        </w:tc>
        <w:tc>
          <w:tcPr>
            <w:tcW w:w="1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7"/>
              </w:rPr>
              <w:t>25,000</w:t>
            </w:r>
          </w:p>
        </w:tc>
        <w:tc>
          <w:tcPr>
            <w:tcW w:w="100" w:type="dxa"/>
            <w:vAlign w:val="bottom"/>
            <w:shd w:val="clear" w:color="auto" w:fill="D2DCE5"/>
          </w:tcPr>
          <w:p>
            <w:pPr>
              <w:spacing w:after="0"/>
              <w:rPr>
                <w:sz w:val="19"/>
                <w:szCs w:val="19"/>
                <w:color w:val="auto"/>
              </w:rPr>
            </w:pPr>
          </w:p>
        </w:tc>
        <w:tc>
          <w:tcPr>
            <w:tcW w:w="17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Leased</w:t>
            </w:r>
          </w:p>
        </w:tc>
      </w:tr>
      <w:tr>
        <w:trPr>
          <w:trHeight w:val="193"/>
        </w:trPr>
        <w:tc>
          <w:tcPr>
            <w:tcW w:w="2740" w:type="dxa"/>
            <w:vAlign w:val="bottom"/>
            <w:gridSpan w:val="2"/>
          </w:tcPr>
          <w:p>
            <w:pPr>
              <w:ind w:left="20"/>
              <w:spacing w:after="0"/>
              <w:rPr>
                <w:sz w:val="20"/>
                <w:szCs w:val="20"/>
                <w:color w:val="auto"/>
              </w:rPr>
            </w:pPr>
            <w:r>
              <w:rPr>
                <w:rFonts w:ascii="Arial" w:cs="Arial" w:eastAsia="Arial" w:hAnsi="Arial"/>
                <w:sz w:val="14"/>
                <w:szCs w:val="14"/>
                <w:color w:val="131E29"/>
              </w:rPr>
              <w:t>Tempe, Arizona</w:t>
            </w:r>
          </w:p>
        </w:tc>
        <w:tc>
          <w:tcPr>
            <w:tcW w:w="5020" w:type="dxa"/>
            <w:vAlign w:val="bottom"/>
            <w:gridSpan w:val="2"/>
          </w:tcPr>
          <w:p>
            <w:pPr>
              <w:ind w:left="20"/>
              <w:spacing w:after="0"/>
              <w:rPr>
                <w:sz w:val="20"/>
                <w:szCs w:val="20"/>
                <w:color w:val="auto"/>
              </w:rPr>
            </w:pPr>
            <w:r>
              <w:rPr>
                <w:rFonts w:ascii="Arial" w:cs="Arial" w:eastAsia="Arial" w:hAnsi="Arial"/>
                <w:sz w:val="14"/>
                <w:szCs w:val="14"/>
                <w:color w:val="131E29"/>
              </w:rPr>
              <w:t>Headquarters office space</w:t>
            </w:r>
          </w:p>
        </w:tc>
        <w:tc>
          <w:tcPr>
            <w:tcW w:w="1700" w:type="dxa"/>
            <w:vAlign w:val="bottom"/>
          </w:tcPr>
          <w:p>
            <w:pPr>
              <w:jc w:val="center"/>
              <w:spacing w:after="0"/>
              <w:rPr>
                <w:sz w:val="20"/>
                <w:szCs w:val="20"/>
                <w:color w:val="auto"/>
              </w:rPr>
            </w:pPr>
            <w:r>
              <w:rPr>
                <w:rFonts w:ascii="Arial" w:cs="Arial" w:eastAsia="Arial" w:hAnsi="Arial"/>
                <w:sz w:val="14"/>
                <w:szCs w:val="14"/>
                <w:color w:val="131E29"/>
                <w:w w:val="98"/>
              </w:rPr>
              <w:t>136,000</w:t>
            </w:r>
          </w:p>
        </w:tc>
        <w:tc>
          <w:tcPr>
            <w:tcW w:w="10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131E29"/>
              </w:rPr>
              <w:t>Leased</w:t>
            </w:r>
          </w:p>
        </w:tc>
      </w:tr>
    </w:tbl>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Our principal executive offices are located at 300 N. Valley Drive, Grants Pass, Oregon, 97526. We believe our current facilities are suitable for our near-term needs. In addition, we expect to continue to add additional capacity on an as-needed basis.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For additional information regarding leases, see NOTE 2 — Basis of Presentation and Summary of Significant Accounting Policies and NOTE 8 — Leases in our consolidated financial statements, included elsewhere in this Form 10-K.</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3. LEGAL PROCEEDINGS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may, from time to time, be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adversely affect our business, financial condition, results of operations, and growth prospects.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131E29"/>
        </w:rPr>
        <w:t>Please refer to NOTE 17 — Commitments and Contingencies under the heading “Legal Proceedings” for further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4. MINE SAFETY DISCLOSURES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2" w:name="page73"/>
    <w:bookmarkEnd w:id="7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61530" cy="806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337" w:lineRule="exact"/>
        <w:rPr>
          <w:sz w:val="20"/>
          <w:szCs w:val="20"/>
          <w:color w:val="auto"/>
        </w:rPr>
      </w:pPr>
    </w:p>
    <w:p>
      <w:pPr>
        <w:ind w:right="1040"/>
        <w:spacing w:after="0" w:line="299" w:lineRule="auto"/>
        <w:rPr>
          <w:sz w:val="20"/>
          <w:szCs w:val="20"/>
          <w:color w:val="auto"/>
        </w:rPr>
      </w:pPr>
      <w:r>
        <w:rPr>
          <w:rFonts w:ascii="Arial" w:cs="Arial" w:eastAsia="Arial" w:hAnsi="Arial"/>
          <w:sz w:val="20"/>
          <w:szCs w:val="20"/>
          <w:b w:val="1"/>
          <w:bCs w:val="1"/>
          <w:color w:val="D7282F"/>
        </w:rPr>
        <w:t>ITEM 5. MARKET FOR REGISTRANT’S COMMON EQUITY, RELATED STOCKHOLDER MATTERS AND ISSUER PURCHASES OF EQUITY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Market Information for Common Stock</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Our Class A common stock is traded on the New York Stock Exchange under the symbol “BROS”. There is no established public trading market for our Class B common stock, Class C common stock, or Class D common stock. Since June 2024, there have been no shares of Class D common stock outstanding.</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Stockholders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As of December 31, 2024, our Class A common stock was held by 122 holders of record.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December 31, 2024, we also had three holders of record of our Class B common stock, and one holder of record of our Class C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Dividend Policy</w:t>
      </w:r>
    </w:p>
    <w:p>
      <w:pPr>
        <w:spacing w:after="0" w:line="14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have not declared or paid dividends on our Class A common stock. Holders of our Class B common stock and Class C common stock are not entitled to participate in any dividends. We intend to continue to retain earnings for our use in operation and expansion of our business. Any future determination to pay dividends to holders of our Class A common stock will be at the discretion of our Board and will depend upon many factors, including our results of operations, financial condition, capital requirements, restrictions in our debt agreements, and other factors that our Board deems relevant.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Stock Performance Graph</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graph below compares the cumulative total stockholder return on our Class A common stock (BROS) with the cumulative total return on the S&amp;P 500 Index (SPX) and the S&amp;P 500 Consumer Discretionary Index (SP500.25), assuming an initial investment of $100 at the market close on September 15, 2021, the date our stock commenced trading on the New York Stock Exchange. Data for the S&amp;P 500 Index and the S&amp;P 500 Consumer Discretionary Index assume reinvestment of dividends. As noted above, no dividends have been declared on our Class A common stock to date.</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131E29"/>
        </w:rPr>
        <w:t>The comparisons in the graph below are based upon historical data and are not indicative of, nor intend to forecast, future performance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3" w:name="page74"/>
    <w:bookmarkEnd w:id="73"/>
    <w:p>
      <w:pPr>
        <w:spacing w:after="0"/>
        <w:rPr>
          <w:sz w:val="20"/>
          <w:szCs w:val="20"/>
          <w:color w:val="auto"/>
        </w:rPr>
      </w:pPr>
      <w:r>
        <w:rPr>
          <w:rFonts w:ascii="Arial" w:cs="Arial" w:eastAsia="Arial" w:hAnsi="Arial"/>
          <w:sz w:val="11"/>
          <w:szCs w:val="11"/>
          <w:u w:val="single" w:color="auto"/>
          <w:color w:val="00609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651510</wp:posOffset>
            </wp:positionV>
            <wp:extent cx="4352290" cy="23577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352290"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ind w:left="140"/>
              <w:spacing w:after="0"/>
              <w:rPr>
                <w:sz w:val="20"/>
                <w:szCs w:val="20"/>
                <w:color w:val="auto"/>
              </w:rPr>
            </w:pPr>
            <w:r>
              <w:rPr>
                <w:rFonts w:ascii="Arial" w:cs="Arial" w:eastAsia="Arial" w:hAnsi="Arial"/>
                <w:sz w:val="10"/>
                <w:szCs w:val="10"/>
                <w:b w:val="1"/>
                <w:bCs w:val="1"/>
                <w:color w:val="131E29"/>
              </w:rPr>
              <w:t>Sep 15,</w:t>
            </w:r>
          </w:p>
        </w:tc>
        <w:tc>
          <w:tcPr>
            <w:tcW w:w="200" w:type="dxa"/>
            <w:vAlign w:val="bottom"/>
          </w:tcPr>
          <w:p>
            <w:pPr>
              <w:spacing w:after="0"/>
              <w:rPr>
                <w:sz w:val="10"/>
                <w:szCs w:val="10"/>
                <w:color w:val="auto"/>
              </w:rPr>
            </w:pPr>
          </w:p>
        </w:tc>
        <w:tc>
          <w:tcPr>
            <w:tcW w:w="900" w:type="dxa"/>
            <w:vAlign w:val="bottom"/>
            <w:gridSpan w:val="2"/>
          </w:tcPr>
          <w:p>
            <w:pPr>
              <w:ind w:left="140"/>
              <w:spacing w:after="0"/>
              <w:rPr>
                <w:sz w:val="20"/>
                <w:szCs w:val="20"/>
                <w:color w:val="auto"/>
              </w:rPr>
            </w:pPr>
            <w:r>
              <w:rPr>
                <w:rFonts w:ascii="Arial" w:cs="Arial" w:eastAsia="Arial" w:hAnsi="Arial"/>
                <w:sz w:val="10"/>
                <w:szCs w:val="10"/>
                <w:b w:val="1"/>
                <w:bCs w:val="1"/>
                <w:color w:val="131E29"/>
              </w:rPr>
              <w:t>Dec 31,</w:t>
            </w:r>
          </w:p>
        </w:tc>
        <w:tc>
          <w:tcPr>
            <w:tcW w:w="700" w:type="dxa"/>
            <w:vAlign w:val="bottom"/>
          </w:tcPr>
          <w:p>
            <w:pPr>
              <w:jc w:val="right"/>
              <w:spacing w:after="0"/>
              <w:rPr>
                <w:sz w:val="20"/>
                <w:szCs w:val="20"/>
                <w:color w:val="auto"/>
              </w:rPr>
            </w:pPr>
            <w:r>
              <w:rPr>
                <w:rFonts w:ascii="Arial" w:cs="Arial" w:eastAsia="Arial" w:hAnsi="Arial"/>
                <w:sz w:val="10"/>
                <w:szCs w:val="10"/>
                <w:b w:val="1"/>
                <w:bCs w:val="1"/>
                <w:color w:val="131E29"/>
              </w:rPr>
              <w:t>Dec 31,</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ind w:left="140"/>
              <w:spacing w:after="0"/>
              <w:rPr>
                <w:sz w:val="20"/>
                <w:szCs w:val="20"/>
                <w:color w:val="auto"/>
              </w:rPr>
            </w:pPr>
            <w:r>
              <w:rPr>
                <w:rFonts w:ascii="Arial" w:cs="Arial" w:eastAsia="Arial" w:hAnsi="Arial"/>
                <w:sz w:val="10"/>
                <w:szCs w:val="10"/>
                <w:b w:val="1"/>
                <w:bCs w:val="1"/>
                <w:color w:val="131E29"/>
              </w:rPr>
              <w:t>Dec 31,</w:t>
            </w:r>
          </w:p>
        </w:tc>
        <w:tc>
          <w:tcPr>
            <w:tcW w:w="160" w:type="dxa"/>
            <w:vAlign w:val="bottom"/>
          </w:tcPr>
          <w:p>
            <w:pPr>
              <w:spacing w:after="0"/>
              <w:rPr>
                <w:sz w:val="10"/>
                <w:szCs w:val="10"/>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131E29"/>
              </w:rPr>
              <w:t>Mar 31,</w:t>
            </w:r>
          </w:p>
        </w:tc>
        <w:tc>
          <w:tcPr>
            <w:tcW w:w="1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0"/>
                <w:szCs w:val="10"/>
                <w:b w:val="1"/>
                <w:bCs w:val="1"/>
                <w:color w:val="131E29"/>
              </w:rPr>
              <w:t>Jun 30,</w:t>
            </w:r>
          </w:p>
        </w:tc>
        <w:tc>
          <w:tcPr>
            <w:tcW w:w="200" w:type="dxa"/>
            <w:vAlign w:val="bottom"/>
          </w:tcPr>
          <w:p>
            <w:pPr>
              <w:spacing w:after="0"/>
              <w:rPr>
                <w:sz w:val="10"/>
                <w:szCs w:val="10"/>
                <w:color w:val="auto"/>
              </w:rPr>
            </w:pPr>
          </w:p>
        </w:tc>
        <w:tc>
          <w:tcPr>
            <w:tcW w:w="920" w:type="dxa"/>
            <w:vAlign w:val="bottom"/>
            <w:gridSpan w:val="2"/>
          </w:tcPr>
          <w:p>
            <w:pPr>
              <w:ind w:left="140"/>
              <w:spacing w:after="0"/>
              <w:rPr>
                <w:sz w:val="20"/>
                <w:szCs w:val="20"/>
                <w:color w:val="auto"/>
              </w:rPr>
            </w:pPr>
            <w:r>
              <w:rPr>
                <w:rFonts w:ascii="Arial" w:cs="Arial" w:eastAsia="Arial" w:hAnsi="Arial"/>
                <w:sz w:val="10"/>
                <w:szCs w:val="10"/>
                <w:b w:val="1"/>
                <w:bCs w:val="1"/>
                <w:color w:val="131E29"/>
              </w:rPr>
              <w:t>Sep 30,</w:t>
            </w:r>
          </w:p>
        </w:tc>
        <w:tc>
          <w:tcPr>
            <w:tcW w:w="200" w:type="dxa"/>
            <w:vAlign w:val="bottom"/>
          </w:tcPr>
          <w:p>
            <w:pPr>
              <w:spacing w:after="0"/>
              <w:rPr>
                <w:sz w:val="10"/>
                <w:szCs w:val="10"/>
                <w:color w:val="auto"/>
              </w:rPr>
            </w:pPr>
          </w:p>
        </w:tc>
        <w:tc>
          <w:tcPr>
            <w:tcW w:w="840" w:type="dxa"/>
            <w:vAlign w:val="bottom"/>
          </w:tcPr>
          <w:p>
            <w:pPr>
              <w:jc w:val="right"/>
              <w:ind w:right="291"/>
              <w:spacing w:after="0"/>
              <w:rPr>
                <w:sz w:val="20"/>
                <w:szCs w:val="20"/>
                <w:color w:val="auto"/>
              </w:rPr>
            </w:pPr>
            <w:r>
              <w:rPr>
                <w:rFonts w:ascii="Arial" w:cs="Arial" w:eastAsia="Arial" w:hAnsi="Arial"/>
                <w:sz w:val="10"/>
                <w:szCs w:val="10"/>
                <w:b w:val="1"/>
                <w:bCs w:val="1"/>
                <w:color w:val="131E29"/>
              </w:rPr>
              <w:t>Dec 31,</w:t>
            </w:r>
          </w:p>
        </w:tc>
      </w:tr>
      <w:tr>
        <w:trPr>
          <w:trHeight w:val="144"/>
        </w:trPr>
        <w:tc>
          <w:tcPr>
            <w:tcW w:w="420" w:type="dxa"/>
            <w:vAlign w:val="bottom"/>
            <w:tcBorders>
              <w:bottom w:val="single" w:sz="8" w:color="D2DCE5"/>
            </w:tcBorders>
          </w:tcPr>
          <w:p>
            <w:pPr>
              <w:spacing w:after="0"/>
              <w:rPr>
                <w:sz w:val="12"/>
                <w:szCs w:val="12"/>
                <w:color w:val="auto"/>
              </w:rPr>
            </w:pPr>
          </w:p>
        </w:tc>
        <w:tc>
          <w:tcPr>
            <w:tcW w:w="2560" w:type="dxa"/>
            <w:vAlign w:val="bottom"/>
            <w:tcBorders>
              <w:bottom w:val="single" w:sz="8" w:color="D2DCE5"/>
            </w:tcBorders>
          </w:tcPr>
          <w:p>
            <w:pPr>
              <w:spacing w:after="0"/>
              <w:rPr>
                <w:sz w:val="12"/>
                <w:szCs w:val="12"/>
                <w:color w:val="auto"/>
              </w:rPr>
            </w:pPr>
          </w:p>
        </w:tc>
        <w:tc>
          <w:tcPr>
            <w:tcW w:w="200" w:type="dxa"/>
            <w:vAlign w:val="bottom"/>
            <w:tcBorders>
              <w:bottom w:val="single" w:sz="8" w:color="131E29"/>
            </w:tcBorders>
          </w:tcPr>
          <w:p>
            <w:pPr>
              <w:spacing w:after="0"/>
              <w:rPr>
                <w:sz w:val="12"/>
                <w:szCs w:val="12"/>
                <w:color w:val="auto"/>
              </w:rPr>
            </w:pPr>
          </w:p>
        </w:tc>
        <w:tc>
          <w:tcPr>
            <w:tcW w:w="820" w:type="dxa"/>
            <w:vAlign w:val="bottom"/>
            <w:tcBorders>
              <w:bottom w:val="single" w:sz="8" w:color="131E29"/>
            </w:tcBorders>
          </w:tcPr>
          <w:p>
            <w:pPr>
              <w:jc w:val="right"/>
              <w:ind w:right="351"/>
              <w:spacing w:after="0"/>
              <w:rPr>
                <w:sz w:val="20"/>
                <w:szCs w:val="20"/>
                <w:color w:val="auto"/>
              </w:rPr>
            </w:pPr>
            <w:r>
              <w:rPr>
                <w:rFonts w:ascii="Arial" w:cs="Arial" w:eastAsia="Arial" w:hAnsi="Arial"/>
                <w:sz w:val="10"/>
                <w:szCs w:val="10"/>
                <w:b w:val="1"/>
                <w:bCs w:val="1"/>
                <w:color w:val="131E29"/>
              </w:rPr>
              <w:t>2021</w:t>
            </w:r>
          </w:p>
        </w:tc>
        <w:tc>
          <w:tcPr>
            <w:tcW w:w="80" w:type="dxa"/>
            <w:vAlign w:val="bottom"/>
            <w:tcBorders>
              <w:bottom w:val="single" w:sz="8" w:color="D2DCE5"/>
            </w:tcBorders>
          </w:tcPr>
          <w:p>
            <w:pPr>
              <w:spacing w:after="0"/>
              <w:rPr>
                <w:sz w:val="12"/>
                <w:szCs w:val="12"/>
                <w:color w:val="auto"/>
              </w:rPr>
            </w:pPr>
          </w:p>
        </w:tc>
        <w:tc>
          <w:tcPr>
            <w:tcW w:w="200" w:type="dxa"/>
            <w:vAlign w:val="bottom"/>
            <w:tcBorders>
              <w:bottom w:val="single" w:sz="8" w:color="131E29"/>
            </w:tcBorders>
          </w:tcPr>
          <w:p>
            <w:pPr>
              <w:spacing w:after="0"/>
              <w:rPr>
                <w:sz w:val="12"/>
                <w:szCs w:val="12"/>
                <w:color w:val="auto"/>
              </w:rPr>
            </w:pPr>
          </w:p>
        </w:tc>
        <w:tc>
          <w:tcPr>
            <w:tcW w:w="820" w:type="dxa"/>
            <w:vAlign w:val="bottom"/>
            <w:tcBorders>
              <w:bottom w:val="single" w:sz="8" w:color="131E29"/>
            </w:tcBorders>
          </w:tcPr>
          <w:p>
            <w:pPr>
              <w:jc w:val="right"/>
              <w:ind w:right="351"/>
              <w:spacing w:after="0"/>
              <w:rPr>
                <w:sz w:val="20"/>
                <w:szCs w:val="20"/>
                <w:color w:val="auto"/>
              </w:rPr>
            </w:pPr>
            <w:r>
              <w:rPr>
                <w:rFonts w:ascii="Arial" w:cs="Arial" w:eastAsia="Arial" w:hAnsi="Arial"/>
                <w:sz w:val="10"/>
                <w:szCs w:val="10"/>
                <w:b w:val="1"/>
                <w:bCs w:val="1"/>
                <w:color w:val="131E29"/>
              </w:rPr>
              <w:t>2021</w:t>
            </w:r>
          </w:p>
        </w:tc>
        <w:tc>
          <w:tcPr>
            <w:tcW w:w="80" w:type="dxa"/>
            <w:vAlign w:val="bottom"/>
            <w:tcBorders>
              <w:bottom w:val="single" w:sz="8" w:color="D2DCE5"/>
            </w:tcBorders>
          </w:tcPr>
          <w:p>
            <w:pPr>
              <w:spacing w:after="0"/>
              <w:rPr>
                <w:sz w:val="12"/>
                <w:szCs w:val="12"/>
                <w:color w:val="auto"/>
              </w:rPr>
            </w:pPr>
          </w:p>
        </w:tc>
        <w:tc>
          <w:tcPr>
            <w:tcW w:w="700" w:type="dxa"/>
            <w:vAlign w:val="bottom"/>
            <w:tcBorders>
              <w:bottom w:val="single" w:sz="8" w:color="131E29"/>
            </w:tcBorders>
          </w:tcPr>
          <w:p>
            <w:pPr>
              <w:jc w:val="right"/>
              <w:ind w:right="31"/>
              <w:spacing w:after="0"/>
              <w:rPr>
                <w:sz w:val="20"/>
                <w:szCs w:val="20"/>
                <w:color w:val="auto"/>
              </w:rPr>
            </w:pPr>
            <w:r>
              <w:rPr>
                <w:rFonts w:ascii="Arial" w:cs="Arial" w:eastAsia="Arial" w:hAnsi="Arial"/>
                <w:sz w:val="10"/>
                <w:szCs w:val="10"/>
                <w:b w:val="1"/>
                <w:bCs w:val="1"/>
                <w:color w:val="131E29"/>
              </w:rPr>
              <w:t>2022</w:t>
            </w:r>
          </w:p>
        </w:tc>
        <w:tc>
          <w:tcPr>
            <w:tcW w:w="320" w:type="dxa"/>
            <w:vAlign w:val="bottom"/>
            <w:tcBorders>
              <w:bottom w:val="single" w:sz="8" w:color="131E29"/>
            </w:tcBorders>
          </w:tcPr>
          <w:p>
            <w:pPr>
              <w:spacing w:after="0"/>
              <w:rPr>
                <w:sz w:val="12"/>
                <w:szCs w:val="12"/>
                <w:color w:val="auto"/>
              </w:rPr>
            </w:pPr>
          </w:p>
        </w:tc>
        <w:tc>
          <w:tcPr>
            <w:tcW w:w="80" w:type="dxa"/>
            <w:vAlign w:val="bottom"/>
            <w:tcBorders>
              <w:bottom w:val="single" w:sz="8" w:color="D2DCE5"/>
            </w:tcBorders>
          </w:tcPr>
          <w:p>
            <w:pPr>
              <w:spacing w:after="0"/>
              <w:rPr>
                <w:sz w:val="12"/>
                <w:szCs w:val="12"/>
                <w:color w:val="auto"/>
              </w:rPr>
            </w:pPr>
          </w:p>
        </w:tc>
        <w:tc>
          <w:tcPr>
            <w:tcW w:w="200" w:type="dxa"/>
            <w:vAlign w:val="bottom"/>
            <w:tcBorders>
              <w:bottom w:val="single" w:sz="8" w:color="131E29"/>
            </w:tcBorders>
          </w:tcPr>
          <w:p>
            <w:pPr>
              <w:spacing w:after="0"/>
              <w:rPr>
                <w:sz w:val="12"/>
                <w:szCs w:val="12"/>
                <w:color w:val="auto"/>
              </w:rPr>
            </w:pPr>
          </w:p>
        </w:tc>
        <w:tc>
          <w:tcPr>
            <w:tcW w:w="820" w:type="dxa"/>
            <w:vAlign w:val="bottom"/>
            <w:tcBorders>
              <w:bottom w:val="single" w:sz="8" w:color="131E29"/>
            </w:tcBorders>
          </w:tcPr>
          <w:p>
            <w:pPr>
              <w:jc w:val="right"/>
              <w:ind w:right="351"/>
              <w:spacing w:after="0"/>
              <w:rPr>
                <w:sz w:val="20"/>
                <w:szCs w:val="20"/>
                <w:color w:val="auto"/>
              </w:rPr>
            </w:pPr>
            <w:r>
              <w:rPr>
                <w:rFonts w:ascii="Arial" w:cs="Arial" w:eastAsia="Arial" w:hAnsi="Arial"/>
                <w:sz w:val="10"/>
                <w:szCs w:val="10"/>
                <w:b w:val="1"/>
                <w:bCs w:val="1"/>
                <w:color w:val="131E29"/>
              </w:rPr>
              <w:t>2023</w:t>
            </w:r>
          </w:p>
        </w:tc>
        <w:tc>
          <w:tcPr>
            <w:tcW w:w="80" w:type="dxa"/>
            <w:vAlign w:val="bottom"/>
            <w:tcBorders>
              <w:bottom w:val="single" w:sz="8" w:color="D2DCE5"/>
            </w:tcBorders>
          </w:tcPr>
          <w:p>
            <w:pPr>
              <w:spacing w:after="0"/>
              <w:rPr>
                <w:sz w:val="12"/>
                <w:szCs w:val="12"/>
                <w:color w:val="auto"/>
              </w:rPr>
            </w:pPr>
          </w:p>
        </w:tc>
        <w:tc>
          <w:tcPr>
            <w:tcW w:w="160" w:type="dxa"/>
            <w:vAlign w:val="bottom"/>
            <w:tcBorders>
              <w:bottom w:val="single" w:sz="8" w:color="131E29"/>
            </w:tcBorders>
          </w:tcPr>
          <w:p>
            <w:pPr>
              <w:spacing w:after="0"/>
              <w:rPr>
                <w:sz w:val="12"/>
                <w:szCs w:val="12"/>
                <w:color w:val="auto"/>
              </w:rPr>
            </w:pPr>
          </w:p>
        </w:tc>
        <w:tc>
          <w:tcPr>
            <w:tcW w:w="660" w:type="dxa"/>
            <w:vAlign w:val="bottom"/>
            <w:tcBorders>
              <w:bottom w:val="single" w:sz="8" w:color="131E29"/>
            </w:tcBorders>
          </w:tcPr>
          <w:p>
            <w:pPr>
              <w:jc w:val="right"/>
              <w:ind w:right="251"/>
              <w:spacing w:after="0"/>
              <w:rPr>
                <w:sz w:val="20"/>
                <w:szCs w:val="20"/>
                <w:color w:val="auto"/>
              </w:rPr>
            </w:pPr>
            <w:r>
              <w:rPr>
                <w:rFonts w:ascii="Arial" w:cs="Arial" w:eastAsia="Arial" w:hAnsi="Arial"/>
                <w:sz w:val="10"/>
                <w:szCs w:val="10"/>
                <w:b w:val="1"/>
                <w:bCs w:val="1"/>
                <w:color w:val="131E29"/>
              </w:rPr>
              <w:t>2024</w:t>
            </w:r>
          </w:p>
        </w:tc>
        <w:tc>
          <w:tcPr>
            <w:tcW w:w="80" w:type="dxa"/>
            <w:vAlign w:val="bottom"/>
            <w:tcBorders>
              <w:bottom w:val="single" w:sz="8" w:color="D2DCE5"/>
            </w:tcBorders>
          </w:tcPr>
          <w:p>
            <w:pPr>
              <w:spacing w:after="0"/>
              <w:rPr>
                <w:sz w:val="12"/>
                <w:szCs w:val="12"/>
                <w:color w:val="auto"/>
              </w:rPr>
            </w:pPr>
          </w:p>
        </w:tc>
        <w:tc>
          <w:tcPr>
            <w:tcW w:w="140" w:type="dxa"/>
            <w:vAlign w:val="bottom"/>
            <w:tcBorders>
              <w:bottom w:val="single" w:sz="8" w:color="131E29"/>
            </w:tcBorders>
          </w:tcPr>
          <w:p>
            <w:pPr>
              <w:spacing w:after="0"/>
              <w:rPr>
                <w:sz w:val="12"/>
                <w:szCs w:val="12"/>
                <w:color w:val="auto"/>
              </w:rPr>
            </w:pPr>
          </w:p>
        </w:tc>
        <w:tc>
          <w:tcPr>
            <w:tcW w:w="620" w:type="dxa"/>
            <w:vAlign w:val="bottom"/>
            <w:tcBorders>
              <w:bottom w:val="single" w:sz="8" w:color="131E29"/>
            </w:tcBorders>
          </w:tcPr>
          <w:p>
            <w:pPr>
              <w:jc w:val="right"/>
              <w:ind w:right="231"/>
              <w:spacing w:after="0"/>
              <w:rPr>
                <w:sz w:val="20"/>
                <w:szCs w:val="20"/>
                <w:color w:val="auto"/>
              </w:rPr>
            </w:pPr>
            <w:r>
              <w:rPr>
                <w:rFonts w:ascii="Arial" w:cs="Arial" w:eastAsia="Arial" w:hAnsi="Arial"/>
                <w:sz w:val="10"/>
                <w:szCs w:val="10"/>
                <w:b w:val="1"/>
                <w:bCs w:val="1"/>
                <w:color w:val="131E29"/>
              </w:rPr>
              <w:t>2024</w:t>
            </w:r>
          </w:p>
        </w:tc>
        <w:tc>
          <w:tcPr>
            <w:tcW w:w="80" w:type="dxa"/>
            <w:vAlign w:val="bottom"/>
            <w:tcBorders>
              <w:bottom w:val="single" w:sz="8" w:color="D2DCE5"/>
            </w:tcBorders>
          </w:tcPr>
          <w:p>
            <w:pPr>
              <w:spacing w:after="0"/>
              <w:rPr>
                <w:sz w:val="12"/>
                <w:szCs w:val="12"/>
                <w:color w:val="auto"/>
              </w:rPr>
            </w:pPr>
          </w:p>
        </w:tc>
        <w:tc>
          <w:tcPr>
            <w:tcW w:w="200" w:type="dxa"/>
            <w:vAlign w:val="bottom"/>
            <w:tcBorders>
              <w:bottom w:val="single" w:sz="8" w:color="131E29"/>
            </w:tcBorders>
          </w:tcPr>
          <w:p>
            <w:pPr>
              <w:spacing w:after="0"/>
              <w:rPr>
                <w:sz w:val="12"/>
                <w:szCs w:val="12"/>
                <w:color w:val="auto"/>
              </w:rPr>
            </w:pPr>
          </w:p>
        </w:tc>
        <w:tc>
          <w:tcPr>
            <w:tcW w:w="820" w:type="dxa"/>
            <w:vAlign w:val="bottom"/>
            <w:tcBorders>
              <w:bottom w:val="single" w:sz="8" w:color="131E29"/>
            </w:tcBorders>
          </w:tcPr>
          <w:p>
            <w:pPr>
              <w:jc w:val="right"/>
              <w:ind w:right="351"/>
              <w:spacing w:after="0"/>
              <w:rPr>
                <w:sz w:val="20"/>
                <w:szCs w:val="20"/>
                <w:color w:val="auto"/>
              </w:rPr>
            </w:pPr>
            <w:r>
              <w:rPr>
                <w:rFonts w:ascii="Arial" w:cs="Arial" w:eastAsia="Arial" w:hAnsi="Arial"/>
                <w:sz w:val="10"/>
                <w:szCs w:val="10"/>
                <w:b w:val="1"/>
                <w:bCs w:val="1"/>
                <w:color w:val="131E29"/>
              </w:rPr>
              <w:t>2024</w:t>
            </w:r>
          </w:p>
        </w:tc>
        <w:tc>
          <w:tcPr>
            <w:tcW w:w="100" w:type="dxa"/>
            <w:vAlign w:val="bottom"/>
            <w:tcBorders>
              <w:bottom w:val="single" w:sz="8" w:color="D2DCE5"/>
            </w:tcBorders>
          </w:tcPr>
          <w:p>
            <w:pPr>
              <w:spacing w:after="0"/>
              <w:rPr>
                <w:sz w:val="12"/>
                <w:szCs w:val="12"/>
                <w:color w:val="auto"/>
              </w:rPr>
            </w:pPr>
          </w:p>
        </w:tc>
        <w:tc>
          <w:tcPr>
            <w:tcW w:w="200" w:type="dxa"/>
            <w:vAlign w:val="bottom"/>
            <w:tcBorders>
              <w:bottom w:val="single" w:sz="8" w:color="131E29"/>
            </w:tcBorders>
          </w:tcPr>
          <w:p>
            <w:pPr>
              <w:spacing w:after="0"/>
              <w:rPr>
                <w:sz w:val="12"/>
                <w:szCs w:val="12"/>
                <w:color w:val="auto"/>
              </w:rPr>
            </w:pPr>
          </w:p>
        </w:tc>
        <w:tc>
          <w:tcPr>
            <w:tcW w:w="840" w:type="dxa"/>
            <w:vAlign w:val="bottom"/>
            <w:tcBorders>
              <w:bottom w:val="single" w:sz="8" w:color="131E29"/>
            </w:tcBorders>
          </w:tcPr>
          <w:p>
            <w:pPr>
              <w:jc w:val="right"/>
              <w:ind w:right="371"/>
              <w:spacing w:after="0"/>
              <w:rPr>
                <w:sz w:val="20"/>
                <w:szCs w:val="20"/>
                <w:color w:val="auto"/>
              </w:rPr>
            </w:pPr>
            <w:r>
              <w:rPr>
                <w:rFonts w:ascii="Arial" w:cs="Arial" w:eastAsia="Arial" w:hAnsi="Arial"/>
                <w:sz w:val="10"/>
                <w:szCs w:val="10"/>
                <w:b w:val="1"/>
                <w:bCs w:val="1"/>
                <w:color w:val="131E29"/>
              </w:rPr>
              <w:t>2024</w:t>
            </w:r>
          </w:p>
        </w:tc>
      </w:tr>
      <w:tr>
        <w:trPr>
          <w:trHeight w:val="138"/>
        </w:trPr>
        <w:tc>
          <w:tcPr>
            <w:tcW w:w="29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0"/>
                <w:szCs w:val="10"/>
                <w:color w:val="131E29"/>
              </w:rPr>
              <w:t>Dutch Bros Inc.</w:t>
            </w:r>
          </w:p>
        </w:tc>
        <w:tc>
          <w:tcPr>
            <w:tcW w:w="200" w:type="dxa"/>
            <w:vAlign w:val="bottom"/>
            <w:tcBorders>
              <w:bottom w:val="single" w:sz="8" w:color="D2DCE5"/>
            </w:tcBorders>
            <w:shd w:val="clear" w:color="auto" w:fill="D2DCE5"/>
          </w:tcPr>
          <w:p>
            <w:pPr>
              <w:jc w:val="right"/>
              <w:ind w:right="91"/>
              <w:spacing w:after="0"/>
              <w:rPr>
                <w:sz w:val="20"/>
                <w:szCs w:val="20"/>
                <w:color w:val="auto"/>
              </w:rPr>
            </w:pPr>
            <w:r>
              <w:rPr>
                <w:rFonts w:ascii="Arial" w:cs="Arial" w:eastAsia="Arial" w:hAnsi="Arial"/>
                <w:sz w:val="10"/>
                <w:szCs w:val="10"/>
                <w:color w:val="131E29"/>
                <w:w w:val="71"/>
              </w:rPr>
              <w:t>$</w:t>
            </w:r>
          </w:p>
        </w:tc>
        <w:tc>
          <w:tcPr>
            <w:tcW w:w="820" w:type="dxa"/>
            <w:vAlign w:val="bottom"/>
            <w:tcBorders>
              <w:bottom w:val="single" w:sz="8" w:color="D2DCE5"/>
            </w:tcBorders>
            <w:shd w:val="clear" w:color="auto" w:fill="D2DCE5"/>
          </w:tcPr>
          <w:p>
            <w:pPr>
              <w:jc w:val="right"/>
              <w:ind w:right="11"/>
              <w:spacing w:after="0"/>
              <w:rPr>
                <w:sz w:val="20"/>
                <w:szCs w:val="20"/>
                <w:color w:val="auto"/>
              </w:rPr>
            </w:pPr>
            <w:r>
              <w:rPr>
                <w:rFonts w:ascii="Arial" w:cs="Arial" w:eastAsia="Arial" w:hAnsi="Arial"/>
                <w:sz w:val="10"/>
                <w:szCs w:val="10"/>
                <w:color w:val="131E29"/>
              </w:rPr>
              <w:t>100.00</w:t>
            </w:r>
          </w:p>
        </w:tc>
        <w:tc>
          <w:tcPr>
            <w:tcW w:w="80" w:type="dxa"/>
            <w:vAlign w:val="bottom"/>
            <w:tcBorders>
              <w:bottom w:val="single" w:sz="8" w:color="D2DCE5"/>
            </w:tcBorders>
            <w:shd w:val="clear" w:color="auto" w:fill="D2DCE5"/>
          </w:tcPr>
          <w:p>
            <w:pPr>
              <w:spacing w:after="0"/>
              <w:rPr>
                <w:sz w:val="12"/>
                <w:szCs w:val="12"/>
                <w:color w:val="auto"/>
              </w:rPr>
            </w:pPr>
          </w:p>
        </w:tc>
        <w:tc>
          <w:tcPr>
            <w:tcW w:w="200" w:type="dxa"/>
            <w:vAlign w:val="bottom"/>
            <w:tcBorders>
              <w:bottom w:val="single" w:sz="8" w:color="D2DCE5"/>
            </w:tcBorders>
            <w:shd w:val="clear" w:color="auto" w:fill="D2DCE5"/>
          </w:tcPr>
          <w:p>
            <w:pPr>
              <w:jc w:val="right"/>
              <w:ind w:right="91"/>
              <w:spacing w:after="0"/>
              <w:rPr>
                <w:sz w:val="20"/>
                <w:szCs w:val="20"/>
                <w:color w:val="auto"/>
              </w:rPr>
            </w:pPr>
            <w:r>
              <w:rPr>
                <w:rFonts w:ascii="Arial" w:cs="Arial" w:eastAsia="Arial" w:hAnsi="Arial"/>
                <w:sz w:val="10"/>
                <w:szCs w:val="10"/>
                <w:color w:val="131E29"/>
                <w:w w:val="71"/>
              </w:rPr>
              <w:t>$</w:t>
            </w:r>
          </w:p>
        </w:tc>
        <w:tc>
          <w:tcPr>
            <w:tcW w:w="820" w:type="dxa"/>
            <w:vAlign w:val="bottom"/>
            <w:tcBorders>
              <w:bottom w:val="single" w:sz="8" w:color="D2DCE5"/>
            </w:tcBorders>
            <w:shd w:val="clear" w:color="auto" w:fill="D2DCE5"/>
          </w:tcPr>
          <w:p>
            <w:pPr>
              <w:jc w:val="right"/>
              <w:ind w:right="11"/>
              <w:spacing w:after="0"/>
              <w:rPr>
                <w:sz w:val="20"/>
                <w:szCs w:val="20"/>
                <w:color w:val="auto"/>
              </w:rPr>
            </w:pPr>
            <w:r>
              <w:rPr>
                <w:rFonts w:ascii="Arial" w:cs="Arial" w:eastAsia="Arial" w:hAnsi="Arial"/>
                <w:sz w:val="10"/>
                <w:szCs w:val="10"/>
                <w:color w:val="131E29"/>
              </w:rPr>
              <w:t>138.79</w:t>
            </w:r>
          </w:p>
        </w:tc>
        <w:tc>
          <w:tcPr>
            <w:tcW w:w="80" w:type="dxa"/>
            <w:vAlign w:val="bottom"/>
            <w:tcBorders>
              <w:bottom w:val="single" w:sz="8" w:color="D2DCE5"/>
            </w:tcBorders>
            <w:shd w:val="clear" w:color="auto" w:fill="D2DCE5"/>
          </w:tcPr>
          <w:p>
            <w:pPr>
              <w:spacing w:after="0"/>
              <w:rPr>
                <w:sz w:val="12"/>
                <w:szCs w:val="12"/>
                <w:color w:val="auto"/>
              </w:rPr>
            </w:pPr>
          </w:p>
        </w:tc>
        <w:tc>
          <w:tcPr>
            <w:tcW w:w="700" w:type="dxa"/>
            <w:vAlign w:val="bottom"/>
            <w:tcBorders>
              <w:bottom w:val="single" w:sz="8" w:color="D2DCE5"/>
            </w:tcBorders>
            <w:shd w:val="clear" w:color="auto" w:fill="D2DCE5"/>
          </w:tcPr>
          <w:p>
            <w:pPr>
              <w:jc w:val="right"/>
              <w:ind w:right="571"/>
              <w:spacing w:after="0"/>
              <w:rPr>
                <w:sz w:val="20"/>
                <w:szCs w:val="20"/>
                <w:color w:val="auto"/>
              </w:rPr>
            </w:pPr>
            <w:r>
              <w:rPr>
                <w:rFonts w:ascii="Arial" w:cs="Arial" w:eastAsia="Arial" w:hAnsi="Arial"/>
                <w:sz w:val="10"/>
                <w:szCs w:val="10"/>
                <w:color w:val="131E29"/>
              </w:rPr>
              <w:t>$</w:t>
            </w:r>
          </w:p>
        </w:tc>
        <w:tc>
          <w:tcPr>
            <w:tcW w:w="3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0"/>
                <w:szCs w:val="10"/>
                <w:color w:val="131E29"/>
              </w:rPr>
              <w:t>76.85</w:t>
            </w:r>
          </w:p>
        </w:tc>
        <w:tc>
          <w:tcPr>
            <w:tcW w:w="80" w:type="dxa"/>
            <w:vAlign w:val="bottom"/>
            <w:tcBorders>
              <w:bottom w:val="single" w:sz="8" w:color="D2DCE5"/>
            </w:tcBorders>
            <w:shd w:val="clear" w:color="auto" w:fill="D2DCE5"/>
          </w:tcPr>
          <w:p>
            <w:pPr>
              <w:spacing w:after="0"/>
              <w:rPr>
                <w:sz w:val="12"/>
                <w:szCs w:val="12"/>
                <w:color w:val="auto"/>
              </w:rPr>
            </w:pPr>
          </w:p>
        </w:tc>
        <w:tc>
          <w:tcPr>
            <w:tcW w:w="200" w:type="dxa"/>
            <w:vAlign w:val="bottom"/>
            <w:tcBorders>
              <w:bottom w:val="single" w:sz="8" w:color="D2DCE5"/>
            </w:tcBorders>
            <w:shd w:val="clear" w:color="auto" w:fill="D2DCE5"/>
          </w:tcPr>
          <w:p>
            <w:pPr>
              <w:jc w:val="right"/>
              <w:ind w:right="71"/>
              <w:spacing w:after="0"/>
              <w:rPr>
                <w:sz w:val="20"/>
                <w:szCs w:val="20"/>
                <w:color w:val="auto"/>
              </w:rPr>
            </w:pPr>
            <w:r>
              <w:rPr>
                <w:rFonts w:ascii="Arial" w:cs="Arial" w:eastAsia="Arial" w:hAnsi="Arial"/>
                <w:sz w:val="10"/>
                <w:szCs w:val="10"/>
                <w:color w:val="131E29"/>
              </w:rPr>
              <w:t>$</w:t>
            </w:r>
          </w:p>
        </w:tc>
        <w:tc>
          <w:tcPr>
            <w:tcW w:w="8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0"/>
                <w:szCs w:val="10"/>
                <w:color w:val="131E29"/>
              </w:rPr>
              <w:t>86.34</w:t>
            </w:r>
          </w:p>
        </w:tc>
        <w:tc>
          <w:tcPr>
            <w:tcW w:w="80" w:type="dxa"/>
            <w:vAlign w:val="bottom"/>
            <w:tcBorders>
              <w:bottom w:val="single" w:sz="8" w:color="D2DCE5"/>
            </w:tcBorders>
            <w:shd w:val="clear" w:color="auto" w:fill="D2DCE5"/>
          </w:tcPr>
          <w:p>
            <w:pPr>
              <w:spacing w:after="0"/>
              <w:rPr>
                <w:sz w:val="12"/>
                <w:szCs w:val="12"/>
                <w:color w:val="auto"/>
              </w:rPr>
            </w:pPr>
          </w:p>
        </w:tc>
        <w:tc>
          <w:tcPr>
            <w:tcW w:w="160" w:type="dxa"/>
            <w:vAlign w:val="bottom"/>
            <w:tcBorders>
              <w:bottom w:val="single" w:sz="8" w:color="D2DCE5"/>
            </w:tcBorders>
            <w:shd w:val="clear" w:color="auto" w:fill="D2DCE5"/>
          </w:tcPr>
          <w:p>
            <w:pPr>
              <w:jc w:val="right"/>
              <w:ind w:right="31"/>
              <w:spacing w:after="0"/>
              <w:rPr>
                <w:sz w:val="20"/>
                <w:szCs w:val="20"/>
                <w:color w:val="auto"/>
              </w:rPr>
            </w:pPr>
            <w:r>
              <w:rPr>
                <w:rFonts w:ascii="Arial" w:cs="Arial" w:eastAsia="Arial" w:hAnsi="Arial"/>
                <w:sz w:val="10"/>
                <w:szCs w:val="10"/>
                <w:color w:val="131E29"/>
              </w:rPr>
              <w:t>$</w:t>
            </w:r>
          </w:p>
        </w:tc>
        <w:tc>
          <w:tcPr>
            <w:tcW w:w="660" w:type="dxa"/>
            <w:vAlign w:val="bottom"/>
            <w:tcBorders>
              <w:bottom w:val="single" w:sz="8" w:color="D2DCE5"/>
            </w:tcBorders>
            <w:shd w:val="clear" w:color="auto" w:fill="D2DCE5"/>
          </w:tcPr>
          <w:p>
            <w:pPr>
              <w:jc w:val="right"/>
              <w:ind w:right="11"/>
              <w:spacing w:after="0"/>
              <w:rPr>
                <w:sz w:val="20"/>
                <w:szCs w:val="20"/>
                <w:color w:val="auto"/>
              </w:rPr>
            </w:pPr>
            <w:r>
              <w:rPr>
                <w:rFonts w:ascii="Arial" w:cs="Arial" w:eastAsia="Arial" w:hAnsi="Arial"/>
                <w:sz w:val="10"/>
                <w:szCs w:val="10"/>
                <w:color w:val="131E29"/>
              </w:rPr>
              <w:t>89.97</w:t>
            </w:r>
          </w:p>
        </w:tc>
        <w:tc>
          <w:tcPr>
            <w:tcW w:w="80" w:type="dxa"/>
            <w:vAlign w:val="bottom"/>
            <w:tcBorders>
              <w:bottom w:val="single" w:sz="8" w:color="D2DCE5"/>
            </w:tcBorders>
            <w:shd w:val="clear" w:color="auto" w:fill="D2DCE5"/>
          </w:tcPr>
          <w:p>
            <w:pPr>
              <w:spacing w:after="0"/>
              <w:rPr>
                <w:sz w:val="12"/>
                <w:szCs w:val="12"/>
                <w:color w:val="auto"/>
              </w:rPr>
            </w:pPr>
          </w:p>
        </w:tc>
        <w:tc>
          <w:tcPr>
            <w:tcW w:w="140" w:type="dxa"/>
            <w:vAlign w:val="bottom"/>
            <w:tcBorders>
              <w:bottom w:val="single" w:sz="8" w:color="D2DCE5"/>
            </w:tcBorders>
            <w:shd w:val="clear" w:color="auto" w:fill="D2DCE5"/>
          </w:tcPr>
          <w:p>
            <w:pPr>
              <w:jc w:val="right"/>
              <w:ind w:right="31"/>
              <w:spacing w:after="0"/>
              <w:rPr>
                <w:sz w:val="20"/>
                <w:szCs w:val="20"/>
                <w:color w:val="auto"/>
              </w:rPr>
            </w:pPr>
            <w:r>
              <w:rPr>
                <w:rFonts w:ascii="Arial" w:cs="Arial" w:eastAsia="Arial" w:hAnsi="Arial"/>
                <w:sz w:val="10"/>
                <w:szCs w:val="10"/>
                <w:color w:val="131E29"/>
                <w:w w:val="71"/>
              </w:rPr>
              <w:t>$</w:t>
            </w:r>
          </w:p>
        </w:tc>
        <w:tc>
          <w:tcPr>
            <w:tcW w:w="620" w:type="dxa"/>
            <w:vAlign w:val="bottom"/>
            <w:tcBorders>
              <w:bottom w:val="single" w:sz="8" w:color="D2DCE5"/>
            </w:tcBorders>
            <w:shd w:val="clear" w:color="auto" w:fill="D2DCE5"/>
          </w:tcPr>
          <w:p>
            <w:pPr>
              <w:jc w:val="right"/>
              <w:ind w:right="11"/>
              <w:spacing w:after="0"/>
              <w:rPr>
                <w:sz w:val="20"/>
                <w:szCs w:val="20"/>
                <w:color w:val="auto"/>
              </w:rPr>
            </w:pPr>
            <w:r>
              <w:rPr>
                <w:rFonts w:ascii="Arial" w:cs="Arial" w:eastAsia="Arial" w:hAnsi="Arial"/>
                <w:sz w:val="10"/>
                <w:szCs w:val="10"/>
                <w:color w:val="131E29"/>
              </w:rPr>
              <w:t>112.87</w:t>
            </w:r>
          </w:p>
        </w:tc>
        <w:tc>
          <w:tcPr>
            <w:tcW w:w="80" w:type="dxa"/>
            <w:vAlign w:val="bottom"/>
            <w:tcBorders>
              <w:bottom w:val="single" w:sz="8" w:color="D2DCE5"/>
            </w:tcBorders>
            <w:shd w:val="clear" w:color="auto" w:fill="D2DCE5"/>
          </w:tcPr>
          <w:p>
            <w:pPr>
              <w:spacing w:after="0"/>
              <w:rPr>
                <w:sz w:val="12"/>
                <w:szCs w:val="12"/>
                <w:color w:val="auto"/>
              </w:rPr>
            </w:pPr>
          </w:p>
        </w:tc>
        <w:tc>
          <w:tcPr>
            <w:tcW w:w="200" w:type="dxa"/>
            <w:vAlign w:val="bottom"/>
            <w:tcBorders>
              <w:bottom w:val="single" w:sz="8" w:color="D2DCE5"/>
            </w:tcBorders>
            <w:shd w:val="clear" w:color="auto" w:fill="D2DCE5"/>
          </w:tcPr>
          <w:p>
            <w:pPr>
              <w:jc w:val="right"/>
              <w:ind w:right="91"/>
              <w:spacing w:after="0"/>
              <w:rPr>
                <w:sz w:val="20"/>
                <w:szCs w:val="20"/>
                <w:color w:val="auto"/>
              </w:rPr>
            </w:pPr>
            <w:r>
              <w:rPr>
                <w:rFonts w:ascii="Arial" w:cs="Arial" w:eastAsia="Arial" w:hAnsi="Arial"/>
                <w:sz w:val="10"/>
                <w:szCs w:val="10"/>
                <w:color w:val="131E29"/>
                <w:w w:val="71"/>
              </w:rPr>
              <w:t>$</w:t>
            </w:r>
          </w:p>
        </w:tc>
        <w:tc>
          <w:tcPr>
            <w:tcW w:w="82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0"/>
                <w:szCs w:val="10"/>
                <w:color w:val="131E29"/>
              </w:rPr>
              <w:t>87.32</w:t>
            </w:r>
          </w:p>
        </w:tc>
        <w:tc>
          <w:tcPr>
            <w:tcW w:w="100" w:type="dxa"/>
            <w:vAlign w:val="bottom"/>
            <w:tcBorders>
              <w:bottom w:val="single" w:sz="8" w:color="D2DCE5"/>
            </w:tcBorders>
            <w:shd w:val="clear" w:color="auto" w:fill="D2DCE5"/>
          </w:tcPr>
          <w:p>
            <w:pPr>
              <w:spacing w:after="0"/>
              <w:rPr>
                <w:sz w:val="12"/>
                <w:szCs w:val="12"/>
                <w:color w:val="auto"/>
              </w:rPr>
            </w:pPr>
          </w:p>
        </w:tc>
        <w:tc>
          <w:tcPr>
            <w:tcW w:w="200" w:type="dxa"/>
            <w:vAlign w:val="bottom"/>
            <w:tcBorders>
              <w:bottom w:val="single" w:sz="8" w:color="D2DCE5"/>
            </w:tcBorders>
            <w:shd w:val="clear" w:color="auto" w:fill="D2DCE5"/>
          </w:tcPr>
          <w:p>
            <w:pPr>
              <w:jc w:val="right"/>
              <w:ind w:right="91"/>
              <w:spacing w:after="0"/>
              <w:rPr>
                <w:sz w:val="20"/>
                <w:szCs w:val="20"/>
                <w:color w:val="auto"/>
              </w:rPr>
            </w:pPr>
            <w:r>
              <w:rPr>
                <w:rFonts w:ascii="Arial" w:cs="Arial" w:eastAsia="Arial" w:hAnsi="Arial"/>
                <w:sz w:val="10"/>
                <w:szCs w:val="10"/>
                <w:color w:val="131E29"/>
                <w:w w:val="71"/>
              </w:rPr>
              <w:t>$</w:t>
            </w:r>
          </w:p>
        </w:tc>
        <w:tc>
          <w:tcPr>
            <w:tcW w:w="840" w:type="dxa"/>
            <w:vAlign w:val="bottom"/>
            <w:tcBorders>
              <w:bottom w:val="single" w:sz="8" w:color="D2DCE5"/>
            </w:tcBorders>
            <w:shd w:val="clear" w:color="auto" w:fill="D2DCE5"/>
          </w:tcPr>
          <w:p>
            <w:pPr>
              <w:jc w:val="right"/>
              <w:spacing w:after="0"/>
              <w:rPr>
                <w:sz w:val="20"/>
                <w:szCs w:val="20"/>
                <w:color w:val="auto"/>
              </w:rPr>
            </w:pPr>
            <w:r>
              <w:rPr>
                <w:rFonts w:ascii="Arial" w:cs="Arial" w:eastAsia="Arial" w:hAnsi="Arial"/>
                <w:sz w:val="10"/>
                <w:szCs w:val="10"/>
                <w:color w:val="131E29"/>
              </w:rPr>
              <w:t>142.80</w:t>
            </w:r>
          </w:p>
        </w:tc>
      </w:tr>
      <w:tr>
        <w:trPr>
          <w:trHeight w:val="138"/>
        </w:trPr>
        <w:tc>
          <w:tcPr>
            <w:tcW w:w="420" w:type="dxa"/>
            <w:vAlign w:val="bottom"/>
          </w:tcPr>
          <w:p>
            <w:pPr>
              <w:ind w:left="20"/>
              <w:spacing w:after="0"/>
              <w:rPr>
                <w:sz w:val="20"/>
                <w:szCs w:val="20"/>
                <w:color w:val="auto"/>
              </w:rPr>
            </w:pPr>
            <w:r>
              <w:rPr>
                <w:rFonts w:ascii="Arial" w:cs="Arial" w:eastAsia="Arial" w:hAnsi="Arial"/>
                <w:sz w:val="10"/>
                <w:szCs w:val="10"/>
                <w:color w:val="131E29"/>
                <w:w w:val="96"/>
              </w:rPr>
              <w:t>S&amp;P 500</w:t>
            </w:r>
          </w:p>
        </w:tc>
        <w:tc>
          <w:tcPr>
            <w:tcW w:w="2560" w:type="dxa"/>
            <w:vAlign w:val="bottom"/>
          </w:tcPr>
          <w:p>
            <w:pPr>
              <w:ind w:left="20"/>
              <w:spacing w:after="0"/>
              <w:rPr>
                <w:sz w:val="20"/>
                <w:szCs w:val="20"/>
                <w:color w:val="auto"/>
              </w:rPr>
            </w:pPr>
            <w:r>
              <w:rPr>
                <w:rFonts w:ascii="Arial" w:cs="Arial" w:eastAsia="Arial" w:hAnsi="Arial"/>
                <w:sz w:val="10"/>
                <w:szCs w:val="10"/>
                <w:color w:val="131E29"/>
              </w:rPr>
              <w:t>Index</w:t>
            </w:r>
          </w:p>
        </w:tc>
        <w:tc>
          <w:tcPr>
            <w:tcW w:w="200" w:type="dxa"/>
            <w:vAlign w:val="bottom"/>
          </w:tcPr>
          <w:p>
            <w:pPr>
              <w:jc w:val="right"/>
              <w:ind w:right="91"/>
              <w:spacing w:after="0"/>
              <w:rPr>
                <w:sz w:val="20"/>
                <w:szCs w:val="20"/>
                <w:color w:val="auto"/>
              </w:rPr>
            </w:pPr>
            <w:r>
              <w:rPr>
                <w:rFonts w:ascii="Arial" w:cs="Arial" w:eastAsia="Arial" w:hAnsi="Arial"/>
                <w:sz w:val="10"/>
                <w:szCs w:val="10"/>
                <w:color w:val="131E29"/>
                <w:w w:val="71"/>
              </w:rPr>
              <w:t>$</w:t>
            </w:r>
          </w:p>
        </w:tc>
        <w:tc>
          <w:tcPr>
            <w:tcW w:w="820" w:type="dxa"/>
            <w:vAlign w:val="bottom"/>
          </w:tcPr>
          <w:p>
            <w:pPr>
              <w:jc w:val="right"/>
              <w:ind w:right="11"/>
              <w:spacing w:after="0"/>
              <w:rPr>
                <w:sz w:val="20"/>
                <w:szCs w:val="20"/>
                <w:color w:val="auto"/>
              </w:rPr>
            </w:pPr>
            <w:r>
              <w:rPr>
                <w:rFonts w:ascii="Arial" w:cs="Arial" w:eastAsia="Arial" w:hAnsi="Arial"/>
                <w:sz w:val="10"/>
                <w:szCs w:val="10"/>
                <w:color w:val="131E29"/>
              </w:rPr>
              <w:t>100.00</w:t>
            </w:r>
          </w:p>
        </w:tc>
        <w:tc>
          <w:tcPr>
            <w:tcW w:w="8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131E29"/>
                <w:w w:val="71"/>
              </w:rPr>
              <w:t>$</w:t>
            </w:r>
          </w:p>
        </w:tc>
        <w:tc>
          <w:tcPr>
            <w:tcW w:w="820" w:type="dxa"/>
            <w:vAlign w:val="bottom"/>
          </w:tcPr>
          <w:p>
            <w:pPr>
              <w:jc w:val="right"/>
              <w:ind w:right="11"/>
              <w:spacing w:after="0"/>
              <w:rPr>
                <w:sz w:val="20"/>
                <w:szCs w:val="20"/>
                <w:color w:val="auto"/>
              </w:rPr>
            </w:pPr>
            <w:r>
              <w:rPr>
                <w:rFonts w:ascii="Arial" w:cs="Arial" w:eastAsia="Arial" w:hAnsi="Arial"/>
                <w:sz w:val="10"/>
                <w:szCs w:val="10"/>
                <w:color w:val="131E29"/>
              </w:rPr>
              <w:t>106.37</w:t>
            </w:r>
          </w:p>
        </w:tc>
        <w:tc>
          <w:tcPr>
            <w:tcW w:w="80" w:type="dxa"/>
            <w:vAlign w:val="bottom"/>
          </w:tcPr>
          <w:p>
            <w:pPr>
              <w:spacing w:after="0"/>
              <w:rPr>
                <w:sz w:val="12"/>
                <w:szCs w:val="12"/>
                <w:color w:val="auto"/>
              </w:rPr>
            </w:pPr>
          </w:p>
        </w:tc>
        <w:tc>
          <w:tcPr>
            <w:tcW w:w="700" w:type="dxa"/>
            <w:vAlign w:val="bottom"/>
          </w:tcPr>
          <w:p>
            <w:pPr>
              <w:jc w:val="right"/>
              <w:ind w:right="571"/>
              <w:spacing w:after="0"/>
              <w:rPr>
                <w:sz w:val="20"/>
                <w:szCs w:val="20"/>
                <w:color w:val="auto"/>
              </w:rPr>
            </w:pPr>
            <w:r>
              <w:rPr>
                <w:rFonts w:ascii="Arial" w:cs="Arial" w:eastAsia="Arial" w:hAnsi="Arial"/>
                <w:sz w:val="10"/>
                <w:szCs w:val="10"/>
                <w:color w:val="131E29"/>
              </w:rPr>
              <w:t>$</w:t>
            </w:r>
          </w:p>
        </w:tc>
        <w:tc>
          <w:tcPr>
            <w:tcW w:w="320" w:type="dxa"/>
            <w:vAlign w:val="bottom"/>
          </w:tcPr>
          <w:p>
            <w:pPr>
              <w:jc w:val="right"/>
              <w:spacing w:after="0"/>
              <w:rPr>
                <w:sz w:val="20"/>
                <w:szCs w:val="20"/>
                <w:color w:val="auto"/>
              </w:rPr>
            </w:pPr>
            <w:r>
              <w:rPr>
                <w:rFonts w:ascii="Arial" w:cs="Arial" w:eastAsia="Arial" w:hAnsi="Arial"/>
                <w:sz w:val="10"/>
                <w:szCs w:val="10"/>
                <w:color w:val="131E29"/>
              </w:rPr>
              <w:t>85.69</w:t>
            </w:r>
          </w:p>
        </w:tc>
        <w:tc>
          <w:tcPr>
            <w:tcW w:w="80" w:type="dxa"/>
            <w:vAlign w:val="bottom"/>
          </w:tcPr>
          <w:p>
            <w:pPr>
              <w:spacing w:after="0"/>
              <w:rPr>
                <w:sz w:val="12"/>
                <w:szCs w:val="12"/>
                <w:color w:val="auto"/>
              </w:rPr>
            </w:pPr>
          </w:p>
        </w:tc>
        <w:tc>
          <w:tcPr>
            <w:tcW w:w="200" w:type="dxa"/>
            <w:vAlign w:val="bottom"/>
          </w:tcPr>
          <w:p>
            <w:pPr>
              <w:jc w:val="right"/>
              <w:ind w:right="71"/>
              <w:spacing w:after="0"/>
              <w:rPr>
                <w:sz w:val="20"/>
                <w:szCs w:val="20"/>
                <w:color w:val="auto"/>
              </w:rPr>
            </w:pPr>
            <w:r>
              <w:rPr>
                <w:rFonts w:ascii="Arial" w:cs="Arial" w:eastAsia="Arial" w:hAnsi="Arial"/>
                <w:sz w:val="10"/>
                <w:szCs w:val="10"/>
                <w:color w:val="131E29"/>
              </w:rPr>
              <w:t>$</w:t>
            </w:r>
          </w:p>
        </w:tc>
        <w:tc>
          <w:tcPr>
            <w:tcW w:w="820" w:type="dxa"/>
            <w:vAlign w:val="bottom"/>
          </w:tcPr>
          <w:p>
            <w:pPr>
              <w:jc w:val="right"/>
              <w:spacing w:after="0"/>
              <w:rPr>
                <w:sz w:val="20"/>
                <w:szCs w:val="20"/>
                <w:color w:val="auto"/>
              </w:rPr>
            </w:pPr>
            <w:r>
              <w:rPr>
                <w:rFonts w:ascii="Arial" w:cs="Arial" w:eastAsia="Arial" w:hAnsi="Arial"/>
                <w:sz w:val="10"/>
                <w:szCs w:val="10"/>
                <w:color w:val="131E29"/>
              </w:rPr>
              <w:t>106.45</w:t>
            </w:r>
          </w:p>
        </w:tc>
        <w:tc>
          <w:tcPr>
            <w:tcW w:w="80" w:type="dxa"/>
            <w:vAlign w:val="bottom"/>
          </w:tcPr>
          <w:p>
            <w:pPr>
              <w:spacing w:after="0"/>
              <w:rPr>
                <w:sz w:val="12"/>
                <w:szCs w:val="12"/>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131E29"/>
              </w:rPr>
              <w:t>$</w:t>
            </w:r>
          </w:p>
        </w:tc>
        <w:tc>
          <w:tcPr>
            <w:tcW w:w="660" w:type="dxa"/>
            <w:vAlign w:val="bottom"/>
          </w:tcPr>
          <w:p>
            <w:pPr>
              <w:jc w:val="right"/>
              <w:ind w:right="11"/>
              <w:spacing w:after="0"/>
              <w:rPr>
                <w:sz w:val="20"/>
                <w:szCs w:val="20"/>
                <w:color w:val="auto"/>
              </w:rPr>
            </w:pPr>
            <w:r>
              <w:rPr>
                <w:rFonts w:ascii="Arial" w:cs="Arial" w:eastAsia="Arial" w:hAnsi="Arial"/>
                <w:sz w:val="10"/>
                <w:szCs w:val="10"/>
                <w:color w:val="131E29"/>
              </w:rPr>
              <w:t>117.27</w:t>
            </w:r>
          </w:p>
        </w:tc>
        <w:tc>
          <w:tcPr>
            <w:tcW w:w="80" w:type="dxa"/>
            <w:vAlign w:val="bottom"/>
          </w:tcPr>
          <w:p>
            <w:pPr>
              <w:spacing w:after="0"/>
              <w:rPr>
                <w:sz w:val="12"/>
                <w:szCs w:val="12"/>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131E29"/>
                <w:w w:val="71"/>
              </w:rPr>
              <w:t>$</w:t>
            </w:r>
          </w:p>
        </w:tc>
        <w:tc>
          <w:tcPr>
            <w:tcW w:w="620" w:type="dxa"/>
            <w:vAlign w:val="bottom"/>
          </w:tcPr>
          <w:p>
            <w:pPr>
              <w:jc w:val="right"/>
              <w:ind w:right="11"/>
              <w:spacing w:after="0"/>
              <w:rPr>
                <w:sz w:val="20"/>
                <w:szCs w:val="20"/>
                <w:color w:val="auto"/>
              </w:rPr>
            </w:pPr>
            <w:r>
              <w:rPr>
                <w:rFonts w:ascii="Arial" w:cs="Arial" w:eastAsia="Arial" w:hAnsi="Arial"/>
                <w:sz w:val="10"/>
                <w:szCs w:val="10"/>
                <w:color w:val="131E29"/>
              </w:rPr>
              <w:t>121.87</w:t>
            </w:r>
          </w:p>
        </w:tc>
        <w:tc>
          <w:tcPr>
            <w:tcW w:w="8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131E29"/>
                <w:w w:val="71"/>
              </w:rPr>
              <w:t>$</w:t>
            </w:r>
          </w:p>
        </w:tc>
        <w:tc>
          <w:tcPr>
            <w:tcW w:w="820" w:type="dxa"/>
            <w:vAlign w:val="bottom"/>
          </w:tcPr>
          <w:p>
            <w:pPr>
              <w:jc w:val="right"/>
              <w:spacing w:after="0"/>
              <w:rPr>
                <w:sz w:val="20"/>
                <w:szCs w:val="20"/>
                <w:color w:val="auto"/>
              </w:rPr>
            </w:pPr>
            <w:r>
              <w:rPr>
                <w:rFonts w:ascii="Arial" w:cs="Arial" w:eastAsia="Arial" w:hAnsi="Arial"/>
                <w:sz w:val="10"/>
                <w:szCs w:val="10"/>
                <w:color w:val="131E29"/>
              </w:rPr>
              <w:t>128.61</w:t>
            </w:r>
          </w:p>
        </w:tc>
        <w:tc>
          <w:tcPr>
            <w:tcW w:w="100" w:type="dxa"/>
            <w:vAlign w:val="bottom"/>
          </w:tcPr>
          <w:p>
            <w:pPr>
              <w:spacing w:after="0"/>
              <w:rPr>
                <w:sz w:val="12"/>
                <w:szCs w:val="12"/>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131E29"/>
                <w:w w:val="71"/>
              </w:rPr>
              <w:t>$</w:t>
            </w:r>
          </w:p>
        </w:tc>
        <w:tc>
          <w:tcPr>
            <w:tcW w:w="840" w:type="dxa"/>
            <w:vAlign w:val="bottom"/>
          </w:tcPr>
          <w:p>
            <w:pPr>
              <w:jc w:val="right"/>
              <w:spacing w:after="0"/>
              <w:rPr>
                <w:sz w:val="20"/>
                <w:szCs w:val="20"/>
                <w:color w:val="auto"/>
              </w:rPr>
            </w:pPr>
            <w:r>
              <w:rPr>
                <w:rFonts w:ascii="Arial" w:cs="Arial" w:eastAsia="Arial" w:hAnsi="Arial"/>
                <w:sz w:val="10"/>
                <w:szCs w:val="10"/>
                <w:color w:val="131E29"/>
              </w:rPr>
              <w:t>131.27</w:t>
            </w:r>
          </w:p>
        </w:tc>
      </w:tr>
      <w:tr>
        <w:trPr>
          <w:trHeight w:val="21"/>
        </w:trPr>
        <w:tc>
          <w:tcPr>
            <w:tcW w:w="4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38"/>
        </w:trPr>
        <w:tc>
          <w:tcPr>
            <w:tcW w:w="420" w:type="dxa"/>
            <w:vAlign w:val="bottom"/>
            <w:shd w:val="clear" w:color="auto" w:fill="D2DCE5"/>
          </w:tcPr>
          <w:p>
            <w:pPr>
              <w:ind w:left="20"/>
              <w:spacing w:after="0"/>
              <w:rPr>
                <w:sz w:val="20"/>
                <w:szCs w:val="20"/>
                <w:color w:val="auto"/>
              </w:rPr>
            </w:pPr>
            <w:r>
              <w:rPr>
                <w:rFonts w:ascii="Arial" w:cs="Arial" w:eastAsia="Arial" w:hAnsi="Arial"/>
                <w:sz w:val="10"/>
                <w:szCs w:val="10"/>
                <w:color w:val="131E29"/>
                <w:w w:val="96"/>
              </w:rPr>
              <w:t>S&amp;P 500</w:t>
            </w:r>
          </w:p>
        </w:tc>
        <w:tc>
          <w:tcPr>
            <w:tcW w:w="2560" w:type="dxa"/>
            <w:vAlign w:val="bottom"/>
            <w:shd w:val="clear" w:color="auto" w:fill="D2DCE5"/>
          </w:tcPr>
          <w:p>
            <w:pPr>
              <w:ind w:left="20"/>
              <w:spacing w:after="0"/>
              <w:rPr>
                <w:sz w:val="20"/>
                <w:szCs w:val="20"/>
                <w:color w:val="auto"/>
              </w:rPr>
            </w:pPr>
            <w:r>
              <w:rPr>
                <w:rFonts w:ascii="Arial" w:cs="Arial" w:eastAsia="Arial" w:hAnsi="Arial"/>
                <w:sz w:val="10"/>
                <w:szCs w:val="10"/>
                <w:color w:val="131E29"/>
              </w:rPr>
              <w:t>Consumer Discretionary Index</w:t>
            </w:r>
          </w:p>
        </w:tc>
        <w:tc>
          <w:tcPr>
            <w:tcW w:w="200" w:type="dxa"/>
            <w:vAlign w:val="bottom"/>
            <w:shd w:val="clear" w:color="auto" w:fill="D2DCE5"/>
          </w:tcPr>
          <w:p>
            <w:pPr>
              <w:jc w:val="right"/>
              <w:ind w:right="91"/>
              <w:spacing w:after="0"/>
              <w:rPr>
                <w:sz w:val="20"/>
                <w:szCs w:val="20"/>
                <w:color w:val="auto"/>
              </w:rPr>
            </w:pPr>
            <w:r>
              <w:rPr>
                <w:rFonts w:ascii="Arial" w:cs="Arial" w:eastAsia="Arial" w:hAnsi="Arial"/>
                <w:sz w:val="10"/>
                <w:szCs w:val="10"/>
                <w:color w:val="131E29"/>
                <w:w w:val="71"/>
              </w:rPr>
              <w:t>$</w:t>
            </w:r>
          </w:p>
        </w:tc>
        <w:tc>
          <w:tcPr>
            <w:tcW w:w="820" w:type="dxa"/>
            <w:vAlign w:val="bottom"/>
            <w:shd w:val="clear" w:color="auto" w:fill="D2DCE5"/>
          </w:tcPr>
          <w:p>
            <w:pPr>
              <w:jc w:val="right"/>
              <w:ind w:right="11"/>
              <w:spacing w:after="0"/>
              <w:rPr>
                <w:sz w:val="20"/>
                <w:szCs w:val="20"/>
                <w:color w:val="auto"/>
              </w:rPr>
            </w:pPr>
            <w:r>
              <w:rPr>
                <w:rFonts w:ascii="Arial" w:cs="Arial" w:eastAsia="Arial" w:hAnsi="Arial"/>
                <w:sz w:val="10"/>
                <w:szCs w:val="10"/>
                <w:color w:val="131E29"/>
              </w:rPr>
              <w:t>100.00</w:t>
            </w:r>
          </w:p>
        </w:tc>
        <w:tc>
          <w:tcPr>
            <w:tcW w:w="80" w:type="dxa"/>
            <w:vAlign w:val="bottom"/>
            <w:shd w:val="clear" w:color="auto" w:fill="D2DCE5"/>
          </w:tcPr>
          <w:p>
            <w:pPr>
              <w:spacing w:after="0"/>
              <w:rPr>
                <w:sz w:val="12"/>
                <w:szCs w:val="12"/>
                <w:color w:val="auto"/>
              </w:rPr>
            </w:pPr>
          </w:p>
        </w:tc>
        <w:tc>
          <w:tcPr>
            <w:tcW w:w="200" w:type="dxa"/>
            <w:vAlign w:val="bottom"/>
            <w:shd w:val="clear" w:color="auto" w:fill="D2DCE5"/>
          </w:tcPr>
          <w:p>
            <w:pPr>
              <w:jc w:val="right"/>
              <w:ind w:right="91"/>
              <w:spacing w:after="0"/>
              <w:rPr>
                <w:sz w:val="20"/>
                <w:szCs w:val="20"/>
                <w:color w:val="auto"/>
              </w:rPr>
            </w:pPr>
            <w:r>
              <w:rPr>
                <w:rFonts w:ascii="Arial" w:cs="Arial" w:eastAsia="Arial" w:hAnsi="Arial"/>
                <w:sz w:val="10"/>
                <w:szCs w:val="10"/>
                <w:color w:val="131E29"/>
                <w:w w:val="71"/>
              </w:rPr>
              <w:t>$</w:t>
            </w:r>
          </w:p>
        </w:tc>
        <w:tc>
          <w:tcPr>
            <w:tcW w:w="820" w:type="dxa"/>
            <w:vAlign w:val="bottom"/>
            <w:shd w:val="clear" w:color="auto" w:fill="D2DCE5"/>
          </w:tcPr>
          <w:p>
            <w:pPr>
              <w:jc w:val="right"/>
              <w:ind w:right="11"/>
              <w:spacing w:after="0"/>
              <w:rPr>
                <w:sz w:val="20"/>
                <w:szCs w:val="20"/>
                <w:color w:val="auto"/>
              </w:rPr>
            </w:pPr>
            <w:r>
              <w:rPr>
                <w:rFonts w:ascii="Arial" w:cs="Arial" w:eastAsia="Arial" w:hAnsi="Arial"/>
                <w:sz w:val="10"/>
                <w:szCs w:val="10"/>
                <w:color w:val="131E29"/>
              </w:rPr>
              <w:t>109.67</w:t>
            </w:r>
          </w:p>
        </w:tc>
        <w:tc>
          <w:tcPr>
            <w:tcW w:w="80" w:type="dxa"/>
            <w:vAlign w:val="bottom"/>
            <w:shd w:val="clear" w:color="auto" w:fill="D2DCE5"/>
          </w:tcPr>
          <w:p>
            <w:pPr>
              <w:spacing w:after="0"/>
              <w:rPr>
                <w:sz w:val="12"/>
                <w:szCs w:val="12"/>
                <w:color w:val="auto"/>
              </w:rPr>
            </w:pPr>
          </w:p>
        </w:tc>
        <w:tc>
          <w:tcPr>
            <w:tcW w:w="700" w:type="dxa"/>
            <w:vAlign w:val="bottom"/>
            <w:shd w:val="clear" w:color="auto" w:fill="D2DCE5"/>
          </w:tcPr>
          <w:p>
            <w:pPr>
              <w:jc w:val="right"/>
              <w:ind w:right="571"/>
              <w:spacing w:after="0"/>
              <w:rPr>
                <w:sz w:val="20"/>
                <w:szCs w:val="20"/>
                <w:color w:val="auto"/>
              </w:rPr>
            </w:pPr>
            <w:r>
              <w:rPr>
                <w:rFonts w:ascii="Arial" w:cs="Arial" w:eastAsia="Arial" w:hAnsi="Arial"/>
                <w:sz w:val="10"/>
                <w:szCs w:val="10"/>
                <w:color w:val="131E29"/>
              </w:rPr>
              <w:t>$</w:t>
            </w:r>
          </w:p>
        </w:tc>
        <w:tc>
          <w:tcPr>
            <w:tcW w:w="320" w:type="dxa"/>
            <w:vAlign w:val="bottom"/>
            <w:shd w:val="clear" w:color="auto" w:fill="D2DCE5"/>
          </w:tcPr>
          <w:p>
            <w:pPr>
              <w:jc w:val="right"/>
              <w:spacing w:after="0"/>
              <w:rPr>
                <w:sz w:val="20"/>
                <w:szCs w:val="20"/>
                <w:color w:val="auto"/>
              </w:rPr>
            </w:pPr>
            <w:r>
              <w:rPr>
                <w:rFonts w:ascii="Arial" w:cs="Arial" w:eastAsia="Arial" w:hAnsi="Arial"/>
                <w:sz w:val="10"/>
                <w:szCs w:val="10"/>
                <w:color w:val="131E29"/>
              </w:rPr>
              <w:t>68.46</w:t>
            </w:r>
          </w:p>
        </w:tc>
        <w:tc>
          <w:tcPr>
            <w:tcW w:w="80" w:type="dxa"/>
            <w:vAlign w:val="bottom"/>
            <w:shd w:val="clear" w:color="auto" w:fill="D2DCE5"/>
          </w:tcPr>
          <w:p>
            <w:pPr>
              <w:spacing w:after="0"/>
              <w:rPr>
                <w:sz w:val="12"/>
                <w:szCs w:val="12"/>
                <w:color w:val="auto"/>
              </w:rPr>
            </w:pPr>
          </w:p>
        </w:tc>
        <w:tc>
          <w:tcPr>
            <w:tcW w:w="200" w:type="dxa"/>
            <w:vAlign w:val="bottom"/>
            <w:shd w:val="clear" w:color="auto" w:fill="D2DCE5"/>
          </w:tcPr>
          <w:p>
            <w:pPr>
              <w:jc w:val="right"/>
              <w:ind w:right="71"/>
              <w:spacing w:after="0"/>
              <w:rPr>
                <w:sz w:val="20"/>
                <w:szCs w:val="20"/>
                <w:color w:val="auto"/>
              </w:rPr>
            </w:pPr>
            <w:r>
              <w:rPr>
                <w:rFonts w:ascii="Arial" w:cs="Arial" w:eastAsia="Arial" w:hAnsi="Arial"/>
                <w:sz w:val="10"/>
                <w:szCs w:val="10"/>
                <w:color w:val="131E29"/>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0"/>
                <w:szCs w:val="10"/>
                <w:color w:val="131E29"/>
              </w:rPr>
              <w:t>96.55</w:t>
            </w:r>
          </w:p>
        </w:tc>
        <w:tc>
          <w:tcPr>
            <w:tcW w:w="80" w:type="dxa"/>
            <w:vAlign w:val="bottom"/>
            <w:shd w:val="clear" w:color="auto" w:fill="D2DCE5"/>
          </w:tcPr>
          <w:p>
            <w:pPr>
              <w:spacing w:after="0"/>
              <w:rPr>
                <w:sz w:val="12"/>
                <w:szCs w:val="12"/>
                <w:color w:val="auto"/>
              </w:rPr>
            </w:pPr>
          </w:p>
        </w:tc>
        <w:tc>
          <w:tcPr>
            <w:tcW w:w="160" w:type="dxa"/>
            <w:vAlign w:val="bottom"/>
            <w:shd w:val="clear" w:color="auto" w:fill="D2DCE5"/>
          </w:tcPr>
          <w:p>
            <w:pPr>
              <w:jc w:val="right"/>
              <w:ind w:right="31"/>
              <w:spacing w:after="0"/>
              <w:rPr>
                <w:sz w:val="20"/>
                <w:szCs w:val="20"/>
                <w:color w:val="auto"/>
              </w:rPr>
            </w:pPr>
            <w:r>
              <w:rPr>
                <w:rFonts w:ascii="Arial" w:cs="Arial" w:eastAsia="Arial" w:hAnsi="Arial"/>
                <w:sz w:val="10"/>
                <w:szCs w:val="10"/>
                <w:color w:val="131E29"/>
              </w:rPr>
              <w:t>$</w:t>
            </w:r>
          </w:p>
        </w:tc>
        <w:tc>
          <w:tcPr>
            <w:tcW w:w="660" w:type="dxa"/>
            <w:vAlign w:val="bottom"/>
            <w:shd w:val="clear" w:color="auto" w:fill="D2DCE5"/>
          </w:tcPr>
          <w:p>
            <w:pPr>
              <w:jc w:val="right"/>
              <w:ind w:right="11"/>
              <w:spacing w:after="0"/>
              <w:rPr>
                <w:sz w:val="20"/>
                <w:szCs w:val="20"/>
                <w:color w:val="auto"/>
              </w:rPr>
            </w:pPr>
            <w:r>
              <w:rPr>
                <w:rFonts w:ascii="Arial" w:cs="Arial" w:eastAsia="Arial" w:hAnsi="Arial"/>
                <w:sz w:val="10"/>
                <w:szCs w:val="10"/>
                <w:color w:val="131E29"/>
              </w:rPr>
              <w:t>101.14</w:t>
            </w:r>
          </w:p>
        </w:tc>
        <w:tc>
          <w:tcPr>
            <w:tcW w:w="80" w:type="dxa"/>
            <w:vAlign w:val="bottom"/>
            <w:shd w:val="clear" w:color="auto" w:fill="D2DCE5"/>
          </w:tcPr>
          <w:p>
            <w:pPr>
              <w:spacing w:after="0"/>
              <w:rPr>
                <w:sz w:val="12"/>
                <w:szCs w:val="12"/>
                <w:color w:val="auto"/>
              </w:rPr>
            </w:pPr>
          </w:p>
        </w:tc>
        <w:tc>
          <w:tcPr>
            <w:tcW w:w="140" w:type="dxa"/>
            <w:vAlign w:val="bottom"/>
            <w:shd w:val="clear" w:color="auto" w:fill="D2DCE5"/>
          </w:tcPr>
          <w:p>
            <w:pPr>
              <w:jc w:val="right"/>
              <w:ind w:right="31"/>
              <w:spacing w:after="0"/>
              <w:rPr>
                <w:sz w:val="20"/>
                <w:szCs w:val="20"/>
                <w:color w:val="auto"/>
              </w:rPr>
            </w:pPr>
            <w:r>
              <w:rPr>
                <w:rFonts w:ascii="Arial" w:cs="Arial" w:eastAsia="Arial" w:hAnsi="Arial"/>
                <w:sz w:val="10"/>
                <w:szCs w:val="10"/>
                <w:color w:val="131E29"/>
                <w:w w:val="71"/>
              </w:rPr>
              <w:t>$</w:t>
            </w:r>
          </w:p>
        </w:tc>
        <w:tc>
          <w:tcPr>
            <w:tcW w:w="620" w:type="dxa"/>
            <w:vAlign w:val="bottom"/>
            <w:shd w:val="clear" w:color="auto" w:fill="D2DCE5"/>
          </w:tcPr>
          <w:p>
            <w:pPr>
              <w:jc w:val="right"/>
              <w:ind w:right="11"/>
              <w:spacing w:after="0"/>
              <w:rPr>
                <w:sz w:val="20"/>
                <w:szCs w:val="20"/>
                <w:color w:val="auto"/>
              </w:rPr>
            </w:pPr>
            <w:r>
              <w:rPr>
                <w:rFonts w:ascii="Arial" w:cs="Arial" w:eastAsia="Arial" w:hAnsi="Arial"/>
                <w:sz w:val="10"/>
                <w:szCs w:val="10"/>
                <w:color w:val="131E29"/>
              </w:rPr>
              <w:t>101.59</w:t>
            </w:r>
          </w:p>
        </w:tc>
        <w:tc>
          <w:tcPr>
            <w:tcW w:w="80" w:type="dxa"/>
            <w:vAlign w:val="bottom"/>
            <w:shd w:val="clear" w:color="auto" w:fill="D2DCE5"/>
          </w:tcPr>
          <w:p>
            <w:pPr>
              <w:spacing w:after="0"/>
              <w:rPr>
                <w:sz w:val="12"/>
                <w:szCs w:val="12"/>
                <w:color w:val="auto"/>
              </w:rPr>
            </w:pPr>
          </w:p>
        </w:tc>
        <w:tc>
          <w:tcPr>
            <w:tcW w:w="200" w:type="dxa"/>
            <w:vAlign w:val="bottom"/>
            <w:shd w:val="clear" w:color="auto" w:fill="D2DCE5"/>
          </w:tcPr>
          <w:p>
            <w:pPr>
              <w:jc w:val="right"/>
              <w:ind w:right="91"/>
              <w:spacing w:after="0"/>
              <w:rPr>
                <w:sz w:val="20"/>
                <w:szCs w:val="20"/>
                <w:color w:val="auto"/>
              </w:rPr>
            </w:pPr>
            <w:r>
              <w:rPr>
                <w:rFonts w:ascii="Arial" w:cs="Arial" w:eastAsia="Arial" w:hAnsi="Arial"/>
                <w:sz w:val="10"/>
                <w:szCs w:val="10"/>
                <w:color w:val="131E29"/>
                <w:w w:val="71"/>
              </w:rPr>
              <w:t>$</w:t>
            </w:r>
          </w:p>
        </w:tc>
        <w:tc>
          <w:tcPr>
            <w:tcW w:w="820" w:type="dxa"/>
            <w:vAlign w:val="bottom"/>
            <w:shd w:val="clear" w:color="auto" w:fill="D2DCE5"/>
          </w:tcPr>
          <w:p>
            <w:pPr>
              <w:jc w:val="right"/>
              <w:spacing w:after="0"/>
              <w:rPr>
                <w:sz w:val="20"/>
                <w:szCs w:val="20"/>
                <w:color w:val="auto"/>
              </w:rPr>
            </w:pPr>
            <w:r>
              <w:rPr>
                <w:rFonts w:ascii="Arial" w:cs="Arial" w:eastAsia="Arial" w:hAnsi="Arial"/>
                <w:sz w:val="10"/>
                <w:szCs w:val="10"/>
                <w:color w:val="131E29"/>
              </w:rPr>
              <w:t>109.31</w:t>
            </w:r>
          </w:p>
        </w:tc>
        <w:tc>
          <w:tcPr>
            <w:tcW w:w="100" w:type="dxa"/>
            <w:vAlign w:val="bottom"/>
            <w:shd w:val="clear" w:color="auto" w:fill="D2DCE5"/>
          </w:tcPr>
          <w:p>
            <w:pPr>
              <w:spacing w:after="0"/>
              <w:rPr>
                <w:sz w:val="12"/>
                <w:szCs w:val="12"/>
                <w:color w:val="auto"/>
              </w:rPr>
            </w:pPr>
          </w:p>
        </w:tc>
        <w:tc>
          <w:tcPr>
            <w:tcW w:w="200" w:type="dxa"/>
            <w:vAlign w:val="bottom"/>
            <w:shd w:val="clear" w:color="auto" w:fill="D2DCE5"/>
          </w:tcPr>
          <w:p>
            <w:pPr>
              <w:jc w:val="right"/>
              <w:ind w:right="91"/>
              <w:spacing w:after="0"/>
              <w:rPr>
                <w:sz w:val="20"/>
                <w:szCs w:val="20"/>
                <w:color w:val="auto"/>
              </w:rPr>
            </w:pPr>
            <w:r>
              <w:rPr>
                <w:rFonts w:ascii="Arial" w:cs="Arial" w:eastAsia="Arial" w:hAnsi="Arial"/>
                <w:sz w:val="10"/>
                <w:szCs w:val="10"/>
                <w:color w:val="131E29"/>
                <w:w w:val="71"/>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0"/>
                <w:szCs w:val="10"/>
                <w:color w:val="131E29"/>
              </w:rPr>
              <w:t>124.68</w:t>
            </w:r>
          </w:p>
        </w:tc>
      </w:tr>
      <w:tr>
        <w:trPr>
          <w:trHeight w:val="21"/>
        </w:trPr>
        <w:tc>
          <w:tcPr>
            <w:tcW w:w="420" w:type="dxa"/>
            <w:vAlign w:val="bottom"/>
            <w:shd w:val="clear" w:color="auto" w:fill="D2DCE5"/>
          </w:tcPr>
          <w:p>
            <w:pPr>
              <w:spacing w:after="0" w:line="20" w:lineRule="exact"/>
              <w:rPr>
                <w:sz w:val="1"/>
                <w:szCs w:val="1"/>
                <w:color w:val="auto"/>
              </w:rPr>
            </w:pPr>
          </w:p>
        </w:tc>
        <w:tc>
          <w:tcPr>
            <w:tcW w:w="2560" w:type="dxa"/>
            <w:vAlign w:val="bottom"/>
            <w:shd w:val="clear" w:color="auto" w:fill="D2DCE5"/>
          </w:tcPr>
          <w:p>
            <w:pPr>
              <w:spacing w:after="0" w:line="20" w:lineRule="exact"/>
              <w:rPr>
                <w:sz w:val="1"/>
                <w:szCs w:val="1"/>
                <w:color w:val="auto"/>
              </w:rPr>
            </w:pPr>
          </w:p>
        </w:tc>
        <w:tc>
          <w:tcPr>
            <w:tcW w:w="20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20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700" w:type="dxa"/>
            <w:vAlign w:val="bottom"/>
            <w:shd w:val="clear" w:color="auto" w:fill="D2DCE5"/>
          </w:tcPr>
          <w:p>
            <w:pPr>
              <w:spacing w:after="0" w:line="20" w:lineRule="exact"/>
              <w:rPr>
                <w:sz w:val="1"/>
                <w:szCs w:val="1"/>
                <w:color w:val="auto"/>
              </w:rPr>
            </w:pPr>
          </w:p>
        </w:tc>
        <w:tc>
          <w:tcPr>
            <w:tcW w:w="32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20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160" w:type="dxa"/>
            <w:vAlign w:val="bottom"/>
            <w:shd w:val="clear" w:color="auto" w:fill="D2DCE5"/>
          </w:tcPr>
          <w:p>
            <w:pPr>
              <w:spacing w:after="0" w:line="20" w:lineRule="exact"/>
              <w:rPr>
                <w:sz w:val="1"/>
                <w:szCs w:val="1"/>
                <w:color w:val="auto"/>
              </w:rPr>
            </w:pPr>
          </w:p>
        </w:tc>
        <w:tc>
          <w:tcPr>
            <w:tcW w:w="66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140" w:type="dxa"/>
            <w:vAlign w:val="bottom"/>
            <w:shd w:val="clear" w:color="auto" w:fill="D2DCE5"/>
          </w:tcPr>
          <w:p>
            <w:pPr>
              <w:spacing w:after="0" w:line="20" w:lineRule="exact"/>
              <w:rPr>
                <w:sz w:val="1"/>
                <w:szCs w:val="1"/>
                <w:color w:val="auto"/>
              </w:rPr>
            </w:pPr>
          </w:p>
        </w:tc>
        <w:tc>
          <w:tcPr>
            <w:tcW w:w="620" w:type="dxa"/>
            <w:vAlign w:val="bottom"/>
            <w:shd w:val="clear" w:color="auto" w:fill="D2DCE5"/>
          </w:tcPr>
          <w:p>
            <w:pPr>
              <w:spacing w:after="0" w:line="20" w:lineRule="exact"/>
              <w:rPr>
                <w:sz w:val="1"/>
                <w:szCs w:val="1"/>
                <w:color w:val="auto"/>
              </w:rPr>
            </w:pPr>
          </w:p>
        </w:tc>
        <w:tc>
          <w:tcPr>
            <w:tcW w:w="80" w:type="dxa"/>
            <w:vAlign w:val="bottom"/>
            <w:shd w:val="clear" w:color="auto" w:fill="D2DCE5"/>
          </w:tcPr>
          <w:p>
            <w:pPr>
              <w:spacing w:after="0" w:line="20" w:lineRule="exact"/>
              <w:rPr>
                <w:sz w:val="1"/>
                <w:szCs w:val="1"/>
                <w:color w:val="auto"/>
              </w:rPr>
            </w:pPr>
          </w:p>
        </w:tc>
        <w:tc>
          <w:tcPr>
            <w:tcW w:w="200" w:type="dxa"/>
            <w:vAlign w:val="bottom"/>
            <w:shd w:val="clear" w:color="auto" w:fill="D2DCE5"/>
          </w:tcPr>
          <w:p>
            <w:pPr>
              <w:spacing w:after="0" w:line="20" w:lineRule="exact"/>
              <w:rPr>
                <w:sz w:val="1"/>
                <w:szCs w:val="1"/>
                <w:color w:val="auto"/>
              </w:rPr>
            </w:pPr>
          </w:p>
        </w:tc>
        <w:tc>
          <w:tcPr>
            <w:tcW w:w="820" w:type="dxa"/>
            <w:vAlign w:val="bottom"/>
            <w:shd w:val="clear" w:color="auto" w:fill="D2DCE5"/>
          </w:tcPr>
          <w:p>
            <w:pPr>
              <w:spacing w:after="0" w:line="20" w:lineRule="exact"/>
              <w:rPr>
                <w:sz w:val="1"/>
                <w:szCs w:val="1"/>
                <w:color w:val="auto"/>
              </w:rPr>
            </w:pPr>
          </w:p>
        </w:tc>
        <w:tc>
          <w:tcPr>
            <w:tcW w:w="100" w:type="dxa"/>
            <w:vAlign w:val="bottom"/>
            <w:shd w:val="clear" w:color="auto" w:fill="D2DCE5"/>
          </w:tcPr>
          <w:p>
            <w:pPr>
              <w:spacing w:after="0" w:line="20" w:lineRule="exact"/>
              <w:rPr>
                <w:sz w:val="1"/>
                <w:szCs w:val="1"/>
                <w:color w:val="auto"/>
              </w:rPr>
            </w:pPr>
          </w:p>
        </w:tc>
        <w:tc>
          <w:tcPr>
            <w:tcW w:w="200" w:type="dxa"/>
            <w:vAlign w:val="bottom"/>
            <w:shd w:val="clear" w:color="auto" w:fill="D2DCE5"/>
          </w:tcPr>
          <w:p>
            <w:pPr>
              <w:spacing w:after="0" w:line="20" w:lineRule="exact"/>
              <w:rPr>
                <w:sz w:val="1"/>
                <w:szCs w:val="1"/>
                <w:color w:val="auto"/>
              </w:rPr>
            </w:pPr>
          </w:p>
        </w:tc>
        <w:tc>
          <w:tcPr>
            <w:tcW w:w="840" w:type="dxa"/>
            <w:vAlign w:val="bottom"/>
            <w:shd w:val="clear" w:color="auto" w:fill="D2DCE5"/>
          </w:tcPr>
          <w:p>
            <w:pPr>
              <w:spacing w:after="0" w:line="20" w:lineRule="exact"/>
              <w:rPr>
                <w:sz w:val="1"/>
                <w:szCs w:val="1"/>
                <w:color w:val="auto"/>
              </w:rPr>
            </w:pPr>
          </w:p>
        </w:tc>
      </w:tr>
    </w:tbl>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above Stock Performance Graph and related information shall not be deemed “soliciting material” or to be “filed” with the SEC nor shall such information be incorporated by reference into any future filing under the Securities Act or the Exchange Act, each as amended, except to the extent that we specifically incorporate it by reference into such filing.</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Recent Sales of Unregistered Securities</w:t>
      </w:r>
    </w:p>
    <w:p>
      <w:pPr>
        <w:spacing w:after="0" w:line="14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131E29"/>
        </w:rPr>
        <w:t>The Continuing Members, from time-to-time, may require us to exchange all or a portion of their Dutch Bros OpCo Class A common units (together with the cancellation of any shares of our Class B common stock or Class C common stock paired with such units) for shares of Class A common stock on a one-for-one basis. The shares of Class B common stock or Class C common stock paired with such Dutch Bros OpCo Class A common units will be canceled on a one-for-one basis upon any such issuance of Class A common stock.</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During the year ended December 31, 2024, pursuant to Section 3(a)(9) of the Securities Act, we made unregistered issuances of our Class A common stock via exchange of approximately 13.8 million Dutch Bros OpCo Class A common units (and corresponding cancellation of the same number of shares of Class C common stock) and conversion of approximately 4.4 million shares of our Class D common stock, held by our Sponsor for shares of our Class A common stock on a one-for-one basis. Such shares of Class A common stock were then sold directly by our Sponsor pursuant to Rule 144 of the Securities Act, and no proceeds were received by the Company.</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During the year ended December 31, 2024, pursuant to Section 3(a)(9) of the Securities Act, we made an unregistered issuance of our Class A common stock via exchange of approximately 2.4 million Dutch Bros OpCo Class A common units (and corresponding cancellation of the same number of shares of Class B common stock) held by our Co-Founder for shares of our Class A common stock on a one-for-one basis.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4" w:name="page75"/>
    <w:bookmarkEnd w:id="7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Such shares of Class A common stock were then reserved for sale directly by our Co-Founder pursuant to a Rule 10b5-1 trading arrangement, and no proceeds were received by the Company.</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Issuer Purchases of Equity Securities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purchases of Class A common stock during the three months ended December 31, 2024:</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5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80" w:type="dxa"/>
            <w:vAlign w:val="bottom"/>
          </w:tcPr>
          <w:p>
            <w:pPr>
              <w:ind w:left="60"/>
              <w:spacing w:after="0"/>
              <w:rPr>
                <w:sz w:val="20"/>
                <w:szCs w:val="20"/>
                <w:color w:val="auto"/>
              </w:rPr>
            </w:pPr>
            <w:r>
              <w:rPr>
                <w:rFonts w:ascii="Arial" w:cs="Arial" w:eastAsia="Arial" w:hAnsi="Arial"/>
                <w:sz w:val="14"/>
                <w:szCs w:val="14"/>
                <w:b w:val="1"/>
                <w:bCs w:val="1"/>
                <w:color w:val="131E29"/>
              </w:rPr>
              <w:t>Maximum Number (or</w:t>
            </w:r>
          </w:p>
        </w:tc>
      </w:tr>
      <w:tr>
        <w:trPr>
          <w:trHeight w:val="170"/>
        </w:trPr>
        <w:tc>
          <w:tcPr>
            <w:tcW w:w="5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120" w:type="dxa"/>
            <w:vAlign w:val="bottom"/>
          </w:tcPr>
          <w:p>
            <w:pPr>
              <w:ind w:left="80"/>
              <w:spacing w:after="0"/>
              <w:rPr>
                <w:sz w:val="20"/>
                <w:szCs w:val="20"/>
                <w:color w:val="auto"/>
              </w:rPr>
            </w:pPr>
            <w:r>
              <w:rPr>
                <w:rFonts w:ascii="Arial" w:cs="Arial" w:eastAsia="Arial" w:hAnsi="Arial"/>
                <w:sz w:val="14"/>
                <w:szCs w:val="14"/>
                <w:b w:val="1"/>
                <w:bCs w:val="1"/>
                <w:color w:val="131E29"/>
              </w:rPr>
              <w:t>Total Number of Shares</w:t>
            </w:r>
          </w:p>
        </w:tc>
        <w:tc>
          <w:tcPr>
            <w:tcW w:w="2080" w:type="dxa"/>
            <w:vAlign w:val="bottom"/>
          </w:tcPr>
          <w:p>
            <w:pPr>
              <w:ind w:left="60"/>
              <w:spacing w:after="0"/>
              <w:rPr>
                <w:sz w:val="20"/>
                <w:szCs w:val="20"/>
                <w:color w:val="auto"/>
              </w:rPr>
            </w:pPr>
            <w:r>
              <w:rPr>
                <w:rFonts w:ascii="Arial" w:cs="Arial" w:eastAsia="Arial" w:hAnsi="Arial"/>
                <w:sz w:val="14"/>
                <w:szCs w:val="14"/>
                <w:b w:val="1"/>
                <w:bCs w:val="1"/>
                <w:color w:val="131E29"/>
              </w:rPr>
              <w:t>Approximate Dollar Value) of</w:t>
            </w:r>
          </w:p>
        </w:tc>
      </w:tr>
      <w:tr>
        <w:trPr>
          <w:trHeight w:val="184"/>
        </w:trPr>
        <w:tc>
          <w:tcPr>
            <w:tcW w:w="5280" w:type="dxa"/>
            <w:vAlign w:val="bottom"/>
          </w:tcPr>
          <w:p>
            <w:pPr>
              <w:ind w:left="3600"/>
              <w:spacing w:after="0"/>
              <w:rPr>
                <w:sz w:val="20"/>
                <w:szCs w:val="20"/>
                <w:color w:val="auto"/>
              </w:rPr>
            </w:pPr>
            <w:r>
              <w:rPr>
                <w:rFonts w:ascii="Arial" w:cs="Arial" w:eastAsia="Arial" w:hAnsi="Arial"/>
                <w:sz w:val="14"/>
                <w:szCs w:val="14"/>
                <w:b w:val="1"/>
                <w:bCs w:val="1"/>
                <w:color w:val="131E29"/>
              </w:rPr>
              <w:t>Total Number of Shares</w:t>
            </w:r>
          </w:p>
        </w:tc>
        <w:tc>
          <w:tcPr>
            <w:tcW w:w="1580" w:type="dxa"/>
            <w:vAlign w:val="bottom"/>
          </w:tcPr>
          <w:p>
            <w:pPr>
              <w:spacing w:after="0"/>
              <w:rPr>
                <w:sz w:val="16"/>
                <w:szCs w:val="16"/>
                <w:color w:val="auto"/>
              </w:rPr>
            </w:pPr>
          </w:p>
        </w:tc>
        <w:tc>
          <w:tcPr>
            <w:tcW w:w="2120" w:type="dxa"/>
            <w:vAlign w:val="bottom"/>
          </w:tcPr>
          <w:p>
            <w:pPr>
              <w:ind w:left="80"/>
              <w:spacing w:after="0"/>
              <w:rPr>
                <w:sz w:val="20"/>
                <w:szCs w:val="20"/>
                <w:color w:val="auto"/>
              </w:rPr>
            </w:pPr>
            <w:r>
              <w:rPr>
                <w:rFonts w:ascii="Arial" w:cs="Arial" w:eastAsia="Arial" w:hAnsi="Arial"/>
                <w:sz w:val="14"/>
                <w:szCs w:val="14"/>
                <w:b w:val="1"/>
                <w:bCs w:val="1"/>
                <w:color w:val="131E29"/>
              </w:rPr>
              <w:t>Purchased as Part of</w:t>
            </w:r>
          </w:p>
        </w:tc>
        <w:tc>
          <w:tcPr>
            <w:tcW w:w="2080" w:type="dxa"/>
            <w:vAlign w:val="bottom"/>
          </w:tcPr>
          <w:p>
            <w:pPr>
              <w:ind w:left="60"/>
              <w:spacing w:after="0"/>
              <w:rPr>
                <w:sz w:val="20"/>
                <w:szCs w:val="20"/>
                <w:color w:val="auto"/>
              </w:rPr>
            </w:pPr>
            <w:r>
              <w:rPr>
                <w:rFonts w:ascii="Arial" w:cs="Arial" w:eastAsia="Arial" w:hAnsi="Arial"/>
                <w:sz w:val="14"/>
                <w:szCs w:val="14"/>
                <w:b w:val="1"/>
                <w:bCs w:val="1"/>
                <w:color w:val="131E29"/>
              </w:rPr>
              <w:t>Shares that May Yet Be</w:t>
            </w:r>
          </w:p>
        </w:tc>
      </w:tr>
      <w:tr>
        <w:trPr>
          <w:trHeight w:val="170"/>
        </w:trPr>
        <w:tc>
          <w:tcPr>
            <w:tcW w:w="5280" w:type="dxa"/>
            <w:vAlign w:val="bottom"/>
          </w:tcPr>
          <w:p>
            <w:pPr>
              <w:ind w:left="3600"/>
              <w:spacing w:after="0" w:line="170" w:lineRule="exact"/>
              <w:rPr>
                <w:sz w:val="20"/>
                <w:szCs w:val="20"/>
                <w:color w:val="auto"/>
              </w:rPr>
            </w:pPr>
            <w:r>
              <w:rPr>
                <w:rFonts w:ascii="Arial" w:cs="Arial" w:eastAsia="Arial" w:hAnsi="Arial"/>
                <w:sz w:val="14"/>
                <w:szCs w:val="14"/>
                <w:b w:val="1"/>
                <w:bCs w:val="1"/>
                <w:color w:val="131E29"/>
              </w:rPr>
              <w:t xml:space="preserve">Purchased </w:t>
            </w:r>
            <w:r>
              <w:rPr>
                <w:rFonts w:ascii="Arial" w:cs="Arial" w:eastAsia="Arial" w:hAnsi="Arial"/>
                <w:sz w:val="18"/>
                <w:szCs w:val="18"/>
                <w:b w:val="1"/>
                <w:bCs w:val="1"/>
                <w:color w:val="131E29"/>
                <w:vertAlign w:val="superscript"/>
              </w:rPr>
              <w:t>1</w:t>
            </w:r>
          </w:p>
        </w:tc>
        <w:tc>
          <w:tcPr>
            <w:tcW w:w="1580" w:type="dxa"/>
            <w:vAlign w:val="bottom"/>
          </w:tcPr>
          <w:p>
            <w:pPr>
              <w:ind w:left="120"/>
              <w:spacing w:after="0"/>
              <w:rPr>
                <w:sz w:val="20"/>
                <w:szCs w:val="20"/>
                <w:color w:val="auto"/>
              </w:rPr>
            </w:pPr>
            <w:r>
              <w:rPr>
                <w:rFonts w:ascii="Arial" w:cs="Arial" w:eastAsia="Arial" w:hAnsi="Arial"/>
                <w:sz w:val="14"/>
                <w:szCs w:val="14"/>
                <w:b w:val="1"/>
                <w:bCs w:val="1"/>
                <w:color w:val="131E29"/>
              </w:rPr>
              <w:t>Weighted-Average</w:t>
            </w:r>
          </w:p>
        </w:tc>
        <w:tc>
          <w:tcPr>
            <w:tcW w:w="2120" w:type="dxa"/>
            <w:vAlign w:val="bottom"/>
          </w:tcPr>
          <w:p>
            <w:pPr>
              <w:ind w:left="80"/>
              <w:spacing w:after="0"/>
              <w:rPr>
                <w:sz w:val="20"/>
                <w:szCs w:val="20"/>
                <w:color w:val="auto"/>
              </w:rPr>
            </w:pPr>
            <w:r>
              <w:rPr>
                <w:rFonts w:ascii="Arial" w:cs="Arial" w:eastAsia="Arial" w:hAnsi="Arial"/>
                <w:sz w:val="14"/>
                <w:szCs w:val="14"/>
                <w:b w:val="1"/>
                <w:bCs w:val="1"/>
                <w:color w:val="131E29"/>
              </w:rPr>
              <w:t>Publicly Announced Plans or</w:t>
            </w:r>
          </w:p>
        </w:tc>
        <w:tc>
          <w:tcPr>
            <w:tcW w:w="2080" w:type="dxa"/>
            <w:vAlign w:val="bottom"/>
          </w:tcPr>
          <w:p>
            <w:pPr>
              <w:ind w:left="60"/>
              <w:spacing w:after="0"/>
              <w:rPr>
                <w:sz w:val="20"/>
                <w:szCs w:val="20"/>
                <w:color w:val="auto"/>
              </w:rPr>
            </w:pPr>
            <w:r>
              <w:rPr>
                <w:rFonts w:ascii="Arial" w:cs="Arial" w:eastAsia="Arial" w:hAnsi="Arial"/>
                <w:sz w:val="14"/>
                <w:szCs w:val="14"/>
                <w:b w:val="1"/>
                <w:bCs w:val="1"/>
                <w:color w:val="131E29"/>
              </w:rPr>
              <w:t>Purchased Under the Plans or</w:t>
            </w:r>
          </w:p>
        </w:tc>
      </w:tr>
      <w:tr>
        <w:trPr>
          <w:trHeight w:val="191"/>
        </w:trPr>
        <w:tc>
          <w:tcPr>
            <w:tcW w:w="5280" w:type="dxa"/>
            <w:vAlign w:val="bottom"/>
          </w:tcPr>
          <w:p>
            <w:pPr>
              <w:spacing w:after="0"/>
              <w:rPr>
                <w:sz w:val="20"/>
                <w:szCs w:val="20"/>
                <w:color w:val="auto"/>
              </w:rPr>
            </w:pPr>
            <w:r>
              <w:rPr>
                <w:rFonts w:ascii="Arial" w:cs="Arial" w:eastAsia="Arial" w:hAnsi="Arial"/>
                <w:sz w:val="14"/>
                <w:szCs w:val="14"/>
                <w:b w:val="1"/>
                <w:bCs w:val="1"/>
                <w:color w:val="131E29"/>
              </w:rPr>
              <w:t>Period</w:t>
            </w:r>
          </w:p>
        </w:tc>
        <w:tc>
          <w:tcPr>
            <w:tcW w:w="1580" w:type="dxa"/>
            <w:vAlign w:val="bottom"/>
          </w:tcPr>
          <w:p>
            <w:pPr>
              <w:ind w:left="120"/>
              <w:spacing w:after="0"/>
              <w:rPr>
                <w:sz w:val="20"/>
                <w:szCs w:val="20"/>
                <w:color w:val="auto"/>
              </w:rPr>
            </w:pPr>
            <w:r>
              <w:rPr>
                <w:rFonts w:ascii="Arial" w:cs="Arial" w:eastAsia="Arial" w:hAnsi="Arial"/>
                <w:sz w:val="14"/>
                <w:szCs w:val="14"/>
                <w:b w:val="1"/>
                <w:bCs w:val="1"/>
                <w:color w:val="131E29"/>
              </w:rPr>
              <w:t>Price Paid Per Share</w:t>
            </w:r>
          </w:p>
        </w:tc>
        <w:tc>
          <w:tcPr>
            <w:tcW w:w="2120" w:type="dxa"/>
            <w:vAlign w:val="bottom"/>
          </w:tcPr>
          <w:p>
            <w:pPr>
              <w:ind w:left="80"/>
              <w:spacing w:after="0"/>
              <w:rPr>
                <w:sz w:val="20"/>
                <w:szCs w:val="20"/>
                <w:color w:val="auto"/>
              </w:rPr>
            </w:pPr>
            <w:r>
              <w:rPr>
                <w:rFonts w:ascii="Arial" w:cs="Arial" w:eastAsia="Arial" w:hAnsi="Arial"/>
                <w:sz w:val="14"/>
                <w:szCs w:val="14"/>
                <w:b w:val="1"/>
                <w:bCs w:val="1"/>
                <w:color w:val="131E29"/>
              </w:rPr>
              <w:t>Programs</w:t>
            </w:r>
          </w:p>
        </w:tc>
        <w:tc>
          <w:tcPr>
            <w:tcW w:w="2080" w:type="dxa"/>
            <w:vAlign w:val="bottom"/>
          </w:tcPr>
          <w:p>
            <w:pPr>
              <w:ind w:left="60"/>
              <w:spacing w:after="0"/>
              <w:rPr>
                <w:sz w:val="20"/>
                <w:szCs w:val="20"/>
                <w:color w:val="auto"/>
              </w:rPr>
            </w:pPr>
            <w:r>
              <w:rPr>
                <w:rFonts w:ascii="Arial" w:cs="Arial" w:eastAsia="Arial" w:hAnsi="Arial"/>
                <w:sz w:val="14"/>
                <w:szCs w:val="14"/>
                <w:b w:val="1"/>
                <w:bCs w:val="1"/>
                <w:color w:val="131E29"/>
              </w:rPr>
              <w:t>Programs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20" w:type="dxa"/>
            <w:vAlign w:val="bottom"/>
            <w:tcBorders>
              <w:top w:val="single" w:sz="8" w:color="131E29"/>
            </w:tcBorders>
            <w:shd w:val="clear" w:color="auto" w:fill="D2DCE5"/>
          </w:tcPr>
          <w:p>
            <w:pPr>
              <w:ind w:left="20"/>
              <w:spacing w:after="0"/>
              <w:rPr>
                <w:sz w:val="20"/>
                <w:szCs w:val="20"/>
                <w:color w:val="auto"/>
              </w:rPr>
            </w:pPr>
            <w:r>
              <w:rPr>
                <w:rFonts w:ascii="Arial" w:cs="Arial" w:eastAsia="Arial" w:hAnsi="Arial"/>
                <w:sz w:val="14"/>
                <w:szCs w:val="14"/>
                <w:color w:val="131E29"/>
              </w:rPr>
              <w:t>October 1 - 31, 2024</w:t>
            </w:r>
          </w:p>
        </w:tc>
        <w:tc>
          <w:tcPr>
            <w:tcW w:w="80" w:type="dxa"/>
            <w:vAlign w:val="bottom"/>
            <w:tcBorders>
              <w:top w:val="single" w:sz="8" w:color="D2DCE5"/>
            </w:tcBorders>
            <w:shd w:val="clear" w:color="auto" w:fill="D2DCE5"/>
          </w:tcPr>
          <w:p>
            <w:pPr>
              <w:spacing w:after="0"/>
              <w:rPr>
                <w:sz w:val="17"/>
                <w:szCs w:val="17"/>
                <w:color w:val="auto"/>
              </w:rPr>
            </w:pPr>
          </w:p>
        </w:tc>
        <w:tc>
          <w:tcPr>
            <w:tcW w:w="1720" w:type="dxa"/>
            <w:vAlign w:val="bottom"/>
            <w:tcBorders>
              <w:top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top w:val="single" w:sz="8" w:color="D2DCE5"/>
            </w:tcBorders>
            <w:shd w:val="clear" w:color="auto" w:fill="D2DCE5"/>
          </w:tcPr>
          <w:p>
            <w:pPr>
              <w:spacing w:after="0"/>
              <w:rPr>
                <w:sz w:val="17"/>
                <w:szCs w:val="17"/>
                <w:color w:val="auto"/>
              </w:rPr>
            </w:pPr>
          </w:p>
        </w:tc>
        <w:tc>
          <w:tcPr>
            <w:tcW w:w="580" w:type="dxa"/>
            <w:vAlign w:val="bottom"/>
            <w:tcBorders>
              <w:top w:val="single" w:sz="8" w:color="131E29"/>
            </w:tcBorders>
            <w:shd w:val="clear" w:color="auto" w:fill="D2DCE5"/>
          </w:tcPr>
          <w:p>
            <w:pPr>
              <w:spacing w:after="0"/>
              <w:rPr>
                <w:sz w:val="17"/>
                <w:szCs w:val="17"/>
                <w:color w:val="auto"/>
              </w:rPr>
            </w:pPr>
          </w:p>
        </w:tc>
        <w:tc>
          <w:tcPr>
            <w:tcW w:w="880" w:type="dxa"/>
            <w:vAlign w:val="bottom"/>
            <w:tcBorders>
              <w:top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0" w:type="dxa"/>
            <w:vAlign w:val="bottom"/>
            <w:tcBorders>
              <w:top w:val="single" w:sz="8" w:color="D2DCE5"/>
            </w:tcBorders>
            <w:shd w:val="clear" w:color="auto" w:fill="D2DCE5"/>
          </w:tcPr>
          <w:p>
            <w:pPr>
              <w:spacing w:after="0"/>
              <w:rPr>
                <w:sz w:val="17"/>
                <w:szCs w:val="17"/>
                <w:color w:val="auto"/>
              </w:rPr>
            </w:pPr>
          </w:p>
        </w:tc>
        <w:tc>
          <w:tcPr>
            <w:tcW w:w="2000" w:type="dxa"/>
            <w:vAlign w:val="bottom"/>
            <w:tcBorders>
              <w:top w:val="single" w:sz="8" w:color="131E29"/>
            </w:tcBorders>
            <w:shd w:val="clear" w:color="auto" w:fill="D2DCE5"/>
          </w:tcPr>
          <w:p>
            <w:pPr>
              <w:ind w:left="1800"/>
              <w:spacing w:after="0"/>
              <w:rPr>
                <w:sz w:val="20"/>
                <w:szCs w:val="20"/>
                <w:color w:val="auto"/>
              </w:rPr>
            </w:pPr>
            <w:r>
              <w:rPr>
                <w:rFonts w:ascii="Arial" w:cs="Arial" w:eastAsia="Arial" w:hAnsi="Arial"/>
                <w:sz w:val="14"/>
                <w:szCs w:val="14"/>
                <w:color w:val="131E29"/>
              </w:rPr>
              <w:t>—</w:t>
            </w:r>
          </w:p>
        </w:tc>
        <w:tc>
          <w:tcPr>
            <w:tcW w:w="80" w:type="dxa"/>
            <w:vAlign w:val="bottom"/>
            <w:tcBorders>
              <w:top w:val="single" w:sz="8" w:color="D2DCE5"/>
            </w:tcBorders>
            <w:shd w:val="clear" w:color="auto" w:fill="D2DCE5"/>
          </w:tcPr>
          <w:p>
            <w:pPr>
              <w:spacing w:after="0"/>
              <w:rPr>
                <w:sz w:val="17"/>
                <w:szCs w:val="17"/>
                <w:color w:val="auto"/>
              </w:rPr>
            </w:pPr>
          </w:p>
        </w:tc>
        <w:tc>
          <w:tcPr>
            <w:tcW w:w="2240" w:type="dxa"/>
            <w:vAlign w:val="bottom"/>
            <w:tcBorders>
              <w:top w:val="single" w:sz="8" w:color="131E29"/>
            </w:tcBorders>
            <w:shd w:val="clear" w:color="auto" w:fill="D2DCE5"/>
          </w:tcPr>
          <w:p>
            <w:pPr>
              <w:ind w:left="2040"/>
              <w:spacing w:after="0"/>
              <w:rPr>
                <w:sz w:val="20"/>
                <w:szCs w:val="20"/>
                <w:color w:val="auto"/>
              </w:rPr>
            </w:pPr>
            <w:r>
              <w:rPr>
                <w:rFonts w:ascii="Arial" w:cs="Arial" w:eastAsia="Arial" w:hAnsi="Arial"/>
                <w:sz w:val="14"/>
                <w:szCs w:val="14"/>
                <w:color w:val="131E29"/>
              </w:rPr>
              <w:t>—</w:t>
            </w:r>
          </w:p>
        </w:tc>
      </w:tr>
      <w:tr>
        <w:trPr>
          <w:trHeight w:val="202"/>
        </w:trPr>
        <w:tc>
          <w:tcPr>
            <w:tcW w:w="3600" w:type="dxa"/>
            <w:vAlign w:val="bottom"/>
            <w:gridSpan w:val="2"/>
          </w:tcPr>
          <w:p>
            <w:pPr>
              <w:ind w:left="20"/>
              <w:spacing w:after="0"/>
              <w:rPr>
                <w:sz w:val="20"/>
                <w:szCs w:val="20"/>
                <w:color w:val="auto"/>
              </w:rPr>
            </w:pPr>
            <w:r>
              <w:rPr>
                <w:rFonts w:ascii="Arial" w:cs="Arial" w:eastAsia="Arial" w:hAnsi="Arial"/>
                <w:sz w:val="14"/>
                <w:szCs w:val="14"/>
                <w:color w:val="131E29"/>
              </w:rPr>
              <w:t>November 1 - 30, 2024</w:t>
            </w:r>
          </w:p>
        </w:tc>
        <w:tc>
          <w:tcPr>
            <w:tcW w:w="1720" w:type="dxa"/>
            <w:vAlign w:val="bottom"/>
          </w:tcPr>
          <w:p>
            <w:pPr>
              <w:jc w:val="right"/>
              <w:spacing w:after="0"/>
              <w:rPr>
                <w:sz w:val="20"/>
                <w:szCs w:val="20"/>
                <w:color w:val="auto"/>
              </w:rPr>
            </w:pPr>
            <w:r>
              <w:rPr>
                <w:rFonts w:ascii="Arial" w:cs="Arial" w:eastAsia="Arial" w:hAnsi="Arial"/>
                <w:sz w:val="14"/>
                <w:szCs w:val="14"/>
                <w:color w:val="131E29"/>
              </w:rPr>
              <w:t>4,092</w:t>
            </w:r>
          </w:p>
        </w:tc>
        <w:tc>
          <w:tcPr>
            <w:tcW w:w="80" w:type="dxa"/>
            <w:vAlign w:val="bottom"/>
          </w:tcPr>
          <w:p>
            <w:pPr>
              <w:spacing w:after="0"/>
              <w:rPr>
                <w:sz w:val="17"/>
                <w:szCs w:val="17"/>
                <w:color w:val="auto"/>
              </w:rPr>
            </w:pPr>
          </w:p>
        </w:tc>
        <w:tc>
          <w:tcPr>
            <w:tcW w:w="580" w:type="dxa"/>
            <w:vAlign w:val="bottom"/>
          </w:tcPr>
          <w:p>
            <w:pPr>
              <w:jc w:val="right"/>
              <w:ind w:right="409"/>
              <w:spacing w:after="0"/>
              <w:rPr>
                <w:sz w:val="20"/>
                <w:szCs w:val="20"/>
                <w:color w:val="auto"/>
              </w:rPr>
            </w:pPr>
            <w:r>
              <w:rPr>
                <w:rFonts w:ascii="Arial" w:cs="Arial" w:eastAsia="Arial" w:hAnsi="Arial"/>
                <w:sz w:val="14"/>
                <w:szCs w:val="14"/>
                <w:color w:val="131E29"/>
              </w:rPr>
              <w:t>$</w:t>
            </w:r>
          </w:p>
        </w:tc>
        <w:tc>
          <w:tcPr>
            <w:tcW w:w="880" w:type="dxa"/>
            <w:vAlign w:val="bottom"/>
          </w:tcPr>
          <w:p>
            <w:pPr>
              <w:jc w:val="right"/>
              <w:spacing w:after="0"/>
              <w:rPr>
                <w:sz w:val="20"/>
                <w:szCs w:val="20"/>
                <w:color w:val="auto"/>
              </w:rPr>
            </w:pPr>
            <w:r>
              <w:rPr>
                <w:rFonts w:ascii="Arial" w:cs="Arial" w:eastAsia="Arial" w:hAnsi="Arial"/>
                <w:sz w:val="14"/>
                <w:szCs w:val="14"/>
                <w:color w:val="131E29"/>
              </w:rPr>
              <w:t>33.40</w:t>
            </w:r>
          </w:p>
        </w:tc>
        <w:tc>
          <w:tcPr>
            <w:tcW w:w="100" w:type="dxa"/>
            <w:vAlign w:val="bottom"/>
          </w:tcPr>
          <w:p>
            <w:pPr>
              <w:spacing w:after="0"/>
              <w:rPr>
                <w:sz w:val="17"/>
                <w:szCs w:val="17"/>
                <w:color w:val="auto"/>
              </w:rPr>
            </w:pPr>
          </w:p>
        </w:tc>
        <w:tc>
          <w:tcPr>
            <w:tcW w:w="2080" w:type="dxa"/>
            <w:vAlign w:val="bottom"/>
            <w:gridSpan w:val="2"/>
          </w:tcPr>
          <w:p>
            <w:pPr>
              <w:ind w:left="1800"/>
              <w:spacing w:after="0"/>
              <w:rPr>
                <w:sz w:val="20"/>
                <w:szCs w:val="20"/>
                <w:color w:val="auto"/>
              </w:rPr>
            </w:pPr>
            <w:r>
              <w:rPr>
                <w:rFonts w:ascii="Arial" w:cs="Arial" w:eastAsia="Arial" w:hAnsi="Arial"/>
                <w:sz w:val="14"/>
                <w:szCs w:val="14"/>
                <w:color w:val="131E29"/>
              </w:rPr>
              <w:t>—</w:t>
            </w:r>
          </w:p>
        </w:tc>
        <w:tc>
          <w:tcPr>
            <w:tcW w:w="2240" w:type="dxa"/>
            <w:vAlign w:val="bottom"/>
          </w:tcPr>
          <w:p>
            <w:pPr>
              <w:ind w:left="2040"/>
              <w:spacing w:after="0"/>
              <w:rPr>
                <w:sz w:val="20"/>
                <w:szCs w:val="20"/>
                <w:color w:val="auto"/>
              </w:rPr>
            </w:pPr>
            <w:r>
              <w:rPr>
                <w:rFonts w:ascii="Arial" w:cs="Arial" w:eastAsia="Arial" w:hAnsi="Arial"/>
                <w:sz w:val="14"/>
                <w:szCs w:val="14"/>
                <w:color w:val="131E29"/>
              </w:rPr>
              <w:t>—</w:t>
            </w:r>
          </w:p>
        </w:tc>
      </w:tr>
      <w:tr>
        <w:trPr>
          <w:trHeight w:val="222"/>
        </w:trPr>
        <w:tc>
          <w:tcPr>
            <w:tcW w:w="3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December 1 - 31, 2024</w:t>
            </w:r>
          </w:p>
        </w:tc>
        <w:tc>
          <w:tcPr>
            <w:tcW w:w="180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580" w:type="dxa"/>
            <w:vAlign w:val="bottom"/>
            <w:shd w:val="clear" w:color="auto" w:fill="D2DCE5"/>
          </w:tcPr>
          <w:p>
            <w:pPr>
              <w:spacing w:after="0"/>
              <w:rPr>
                <w:sz w:val="19"/>
                <w:szCs w:val="19"/>
                <w:color w:val="auto"/>
              </w:rPr>
            </w:pPr>
          </w:p>
        </w:tc>
        <w:tc>
          <w:tcPr>
            <w:tcW w:w="98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2080" w:type="dxa"/>
            <w:vAlign w:val="bottom"/>
            <w:gridSpan w:val="2"/>
            <w:shd w:val="clear" w:color="auto" w:fill="D2DCE5"/>
          </w:tcPr>
          <w:p>
            <w:pPr>
              <w:ind w:left="1800"/>
              <w:spacing w:after="0"/>
              <w:rPr>
                <w:sz w:val="20"/>
                <w:szCs w:val="20"/>
                <w:color w:val="auto"/>
              </w:rPr>
            </w:pPr>
            <w:r>
              <w:rPr>
                <w:rFonts w:ascii="Arial" w:cs="Arial" w:eastAsia="Arial" w:hAnsi="Arial"/>
                <w:sz w:val="14"/>
                <w:szCs w:val="14"/>
                <w:color w:val="131E29"/>
              </w:rPr>
              <w:t>—</w:t>
            </w:r>
          </w:p>
        </w:tc>
        <w:tc>
          <w:tcPr>
            <w:tcW w:w="2240" w:type="dxa"/>
            <w:vAlign w:val="bottom"/>
            <w:shd w:val="clear" w:color="auto" w:fill="D2DCE5"/>
          </w:tcPr>
          <w:p>
            <w:pPr>
              <w:ind w:left="2040"/>
              <w:spacing w:after="0"/>
              <w:rPr>
                <w:sz w:val="20"/>
                <w:szCs w:val="20"/>
                <w:color w:val="auto"/>
              </w:rPr>
            </w:pPr>
            <w:r>
              <w:rPr>
                <w:rFonts w:ascii="Arial" w:cs="Arial" w:eastAsia="Arial" w:hAnsi="Arial"/>
                <w:sz w:val="14"/>
                <w:szCs w:val="14"/>
                <w:color w:val="131E29"/>
              </w:rPr>
              <w:t>—</w:t>
            </w:r>
          </w:p>
        </w:tc>
      </w:tr>
      <w:tr>
        <w:trPr>
          <w:trHeight w:val="246"/>
        </w:trPr>
        <w:tc>
          <w:tcPr>
            <w:tcW w:w="3520" w:type="dxa"/>
            <w:vAlign w:val="bottom"/>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tcPr>
          <w:p>
            <w:pPr>
              <w:spacing w:after="0"/>
              <w:rPr>
                <w:sz w:val="21"/>
                <w:szCs w:val="21"/>
                <w:color w:val="auto"/>
              </w:rPr>
            </w:pPr>
          </w:p>
        </w:tc>
      </w:tr>
    </w:tbl>
    <w:p>
      <w:pPr>
        <w:spacing w:after="0" w:line="35" w:lineRule="exact"/>
        <w:rPr>
          <w:sz w:val="20"/>
          <w:szCs w:val="20"/>
          <w:color w:val="auto"/>
        </w:rPr>
      </w:pPr>
    </w:p>
    <w:p>
      <w:pPr>
        <w:ind w:left="140" w:hanging="135"/>
        <w:spacing w:after="0" w:line="229" w:lineRule="auto"/>
        <w:tabs>
          <w:tab w:leader="none" w:pos="180" w:val="left"/>
        </w:tabs>
        <w:numPr>
          <w:ilvl w:val="0"/>
          <w:numId w:val="32"/>
        </w:numPr>
        <w:rPr>
          <w:rFonts w:ascii="Arial" w:cs="Arial" w:eastAsia="Arial" w:hAnsi="Arial"/>
          <w:sz w:val="15"/>
          <w:szCs w:val="15"/>
          <w:color w:val="auto"/>
          <w:vertAlign w:val="superscript"/>
        </w:rPr>
      </w:pPr>
      <w:r>
        <w:rPr>
          <w:rFonts w:ascii="Arial" w:cs="Arial" w:eastAsia="Arial" w:hAnsi="Arial"/>
          <w:sz w:val="11"/>
          <w:szCs w:val="11"/>
          <w:color w:val="auto"/>
        </w:rPr>
        <w:t>In connection with the vesting of RSUs granted pursuant to the Dutch Bros Inc. 2021 Equity Incentive Plan, as amended, shares of Class A common stock are delivered to Dutch Bros by employees to satisfy tax withholding obligations.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5" w:name="page76"/>
    <w:bookmarkEnd w:id="7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7. MANAGEMENT’S DISCUSSION AND ANALYSIS OF FINANCIAL CONDITION AND RESULTS OF OPERATIONS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i w:val="1"/>
          <w:iCs w:val="1"/>
          <w:color w:val="131E29"/>
        </w:rPr>
        <w:t>You should read the following discussion and analysis of our financial condition and results of operations together with our audited consolidated financial statements and the related notes included elsewhere in this Form 10-K. Some of the information contained in this discussion and analysis or set forth elsewhere in this document includes forward looking statements that involve risks, uncertainties, and assumptions. You should carefully read the “Forward-Looking Statements” and “Risk Factors” sections of this Form 10-K for a discussion of important factors that could cause actual results to differ materially from the results described in or implied by the forward-looking statements contained in the following discussion and analysis.</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2"/>
          <w:szCs w:val="12"/>
          <w:i w:val="1"/>
          <w:iCs w:val="1"/>
          <w:color w:val="131E29"/>
        </w:rPr>
        <w:t>In addition, statements that “we believe” and similar statements reflect our beliefs and opinions on the relevant subject. These statements are based on information available to us as of the date of this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Further, the section of this “Management’s Discussion and Analysis of Financial Condition and Results of Operations” generally discusses 2024 and 2023 items and year-to-year comparisons between 2024 and 2023. Discussions of 2022 items and year-to-year comparisons between 2023 and 2022 are not included in this Annual Report on Form 10-K and can be found in “Management’s Discussion and Analysis of Financial Condition and Results of Operations” in Part II, Item 7 of our Annual Report on Form 10-K for the fiscal year ended December 31, 2023, filed with the SEC on February 23, 2024.</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Index to Management’s Discussion and Analysis of Financial Condition and Results of Operations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200" w:type="dxa"/>
            <w:vAlign w:val="bottom"/>
            <w:tcBorders>
              <w:bottom w:val="single" w:sz="8" w:color="D2DCE5"/>
            </w:tcBorders>
          </w:tcPr>
          <w:p>
            <w:pPr>
              <w:spacing w:after="0"/>
              <w:rPr>
                <w:sz w:val="17"/>
                <w:szCs w:val="17"/>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r>
      <w:tr>
        <w:trPr>
          <w:trHeight w:val="209"/>
        </w:trPr>
        <w:tc>
          <w:tcPr>
            <w:tcW w:w="10200" w:type="dxa"/>
            <w:vAlign w:val="bottom"/>
            <w:shd w:val="clear" w:color="auto" w:fill="D2DCE5"/>
          </w:tcPr>
          <w:p>
            <w:pPr>
              <w:ind w:left="20"/>
              <w:spacing w:after="0"/>
              <w:rPr>
                <w:sz w:val="20"/>
                <w:szCs w:val="20"/>
                <w:color w:val="auto"/>
              </w:rPr>
            </w:pPr>
            <w:r>
              <w:rPr>
                <w:rFonts w:ascii="Arial" w:cs="Arial" w:eastAsia="Arial" w:hAnsi="Arial"/>
                <w:sz w:val="14"/>
                <w:szCs w:val="14"/>
                <w:color w:val="auto"/>
              </w:rPr>
              <w:t>Overview and Highlights</w:t>
            </w: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auto"/>
              </w:rPr>
              <w:t>73</w:t>
            </w:r>
          </w:p>
        </w:tc>
      </w:tr>
      <w:tr>
        <w:trPr>
          <w:trHeight w:val="202"/>
        </w:trPr>
        <w:tc>
          <w:tcPr>
            <w:tcW w:w="10200" w:type="dxa"/>
            <w:vAlign w:val="bottom"/>
          </w:tcPr>
          <w:p>
            <w:pPr>
              <w:ind w:left="20"/>
              <w:spacing w:after="0"/>
              <w:rPr>
                <w:sz w:val="20"/>
                <w:szCs w:val="20"/>
                <w:color w:val="auto"/>
              </w:rPr>
            </w:pPr>
            <w:r>
              <w:rPr>
                <w:rFonts w:ascii="Arial" w:cs="Arial" w:eastAsia="Arial" w:hAnsi="Arial"/>
                <w:sz w:val="14"/>
                <w:szCs w:val="14"/>
                <w:color w:val="auto"/>
              </w:rPr>
              <w:t>Impact of Global Events</w:t>
            </w:r>
          </w:p>
        </w:tc>
        <w:tc>
          <w:tcPr>
            <w:tcW w:w="1080" w:type="dxa"/>
            <w:vAlign w:val="bottom"/>
          </w:tcPr>
          <w:p>
            <w:pPr>
              <w:jc w:val="center"/>
              <w:spacing w:after="0"/>
              <w:rPr>
                <w:sz w:val="20"/>
                <w:szCs w:val="20"/>
                <w:color w:val="auto"/>
              </w:rPr>
            </w:pPr>
            <w:r>
              <w:rPr>
                <w:rFonts w:ascii="Arial" w:cs="Arial" w:eastAsia="Arial" w:hAnsi="Arial"/>
                <w:sz w:val="14"/>
                <w:szCs w:val="14"/>
                <w:color w:val="auto"/>
              </w:rPr>
              <w:t>73</w:t>
            </w:r>
          </w:p>
        </w:tc>
      </w:tr>
      <w:tr>
        <w:trPr>
          <w:trHeight w:val="222"/>
        </w:trPr>
        <w:tc>
          <w:tcPr>
            <w:tcW w:w="10200" w:type="dxa"/>
            <w:vAlign w:val="bottom"/>
            <w:shd w:val="clear" w:color="auto" w:fill="D2DCE5"/>
          </w:tcPr>
          <w:p>
            <w:pPr>
              <w:ind w:left="20"/>
              <w:spacing w:after="0"/>
              <w:rPr>
                <w:sz w:val="20"/>
                <w:szCs w:val="20"/>
                <w:color w:val="auto"/>
              </w:rPr>
            </w:pPr>
            <w:r>
              <w:rPr>
                <w:rFonts w:ascii="Arial" w:cs="Arial" w:eastAsia="Arial" w:hAnsi="Arial"/>
                <w:sz w:val="14"/>
                <w:szCs w:val="14"/>
                <w:color w:val="auto"/>
              </w:rPr>
              <w:t>Results of Operations</w:t>
            </w: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auto"/>
              </w:rPr>
              <w:t>74</w:t>
            </w:r>
          </w:p>
        </w:tc>
      </w:tr>
      <w:tr>
        <w:trPr>
          <w:trHeight w:val="202"/>
        </w:trPr>
        <w:tc>
          <w:tcPr>
            <w:tcW w:w="10200" w:type="dxa"/>
            <w:vAlign w:val="bottom"/>
          </w:tcPr>
          <w:p>
            <w:pPr>
              <w:ind w:left="20"/>
              <w:spacing w:after="0"/>
              <w:rPr>
                <w:sz w:val="20"/>
                <w:szCs w:val="20"/>
                <w:color w:val="auto"/>
              </w:rPr>
            </w:pPr>
            <w:r>
              <w:rPr>
                <w:rFonts w:ascii="Arial" w:cs="Arial" w:eastAsia="Arial" w:hAnsi="Arial"/>
                <w:sz w:val="14"/>
                <w:szCs w:val="14"/>
                <w:color w:val="auto"/>
              </w:rPr>
              <w:t>Key Performance Indicators</w:t>
            </w:r>
          </w:p>
        </w:tc>
        <w:tc>
          <w:tcPr>
            <w:tcW w:w="1080" w:type="dxa"/>
            <w:vAlign w:val="bottom"/>
          </w:tcPr>
          <w:p>
            <w:pPr>
              <w:jc w:val="center"/>
              <w:spacing w:after="0"/>
              <w:rPr>
                <w:sz w:val="20"/>
                <w:szCs w:val="20"/>
                <w:color w:val="auto"/>
              </w:rPr>
            </w:pPr>
            <w:r>
              <w:rPr>
                <w:rFonts w:ascii="Arial" w:cs="Arial" w:eastAsia="Arial" w:hAnsi="Arial"/>
                <w:sz w:val="14"/>
                <w:szCs w:val="14"/>
                <w:color w:val="auto"/>
              </w:rPr>
              <w:t>75</w:t>
            </w:r>
          </w:p>
        </w:tc>
      </w:tr>
      <w:tr>
        <w:trPr>
          <w:trHeight w:val="222"/>
        </w:trPr>
        <w:tc>
          <w:tcPr>
            <w:tcW w:w="10200" w:type="dxa"/>
            <w:vAlign w:val="bottom"/>
            <w:shd w:val="clear" w:color="auto" w:fill="D2DCE5"/>
          </w:tcPr>
          <w:p>
            <w:pPr>
              <w:ind w:left="20"/>
              <w:spacing w:after="0"/>
              <w:rPr>
                <w:sz w:val="20"/>
                <w:szCs w:val="20"/>
                <w:color w:val="auto"/>
              </w:rPr>
            </w:pPr>
            <w:r>
              <w:rPr>
                <w:rFonts w:ascii="Arial" w:cs="Arial" w:eastAsia="Arial" w:hAnsi="Arial"/>
                <w:sz w:val="14"/>
                <w:szCs w:val="14"/>
                <w:color w:val="auto"/>
              </w:rPr>
              <w:t>Company-operated Shop Results</w:t>
            </w: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auto"/>
              </w:rPr>
              <w:t>77</w:t>
            </w:r>
          </w:p>
        </w:tc>
      </w:tr>
      <w:tr>
        <w:trPr>
          <w:trHeight w:val="202"/>
        </w:trPr>
        <w:tc>
          <w:tcPr>
            <w:tcW w:w="10200" w:type="dxa"/>
            <w:vAlign w:val="bottom"/>
          </w:tcPr>
          <w:p>
            <w:pPr>
              <w:ind w:left="20"/>
              <w:spacing w:after="0"/>
              <w:rPr>
                <w:sz w:val="20"/>
                <w:szCs w:val="20"/>
                <w:color w:val="auto"/>
              </w:rPr>
            </w:pPr>
            <w:r>
              <w:rPr>
                <w:rFonts w:ascii="Arial" w:cs="Arial" w:eastAsia="Arial" w:hAnsi="Arial"/>
                <w:sz w:val="14"/>
                <w:szCs w:val="14"/>
                <w:color w:val="auto"/>
              </w:rPr>
              <w:t>Franchising and Other Segment Performance</w:t>
            </w:r>
          </w:p>
        </w:tc>
        <w:tc>
          <w:tcPr>
            <w:tcW w:w="1080" w:type="dxa"/>
            <w:vAlign w:val="bottom"/>
          </w:tcPr>
          <w:p>
            <w:pPr>
              <w:jc w:val="center"/>
              <w:spacing w:after="0"/>
              <w:rPr>
                <w:sz w:val="20"/>
                <w:szCs w:val="20"/>
                <w:color w:val="auto"/>
              </w:rPr>
            </w:pPr>
            <w:r>
              <w:rPr>
                <w:rFonts w:ascii="Arial" w:cs="Arial" w:eastAsia="Arial" w:hAnsi="Arial"/>
                <w:sz w:val="14"/>
                <w:szCs w:val="14"/>
                <w:color w:val="auto"/>
              </w:rPr>
              <w:t>80</w:t>
            </w:r>
          </w:p>
        </w:tc>
      </w:tr>
      <w:tr>
        <w:trPr>
          <w:trHeight w:val="222"/>
        </w:trPr>
        <w:tc>
          <w:tcPr>
            <w:tcW w:w="10200" w:type="dxa"/>
            <w:vAlign w:val="bottom"/>
            <w:shd w:val="clear" w:color="auto" w:fill="D2DCE5"/>
          </w:tcPr>
          <w:p>
            <w:pPr>
              <w:ind w:left="20"/>
              <w:spacing w:after="0"/>
              <w:rPr>
                <w:sz w:val="20"/>
                <w:szCs w:val="20"/>
                <w:color w:val="auto"/>
              </w:rPr>
            </w:pPr>
            <w:r>
              <w:rPr>
                <w:rFonts w:ascii="Arial" w:cs="Arial" w:eastAsia="Arial" w:hAnsi="Arial"/>
                <w:sz w:val="14"/>
                <w:szCs w:val="14"/>
                <w:color w:val="auto"/>
              </w:rPr>
              <w:t>Selling, General, and Administrative</w:t>
            </w: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auto"/>
              </w:rPr>
              <w:t>80</w:t>
            </w:r>
          </w:p>
        </w:tc>
      </w:tr>
      <w:tr>
        <w:trPr>
          <w:trHeight w:val="202"/>
        </w:trPr>
        <w:tc>
          <w:tcPr>
            <w:tcW w:w="1020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1080" w:type="dxa"/>
            <w:vAlign w:val="bottom"/>
          </w:tcPr>
          <w:p>
            <w:pPr>
              <w:jc w:val="center"/>
              <w:spacing w:after="0"/>
              <w:rPr>
                <w:sz w:val="20"/>
                <w:szCs w:val="20"/>
                <w:color w:val="auto"/>
              </w:rPr>
            </w:pPr>
            <w:r>
              <w:rPr>
                <w:rFonts w:ascii="Arial" w:cs="Arial" w:eastAsia="Arial" w:hAnsi="Arial"/>
                <w:sz w:val="14"/>
                <w:szCs w:val="14"/>
                <w:color w:val="auto"/>
              </w:rPr>
              <w:t>81</w:t>
            </w:r>
          </w:p>
        </w:tc>
      </w:tr>
      <w:tr>
        <w:trPr>
          <w:trHeight w:val="222"/>
        </w:trPr>
        <w:tc>
          <w:tcPr>
            <w:tcW w:w="10200" w:type="dxa"/>
            <w:vAlign w:val="bottom"/>
            <w:shd w:val="clear" w:color="auto" w:fill="D2DCE5"/>
          </w:tcPr>
          <w:p>
            <w:pPr>
              <w:ind w:left="20"/>
              <w:spacing w:after="0"/>
              <w:rPr>
                <w:sz w:val="20"/>
                <w:szCs w:val="20"/>
                <w:color w:val="auto"/>
              </w:rPr>
            </w:pPr>
            <w:r>
              <w:rPr>
                <w:rFonts w:ascii="Arial" w:cs="Arial" w:eastAsia="Arial" w:hAnsi="Arial"/>
                <w:sz w:val="14"/>
                <w:szCs w:val="14"/>
                <w:color w:val="auto"/>
              </w:rPr>
              <w:t>Income Tax Expense</w:t>
            </w: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auto"/>
              </w:rPr>
              <w:t>81</w:t>
            </w:r>
          </w:p>
        </w:tc>
      </w:tr>
      <w:tr>
        <w:trPr>
          <w:trHeight w:val="202"/>
        </w:trPr>
        <w:tc>
          <w:tcPr>
            <w:tcW w:w="10200" w:type="dxa"/>
            <w:vAlign w:val="bottom"/>
          </w:tcPr>
          <w:p>
            <w:pPr>
              <w:ind w:left="20"/>
              <w:spacing w:after="0"/>
              <w:rPr>
                <w:sz w:val="20"/>
                <w:szCs w:val="20"/>
                <w:color w:val="auto"/>
              </w:rPr>
            </w:pPr>
            <w:r>
              <w:rPr>
                <w:rFonts w:ascii="Arial" w:cs="Arial" w:eastAsia="Arial" w:hAnsi="Arial"/>
                <w:sz w:val="14"/>
                <w:szCs w:val="14"/>
                <w:color w:val="auto"/>
              </w:rPr>
              <w:t>Liquidity and Capital Resources</w:t>
            </w:r>
          </w:p>
        </w:tc>
        <w:tc>
          <w:tcPr>
            <w:tcW w:w="1080" w:type="dxa"/>
            <w:vAlign w:val="bottom"/>
          </w:tcPr>
          <w:p>
            <w:pPr>
              <w:jc w:val="center"/>
              <w:spacing w:after="0"/>
              <w:rPr>
                <w:sz w:val="20"/>
                <w:szCs w:val="20"/>
                <w:color w:val="auto"/>
              </w:rPr>
            </w:pPr>
            <w:r>
              <w:rPr>
                <w:rFonts w:ascii="Arial" w:cs="Arial" w:eastAsia="Arial" w:hAnsi="Arial"/>
                <w:sz w:val="14"/>
                <w:szCs w:val="14"/>
                <w:color w:val="auto"/>
              </w:rPr>
              <w:t>81</w:t>
            </w:r>
          </w:p>
        </w:tc>
      </w:tr>
      <w:tr>
        <w:trPr>
          <w:trHeight w:val="222"/>
        </w:trPr>
        <w:tc>
          <w:tcPr>
            <w:tcW w:w="10200" w:type="dxa"/>
            <w:vAlign w:val="bottom"/>
            <w:shd w:val="clear" w:color="auto" w:fill="D2DCE5"/>
          </w:tcPr>
          <w:p>
            <w:pPr>
              <w:ind w:left="20"/>
              <w:spacing w:after="0"/>
              <w:rPr>
                <w:sz w:val="20"/>
                <w:szCs w:val="20"/>
                <w:color w:val="auto"/>
              </w:rPr>
            </w:pPr>
            <w:r>
              <w:rPr>
                <w:rFonts w:ascii="Arial" w:cs="Arial" w:eastAsia="Arial" w:hAnsi="Arial"/>
                <w:sz w:val="14"/>
                <w:szCs w:val="14"/>
                <w:color w:val="auto"/>
              </w:rPr>
              <w:t>Non-GAAP Financial Measures</w:t>
            </w: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6" w:name="page77"/>
    <w:bookmarkEnd w:id="7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Overview and Highlights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 by location count.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Key Highlights</w:t>
      </w:r>
    </w:p>
    <w:p>
      <w:pPr>
        <w:spacing w:after="0" w:line="92" w:lineRule="exact"/>
        <w:rPr>
          <w:sz w:val="20"/>
          <w:szCs w:val="20"/>
          <w:color w:val="auto"/>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Delivered approximately 33% total revenue growth year-over-year.</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Opened 151 systemwide shops across multiple new operating areas, an increase of approximately 18% over 2023.</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Launched and implemented mobile ordering in over 95% of systemwide shops.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Opened second roasting facility in Melissa, Texas, increasing the resiliency of our supply chain.</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33"/>
        </w:numPr>
        <w:rPr>
          <w:rFonts w:ascii="Arial" w:cs="Arial" w:eastAsia="Arial" w:hAnsi="Arial"/>
          <w:sz w:val="14"/>
          <w:szCs w:val="14"/>
          <w:color w:val="131E29"/>
        </w:rPr>
      </w:pPr>
      <w:r>
        <w:rPr>
          <w:rFonts w:ascii="Arial" w:cs="Arial" w:eastAsia="Arial" w:hAnsi="Arial"/>
          <w:sz w:val="14"/>
          <w:szCs w:val="14"/>
          <w:color w:val="131E29"/>
        </w:rPr>
        <w:t>Welcomed new President of Operations, Chief Financial Officer, Chief People Officer, and Chief Technology and Information Officer.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Impact of Global Events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General Macroeconomic Uncertainties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a retailer that is dependent upon consumer discretionary spending, our results of operations are sensitive to changes in macroeconomic conditions. Inflation may have a material adverse effect on our business, financial condition or results of operations. Our customers may have or in the future may have less money available for discretionary purchases and may reduce or stop their purchases of our products.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On a macro level, conditions, including changes in interest rates, inflation, bank failures and other events affecting financial institutions, geopolitical conflicts (such as the Russia-Ukraine war, the state of war between Israel and Hamas, and the risk of larger regional conflicts), and significant weather events (such as the recent wildfires in California), have created significant uncertainty in the global economy. While we are not able to fully predict the potential impacts of these conditions, we do not currently believe any potential impacts of these macroeconomic conditions would be material to our business.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Minimum Wage Increases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We continued to experience the effects of legislated minimum wage increases that took effect in 2024 in certain states. We expect these pressures to continue to affect our operating results in the foreseeable future. For example, California’s minimum wage increased to $ 20 per hour effective April 2024 for covered employees in our industry. Additionally, several other states that we operate in have increased their minimum wage requirements in 2025.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costs and our ability to increase menu prices or take other action in response, or if we choose not to pass on the cost increases by increasing menu prices, our operating results could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7" w:name="page78"/>
    <w:bookmarkEnd w:id="7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Results of Operations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of December 31, 2024, we had 982 company-operated and franchised shops in 18 states, an increase of approximately 18.2% from the same period in the prior year. For the year ended December 31, 2024, we generated $1.3 billion of revenue, $66.5 million net income, and $0.34 income per diluted share. We have two reportable operating segments: Company-operated shops and Franchising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40005</wp:posOffset>
            </wp:positionV>
            <wp:extent cx="4042410" cy="32810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42410" cy="3281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35" w:lineRule="exact"/>
        <w:rPr>
          <w:sz w:val="20"/>
          <w:szCs w:val="20"/>
          <w:color w:val="auto"/>
        </w:rPr>
      </w:pPr>
    </w:p>
    <w:p>
      <w:pPr>
        <w:ind w:left="180" w:hanging="175"/>
        <w:spacing w:after="0"/>
        <w:tabs>
          <w:tab w:leader="none" w:pos="180" w:val="left"/>
        </w:tabs>
        <w:numPr>
          <w:ilvl w:val="0"/>
          <w:numId w:val="34"/>
        </w:numPr>
        <w:rPr>
          <w:rFonts w:ascii="Arial" w:cs="Arial" w:eastAsia="Arial" w:hAnsi="Arial"/>
          <w:sz w:val="15"/>
          <w:szCs w:val="15"/>
          <w:color w:val="auto"/>
          <w:vertAlign w:val="superscript"/>
        </w:rPr>
      </w:pPr>
      <w:r>
        <w:rPr>
          <w:rFonts w:ascii="Arial" w:cs="Arial" w:eastAsia="Arial" w:hAnsi="Arial"/>
          <w:sz w:val="11"/>
          <w:szCs w:val="11"/>
          <w:color w:val="131E29"/>
        </w:rPr>
        <w:t>Reconciliation of GAAP to non-GAAP results is provided in the section “Non-GAAP Financial Measures” in Part II, Item 7 “Management’s Discussion and Analysis of Financial Condition and Results of Operations”.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7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9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131E29"/>
              </w:rPr>
              <w:t>2024 vs 2023</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80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131E29"/>
              </w:rPr>
              <w:t>2023 vs 2022</w:t>
            </w:r>
          </w:p>
        </w:tc>
      </w:tr>
      <w:tr>
        <w:trPr>
          <w:trHeight w:val="209"/>
        </w:trPr>
        <w:tc>
          <w:tcPr>
            <w:tcW w:w="7740" w:type="dxa"/>
            <w:vAlign w:val="bottom"/>
            <w:gridSpan w:val="3"/>
            <w:shd w:val="clear" w:color="auto" w:fill="D2DCE5"/>
          </w:tcPr>
          <w:p>
            <w:pPr>
              <w:ind w:left="20"/>
              <w:spacing w:after="0"/>
              <w:rPr>
                <w:sz w:val="20"/>
                <w:szCs w:val="20"/>
                <w:color w:val="auto"/>
              </w:rPr>
            </w:pPr>
            <w:r>
              <w:rPr>
                <w:rFonts w:ascii="Arial" w:cs="Arial" w:eastAsia="Arial" w:hAnsi="Arial"/>
                <w:sz w:val="14"/>
                <w:szCs w:val="14"/>
                <w:color w:val="131E29"/>
              </w:rPr>
              <w:t>Increase in total shops</w:t>
            </w:r>
          </w:p>
        </w:tc>
        <w:tc>
          <w:tcPr>
            <w:tcW w:w="6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18.2 %</w:t>
            </w:r>
          </w:p>
        </w:tc>
        <w:tc>
          <w:tcPr>
            <w:tcW w:w="80" w:type="dxa"/>
            <w:vAlign w:val="bottom"/>
            <w:shd w:val="clear" w:color="auto" w:fill="D2DCE5"/>
          </w:tcPr>
          <w:p>
            <w:pPr>
              <w:spacing w:after="0"/>
              <w:rPr>
                <w:sz w:val="18"/>
                <w:szCs w:val="18"/>
                <w:color w:val="auto"/>
              </w:rPr>
            </w:pPr>
          </w:p>
        </w:tc>
        <w:tc>
          <w:tcPr>
            <w:tcW w:w="28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23.8 %</w:t>
            </w:r>
          </w:p>
        </w:tc>
      </w:tr>
      <w:tr>
        <w:trPr>
          <w:trHeight w:val="193"/>
        </w:trPr>
        <w:tc>
          <w:tcPr>
            <w:tcW w:w="7740" w:type="dxa"/>
            <w:vAlign w:val="bottom"/>
            <w:gridSpan w:val="3"/>
          </w:tcPr>
          <w:p>
            <w:pPr>
              <w:ind w:left="20"/>
              <w:spacing w:after="0"/>
              <w:rPr>
                <w:sz w:val="20"/>
                <w:szCs w:val="20"/>
                <w:color w:val="auto"/>
              </w:rPr>
            </w:pPr>
            <w:r>
              <w:rPr>
                <w:rFonts w:ascii="Arial" w:cs="Arial" w:eastAsia="Arial" w:hAnsi="Arial"/>
                <w:sz w:val="14"/>
                <w:szCs w:val="14"/>
                <w:color w:val="131E29"/>
              </w:rPr>
              <w:t>Increase in total revenue</w:t>
            </w:r>
          </w:p>
        </w:tc>
        <w:tc>
          <w:tcPr>
            <w:tcW w:w="660" w:type="dxa"/>
            <w:vAlign w:val="bottom"/>
          </w:tcPr>
          <w:p>
            <w:pPr>
              <w:jc w:val="right"/>
              <w:spacing w:after="0"/>
              <w:rPr>
                <w:sz w:val="20"/>
                <w:szCs w:val="20"/>
                <w:color w:val="auto"/>
              </w:rPr>
            </w:pPr>
            <w:r>
              <w:rPr>
                <w:rFonts w:ascii="Arial" w:cs="Arial" w:eastAsia="Arial" w:hAnsi="Arial"/>
                <w:sz w:val="14"/>
                <w:szCs w:val="14"/>
                <w:color w:val="131E29"/>
              </w:rPr>
              <w:t>32.6 %</w:t>
            </w:r>
          </w:p>
        </w:tc>
        <w:tc>
          <w:tcPr>
            <w:tcW w:w="80" w:type="dxa"/>
            <w:vAlign w:val="bottom"/>
          </w:tcPr>
          <w:p>
            <w:pPr>
              <w:spacing w:after="0"/>
              <w:rPr>
                <w:sz w:val="16"/>
                <w:szCs w:val="16"/>
                <w:color w:val="auto"/>
              </w:rPr>
            </w:pPr>
          </w:p>
        </w:tc>
        <w:tc>
          <w:tcPr>
            <w:tcW w:w="2800" w:type="dxa"/>
            <w:vAlign w:val="bottom"/>
          </w:tcPr>
          <w:p>
            <w:pPr>
              <w:jc w:val="right"/>
              <w:spacing w:after="0"/>
              <w:rPr>
                <w:sz w:val="20"/>
                <w:szCs w:val="20"/>
                <w:color w:val="auto"/>
              </w:rPr>
            </w:pPr>
            <w:r>
              <w:rPr>
                <w:rFonts w:ascii="Arial" w:cs="Arial" w:eastAsia="Arial" w:hAnsi="Arial"/>
                <w:sz w:val="14"/>
                <w:szCs w:val="14"/>
                <w:color w:val="131E29"/>
              </w:rPr>
              <w:t>30.7 %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8" w:name="page79"/>
    <w:bookmarkEnd w:id="7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Key Performance Indicators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The key performance indicators that we use to effectively manage and evaluate our business are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209"/>
              <w:spacing w:after="0"/>
              <w:rPr>
                <w:sz w:val="20"/>
                <w:szCs w:val="20"/>
                <w:color w:val="auto"/>
              </w:rPr>
            </w:pPr>
            <w:r>
              <w:rPr>
                <w:rFonts w:ascii="Arial" w:cs="Arial" w:eastAsia="Arial" w:hAnsi="Arial"/>
                <w:sz w:val="14"/>
                <w:szCs w:val="14"/>
                <w:b w:val="1"/>
                <w:bCs w:val="1"/>
                <w:color w:val="131E29"/>
              </w:rPr>
              <w:t>Year Ended December 31,</w:t>
            </w:r>
          </w:p>
        </w:tc>
        <w:tc>
          <w:tcPr>
            <w:tcW w:w="1120" w:type="dxa"/>
            <w:vAlign w:val="bottom"/>
            <w:tcBorders>
              <w:bottom w:val="single" w:sz="8" w:color="auto"/>
            </w:tcBorders>
          </w:tcPr>
          <w:p>
            <w:pPr>
              <w:spacing w:after="0"/>
              <w:rPr>
                <w:sz w:val="17"/>
                <w:szCs w:val="17"/>
                <w:color w:val="auto"/>
              </w:rPr>
            </w:pPr>
          </w:p>
        </w:tc>
      </w:tr>
      <w:tr>
        <w:trPr>
          <w:trHeight w:val="20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shop count data; unaudited)</w:t>
            </w:r>
          </w:p>
        </w:tc>
        <w:tc>
          <w:tcPr>
            <w:tcW w:w="12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120" w:type="dxa"/>
            <w:vAlign w:val="bottom"/>
            <w:tcBorders>
              <w:bottom w:val="single" w:sz="8" w:color="131E29"/>
            </w:tcBorders>
          </w:tcPr>
          <w:p>
            <w:pPr>
              <w:jc w:val="right"/>
              <w:ind w:right="489"/>
              <w:spacing w:after="0"/>
              <w:rPr>
                <w:sz w:val="20"/>
                <w:szCs w:val="20"/>
                <w:color w:val="auto"/>
              </w:rPr>
            </w:pPr>
            <w:r>
              <w:rPr>
                <w:rFonts w:ascii="Arial" w:cs="Arial" w:eastAsia="Arial" w:hAnsi="Arial"/>
                <w:sz w:val="14"/>
                <w:szCs w:val="14"/>
                <w:b w:val="1"/>
                <w:bCs w:val="1"/>
                <w:color w:val="131E29"/>
              </w:rPr>
              <w:t>2022</w:t>
            </w:r>
          </w:p>
        </w:tc>
      </w:tr>
      <w:tr>
        <w:trPr>
          <w:trHeight w:val="209"/>
        </w:trPr>
        <w:tc>
          <w:tcPr>
            <w:tcW w:w="67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Shop count, beginning of period</w:t>
            </w: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spacing w:after="0"/>
              <w:rPr>
                <w:sz w:val="18"/>
                <w:szCs w:val="18"/>
                <w:color w:val="auto"/>
              </w:rPr>
            </w:pPr>
          </w:p>
        </w:tc>
      </w:tr>
      <w:tr>
        <w:trPr>
          <w:trHeight w:val="202"/>
        </w:trPr>
        <w:tc>
          <w:tcPr>
            <w:tcW w:w="6760" w:type="dxa"/>
            <w:vAlign w:val="bottom"/>
            <w:gridSpan w:val="2"/>
          </w:tcPr>
          <w:p>
            <w:pPr>
              <w:ind w:left="140"/>
              <w:spacing w:after="0"/>
              <w:rPr>
                <w:sz w:val="20"/>
                <w:szCs w:val="20"/>
                <w:color w:val="auto"/>
              </w:rPr>
            </w:pPr>
            <w:r>
              <w:rPr>
                <w:rFonts w:ascii="Arial" w:cs="Arial" w:eastAsia="Arial" w:hAnsi="Arial"/>
                <w:sz w:val="14"/>
                <w:szCs w:val="14"/>
                <w:color w:val="131E29"/>
              </w:rPr>
              <w:t>Company-operated</w:t>
            </w:r>
          </w:p>
        </w:tc>
        <w:tc>
          <w:tcPr>
            <w:tcW w:w="320" w:type="dxa"/>
            <w:vAlign w:val="bottom"/>
          </w:tcPr>
          <w:p>
            <w:pPr>
              <w:spacing w:after="0"/>
              <w:rPr>
                <w:sz w:val="17"/>
                <w:szCs w:val="17"/>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542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131E29"/>
              </w:rPr>
              <w:t>396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271</w:t>
            </w:r>
          </w:p>
        </w:tc>
      </w:tr>
      <w:tr>
        <w:trPr>
          <w:trHeight w:val="213"/>
        </w:trPr>
        <w:tc>
          <w:tcPr>
            <w:tcW w:w="6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Franchised</w:t>
            </w:r>
          </w:p>
        </w:tc>
        <w:tc>
          <w:tcPr>
            <w:tcW w:w="320" w:type="dxa"/>
            <w:vAlign w:val="bottom"/>
            <w:tcBorders>
              <w:bottom w:val="single" w:sz="8" w:color="auto"/>
            </w:tcBorders>
            <w:shd w:val="clear" w:color="auto" w:fill="D2DCE5"/>
          </w:tcPr>
          <w:p>
            <w:pPr>
              <w:spacing w:after="0"/>
              <w:rPr>
                <w:sz w:val="18"/>
                <w:szCs w:val="18"/>
                <w:color w:val="auto"/>
              </w:rPr>
            </w:pPr>
          </w:p>
        </w:tc>
        <w:tc>
          <w:tcPr>
            <w:tcW w:w="112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289</w:t>
            </w:r>
          </w:p>
        </w:tc>
        <w:tc>
          <w:tcPr>
            <w:tcW w:w="10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14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275</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12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267</w:t>
            </w:r>
          </w:p>
        </w:tc>
      </w:tr>
      <w:tr>
        <w:trPr>
          <w:trHeight w:val="212"/>
        </w:trPr>
        <w:tc>
          <w:tcPr>
            <w:tcW w:w="6760" w:type="dxa"/>
            <w:vAlign w:val="bottom"/>
            <w:gridSpan w:val="2"/>
          </w:tcPr>
          <w:p>
            <w:pPr>
              <w:ind w:left="400"/>
              <w:spacing w:after="0"/>
              <w:rPr>
                <w:sz w:val="20"/>
                <w:szCs w:val="20"/>
                <w:color w:val="auto"/>
              </w:rPr>
            </w:pPr>
            <w:r>
              <w:rPr>
                <w:rFonts w:ascii="Arial" w:cs="Arial" w:eastAsia="Arial" w:hAnsi="Arial"/>
                <w:sz w:val="14"/>
                <w:szCs w:val="14"/>
                <w:b w:val="1"/>
                <w:bCs w:val="1"/>
                <w:color w:val="131E29"/>
              </w:rPr>
              <w:t>Total shop count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131E29"/>
              </w:rPr>
              <w:t>831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131E29"/>
              </w:rPr>
              <w:t>671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131E29"/>
              </w:rPr>
              <w:t>538</w:t>
            </w:r>
          </w:p>
        </w:tc>
      </w:tr>
      <w:tr>
        <w:trPr>
          <w:trHeight w:val="20"/>
        </w:trPr>
        <w:tc>
          <w:tcPr>
            <w:tcW w:w="6640" w:type="dxa"/>
            <w:vAlign w:val="bottom"/>
            <w:tcBorders>
              <w:bottom w:val="single" w:sz="8" w:color="D2DCE5"/>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8"/>
        </w:trPr>
        <w:tc>
          <w:tcPr>
            <w:tcW w:w="6640" w:type="dxa"/>
            <w:vAlign w:val="bottom"/>
            <w:shd w:val="clear" w:color="auto" w:fill="D2DCE5"/>
          </w:tcPr>
          <w:p>
            <w:pPr>
              <w:spacing w:after="0"/>
              <w:rPr>
                <w:sz w:val="6"/>
                <w:szCs w:val="6"/>
                <w:color w:val="auto"/>
              </w:rPr>
            </w:pPr>
          </w:p>
        </w:tc>
        <w:tc>
          <w:tcPr>
            <w:tcW w:w="120" w:type="dxa"/>
            <w:vAlign w:val="bottom"/>
            <w:shd w:val="clear" w:color="auto" w:fill="D2DCE5"/>
          </w:tcPr>
          <w:p>
            <w:pPr>
              <w:spacing w:after="0"/>
              <w:rPr>
                <w:sz w:val="6"/>
                <w:szCs w:val="6"/>
                <w:color w:val="auto"/>
              </w:rPr>
            </w:pPr>
          </w:p>
        </w:tc>
        <w:tc>
          <w:tcPr>
            <w:tcW w:w="320" w:type="dxa"/>
            <w:vAlign w:val="bottom"/>
            <w:shd w:val="clear" w:color="auto" w:fill="D2DCE5"/>
          </w:tcPr>
          <w:p>
            <w:pPr>
              <w:spacing w:after="0"/>
              <w:rPr>
                <w:sz w:val="6"/>
                <w:szCs w:val="6"/>
                <w:color w:val="auto"/>
              </w:rPr>
            </w:pPr>
          </w:p>
        </w:tc>
        <w:tc>
          <w:tcPr>
            <w:tcW w:w="1120" w:type="dxa"/>
            <w:vAlign w:val="bottom"/>
            <w:shd w:val="clear" w:color="auto" w:fill="D2DCE5"/>
          </w:tcPr>
          <w:p>
            <w:pPr>
              <w:spacing w:after="0"/>
              <w:rPr>
                <w:sz w:val="6"/>
                <w:szCs w:val="6"/>
                <w:color w:val="auto"/>
              </w:rPr>
            </w:pPr>
          </w:p>
        </w:tc>
        <w:tc>
          <w:tcPr>
            <w:tcW w:w="100" w:type="dxa"/>
            <w:vAlign w:val="bottom"/>
            <w:shd w:val="clear" w:color="auto" w:fill="D2DCE5"/>
          </w:tcPr>
          <w:p>
            <w:pPr>
              <w:spacing w:after="0"/>
              <w:rPr>
                <w:sz w:val="6"/>
                <w:szCs w:val="6"/>
                <w:color w:val="auto"/>
              </w:rPr>
            </w:pPr>
          </w:p>
        </w:tc>
        <w:tc>
          <w:tcPr>
            <w:tcW w:w="320" w:type="dxa"/>
            <w:vAlign w:val="bottom"/>
            <w:shd w:val="clear" w:color="auto" w:fill="D2DCE5"/>
          </w:tcPr>
          <w:p>
            <w:pPr>
              <w:spacing w:after="0"/>
              <w:rPr>
                <w:sz w:val="6"/>
                <w:szCs w:val="6"/>
                <w:color w:val="auto"/>
              </w:rPr>
            </w:pPr>
          </w:p>
        </w:tc>
        <w:tc>
          <w:tcPr>
            <w:tcW w:w="1140" w:type="dxa"/>
            <w:vAlign w:val="bottom"/>
            <w:shd w:val="clear" w:color="auto" w:fill="D2DCE5"/>
          </w:tcPr>
          <w:p>
            <w:pPr>
              <w:spacing w:after="0"/>
              <w:rPr>
                <w:sz w:val="6"/>
                <w:szCs w:val="6"/>
                <w:color w:val="auto"/>
              </w:rPr>
            </w:pPr>
          </w:p>
        </w:tc>
        <w:tc>
          <w:tcPr>
            <w:tcW w:w="80" w:type="dxa"/>
            <w:vAlign w:val="bottom"/>
            <w:shd w:val="clear" w:color="auto" w:fill="D2DCE5"/>
          </w:tcPr>
          <w:p>
            <w:pPr>
              <w:spacing w:after="0"/>
              <w:rPr>
                <w:sz w:val="6"/>
                <w:szCs w:val="6"/>
                <w:color w:val="auto"/>
              </w:rPr>
            </w:pPr>
          </w:p>
        </w:tc>
        <w:tc>
          <w:tcPr>
            <w:tcW w:w="320" w:type="dxa"/>
            <w:vAlign w:val="bottom"/>
            <w:shd w:val="clear" w:color="auto" w:fill="D2DCE5"/>
          </w:tcPr>
          <w:p>
            <w:pPr>
              <w:spacing w:after="0"/>
              <w:rPr>
                <w:sz w:val="6"/>
                <w:szCs w:val="6"/>
                <w:color w:val="auto"/>
              </w:rPr>
            </w:pPr>
          </w:p>
        </w:tc>
        <w:tc>
          <w:tcPr>
            <w:tcW w:w="1120" w:type="dxa"/>
            <w:vAlign w:val="bottom"/>
            <w:shd w:val="clear" w:color="auto" w:fill="D2DCE5"/>
          </w:tcPr>
          <w:p>
            <w:pPr>
              <w:spacing w:after="0"/>
              <w:rPr>
                <w:sz w:val="6"/>
                <w:szCs w:val="6"/>
                <w:color w:val="auto"/>
              </w:rPr>
            </w:pPr>
          </w:p>
        </w:tc>
      </w:tr>
      <w:tr>
        <w:trPr>
          <w:trHeight w:val="202"/>
        </w:trPr>
        <w:tc>
          <w:tcPr>
            <w:tcW w:w="6760" w:type="dxa"/>
            <w:vAlign w:val="bottom"/>
            <w:gridSpan w:val="2"/>
          </w:tcPr>
          <w:p>
            <w:pPr>
              <w:ind w:left="20"/>
              <w:spacing w:after="0"/>
              <w:rPr>
                <w:sz w:val="20"/>
                <w:szCs w:val="20"/>
                <w:color w:val="auto"/>
              </w:rPr>
            </w:pPr>
            <w:r>
              <w:rPr>
                <w:rFonts w:ascii="Arial" w:cs="Arial" w:eastAsia="Arial" w:hAnsi="Arial"/>
                <w:sz w:val="14"/>
                <w:szCs w:val="14"/>
                <w:color w:val="131E29"/>
              </w:rPr>
              <w:t>Company-operated new openings</w:t>
            </w:r>
          </w:p>
        </w:tc>
        <w:tc>
          <w:tcPr>
            <w:tcW w:w="320" w:type="dxa"/>
            <w:vAlign w:val="bottom"/>
          </w:tcPr>
          <w:p>
            <w:pPr>
              <w:spacing w:after="0"/>
              <w:rPr>
                <w:sz w:val="17"/>
                <w:szCs w:val="17"/>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128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131E29"/>
              </w:rPr>
              <w:t>146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120</w:t>
            </w:r>
          </w:p>
        </w:tc>
      </w:tr>
      <w:tr>
        <w:trPr>
          <w:trHeight w:val="222"/>
        </w:trPr>
        <w:tc>
          <w:tcPr>
            <w:tcW w:w="6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Franchised new openings</w:t>
            </w:r>
          </w:p>
        </w:tc>
        <w:tc>
          <w:tcPr>
            <w:tcW w:w="320" w:type="dxa"/>
            <w:vAlign w:val="bottom"/>
            <w:shd w:val="clear" w:color="auto" w:fill="D2DCE5"/>
          </w:tcPr>
          <w:p>
            <w:pPr>
              <w:spacing w:after="0"/>
              <w:rPr>
                <w:sz w:val="19"/>
                <w:szCs w:val="19"/>
                <w:color w:val="auto"/>
              </w:rPr>
            </w:pPr>
          </w:p>
        </w:tc>
        <w:tc>
          <w:tcPr>
            <w:tcW w:w="11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23</w:t>
            </w:r>
          </w:p>
        </w:tc>
        <w:tc>
          <w:tcPr>
            <w:tcW w:w="10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14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13</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1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13</w:t>
            </w:r>
          </w:p>
        </w:tc>
      </w:tr>
      <w:tr>
        <w:trPr>
          <w:trHeight w:val="202"/>
        </w:trPr>
        <w:tc>
          <w:tcPr>
            <w:tcW w:w="6760" w:type="dxa"/>
            <w:vAlign w:val="bottom"/>
            <w:gridSpan w:val="2"/>
          </w:tcPr>
          <w:p>
            <w:pPr>
              <w:ind w:left="20"/>
              <w:spacing w:after="0"/>
              <w:rPr>
                <w:sz w:val="20"/>
                <w:szCs w:val="20"/>
                <w:color w:val="auto"/>
              </w:rPr>
            </w:pPr>
            <w:r>
              <w:rPr>
                <w:rFonts w:ascii="Arial" w:cs="Arial" w:eastAsia="Arial" w:hAnsi="Arial"/>
                <w:sz w:val="14"/>
                <w:szCs w:val="14"/>
                <w:color w:val="131E29"/>
              </w:rPr>
              <w:t>Acquisition of franchise shops</w:t>
            </w:r>
          </w:p>
        </w:tc>
        <w:tc>
          <w:tcPr>
            <w:tcW w:w="32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131E29"/>
              </w:rPr>
              <w:t>—</w:t>
            </w:r>
          </w:p>
        </w:tc>
        <w:tc>
          <w:tcPr>
            <w:tcW w:w="32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131E29"/>
              </w:rPr>
              <w:t>—</w:t>
            </w:r>
          </w:p>
        </w:tc>
        <w:tc>
          <w:tcPr>
            <w:tcW w:w="320" w:type="dxa"/>
            <w:vAlign w:val="bottom"/>
          </w:tcPr>
          <w:p>
            <w:pPr>
              <w:spacing w:after="0"/>
              <w:rPr>
                <w:sz w:val="17"/>
                <w:szCs w:val="17"/>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5</w:t>
            </w:r>
          </w:p>
        </w:tc>
      </w:tr>
      <w:tr>
        <w:trPr>
          <w:trHeight w:val="222"/>
        </w:trPr>
        <w:tc>
          <w:tcPr>
            <w:tcW w:w="6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Re-openings </w:t>
            </w:r>
            <w:r>
              <w:rPr>
                <w:rFonts w:ascii="Arial" w:cs="Arial" w:eastAsia="Arial" w:hAnsi="Arial"/>
                <w:sz w:val="18"/>
                <w:szCs w:val="18"/>
                <w:color w:val="131E29"/>
                <w:vertAlign w:val="superscript"/>
              </w:rPr>
              <w:t>1</w:t>
            </w:r>
          </w:p>
        </w:tc>
        <w:tc>
          <w:tcPr>
            <w:tcW w:w="320" w:type="dxa"/>
            <w:vAlign w:val="bottom"/>
            <w:shd w:val="clear" w:color="auto" w:fill="D2DCE5"/>
          </w:tcPr>
          <w:p>
            <w:pPr>
              <w:spacing w:after="0"/>
              <w:rPr>
                <w:sz w:val="19"/>
                <w:szCs w:val="19"/>
                <w:color w:val="auto"/>
              </w:rPr>
            </w:pPr>
          </w:p>
        </w:tc>
        <w:tc>
          <w:tcPr>
            <w:tcW w:w="1220" w:type="dxa"/>
            <w:vAlign w:val="bottom"/>
            <w:gridSpan w:val="2"/>
            <w:shd w:val="clear" w:color="auto" w:fill="D2DCE5"/>
          </w:tcPr>
          <w:p>
            <w:pPr>
              <w:jc w:val="right"/>
              <w:ind w:right="200"/>
              <w:spacing w:after="0"/>
              <w:rPr>
                <w:sz w:val="20"/>
                <w:szCs w:val="20"/>
                <w:color w:val="auto"/>
              </w:rPr>
            </w:pPr>
            <w:r>
              <w:rPr>
                <w:rFonts w:ascii="Arial" w:cs="Arial" w:eastAsia="Arial" w:hAnsi="Arial"/>
                <w:sz w:val="14"/>
                <w:szCs w:val="14"/>
                <w:color w:val="131E29"/>
              </w:rPr>
              <w:t>—</w:t>
            </w:r>
          </w:p>
        </w:tc>
        <w:tc>
          <w:tcPr>
            <w:tcW w:w="320" w:type="dxa"/>
            <w:vAlign w:val="bottom"/>
            <w:shd w:val="clear" w:color="auto" w:fill="D2DCE5"/>
          </w:tcPr>
          <w:p>
            <w:pPr>
              <w:spacing w:after="0"/>
              <w:rPr>
                <w:sz w:val="19"/>
                <w:szCs w:val="19"/>
                <w:color w:val="auto"/>
              </w:rPr>
            </w:pPr>
          </w:p>
        </w:tc>
        <w:tc>
          <w:tcPr>
            <w:tcW w:w="114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1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w:t>
            </w:r>
          </w:p>
        </w:tc>
      </w:tr>
      <w:tr>
        <w:trPr>
          <w:trHeight w:val="117"/>
        </w:trPr>
        <w:tc>
          <w:tcPr>
            <w:tcW w:w="6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12"/>
        </w:trPr>
        <w:tc>
          <w:tcPr>
            <w:tcW w:w="67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Shop count, end of period</w:t>
            </w: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spacing w:after="0"/>
              <w:rPr>
                <w:sz w:val="18"/>
                <w:szCs w:val="18"/>
                <w:color w:val="auto"/>
              </w:rPr>
            </w:pPr>
          </w:p>
        </w:tc>
      </w:tr>
      <w:tr>
        <w:trPr>
          <w:trHeight w:val="202"/>
        </w:trPr>
        <w:tc>
          <w:tcPr>
            <w:tcW w:w="6760" w:type="dxa"/>
            <w:vAlign w:val="bottom"/>
            <w:gridSpan w:val="2"/>
          </w:tcPr>
          <w:p>
            <w:pPr>
              <w:ind w:left="140"/>
              <w:spacing w:after="0"/>
              <w:rPr>
                <w:sz w:val="20"/>
                <w:szCs w:val="20"/>
                <w:color w:val="auto"/>
              </w:rPr>
            </w:pPr>
            <w:r>
              <w:rPr>
                <w:rFonts w:ascii="Arial" w:cs="Arial" w:eastAsia="Arial" w:hAnsi="Arial"/>
                <w:sz w:val="14"/>
                <w:szCs w:val="14"/>
                <w:color w:val="131E29"/>
              </w:rPr>
              <w:t>Company-operated</w:t>
            </w:r>
          </w:p>
        </w:tc>
        <w:tc>
          <w:tcPr>
            <w:tcW w:w="320" w:type="dxa"/>
            <w:vAlign w:val="bottom"/>
          </w:tcPr>
          <w:p>
            <w:pPr>
              <w:spacing w:after="0"/>
              <w:rPr>
                <w:sz w:val="17"/>
                <w:szCs w:val="17"/>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670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131E29"/>
              </w:rPr>
              <w:t>542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396</w:t>
            </w:r>
          </w:p>
        </w:tc>
      </w:tr>
      <w:tr>
        <w:trPr>
          <w:trHeight w:val="213"/>
        </w:trPr>
        <w:tc>
          <w:tcPr>
            <w:tcW w:w="6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Franchised</w:t>
            </w:r>
          </w:p>
        </w:tc>
        <w:tc>
          <w:tcPr>
            <w:tcW w:w="320" w:type="dxa"/>
            <w:vAlign w:val="bottom"/>
            <w:tcBorders>
              <w:bottom w:val="single" w:sz="8" w:color="auto"/>
            </w:tcBorders>
            <w:shd w:val="clear" w:color="auto" w:fill="D2DCE5"/>
          </w:tcPr>
          <w:p>
            <w:pPr>
              <w:spacing w:after="0"/>
              <w:rPr>
                <w:sz w:val="18"/>
                <w:szCs w:val="18"/>
                <w:color w:val="auto"/>
              </w:rPr>
            </w:pPr>
          </w:p>
        </w:tc>
        <w:tc>
          <w:tcPr>
            <w:tcW w:w="112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312</w:t>
            </w:r>
          </w:p>
        </w:tc>
        <w:tc>
          <w:tcPr>
            <w:tcW w:w="10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14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289</w:t>
            </w:r>
          </w:p>
        </w:tc>
        <w:tc>
          <w:tcPr>
            <w:tcW w:w="8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spacing w:after="0"/>
              <w:rPr>
                <w:sz w:val="18"/>
                <w:szCs w:val="18"/>
                <w:color w:val="auto"/>
              </w:rPr>
            </w:pPr>
          </w:p>
        </w:tc>
        <w:tc>
          <w:tcPr>
            <w:tcW w:w="1120" w:type="dxa"/>
            <w:vAlign w:val="bottom"/>
            <w:tcBorders>
              <w:bottom w:val="single" w:sz="8" w:color="auto"/>
            </w:tcBorders>
            <w:shd w:val="clear" w:color="auto" w:fill="D2DCE5"/>
          </w:tcPr>
          <w:p>
            <w:pPr>
              <w:jc w:val="right"/>
              <w:ind w:right="29"/>
              <w:spacing w:after="0"/>
              <w:rPr>
                <w:sz w:val="20"/>
                <w:szCs w:val="20"/>
                <w:color w:val="auto"/>
              </w:rPr>
            </w:pPr>
            <w:r>
              <w:rPr>
                <w:rFonts w:ascii="Arial" w:cs="Arial" w:eastAsia="Arial" w:hAnsi="Arial"/>
                <w:sz w:val="14"/>
                <w:szCs w:val="14"/>
                <w:color w:val="131E29"/>
              </w:rPr>
              <w:t>275</w:t>
            </w:r>
          </w:p>
        </w:tc>
      </w:tr>
      <w:tr>
        <w:trPr>
          <w:trHeight w:val="212"/>
        </w:trPr>
        <w:tc>
          <w:tcPr>
            <w:tcW w:w="6760" w:type="dxa"/>
            <w:vAlign w:val="bottom"/>
            <w:gridSpan w:val="2"/>
          </w:tcPr>
          <w:p>
            <w:pPr>
              <w:ind w:left="400"/>
              <w:spacing w:after="0"/>
              <w:rPr>
                <w:sz w:val="20"/>
                <w:szCs w:val="20"/>
                <w:color w:val="auto"/>
              </w:rPr>
            </w:pPr>
            <w:r>
              <w:rPr>
                <w:rFonts w:ascii="Arial" w:cs="Arial" w:eastAsia="Arial" w:hAnsi="Arial"/>
                <w:sz w:val="14"/>
                <w:szCs w:val="14"/>
                <w:b w:val="1"/>
                <w:bCs w:val="1"/>
                <w:color w:val="131E29"/>
              </w:rPr>
              <w:t>Total shop count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131E29"/>
              </w:rPr>
              <w:t>982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131E29"/>
              </w:rPr>
              <w:t>831</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131E29"/>
              </w:rPr>
              <w:t>671</w:t>
            </w:r>
          </w:p>
        </w:tc>
      </w:tr>
      <w:tr>
        <w:trPr>
          <w:trHeight w:val="20"/>
        </w:trPr>
        <w:tc>
          <w:tcPr>
            <w:tcW w:w="6640" w:type="dxa"/>
            <w:vAlign w:val="bottom"/>
            <w:tcBorders>
              <w:bottom w:val="single" w:sz="8" w:color="D2DCE5"/>
            </w:tcBorders>
          </w:tcPr>
          <w:p>
            <w:pPr>
              <w:spacing w:after="0" w:line="20" w:lineRule="exact"/>
              <w:rPr>
                <w:sz w:val="1"/>
                <w:szCs w:val="1"/>
                <w:color w:val="auto"/>
              </w:rPr>
            </w:pPr>
          </w:p>
        </w:tc>
        <w:tc>
          <w:tcPr>
            <w:tcW w:w="12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73"/>
        </w:trPr>
        <w:tc>
          <w:tcPr>
            <w:tcW w:w="664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11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11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20" w:type="dxa"/>
            <w:vAlign w:val="bottom"/>
            <w:shd w:val="clear" w:color="auto" w:fill="D2DCE5"/>
          </w:tcPr>
          <w:p>
            <w:pPr>
              <w:spacing w:after="0"/>
              <w:rPr>
                <w:sz w:val="15"/>
                <w:szCs w:val="15"/>
                <w:color w:val="auto"/>
              </w:rPr>
            </w:pPr>
          </w:p>
        </w:tc>
        <w:tc>
          <w:tcPr>
            <w:tcW w:w="1120" w:type="dxa"/>
            <w:vAlign w:val="bottom"/>
            <w:shd w:val="clear" w:color="auto" w:fill="D2DCE5"/>
          </w:tcPr>
          <w:p>
            <w:pPr>
              <w:spacing w:after="0"/>
              <w:rPr>
                <w:sz w:val="15"/>
                <w:szCs w:val="15"/>
                <w:color w:val="auto"/>
              </w:rPr>
            </w:pPr>
          </w:p>
        </w:tc>
      </w:tr>
      <w:tr>
        <w:trPr>
          <w:trHeight w:val="212"/>
        </w:trPr>
        <w:tc>
          <w:tcPr>
            <w:tcW w:w="6760" w:type="dxa"/>
            <w:vAlign w:val="bottom"/>
            <w:gridSpan w:val="2"/>
          </w:tcPr>
          <w:p>
            <w:pPr>
              <w:ind w:left="20"/>
              <w:spacing w:after="0"/>
              <w:rPr>
                <w:sz w:val="20"/>
                <w:szCs w:val="20"/>
                <w:color w:val="auto"/>
              </w:rPr>
            </w:pPr>
            <w:r>
              <w:rPr>
                <w:rFonts w:ascii="Arial" w:cs="Arial" w:eastAsia="Arial" w:hAnsi="Arial"/>
                <w:sz w:val="14"/>
                <w:szCs w:val="14"/>
                <w:color w:val="131E29"/>
              </w:rPr>
              <w:t xml:space="preserve">Systemwide AUV </w:t>
            </w:r>
            <w:r>
              <w:rPr>
                <w:rFonts w:ascii="Arial" w:cs="Arial" w:eastAsia="Arial" w:hAnsi="Arial"/>
                <w:sz w:val="18"/>
                <w:szCs w:val="18"/>
                <w:color w:val="131E29"/>
                <w:vertAlign w:val="superscript"/>
              </w:rPr>
              <w:t>2</w:t>
            </w:r>
          </w:p>
        </w:tc>
        <w:tc>
          <w:tcPr>
            <w:tcW w:w="320" w:type="dxa"/>
            <w:vAlign w:val="bottom"/>
          </w:tcPr>
          <w:p>
            <w:pPr>
              <w:jc w:val="right"/>
              <w:ind w:right="169"/>
              <w:spacing w:after="0"/>
              <w:rPr>
                <w:sz w:val="20"/>
                <w:szCs w:val="20"/>
                <w:color w:val="auto"/>
              </w:rPr>
            </w:pPr>
            <w:r>
              <w:rPr>
                <w:rFonts w:ascii="Arial" w:cs="Arial" w:eastAsia="Arial" w:hAnsi="Arial"/>
                <w:sz w:val="14"/>
                <w:szCs w:val="14"/>
                <w:color w:val="131E29"/>
                <w:w w:val="76"/>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2,018</w:t>
            </w:r>
          </w:p>
        </w:tc>
        <w:tc>
          <w:tcPr>
            <w:tcW w:w="100" w:type="dxa"/>
            <w:vAlign w:val="bottom"/>
          </w:tcPr>
          <w:p>
            <w:pPr>
              <w:spacing w:after="0"/>
              <w:rPr>
                <w:sz w:val="18"/>
                <w:szCs w:val="18"/>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131E29"/>
                <w:w w:val="76"/>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131E29"/>
              </w:rPr>
              <w:t>1,973</w:t>
            </w:r>
          </w:p>
        </w:tc>
        <w:tc>
          <w:tcPr>
            <w:tcW w:w="80" w:type="dxa"/>
            <w:vAlign w:val="bottom"/>
          </w:tcPr>
          <w:p>
            <w:pPr>
              <w:spacing w:after="0"/>
              <w:rPr>
                <w:sz w:val="18"/>
                <w:szCs w:val="18"/>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131E29"/>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1,924</w:t>
            </w:r>
          </w:p>
        </w:tc>
      </w:tr>
      <w:tr>
        <w:trPr>
          <w:trHeight w:val="212"/>
        </w:trPr>
        <w:tc>
          <w:tcPr>
            <w:tcW w:w="6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 xml:space="preserve">Company-operated shops AUV </w:t>
            </w:r>
            <w:r>
              <w:rPr>
                <w:rFonts w:ascii="Arial" w:cs="Arial" w:eastAsia="Arial" w:hAnsi="Arial"/>
                <w:sz w:val="18"/>
                <w:szCs w:val="18"/>
                <w:color w:val="131E29"/>
                <w:vertAlign w:val="superscript"/>
              </w:rPr>
              <w:t>2</w:t>
            </w:r>
          </w:p>
        </w:tc>
        <w:tc>
          <w:tcPr>
            <w:tcW w:w="320" w:type="dxa"/>
            <w:vAlign w:val="bottom"/>
            <w:shd w:val="clear" w:color="auto" w:fill="D2DCE5"/>
          </w:tcPr>
          <w:p>
            <w:pPr>
              <w:jc w:val="right"/>
              <w:ind w:right="169"/>
              <w:spacing w:after="0"/>
              <w:rPr>
                <w:sz w:val="20"/>
                <w:szCs w:val="20"/>
                <w:color w:val="auto"/>
              </w:rPr>
            </w:pPr>
            <w:r>
              <w:rPr>
                <w:rFonts w:ascii="Arial" w:cs="Arial" w:eastAsia="Arial" w:hAnsi="Arial"/>
                <w:sz w:val="14"/>
                <w:szCs w:val="14"/>
                <w:color w:val="131E29"/>
                <w:w w:val="76"/>
              </w:rPr>
              <w:t>$</w:t>
            </w:r>
          </w:p>
        </w:tc>
        <w:tc>
          <w:tcPr>
            <w:tcW w:w="11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1,933</w:t>
            </w:r>
          </w:p>
        </w:tc>
        <w:tc>
          <w:tcPr>
            <w:tcW w:w="10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69"/>
              <w:spacing w:after="0"/>
              <w:rPr>
                <w:sz w:val="20"/>
                <w:szCs w:val="20"/>
                <w:color w:val="auto"/>
              </w:rPr>
            </w:pPr>
            <w:r>
              <w:rPr>
                <w:rFonts w:ascii="Arial" w:cs="Arial" w:eastAsia="Arial" w:hAnsi="Arial"/>
                <w:sz w:val="14"/>
                <w:szCs w:val="14"/>
                <w:color w:val="131E29"/>
                <w:w w:val="76"/>
              </w:rPr>
              <w:t>$</w:t>
            </w:r>
          </w:p>
        </w:tc>
        <w:tc>
          <w:tcPr>
            <w:tcW w:w="114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1,902</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49"/>
              <w:spacing w:after="0"/>
              <w:rPr>
                <w:sz w:val="20"/>
                <w:szCs w:val="20"/>
                <w:color w:val="auto"/>
              </w:rPr>
            </w:pPr>
            <w:r>
              <w:rPr>
                <w:rFonts w:ascii="Arial" w:cs="Arial" w:eastAsia="Arial" w:hAnsi="Arial"/>
                <w:sz w:val="14"/>
                <w:szCs w:val="14"/>
                <w:color w:val="131E29"/>
              </w:rPr>
              <w:t>$</w:t>
            </w:r>
          </w:p>
        </w:tc>
        <w:tc>
          <w:tcPr>
            <w:tcW w:w="11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1,895</w:t>
            </w:r>
          </w:p>
        </w:tc>
      </w:tr>
      <w:tr>
        <w:trPr>
          <w:trHeight w:val="212"/>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6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Systemwide same shop sales </w:t>
            </w:r>
            <w:r>
              <w:rPr>
                <w:rFonts w:ascii="Arial" w:cs="Arial" w:eastAsia="Arial" w:hAnsi="Arial"/>
                <w:sz w:val="18"/>
                <w:szCs w:val="18"/>
                <w:color w:val="131E29"/>
                <w:vertAlign w:val="superscript"/>
              </w:rPr>
              <w:t>3, 4</w:t>
            </w: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5.3 %</w:t>
            </w:r>
          </w:p>
        </w:tc>
        <w:tc>
          <w:tcPr>
            <w:tcW w:w="10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2.8 %</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1.0 %</w:t>
            </w:r>
          </w:p>
        </w:tc>
      </w:tr>
      <w:tr>
        <w:trPr>
          <w:trHeight w:val="202"/>
        </w:trPr>
        <w:tc>
          <w:tcPr>
            <w:tcW w:w="6760" w:type="dxa"/>
            <w:vAlign w:val="bottom"/>
            <w:gridSpan w:val="2"/>
          </w:tcPr>
          <w:p>
            <w:pPr>
              <w:ind w:left="140"/>
              <w:spacing w:after="0"/>
              <w:rPr>
                <w:sz w:val="20"/>
                <w:szCs w:val="20"/>
                <w:color w:val="auto"/>
              </w:rPr>
            </w:pPr>
            <w:r>
              <w:rPr>
                <w:rFonts w:ascii="Arial" w:cs="Arial" w:eastAsia="Arial" w:hAnsi="Arial"/>
                <w:sz w:val="14"/>
                <w:szCs w:val="14"/>
                <w:color w:val="131E29"/>
              </w:rPr>
              <w:t>Ticket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5.4 %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131E29"/>
              </w:rPr>
              <w:t>7.3 %</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4.8 %</w:t>
            </w:r>
          </w:p>
        </w:tc>
      </w:tr>
      <w:tr>
        <w:trPr>
          <w:trHeight w:val="222"/>
        </w:trPr>
        <w:tc>
          <w:tcPr>
            <w:tcW w:w="6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Transactions</w:t>
            </w:r>
          </w:p>
        </w:tc>
        <w:tc>
          <w:tcPr>
            <w:tcW w:w="320" w:type="dxa"/>
            <w:vAlign w:val="bottom"/>
            <w:shd w:val="clear" w:color="auto" w:fill="D2DCE5"/>
          </w:tcPr>
          <w:p>
            <w:pPr>
              <w:spacing w:after="0"/>
              <w:rPr>
                <w:sz w:val="19"/>
                <w:szCs w:val="19"/>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10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(4.5)%</w:t>
            </w: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(3.8)%</w:t>
            </w:r>
          </w:p>
        </w:tc>
      </w:tr>
      <w:tr>
        <w:trPr>
          <w:trHeight w:val="212"/>
        </w:trPr>
        <w:tc>
          <w:tcPr>
            <w:tcW w:w="6760" w:type="dxa"/>
            <w:vAlign w:val="bottom"/>
            <w:gridSpan w:val="2"/>
          </w:tcPr>
          <w:p>
            <w:pPr>
              <w:ind w:left="20"/>
              <w:spacing w:after="0"/>
              <w:rPr>
                <w:sz w:val="20"/>
                <w:szCs w:val="20"/>
                <w:color w:val="auto"/>
              </w:rPr>
            </w:pPr>
            <w:r>
              <w:rPr>
                <w:rFonts w:ascii="Arial" w:cs="Arial" w:eastAsia="Arial" w:hAnsi="Arial"/>
                <w:sz w:val="14"/>
                <w:szCs w:val="14"/>
                <w:color w:val="131E29"/>
              </w:rPr>
              <w:t xml:space="preserve">Company-operated same shop sales </w:t>
            </w:r>
            <w:r>
              <w:rPr>
                <w:rFonts w:ascii="Arial" w:cs="Arial" w:eastAsia="Arial" w:hAnsi="Arial"/>
                <w:sz w:val="18"/>
                <w:szCs w:val="18"/>
                <w:color w:val="131E29"/>
                <w:vertAlign w:val="superscript"/>
              </w:rPr>
              <w:t>3</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6.8 %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131E29"/>
              </w:rPr>
              <w:t>1.5 %</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0.6 %</w:t>
            </w:r>
          </w:p>
        </w:tc>
      </w:tr>
      <w:tr>
        <w:trPr>
          <w:trHeight w:val="212"/>
        </w:trPr>
        <w:tc>
          <w:tcPr>
            <w:tcW w:w="67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Ticket</w:t>
            </w: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5.3 %</w:t>
            </w:r>
          </w:p>
        </w:tc>
        <w:tc>
          <w:tcPr>
            <w:tcW w:w="10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7.2 %</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4.7 %</w:t>
            </w:r>
          </w:p>
        </w:tc>
      </w:tr>
      <w:tr>
        <w:trPr>
          <w:trHeight w:val="202"/>
        </w:trPr>
        <w:tc>
          <w:tcPr>
            <w:tcW w:w="6760" w:type="dxa"/>
            <w:vAlign w:val="bottom"/>
            <w:gridSpan w:val="2"/>
          </w:tcPr>
          <w:p>
            <w:pPr>
              <w:ind w:left="140"/>
              <w:spacing w:after="0"/>
              <w:rPr>
                <w:sz w:val="20"/>
                <w:szCs w:val="20"/>
                <w:color w:val="auto"/>
              </w:rPr>
            </w:pPr>
            <w:r>
              <w:rPr>
                <w:rFonts w:ascii="Arial" w:cs="Arial" w:eastAsia="Arial" w:hAnsi="Arial"/>
                <w:sz w:val="14"/>
                <w:szCs w:val="14"/>
                <w:color w:val="131E29"/>
              </w:rPr>
              <w:t>Transactions</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1.5 %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131E29"/>
              </w:rPr>
              <w:t>(5.7)%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(4.1)%</w:t>
            </w:r>
          </w:p>
        </w:tc>
      </w:tr>
      <w:tr>
        <w:trPr>
          <w:trHeight w:val="222"/>
        </w:trPr>
        <w:tc>
          <w:tcPr>
            <w:tcW w:w="664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1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1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120" w:type="dxa"/>
            <w:vAlign w:val="bottom"/>
            <w:shd w:val="clear" w:color="auto" w:fill="D2DCE5"/>
          </w:tcPr>
          <w:p>
            <w:pPr>
              <w:spacing w:after="0"/>
              <w:rPr>
                <w:sz w:val="19"/>
                <w:szCs w:val="19"/>
                <w:color w:val="auto"/>
              </w:rPr>
            </w:pPr>
          </w:p>
        </w:tc>
      </w:tr>
      <w:tr>
        <w:trPr>
          <w:trHeight w:val="212"/>
        </w:trPr>
        <w:tc>
          <w:tcPr>
            <w:tcW w:w="6760" w:type="dxa"/>
            <w:vAlign w:val="bottom"/>
            <w:gridSpan w:val="2"/>
          </w:tcPr>
          <w:p>
            <w:pPr>
              <w:ind w:left="20"/>
              <w:spacing w:after="0"/>
              <w:rPr>
                <w:sz w:val="20"/>
                <w:szCs w:val="20"/>
                <w:color w:val="auto"/>
              </w:rPr>
            </w:pPr>
            <w:r>
              <w:rPr>
                <w:rFonts w:ascii="Arial" w:cs="Arial" w:eastAsia="Arial" w:hAnsi="Arial"/>
                <w:sz w:val="14"/>
                <w:szCs w:val="14"/>
                <w:color w:val="131E29"/>
              </w:rPr>
              <w:t xml:space="preserve">Systemwide sales </w:t>
            </w:r>
            <w:r>
              <w:rPr>
                <w:rFonts w:ascii="Arial" w:cs="Arial" w:eastAsia="Arial" w:hAnsi="Arial"/>
                <w:sz w:val="18"/>
                <w:szCs w:val="18"/>
                <w:color w:val="131E29"/>
                <w:vertAlign w:val="superscript"/>
              </w:rPr>
              <w:t>4</w:t>
            </w:r>
          </w:p>
        </w:tc>
        <w:tc>
          <w:tcPr>
            <w:tcW w:w="320" w:type="dxa"/>
            <w:vAlign w:val="bottom"/>
          </w:tcPr>
          <w:p>
            <w:pPr>
              <w:jc w:val="right"/>
              <w:ind w:right="169"/>
              <w:spacing w:after="0"/>
              <w:rPr>
                <w:sz w:val="20"/>
                <w:szCs w:val="20"/>
                <w:color w:val="auto"/>
              </w:rPr>
            </w:pPr>
            <w:r>
              <w:rPr>
                <w:rFonts w:ascii="Arial" w:cs="Arial" w:eastAsia="Arial" w:hAnsi="Arial"/>
                <w:sz w:val="14"/>
                <w:szCs w:val="14"/>
                <w:color w:val="131E29"/>
                <w:w w:val="76"/>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1,819,018</w:t>
            </w:r>
          </w:p>
        </w:tc>
        <w:tc>
          <w:tcPr>
            <w:tcW w:w="100" w:type="dxa"/>
            <w:vAlign w:val="bottom"/>
          </w:tcPr>
          <w:p>
            <w:pPr>
              <w:spacing w:after="0"/>
              <w:rPr>
                <w:sz w:val="18"/>
                <w:szCs w:val="18"/>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131E29"/>
                <w:w w:val="76"/>
              </w:rPr>
              <w:t>$</w:t>
            </w:r>
          </w:p>
        </w:tc>
        <w:tc>
          <w:tcPr>
            <w:tcW w:w="1140" w:type="dxa"/>
            <w:vAlign w:val="bottom"/>
          </w:tcPr>
          <w:p>
            <w:pPr>
              <w:jc w:val="right"/>
              <w:ind w:right="29"/>
              <w:spacing w:after="0"/>
              <w:rPr>
                <w:sz w:val="20"/>
                <w:szCs w:val="20"/>
                <w:color w:val="auto"/>
              </w:rPr>
            </w:pPr>
            <w:r>
              <w:rPr>
                <w:rFonts w:ascii="Arial" w:cs="Arial" w:eastAsia="Arial" w:hAnsi="Arial"/>
                <w:sz w:val="14"/>
                <w:szCs w:val="14"/>
                <w:color w:val="131E29"/>
              </w:rPr>
              <w:t>1,444,433</w:t>
            </w:r>
          </w:p>
        </w:tc>
        <w:tc>
          <w:tcPr>
            <w:tcW w:w="80" w:type="dxa"/>
            <w:vAlign w:val="bottom"/>
          </w:tcPr>
          <w:p>
            <w:pPr>
              <w:spacing w:after="0"/>
              <w:rPr>
                <w:sz w:val="18"/>
                <w:szCs w:val="18"/>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131E29"/>
              </w:rPr>
              <w:t>$</w:t>
            </w: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1,163,182</w:t>
            </w:r>
          </w:p>
        </w:tc>
      </w:tr>
      <w:tr>
        <w:trPr>
          <w:trHeight w:val="212"/>
        </w:trPr>
        <w:tc>
          <w:tcPr>
            <w:tcW w:w="67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Company-operated shops operating weeks </w:t>
            </w:r>
            <w:r>
              <w:rPr>
                <w:rFonts w:ascii="Arial" w:cs="Arial" w:eastAsia="Arial" w:hAnsi="Arial"/>
                <w:sz w:val="18"/>
                <w:szCs w:val="18"/>
                <w:color w:val="131E29"/>
                <w:vertAlign w:val="superscript"/>
              </w:rPr>
              <w:t>5</w:t>
            </w: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31,708</w:t>
            </w:r>
          </w:p>
        </w:tc>
        <w:tc>
          <w:tcPr>
            <w:tcW w:w="10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4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24,395</w:t>
            </w: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jc w:val="right"/>
              <w:ind w:right="29"/>
              <w:spacing w:after="0"/>
              <w:rPr>
                <w:sz w:val="20"/>
                <w:szCs w:val="20"/>
                <w:color w:val="auto"/>
              </w:rPr>
            </w:pPr>
            <w:r>
              <w:rPr>
                <w:rFonts w:ascii="Arial" w:cs="Arial" w:eastAsia="Arial" w:hAnsi="Arial"/>
                <w:sz w:val="14"/>
                <w:szCs w:val="14"/>
                <w:color w:val="131E29"/>
              </w:rPr>
              <w:t>17,489</w:t>
            </w:r>
          </w:p>
        </w:tc>
      </w:tr>
      <w:tr>
        <w:trPr>
          <w:trHeight w:val="212"/>
        </w:trPr>
        <w:tc>
          <w:tcPr>
            <w:tcW w:w="6760" w:type="dxa"/>
            <w:vAlign w:val="bottom"/>
            <w:gridSpan w:val="2"/>
          </w:tcPr>
          <w:p>
            <w:pPr>
              <w:ind w:left="20"/>
              <w:spacing w:after="0"/>
              <w:rPr>
                <w:sz w:val="20"/>
                <w:szCs w:val="20"/>
                <w:color w:val="auto"/>
              </w:rPr>
            </w:pPr>
            <w:r>
              <w:rPr>
                <w:rFonts w:ascii="Arial" w:cs="Arial" w:eastAsia="Arial" w:hAnsi="Arial"/>
                <w:sz w:val="14"/>
                <w:szCs w:val="14"/>
                <w:color w:val="131E29"/>
              </w:rPr>
              <w:t xml:space="preserve">Franchising shops operating weeks </w:t>
            </w:r>
            <w:r>
              <w:rPr>
                <w:rFonts w:ascii="Arial" w:cs="Arial" w:eastAsia="Arial" w:hAnsi="Arial"/>
                <w:sz w:val="18"/>
                <w:szCs w:val="18"/>
                <w:color w:val="131E29"/>
                <w:vertAlign w:val="superscript"/>
              </w:rPr>
              <w:t>5</w:t>
            </w:r>
          </w:p>
        </w:tc>
        <w:tc>
          <w:tcPr>
            <w:tcW w:w="320" w:type="dxa"/>
            <w:vAlign w:val="bottom"/>
          </w:tcPr>
          <w:p>
            <w:pPr>
              <w:spacing w:after="0"/>
              <w:rPr>
                <w:sz w:val="18"/>
                <w:szCs w:val="18"/>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15,579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9"/>
              <w:spacing w:after="0"/>
              <w:rPr>
                <w:sz w:val="20"/>
                <w:szCs w:val="20"/>
                <w:color w:val="auto"/>
              </w:rPr>
            </w:pPr>
            <w:r>
              <w:rPr>
                <w:rFonts w:ascii="Arial" w:cs="Arial" w:eastAsia="Arial" w:hAnsi="Arial"/>
                <w:sz w:val="14"/>
                <w:szCs w:val="14"/>
                <w:color w:val="131E29"/>
              </w:rPr>
              <w:t>14,624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9"/>
              <w:spacing w:after="0"/>
              <w:rPr>
                <w:sz w:val="20"/>
                <w:szCs w:val="20"/>
                <w:color w:val="auto"/>
              </w:rPr>
            </w:pPr>
            <w:r>
              <w:rPr>
                <w:rFonts w:ascii="Arial" w:cs="Arial" w:eastAsia="Arial" w:hAnsi="Arial"/>
                <w:sz w:val="14"/>
                <w:szCs w:val="14"/>
                <w:color w:val="131E29"/>
              </w:rPr>
              <w:t>13,828</w:t>
            </w:r>
          </w:p>
        </w:tc>
      </w:tr>
      <w:tr>
        <w:trPr>
          <w:trHeight w:val="212"/>
        </w:trPr>
        <w:tc>
          <w:tcPr>
            <w:tcW w:w="664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20" w:type="dxa"/>
            <w:vAlign w:val="bottom"/>
            <w:shd w:val="clear" w:color="auto" w:fill="D2DCE5"/>
          </w:tcPr>
          <w:p>
            <w:pPr>
              <w:spacing w:after="0"/>
              <w:rPr>
                <w:sz w:val="18"/>
                <w:szCs w:val="18"/>
                <w:color w:val="auto"/>
              </w:rPr>
            </w:pPr>
          </w:p>
        </w:tc>
        <w:tc>
          <w:tcPr>
            <w:tcW w:w="1120" w:type="dxa"/>
            <w:vAlign w:val="bottom"/>
            <w:shd w:val="clear" w:color="auto" w:fill="D2DCE5"/>
          </w:tcPr>
          <w:p>
            <w:pPr>
              <w:spacing w:after="0"/>
              <w:rPr>
                <w:sz w:val="18"/>
                <w:szCs w:val="18"/>
                <w:color w:val="auto"/>
              </w:rPr>
            </w:pPr>
          </w:p>
        </w:tc>
      </w:tr>
      <w:tr>
        <w:trPr>
          <w:trHeight w:val="259"/>
        </w:trPr>
        <w:tc>
          <w:tcPr>
            <w:tcW w:w="6760" w:type="dxa"/>
            <w:vAlign w:val="bottom"/>
            <w:gridSpan w:val="2"/>
          </w:tcPr>
          <w:p>
            <w:pPr>
              <w:ind w:left="20"/>
              <w:spacing w:after="0"/>
              <w:rPr>
                <w:sz w:val="20"/>
                <w:szCs w:val="20"/>
                <w:color w:val="auto"/>
              </w:rPr>
            </w:pPr>
            <w:r>
              <w:rPr>
                <w:rFonts w:ascii="Arial" w:cs="Arial" w:eastAsia="Arial" w:hAnsi="Arial"/>
                <w:sz w:val="14"/>
                <w:szCs w:val="14"/>
                <w:color w:val="131E29"/>
              </w:rPr>
              <w:t xml:space="preserve">Dutch Rewards transactions as a percentage of total transactions </w:t>
            </w:r>
            <w:r>
              <w:rPr>
                <w:rFonts w:ascii="Arial" w:cs="Arial" w:eastAsia="Arial" w:hAnsi="Arial"/>
                <w:sz w:val="18"/>
                <w:szCs w:val="18"/>
                <w:color w:val="131E29"/>
                <w:vertAlign w:val="superscript"/>
              </w:rPr>
              <w:t>6</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67.8 %</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131E29"/>
              </w:rPr>
              <w:t>64.5 %</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131E29"/>
              </w:rPr>
              <w:t>62.3 %</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79" w:name="page80"/>
    <w:bookmarkEnd w:id="7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131E29"/>
              </w:rPr>
              <w:t>Year Ended December 31,</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2023</w:t>
            </w: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2022</w:t>
            </w:r>
          </w:p>
        </w:tc>
        <w:tc>
          <w:tcPr>
            <w:tcW w:w="720" w:type="dxa"/>
            <w:vAlign w:val="bottom"/>
            <w:tcBorders>
              <w:bottom w:val="single" w:sz="8" w:color="auto"/>
            </w:tcBorders>
          </w:tcPr>
          <w:p>
            <w:pPr>
              <w:spacing w:after="0"/>
              <w:rPr>
                <w:sz w:val="17"/>
                <w:szCs w:val="17"/>
                <w:color w:val="auto"/>
              </w:rPr>
            </w:pPr>
          </w:p>
        </w:tc>
      </w:tr>
      <w:tr>
        <w:trPr>
          <w:trHeight w:val="203"/>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0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02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r>
      <w:tr>
        <w:trPr>
          <w:trHeight w:val="209"/>
        </w:trPr>
        <w:tc>
          <w:tcPr>
            <w:tcW w:w="54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shop revenues</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1,165,830</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110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857,939</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80" w:type="dxa"/>
            <w:vAlign w:val="bottom"/>
            <w:shd w:val="clear" w:color="auto" w:fill="D2DCE5"/>
          </w:tcPr>
          <w:p>
            <w:pPr>
              <w:spacing w:after="0"/>
              <w:rPr>
                <w:sz w:val="18"/>
                <w:szCs w:val="18"/>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639,710</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100.0</w:t>
            </w:r>
          </w:p>
        </w:tc>
      </w:tr>
      <w:tr>
        <w:trPr>
          <w:trHeight w:val="202"/>
        </w:trPr>
        <w:tc>
          <w:tcPr>
            <w:tcW w:w="5460" w:type="dxa"/>
            <w:vAlign w:val="bottom"/>
            <w:gridSpan w:val="2"/>
          </w:tcPr>
          <w:p>
            <w:pPr>
              <w:ind w:left="20"/>
              <w:spacing w:after="0"/>
              <w:rPr>
                <w:sz w:val="20"/>
                <w:szCs w:val="20"/>
                <w:color w:val="auto"/>
              </w:rPr>
            </w:pPr>
            <w:r>
              <w:rPr>
                <w:rFonts w:ascii="Arial" w:cs="Arial" w:eastAsia="Arial" w:hAnsi="Arial"/>
                <w:sz w:val="14"/>
                <w:szCs w:val="14"/>
                <w:color w:val="131E29"/>
              </w:rPr>
              <w:t>Company-operated shop gross profit</w:t>
            </w:r>
          </w:p>
        </w:tc>
        <w:tc>
          <w:tcPr>
            <w:tcW w:w="1220" w:type="dxa"/>
            <w:vAlign w:val="bottom"/>
          </w:tcPr>
          <w:p>
            <w:pPr>
              <w:jc w:val="right"/>
              <w:spacing w:after="0"/>
              <w:rPr>
                <w:sz w:val="20"/>
                <w:szCs w:val="20"/>
                <w:color w:val="auto"/>
              </w:rPr>
            </w:pPr>
            <w:r>
              <w:rPr>
                <w:rFonts w:ascii="Arial" w:cs="Arial" w:eastAsia="Arial" w:hAnsi="Arial"/>
                <w:sz w:val="14"/>
                <w:szCs w:val="14"/>
                <w:color w:val="131E29"/>
              </w:rPr>
              <w:t>259,959</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22.3</w:t>
            </w:r>
          </w:p>
        </w:tc>
        <w:tc>
          <w:tcPr>
            <w:tcW w:w="1100" w:type="dxa"/>
            <w:vAlign w:val="bottom"/>
            <w:gridSpan w:val="2"/>
          </w:tcPr>
          <w:p>
            <w:pPr>
              <w:jc w:val="right"/>
              <w:spacing w:after="0"/>
              <w:rPr>
                <w:sz w:val="20"/>
                <w:szCs w:val="20"/>
                <w:color w:val="auto"/>
              </w:rPr>
            </w:pPr>
            <w:r>
              <w:rPr>
                <w:rFonts w:ascii="Arial" w:cs="Arial" w:eastAsia="Arial" w:hAnsi="Arial"/>
                <w:sz w:val="14"/>
                <w:szCs w:val="14"/>
                <w:color w:val="131E29"/>
              </w:rPr>
              <w:t>180,235</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21.0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121,327</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19.0</w:t>
            </w:r>
          </w:p>
        </w:tc>
      </w:tr>
      <w:tr>
        <w:trPr>
          <w:trHeight w:val="222"/>
        </w:trPr>
        <w:tc>
          <w:tcPr>
            <w:tcW w:w="54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Company-operated shop contribution </w:t>
            </w:r>
            <w:r>
              <w:rPr>
                <w:rFonts w:ascii="Arial" w:cs="Arial" w:eastAsia="Arial" w:hAnsi="Arial"/>
                <w:sz w:val="18"/>
                <w:szCs w:val="18"/>
                <w:color w:val="131E29"/>
                <w:vertAlign w:val="superscript"/>
              </w:rPr>
              <w:t>7</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346,768</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29.7</w:t>
            </w:r>
          </w:p>
        </w:tc>
        <w:tc>
          <w:tcPr>
            <w:tcW w:w="110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242,323</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28.2</w:t>
            </w:r>
          </w:p>
        </w:tc>
        <w:tc>
          <w:tcPr>
            <w:tcW w:w="8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157,633</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24.6</w:t>
            </w:r>
          </w:p>
        </w:tc>
      </w:tr>
      <w:tr>
        <w:trPr>
          <w:trHeight w:val="202"/>
        </w:trPr>
        <w:tc>
          <w:tcPr>
            <w:tcW w:w="5460" w:type="dxa"/>
            <w:vAlign w:val="bottom"/>
            <w:gridSpan w:val="2"/>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1220" w:type="dxa"/>
            <w:vAlign w:val="bottom"/>
          </w:tcPr>
          <w:p>
            <w:pPr>
              <w:jc w:val="right"/>
              <w:spacing w:after="0"/>
              <w:rPr>
                <w:sz w:val="20"/>
                <w:szCs w:val="20"/>
                <w:color w:val="auto"/>
              </w:rPr>
            </w:pPr>
            <w:r>
              <w:rPr>
                <w:rFonts w:ascii="Arial" w:cs="Arial" w:eastAsia="Arial" w:hAnsi="Arial"/>
                <w:sz w:val="14"/>
                <w:szCs w:val="14"/>
                <w:color w:val="131E29"/>
              </w:rPr>
              <w:t>234,036</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18.3</w:t>
            </w:r>
          </w:p>
        </w:tc>
        <w:tc>
          <w:tcPr>
            <w:tcW w:w="1100" w:type="dxa"/>
            <w:vAlign w:val="bottom"/>
            <w:gridSpan w:val="2"/>
          </w:tcPr>
          <w:p>
            <w:pPr>
              <w:jc w:val="right"/>
              <w:spacing w:after="0"/>
              <w:rPr>
                <w:sz w:val="20"/>
                <w:szCs w:val="20"/>
                <w:color w:val="auto"/>
              </w:rPr>
            </w:pPr>
            <w:r>
              <w:rPr>
                <w:rFonts w:ascii="Arial" w:cs="Arial" w:eastAsia="Arial" w:hAnsi="Arial"/>
                <w:sz w:val="14"/>
                <w:szCs w:val="14"/>
                <w:color w:val="131E29"/>
              </w:rPr>
              <w:t>205,074</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21.2</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183,528</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24.8</w:t>
            </w:r>
          </w:p>
        </w:tc>
      </w:tr>
      <w:tr>
        <w:trPr>
          <w:trHeight w:val="222"/>
        </w:trPr>
        <w:tc>
          <w:tcPr>
            <w:tcW w:w="54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Adjusted selling, general, and administrative expenses </w:t>
            </w:r>
            <w:r>
              <w:rPr>
                <w:rFonts w:ascii="Arial" w:cs="Arial" w:eastAsia="Arial" w:hAnsi="Arial"/>
                <w:sz w:val="18"/>
                <w:szCs w:val="18"/>
                <w:color w:val="131E29"/>
                <w:vertAlign w:val="superscript"/>
              </w:rPr>
              <w:t>7</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202,720</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15.8</w:t>
            </w:r>
          </w:p>
        </w:tc>
        <w:tc>
          <w:tcPr>
            <w:tcW w:w="110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159,101</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16.5</w:t>
            </w:r>
          </w:p>
        </w:tc>
        <w:tc>
          <w:tcPr>
            <w:tcW w:w="8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133,725</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18.1</w:t>
            </w:r>
          </w:p>
        </w:tc>
      </w:tr>
      <w:tr>
        <w:trPr>
          <w:trHeight w:val="202"/>
        </w:trPr>
        <w:tc>
          <w:tcPr>
            <w:tcW w:w="5460" w:type="dxa"/>
            <w:vAlign w:val="bottom"/>
            <w:gridSpan w:val="2"/>
          </w:tcPr>
          <w:p>
            <w:pPr>
              <w:ind w:left="20"/>
              <w:spacing w:after="0"/>
              <w:rPr>
                <w:sz w:val="20"/>
                <w:szCs w:val="20"/>
                <w:color w:val="auto"/>
              </w:rPr>
            </w:pPr>
            <w:r>
              <w:rPr>
                <w:rFonts w:ascii="Arial" w:cs="Arial" w:eastAsia="Arial" w:hAnsi="Arial"/>
                <w:sz w:val="14"/>
                <w:szCs w:val="14"/>
                <w:color w:val="131E29"/>
              </w:rPr>
              <w:t>Net income (loss)</w:t>
            </w:r>
          </w:p>
        </w:tc>
        <w:tc>
          <w:tcPr>
            <w:tcW w:w="1220" w:type="dxa"/>
            <w:vAlign w:val="bottom"/>
          </w:tcPr>
          <w:p>
            <w:pPr>
              <w:jc w:val="right"/>
              <w:spacing w:after="0"/>
              <w:rPr>
                <w:sz w:val="20"/>
                <w:szCs w:val="20"/>
                <w:color w:val="auto"/>
              </w:rPr>
            </w:pPr>
            <w:r>
              <w:rPr>
                <w:rFonts w:ascii="Arial" w:cs="Arial" w:eastAsia="Arial" w:hAnsi="Arial"/>
                <w:sz w:val="14"/>
                <w:szCs w:val="14"/>
                <w:color w:val="131E29"/>
              </w:rPr>
              <w:t>66,450</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5.2</w:t>
            </w:r>
          </w:p>
        </w:tc>
        <w:tc>
          <w:tcPr>
            <w:tcW w:w="1100" w:type="dxa"/>
            <w:vAlign w:val="bottom"/>
            <w:gridSpan w:val="2"/>
          </w:tcPr>
          <w:p>
            <w:pPr>
              <w:jc w:val="right"/>
              <w:spacing w:after="0"/>
              <w:rPr>
                <w:sz w:val="20"/>
                <w:szCs w:val="20"/>
                <w:color w:val="auto"/>
              </w:rPr>
            </w:pPr>
            <w:r>
              <w:rPr>
                <w:rFonts w:ascii="Arial" w:cs="Arial" w:eastAsia="Arial" w:hAnsi="Arial"/>
                <w:sz w:val="14"/>
                <w:szCs w:val="14"/>
                <w:color w:val="131E29"/>
              </w:rPr>
              <w:t>9,952</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1.0</w:t>
            </w:r>
          </w:p>
        </w:tc>
        <w:tc>
          <w:tcPr>
            <w:tcW w:w="80" w:type="dxa"/>
            <w:vAlign w:val="bottom"/>
          </w:tcPr>
          <w:p>
            <w:pPr>
              <w:spacing w:after="0"/>
              <w:rPr>
                <w:sz w:val="17"/>
                <w:szCs w:val="17"/>
                <w:color w:val="auto"/>
              </w:rPr>
            </w:pPr>
          </w:p>
        </w:tc>
        <w:tc>
          <w:tcPr>
            <w:tcW w:w="1020" w:type="dxa"/>
            <w:vAlign w:val="bottom"/>
          </w:tcPr>
          <w:p>
            <w:pPr>
              <w:ind w:left="460"/>
              <w:spacing w:after="0"/>
              <w:rPr>
                <w:sz w:val="20"/>
                <w:szCs w:val="20"/>
                <w:color w:val="auto"/>
              </w:rPr>
            </w:pPr>
            <w:r>
              <w:rPr>
                <w:rFonts w:ascii="Arial" w:cs="Arial" w:eastAsia="Arial" w:hAnsi="Arial"/>
                <w:sz w:val="14"/>
                <w:szCs w:val="14"/>
                <w:color w:val="131E29"/>
              </w:rPr>
              <w:t>(19,253)</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(2.6)</w:t>
            </w:r>
          </w:p>
        </w:tc>
      </w:tr>
      <w:tr>
        <w:trPr>
          <w:trHeight w:val="222"/>
        </w:trPr>
        <w:tc>
          <w:tcPr>
            <w:tcW w:w="54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Adjusted EBITDA </w:t>
            </w:r>
            <w:r>
              <w:rPr>
                <w:rFonts w:ascii="Arial" w:cs="Arial" w:eastAsia="Arial" w:hAnsi="Arial"/>
                <w:sz w:val="18"/>
                <w:szCs w:val="18"/>
                <w:color w:val="131E29"/>
                <w:vertAlign w:val="superscript"/>
              </w:rPr>
              <w:t>7</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230,283</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18.0</w:t>
            </w:r>
          </w:p>
        </w:tc>
        <w:tc>
          <w:tcPr>
            <w:tcW w:w="110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160,062</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16.6</w:t>
            </w:r>
          </w:p>
        </w:tc>
        <w:tc>
          <w:tcPr>
            <w:tcW w:w="8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91,181</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12.3</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35" w:lineRule="exact"/>
        <w:rPr>
          <w:sz w:val="20"/>
          <w:szCs w:val="20"/>
          <w:color w:val="auto"/>
        </w:rPr>
      </w:pPr>
    </w:p>
    <w:p>
      <w:pPr>
        <w:ind w:left="120" w:hanging="115"/>
        <w:spacing w:after="0"/>
        <w:tabs>
          <w:tab w:leader="none" w:pos="120" w:val="left"/>
        </w:tabs>
        <w:numPr>
          <w:ilvl w:val="0"/>
          <w:numId w:val="35"/>
        </w:numPr>
        <w:rPr>
          <w:rFonts w:ascii="Arial" w:cs="Arial" w:eastAsia="Arial" w:hAnsi="Arial"/>
          <w:sz w:val="15"/>
          <w:szCs w:val="15"/>
          <w:color w:val="131E29"/>
          <w:vertAlign w:val="superscript"/>
        </w:rPr>
      </w:pPr>
      <w:r>
        <w:rPr>
          <w:rFonts w:ascii="Arial" w:cs="Arial" w:eastAsia="Arial" w:hAnsi="Arial"/>
          <w:sz w:val="11"/>
          <w:szCs w:val="11"/>
          <w:color w:val="131E29"/>
        </w:rPr>
        <w:t>Re-opening of a shop that was temporarily closed in 2021.</w:t>
      </w:r>
    </w:p>
    <w:p>
      <w:pPr>
        <w:spacing w:after="0" w:line="106" w:lineRule="exact"/>
        <w:rPr>
          <w:sz w:val="20"/>
          <w:szCs w:val="20"/>
          <w:color w:val="auto"/>
        </w:rPr>
      </w:pPr>
    </w:p>
    <w:p>
      <w:pPr>
        <w:jc w:val="both"/>
        <w:ind w:left="140" w:hanging="135"/>
        <w:spacing w:after="0" w:line="296" w:lineRule="auto"/>
        <w:tabs>
          <w:tab w:leader="none" w:pos="135" w:val="left"/>
        </w:tabs>
        <w:numPr>
          <w:ilvl w:val="0"/>
          <w:numId w:val="36"/>
        </w:numPr>
        <w:rPr>
          <w:rFonts w:ascii="Arial" w:cs="Arial" w:eastAsia="Arial" w:hAnsi="Arial"/>
          <w:sz w:val="7"/>
          <w:szCs w:val="7"/>
          <w:color w:val="131E29"/>
        </w:rPr>
      </w:pPr>
      <w:r>
        <w:rPr>
          <w:rFonts w:ascii="Arial" w:cs="Arial" w:eastAsia="Arial" w:hAnsi="Arial"/>
          <w:sz w:val="11"/>
          <w:szCs w:val="11"/>
          <w:color w:val="131E29"/>
        </w:rPr>
        <w:t>AUVs are determined based on the net sales for any trailing twelve-month period for systemwide and company-operated shops that have been open a minimum of 15 months. AUVs are calculated by dividing the systemwide and company-operated shop net sales by the total number of systemwide and company-operated shops, respectively. Management uses these metrics as an indicator of shop growth and future expectations of mature locations.</w:t>
      </w:r>
    </w:p>
    <w:p>
      <w:pPr>
        <w:spacing w:after="0" w:line="229" w:lineRule="exact"/>
        <w:rPr>
          <w:sz w:val="20"/>
          <w:szCs w:val="20"/>
          <w:color w:val="auto"/>
        </w:rPr>
      </w:pPr>
    </w:p>
    <w:p>
      <w:pPr>
        <w:jc w:val="both"/>
        <w:ind w:left="140" w:hanging="135"/>
        <w:spacing w:after="0" w:line="233" w:lineRule="auto"/>
        <w:tabs>
          <w:tab w:leader="none" w:pos="156" w:val="left"/>
        </w:tabs>
        <w:numPr>
          <w:ilvl w:val="0"/>
          <w:numId w:val="37"/>
        </w:numPr>
        <w:rPr>
          <w:rFonts w:ascii="Arial" w:cs="Arial" w:eastAsia="Arial" w:hAnsi="Arial"/>
          <w:sz w:val="15"/>
          <w:szCs w:val="15"/>
          <w:color w:val="131E29"/>
          <w:vertAlign w:val="superscript"/>
        </w:rPr>
      </w:pPr>
      <w:r>
        <w:rPr>
          <w:rFonts w:ascii="Arial" w:cs="Arial" w:eastAsia="Arial" w:hAnsi="Arial"/>
          <w:sz w:val="11"/>
          <w:szCs w:val="11"/>
          <w:color w:val="131E29"/>
        </w:rPr>
        <w:t>Same shop sales represents the estimated percentage change in year-over-year sales, for the comparable shop base, which we define as shops open for 15 complete months or longer as of the first day of the reporting period. Same shop sales can be impacted by changes in customer transaction counts and by changes in the per-ticket amounts. Management uses these metrics as an indicator of shop growth and future expansion strategy. The number of shops included in the systemwide and company-operated comparable bases for the respective periods are presented in the following table.</w:t>
      </w:r>
    </w:p>
    <w:p>
      <w:pPr>
        <w:spacing w:after="0" w:line="33" w:lineRule="exact"/>
        <w:rPr>
          <w:sz w:val="20"/>
          <w:szCs w:val="20"/>
          <w:color w:val="auto"/>
        </w:rPr>
      </w:pPr>
    </w:p>
    <w:tbl>
      <w:tblPr>
        <w:tblLayout w:type="fixed"/>
        <w:tblInd w:w="140" w:type="dxa"/>
        <w:tblCellMar>
          <w:top w:w="0" w:type="dxa"/>
          <w:left w:w="0" w:type="dxa"/>
          <w:bottom w:w="0" w:type="dxa"/>
          <w:right w:w="0" w:type="dxa"/>
        </w:tblCellMar>
      </w:tblPr>
      <w:tr>
        <w:trPr>
          <w:trHeight w:val="160"/>
        </w:trPr>
        <w:tc>
          <w:tcPr>
            <w:tcW w:w="7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1"/>
                <w:szCs w:val="11"/>
                <w:b w:val="1"/>
                <w:bCs w:val="1"/>
                <w:color w:val="131E29"/>
              </w:rPr>
              <w:t>Year Ended December 31,</w:t>
            </w:r>
          </w:p>
        </w:tc>
        <w:tc>
          <w:tcPr>
            <w:tcW w:w="900" w:type="dxa"/>
            <w:vAlign w:val="bottom"/>
            <w:tcBorders>
              <w:bottom w:val="single" w:sz="8" w:color="auto"/>
            </w:tcBorders>
          </w:tcPr>
          <w:p>
            <w:pPr>
              <w:spacing w:after="0"/>
              <w:rPr>
                <w:sz w:val="13"/>
                <w:szCs w:val="13"/>
                <w:color w:val="auto"/>
              </w:rPr>
            </w:pPr>
          </w:p>
        </w:tc>
      </w:tr>
      <w:tr>
        <w:trPr>
          <w:trHeight w:val="171"/>
        </w:trPr>
        <w:tc>
          <w:tcPr>
            <w:tcW w:w="728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(unaudited)</w:t>
            </w:r>
          </w:p>
        </w:tc>
        <w:tc>
          <w:tcPr>
            <w:tcW w:w="80" w:type="dxa"/>
            <w:vAlign w:val="bottom"/>
            <w:tcBorders>
              <w:bottom w:val="single" w:sz="8" w:color="D2DCE5"/>
            </w:tcBorders>
          </w:tcPr>
          <w:p>
            <w:pPr>
              <w:spacing w:after="0"/>
              <w:rPr>
                <w:sz w:val="14"/>
                <w:szCs w:val="14"/>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131E29"/>
              </w:rPr>
              <w:t>2024</w:t>
            </w:r>
          </w:p>
        </w:tc>
        <w:tc>
          <w:tcPr>
            <w:tcW w:w="100" w:type="dxa"/>
            <w:vAlign w:val="bottom"/>
            <w:tcBorders>
              <w:bottom w:val="single" w:sz="8" w:color="D2DCE5"/>
            </w:tcBorders>
          </w:tcPr>
          <w:p>
            <w:pPr>
              <w:spacing w:after="0"/>
              <w:rPr>
                <w:sz w:val="14"/>
                <w:szCs w:val="14"/>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131E29"/>
              </w:rPr>
              <w:t>2023</w:t>
            </w:r>
          </w:p>
        </w:tc>
        <w:tc>
          <w:tcPr>
            <w:tcW w:w="80" w:type="dxa"/>
            <w:vAlign w:val="bottom"/>
            <w:tcBorders>
              <w:bottom w:val="single" w:sz="8" w:color="D2DCE5"/>
            </w:tcBorders>
          </w:tcPr>
          <w:p>
            <w:pPr>
              <w:spacing w:after="0"/>
              <w:rPr>
                <w:sz w:val="14"/>
                <w:szCs w:val="14"/>
                <w:color w:val="auto"/>
              </w:rPr>
            </w:pPr>
          </w:p>
        </w:tc>
        <w:tc>
          <w:tcPr>
            <w:tcW w:w="300" w:type="dxa"/>
            <w:vAlign w:val="bottom"/>
            <w:tcBorders>
              <w:bottom w:val="single" w:sz="8" w:color="131E29"/>
            </w:tcBorders>
          </w:tcPr>
          <w:p>
            <w:pPr>
              <w:spacing w:after="0"/>
              <w:rPr>
                <w:sz w:val="14"/>
                <w:szCs w:val="14"/>
                <w:color w:val="auto"/>
              </w:rPr>
            </w:pPr>
          </w:p>
        </w:tc>
        <w:tc>
          <w:tcPr>
            <w:tcW w:w="900" w:type="dxa"/>
            <w:vAlign w:val="bottom"/>
            <w:tcBorders>
              <w:bottom w:val="single" w:sz="8" w:color="131E29"/>
            </w:tcBorders>
          </w:tcPr>
          <w:p>
            <w:pPr>
              <w:jc w:val="right"/>
              <w:ind w:right="423"/>
              <w:spacing w:after="0"/>
              <w:rPr>
                <w:sz w:val="20"/>
                <w:szCs w:val="20"/>
                <w:color w:val="auto"/>
              </w:rPr>
            </w:pPr>
            <w:r>
              <w:rPr>
                <w:rFonts w:ascii="Arial" w:cs="Arial" w:eastAsia="Arial" w:hAnsi="Arial"/>
                <w:sz w:val="11"/>
                <w:szCs w:val="11"/>
                <w:b w:val="1"/>
                <w:bCs w:val="1"/>
                <w:color w:val="131E29"/>
              </w:rPr>
              <w:t>2022</w:t>
            </w:r>
          </w:p>
        </w:tc>
      </w:tr>
      <w:tr>
        <w:trPr>
          <w:trHeight w:val="177"/>
        </w:trPr>
        <w:tc>
          <w:tcPr>
            <w:tcW w:w="7360" w:type="dxa"/>
            <w:vAlign w:val="bottom"/>
            <w:gridSpan w:val="2"/>
            <w:shd w:val="clear" w:color="auto" w:fill="D2DCE5"/>
          </w:tcPr>
          <w:p>
            <w:pPr>
              <w:spacing w:after="0"/>
              <w:rPr>
                <w:sz w:val="20"/>
                <w:szCs w:val="20"/>
                <w:color w:val="auto"/>
              </w:rPr>
            </w:pPr>
            <w:r>
              <w:rPr>
                <w:rFonts w:ascii="Arial" w:cs="Arial" w:eastAsia="Arial" w:hAnsi="Arial"/>
                <w:sz w:val="11"/>
                <w:szCs w:val="11"/>
                <w:color w:val="131E29"/>
              </w:rPr>
              <w:t>Systemwide shop base</w:t>
            </w:r>
          </w:p>
        </w:tc>
        <w:tc>
          <w:tcPr>
            <w:tcW w:w="10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641</w:t>
            </w:r>
          </w:p>
        </w:tc>
        <w:tc>
          <w:tcPr>
            <w:tcW w:w="1160" w:type="dxa"/>
            <w:vAlign w:val="bottom"/>
            <w:gridSpan w:val="2"/>
            <w:shd w:val="clear" w:color="auto" w:fill="D2DCE5"/>
          </w:tcPr>
          <w:p>
            <w:pPr>
              <w:jc w:val="right"/>
              <w:spacing w:after="0"/>
              <w:rPr>
                <w:sz w:val="20"/>
                <w:szCs w:val="20"/>
                <w:color w:val="auto"/>
              </w:rPr>
            </w:pPr>
            <w:r>
              <w:rPr>
                <w:rFonts w:ascii="Arial" w:cs="Arial" w:eastAsia="Arial" w:hAnsi="Arial"/>
                <w:sz w:val="11"/>
                <w:szCs w:val="11"/>
                <w:color w:val="131E29"/>
              </w:rPr>
              <w:t>503</w:t>
            </w:r>
          </w:p>
        </w:tc>
        <w:tc>
          <w:tcPr>
            <w:tcW w:w="8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9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414</w:t>
            </w:r>
          </w:p>
        </w:tc>
      </w:tr>
      <w:tr>
        <w:trPr>
          <w:trHeight w:val="163"/>
        </w:trPr>
        <w:tc>
          <w:tcPr>
            <w:tcW w:w="7360" w:type="dxa"/>
            <w:vAlign w:val="bottom"/>
            <w:gridSpan w:val="2"/>
          </w:tcPr>
          <w:p>
            <w:pPr>
              <w:spacing w:after="0"/>
              <w:rPr>
                <w:sz w:val="20"/>
                <w:szCs w:val="20"/>
                <w:color w:val="auto"/>
              </w:rPr>
            </w:pPr>
            <w:r>
              <w:rPr>
                <w:rFonts w:ascii="Arial" w:cs="Arial" w:eastAsia="Arial" w:hAnsi="Arial"/>
                <w:sz w:val="11"/>
                <w:szCs w:val="11"/>
                <w:color w:val="131E29"/>
              </w:rPr>
              <w:t>Company-operated shop base</w:t>
            </w:r>
          </w:p>
        </w:tc>
        <w:tc>
          <w:tcPr>
            <w:tcW w:w="1060" w:type="dxa"/>
            <w:vAlign w:val="bottom"/>
          </w:tcPr>
          <w:p>
            <w:pPr>
              <w:jc w:val="right"/>
              <w:spacing w:after="0"/>
              <w:rPr>
                <w:sz w:val="20"/>
                <w:szCs w:val="20"/>
                <w:color w:val="auto"/>
              </w:rPr>
            </w:pPr>
            <w:r>
              <w:rPr>
                <w:rFonts w:ascii="Arial" w:cs="Arial" w:eastAsia="Arial" w:hAnsi="Arial"/>
                <w:sz w:val="11"/>
                <w:szCs w:val="11"/>
                <w:color w:val="131E29"/>
              </w:rPr>
              <w:t>370</w:t>
            </w:r>
          </w:p>
        </w:tc>
        <w:tc>
          <w:tcPr>
            <w:tcW w:w="1160" w:type="dxa"/>
            <w:vAlign w:val="bottom"/>
            <w:gridSpan w:val="2"/>
          </w:tcPr>
          <w:p>
            <w:pPr>
              <w:jc w:val="right"/>
              <w:spacing w:after="0"/>
              <w:rPr>
                <w:sz w:val="20"/>
                <w:szCs w:val="20"/>
                <w:color w:val="auto"/>
              </w:rPr>
            </w:pPr>
            <w:r>
              <w:rPr>
                <w:rFonts w:ascii="Arial" w:cs="Arial" w:eastAsia="Arial" w:hAnsi="Arial"/>
                <w:sz w:val="11"/>
                <w:szCs w:val="11"/>
                <w:color w:val="131E29"/>
              </w:rPr>
              <w:t>246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131E29"/>
              </w:rPr>
              <w:t>173</w:t>
            </w:r>
          </w:p>
        </w:tc>
      </w:tr>
    </w:tbl>
    <w:p>
      <w:pPr>
        <w:spacing w:after="0" w:line="212" w:lineRule="exact"/>
        <w:rPr>
          <w:sz w:val="20"/>
          <w:szCs w:val="20"/>
          <w:color w:val="auto"/>
        </w:rPr>
      </w:pPr>
    </w:p>
    <w:p>
      <w:pPr>
        <w:jc w:val="both"/>
        <w:ind w:left="140" w:right="60" w:hanging="135"/>
        <w:spacing w:after="0" w:line="239" w:lineRule="auto"/>
        <w:tabs>
          <w:tab w:leader="none" w:pos="188" w:val="left"/>
        </w:tabs>
        <w:numPr>
          <w:ilvl w:val="0"/>
          <w:numId w:val="38"/>
        </w:numPr>
        <w:rPr>
          <w:rFonts w:ascii="Arial" w:cs="Arial" w:eastAsia="Arial" w:hAnsi="Arial"/>
          <w:sz w:val="15"/>
          <w:szCs w:val="15"/>
          <w:color w:val="131E29"/>
          <w:vertAlign w:val="superscript"/>
        </w:rPr>
      </w:pPr>
      <w:r>
        <w:rPr>
          <w:rFonts w:ascii="Arial" w:cs="Arial" w:eastAsia="Arial" w:hAnsi="Arial"/>
          <w:sz w:val="11"/>
          <w:szCs w:val="11"/>
          <w:color w:val="131E29"/>
        </w:rPr>
        <w:t>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w:t>
      </w:r>
    </w:p>
    <w:p>
      <w:pPr>
        <w:spacing w:after="0" w:line="119" w:lineRule="exact"/>
        <w:rPr>
          <w:sz w:val="20"/>
          <w:szCs w:val="20"/>
          <w:color w:val="auto"/>
        </w:rPr>
      </w:pPr>
    </w:p>
    <w:p>
      <w:pPr>
        <w:ind w:left="140" w:hanging="135"/>
        <w:spacing w:after="0" w:line="229" w:lineRule="auto"/>
        <w:tabs>
          <w:tab w:leader="none" w:pos="181" w:val="left"/>
        </w:tabs>
        <w:numPr>
          <w:ilvl w:val="0"/>
          <w:numId w:val="39"/>
        </w:numPr>
        <w:rPr>
          <w:rFonts w:ascii="Arial" w:cs="Arial" w:eastAsia="Arial" w:hAnsi="Arial"/>
          <w:sz w:val="15"/>
          <w:szCs w:val="15"/>
          <w:color w:val="131E29"/>
          <w:vertAlign w:val="superscript"/>
        </w:rPr>
      </w:pPr>
      <w:r>
        <w:rPr>
          <w:rFonts w:ascii="Arial" w:cs="Arial" w:eastAsia="Arial" w:hAnsi="Arial"/>
          <w:sz w:val="11"/>
          <w:szCs w:val="11"/>
          <w:color w:val="131E29"/>
        </w:rPr>
        <w:t>Company-operated and franchise shop operating weeks are calculated based on the number of operating days for the shop base and dividing by 7. Our shop base is defined as shops opened as of the period end date. The operating weeks calculations reflect re-acquired franchises through 2022. Management uses these metrics as indicators of our system’s overall financial health, growth and future expansion prospects.</w:t>
      </w:r>
    </w:p>
    <w:p>
      <w:pPr>
        <w:spacing w:after="0" w:line="139" w:lineRule="exact"/>
        <w:rPr>
          <w:sz w:val="20"/>
          <w:szCs w:val="20"/>
          <w:color w:val="auto"/>
        </w:rPr>
      </w:pPr>
    </w:p>
    <w:p>
      <w:pPr>
        <w:ind w:left="140" w:hanging="135"/>
        <w:spacing w:after="0" w:line="238" w:lineRule="auto"/>
        <w:tabs>
          <w:tab w:leader="none" w:pos="146" w:val="left"/>
        </w:tabs>
        <w:numPr>
          <w:ilvl w:val="0"/>
          <w:numId w:val="40"/>
        </w:numPr>
        <w:rPr>
          <w:rFonts w:ascii="Arial" w:cs="Arial" w:eastAsia="Arial" w:hAnsi="Arial"/>
          <w:sz w:val="15"/>
          <w:szCs w:val="15"/>
          <w:color w:val="131E29"/>
          <w:vertAlign w:val="superscript"/>
        </w:rPr>
      </w:pPr>
      <w:r>
        <w:rPr>
          <w:rFonts w:ascii="Arial" w:cs="Arial" w:eastAsia="Arial" w:hAnsi="Arial"/>
          <w:sz w:val="11"/>
          <w:szCs w:val="11"/>
          <w:color w:val="131E29"/>
        </w:rPr>
        <w:t>Dutch Rewards is our digitally based rewards program available exclusively through the Dutch Rewards app. Management uses this metric as an indicator of customer loyalty adoption of our Dutch Rewards app and future promotional plans.</w:t>
      </w:r>
    </w:p>
    <w:p>
      <w:pPr>
        <w:spacing w:after="0" w:line="107" w:lineRule="exact"/>
        <w:rPr>
          <w:sz w:val="20"/>
          <w:szCs w:val="20"/>
          <w:color w:val="auto"/>
        </w:rPr>
      </w:pPr>
    </w:p>
    <w:p>
      <w:pPr>
        <w:ind w:left="120" w:hanging="115"/>
        <w:spacing w:after="0"/>
        <w:tabs>
          <w:tab w:leader="none" w:pos="120" w:val="left"/>
        </w:tabs>
        <w:numPr>
          <w:ilvl w:val="0"/>
          <w:numId w:val="41"/>
        </w:numPr>
        <w:rPr>
          <w:rFonts w:ascii="Arial" w:cs="Arial" w:eastAsia="Arial" w:hAnsi="Arial"/>
          <w:sz w:val="7"/>
          <w:szCs w:val="7"/>
          <w:color w:val="131E29"/>
        </w:rPr>
      </w:pPr>
      <w:r>
        <w:rPr>
          <w:rFonts w:ascii="Arial" w:cs="Arial" w:eastAsia="Arial" w:hAnsi="Arial"/>
          <w:sz w:val="11"/>
          <w:szCs w:val="11"/>
          <w:color w:val="131E29"/>
        </w:rPr>
        <w:t>Reconciliation of GAAP to non-GAAP results is provided in the section “Non-GAAP Financial Measures” in Part II,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0" w:name="page81"/>
    <w:bookmarkEnd w:id="8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Company-operated Sho</w:t>
      </w:r>
      <w:r>
        <w:rPr>
          <w:rFonts w:ascii="Arial" w:cs="Arial" w:eastAsia="Arial" w:hAnsi="Arial"/>
          <w:sz w:val="17"/>
          <w:szCs w:val="17"/>
          <w:b w:val="1"/>
          <w:bCs w:val="1"/>
          <w:color w:val="00497F"/>
        </w:rPr>
        <w:t>p</w:t>
      </w:r>
      <w:r>
        <w:rPr>
          <w:rFonts w:ascii="Arial" w:cs="Arial" w:eastAsia="Arial" w:hAnsi="Arial"/>
          <w:sz w:val="17"/>
          <w:szCs w:val="17"/>
          <w:b w:val="1"/>
          <w:bCs w:val="1"/>
          <w:color w:val="00416B"/>
        </w:rPr>
        <w:t xml:space="preserve"> Results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gridSpan w:val="2"/>
          </w:tcPr>
          <w:p>
            <w:pPr>
              <w:spacing w:after="0"/>
              <w:rPr>
                <w:sz w:val="20"/>
                <w:szCs w:val="20"/>
                <w:color w:val="auto"/>
              </w:rPr>
            </w:pPr>
            <w:r>
              <w:rPr>
                <w:rFonts w:ascii="Arial" w:cs="Arial" w:eastAsia="Arial" w:hAnsi="Arial"/>
                <w:sz w:val="14"/>
                <w:szCs w:val="14"/>
                <w:color w:val="131E29"/>
              </w:rPr>
              <w:t>Results for our company-operated shops segment were as follows: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131E29"/>
              </w:rPr>
              <w:t>Year Ended December 31,</w:t>
            </w: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131E29"/>
              </w:rPr>
              <w:t>2023</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131E29"/>
              </w:rPr>
              <w:t>2022</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2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0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10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09"/>
        </w:trPr>
        <w:tc>
          <w:tcPr>
            <w:tcW w:w="532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Company-operated shop revenues</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1,165,830</w:t>
            </w:r>
          </w:p>
        </w:tc>
        <w:tc>
          <w:tcPr>
            <w:tcW w:w="10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100.0</w:t>
            </w:r>
          </w:p>
        </w:tc>
        <w:tc>
          <w:tcPr>
            <w:tcW w:w="80" w:type="dxa"/>
            <w:vAlign w:val="bottom"/>
            <w:shd w:val="clear" w:color="auto" w:fill="D2DCE5"/>
          </w:tcPr>
          <w:p>
            <w:pPr>
              <w:spacing w:after="0"/>
              <w:rPr>
                <w:sz w:val="18"/>
                <w:szCs w:val="18"/>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857,939</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100.0</w:t>
            </w:r>
          </w:p>
        </w:tc>
        <w:tc>
          <w:tcPr>
            <w:tcW w:w="100" w:type="dxa"/>
            <w:vAlign w:val="bottom"/>
            <w:shd w:val="clear" w:color="auto" w:fill="D2DCE5"/>
          </w:tcPr>
          <w:p>
            <w:pPr>
              <w:spacing w:after="0"/>
              <w:rPr>
                <w:sz w:val="18"/>
                <w:szCs w:val="18"/>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639,710</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100.0</w:t>
            </w:r>
          </w:p>
        </w:tc>
        <w:tc>
          <w:tcPr>
            <w:tcW w:w="0" w:type="dxa"/>
            <w:vAlign w:val="bottom"/>
          </w:tcPr>
          <w:p>
            <w:pPr>
              <w:spacing w:after="0"/>
              <w:rPr>
                <w:sz w:val="1"/>
                <w:szCs w:val="1"/>
                <w:color w:val="auto"/>
              </w:rPr>
            </w:pPr>
          </w:p>
        </w:tc>
      </w:tr>
      <w:tr>
        <w:trPr>
          <w:trHeight w:val="212"/>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Beverage, food, and packaging costs</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296,752</w:t>
            </w:r>
          </w:p>
        </w:tc>
        <w:tc>
          <w:tcPr>
            <w:tcW w:w="10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25.5</w:t>
            </w:r>
          </w:p>
        </w:tc>
        <w:tc>
          <w:tcPr>
            <w:tcW w:w="80" w:type="dxa"/>
            <w:vAlign w:val="bottom"/>
            <w:shd w:val="clear" w:color="auto" w:fill="D2DCE5"/>
          </w:tcPr>
          <w:p>
            <w:pPr>
              <w:spacing w:after="0"/>
              <w:rPr>
                <w:sz w:val="18"/>
                <w:szCs w:val="18"/>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230,133</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26.9</w:t>
            </w:r>
          </w:p>
        </w:tc>
        <w:tc>
          <w:tcPr>
            <w:tcW w:w="100" w:type="dxa"/>
            <w:vAlign w:val="bottom"/>
            <w:shd w:val="clear" w:color="auto" w:fill="D2DCE5"/>
          </w:tcPr>
          <w:p>
            <w:pPr>
              <w:spacing w:after="0"/>
              <w:rPr>
                <w:sz w:val="18"/>
                <w:szCs w:val="18"/>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171,864</w:t>
            </w:r>
          </w:p>
        </w:tc>
        <w:tc>
          <w:tcPr>
            <w:tcW w:w="80" w:type="dxa"/>
            <w:vAlign w:val="bottom"/>
            <w:shd w:val="clear" w:color="auto" w:fill="D2DCE5"/>
          </w:tcPr>
          <w:p>
            <w:pPr>
              <w:spacing w:after="0"/>
              <w:rPr>
                <w:sz w:val="18"/>
                <w:szCs w:val="18"/>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26.9</w:t>
            </w:r>
          </w:p>
        </w:tc>
        <w:tc>
          <w:tcPr>
            <w:tcW w:w="0" w:type="dxa"/>
            <w:vAlign w:val="bottom"/>
          </w:tcPr>
          <w:p>
            <w:pPr>
              <w:spacing w:after="0"/>
              <w:rPr>
                <w:sz w:val="1"/>
                <w:szCs w:val="1"/>
                <w:color w:val="auto"/>
              </w:rPr>
            </w:pPr>
          </w:p>
        </w:tc>
      </w:tr>
      <w:tr>
        <w:trPr>
          <w:trHeight w:val="202"/>
        </w:trPr>
        <w:tc>
          <w:tcPr>
            <w:tcW w:w="5320" w:type="dxa"/>
            <w:vAlign w:val="bottom"/>
            <w:gridSpan w:val="2"/>
          </w:tcPr>
          <w:p>
            <w:pPr>
              <w:ind w:left="20"/>
              <w:spacing w:after="0"/>
              <w:rPr>
                <w:sz w:val="20"/>
                <w:szCs w:val="20"/>
                <w:color w:val="auto"/>
              </w:rPr>
            </w:pPr>
            <w:r>
              <w:rPr>
                <w:rFonts w:ascii="Arial" w:cs="Arial" w:eastAsia="Arial" w:hAnsi="Arial"/>
                <w:sz w:val="14"/>
                <w:szCs w:val="14"/>
                <w:color w:val="131E29"/>
              </w:rPr>
              <w:t>Labor costs</w:t>
            </w:r>
          </w:p>
        </w:tc>
        <w:tc>
          <w:tcPr>
            <w:tcW w:w="1200" w:type="dxa"/>
            <w:vAlign w:val="bottom"/>
          </w:tcPr>
          <w:p>
            <w:pPr>
              <w:jc w:val="right"/>
              <w:spacing w:after="0"/>
              <w:rPr>
                <w:sz w:val="20"/>
                <w:szCs w:val="20"/>
                <w:color w:val="auto"/>
              </w:rPr>
            </w:pPr>
            <w:r>
              <w:rPr>
                <w:rFonts w:ascii="Arial" w:cs="Arial" w:eastAsia="Arial" w:hAnsi="Arial"/>
                <w:sz w:val="14"/>
                <w:szCs w:val="14"/>
                <w:color w:val="131E29"/>
              </w:rPr>
              <w:t>315,805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27.1</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230,505</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26.9</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182,861</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28.6</w:t>
            </w:r>
          </w:p>
        </w:tc>
        <w:tc>
          <w:tcPr>
            <w:tcW w:w="0" w:type="dxa"/>
            <w:vAlign w:val="bottom"/>
          </w:tcPr>
          <w:p>
            <w:pPr>
              <w:spacing w:after="0"/>
              <w:rPr>
                <w:sz w:val="1"/>
                <w:szCs w:val="1"/>
                <w:color w:val="auto"/>
              </w:rPr>
            </w:pPr>
          </w:p>
        </w:tc>
      </w:tr>
      <w:tr>
        <w:trPr>
          <w:trHeight w:val="222"/>
        </w:trPr>
        <w:tc>
          <w:tcPr>
            <w:tcW w:w="53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Occupancy and other costs</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191,372</w:t>
            </w:r>
          </w:p>
        </w:tc>
        <w:tc>
          <w:tcPr>
            <w:tcW w:w="10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16.4</w:t>
            </w:r>
          </w:p>
        </w:tc>
        <w:tc>
          <w:tcPr>
            <w:tcW w:w="80" w:type="dxa"/>
            <w:vAlign w:val="bottom"/>
            <w:shd w:val="clear" w:color="auto" w:fill="D2DCE5"/>
          </w:tcPr>
          <w:p>
            <w:pPr>
              <w:spacing w:after="0"/>
              <w:rPr>
                <w:sz w:val="19"/>
                <w:szCs w:val="19"/>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140,895</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16.4</w:t>
            </w:r>
          </w:p>
        </w:tc>
        <w:tc>
          <w:tcPr>
            <w:tcW w:w="100" w:type="dxa"/>
            <w:vAlign w:val="bottom"/>
            <w:shd w:val="clear" w:color="auto" w:fill="D2DCE5"/>
          </w:tcPr>
          <w:p>
            <w:pPr>
              <w:spacing w:after="0"/>
              <w:rPr>
                <w:sz w:val="19"/>
                <w:szCs w:val="19"/>
                <w:color w:val="auto"/>
              </w:rPr>
            </w:pPr>
          </w:p>
        </w:tc>
        <w:tc>
          <w:tcPr>
            <w:tcW w:w="10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109,366</w:t>
            </w:r>
          </w:p>
        </w:tc>
        <w:tc>
          <w:tcPr>
            <w:tcW w:w="80" w:type="dxa"/>
            <w:vAlign w:val="bottom"/>
            <w:shd w:val="clear" w:color="auto" w:fill="D2DCE5"/>
          </w:tcPr>
          <w:p>
            <w:pPr>
              <w:spacing w:after="0"/>
              <w:rPr>
                <w:sz w:val="19"/>
                <w:szCs w:val="19"/>
                <w:color w:val="auto"/>
              </w:rPr>
            </w:pPr>
          </w:p>
        </w:tc>
        <w:tc>
          <w:tcPr>
            <w:tcW w:w="7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17.1</w:t>
            </w:r>
          </w:p>
        </w:tc>
        <w:tc>
          <w:tcPr>
            <w:tcW w:w="0" w:type="dxa"/>
            <w:vAlign w:val="bottom"/>
          </w:tcPr>
          <w:p>
            <w:pPr>
              <w:spacing w:after="0"/>
              <w:rPr>
                <w:sz w:val="1"/>
                <w:szCs w:val="1"/>
                <w:color w:val="auto"/>
              </w:rPr>
            </w:pPr>
          </w:p>
        </w:tc>
      </w:tr>
      <w:tr>
        <w:trPr>
          <w:trHeight w:val="202"/>
        </w:trPr>
        <w:tc>
          <w:tcPr>
            <w:tcW w:w="5320" w:type="dxa"/>
            <w:vAlign w:val="bottom"/>
            <w:gridSpan w:val="2"/>
          </w:tcPr>
          <w:p>
            <w:pPr>
              <w:ind w:left="20"/>
              <w:spacing w:after="0"/>
              <w:rPr>
                <w:sz w:val="20"/>
                <w:szCs w:val="20"/>
                <w:color w:val="auto"/>
              </w:rPr>
            </w:pPr>
            <w:r>
              <w:rPr>
                <w:rFonts w:ascii="Arial" w:cs="Arial" w:eastAsia="Arial" w:hAnsi="Arial"/>
                <w:sz w:val="14"/>
                <w:szCs w:val="14"/>
                <w:color w:val="131E29"/>
              </w:rPr>
              <w:t>Pre-opening costs</w:t>
            </w:r>
          </w:p>
        </w:tc>
        <w:tc>
          <w:tcPr>
            <w:tcW w:w="1200" w:type="dxa"/>
            <w:vAlign w:val="bottom"/>
          </w:tcPr>
          <w:p>
            <w:pPr>
              <w:jc w:val="right"/>
              <w:spacing w:after="0"/>
              <w:rPr>
                <w:sz w:val="20"/>
                <w:szCs w:val="20"/>
                <w:color w:val="auto"/>
              </w:rPr>
            </w:pPr>
            <w:r>
              <w:rPr>
                <w:rFonts w:ascii="Arial" w:cs="Arial" w:eastAsia="Arial" w:hAnsi="Arial"/>
                <w:sz w:val="14"/>
                <w:szCs w:val="14"/>
                <w:color w:val="131E29"/>
              </w:rPr>
              <w:t>15,133</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1.3</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14,083</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1.6</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17,986</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2.8</w:t>
            </w:r>
          </w:p>
        </w:tc>
        <w:tc>
          <w:tcPr>
            <w:tcW w:w="0" w:type="dxa"/>
            <w:vAlign w:val="bottom"/>
          </w:tcPr>
          <w:p>
            <w:pPr>
              <w:spacing w:after="0"/>
              <w:rPr>
                <w:sz w:val="1"/>
                <w:szCs w:val="1"/>
                <w:color w:val="auto"/>
              </w:rPr>
            </w:pPr>
          </w:p>
        </w:tc>
      </w:tr>
      <w:tr>
        <w:trPr>
          <w:trHeight w:val="222"/>
        </w:trPr>
        <w:tc>
          <w:tcPr>
            <w:tcW w:w="53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Depreciation and amortization</w:t>
            </w: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86,809</w:t>
            </w:r>
          </w:p>
        </w:tc>
        <w:tc>
          <w:tcPr>
            <w:tcW w:w="100" w:type="dxa"/>
            <w:vAlign w:val="bottom"/>
            <w:shd w:val="clear" w:color="auto" w:fill="D2DCE5"/>
          </w:tcPr>
          <w:p>
            <w:pPr>
              <w:spacing w:after="0"/>
              <w:rPr>
                <w:sz w:val="19"/>
                <w:szCs w:val="19"/>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7.4</w:t>
            </w:r>
          </w:p>
        </w:tc>
        <w:tc>
          <w:tcPr>
            <w:tcW w:w="80" w:type="dxa"/>
            <w:vAlign w:val="bottom"/>
            <w:shd w:val="clear" w:color="auto" w:fill="D2DCE5"/>
          </w:tcPr>
          <w:p>
            <w:pPr>
              <w:spacing w:after="0"/>
              <w:rPr>
                <w:sz w:val="19"/>
                <w:szCs w:val="19"/>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62,088</w:t>
            </w:r>
          </w:p>
        </w:tc>
        <w:tc>
          <w:tcPr>
            <w:tcW w:w="80" w:type="dxa"/>
            <w:vAlign w:val="bottom"/>
            <w:shd w:val="clear" w:color="auto" w:fill="D2DCE5"/>
          </w:tcPr>
          <w:p>
            <w:pPr>
              <w:spacing w:after="0"/>
              <w:rPr>
                <w:sz w:val="19"/>
                <w:szCs w:val="19"/>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7.2</w:t>
            </w:r>
          </w:p>
        </w:tc>
        <w:tc>
          <w:tcPr>
            <w:tcW w:w="100" w:type="dxa"/>
            <w:vAlign w:val="bottom"/>
            <w:shd w:val="clear" w:color="auto" w:fill="D2DCE5"/>
          </w:tcPr>
          <w:p>
            <w:pPr>
              <w:spacing w:after="0"/>
              <w:rPr>
                <w:sz w:val="19"/>
                <w:szCs w:val="19"/>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36,306</w:t>
            </w:r>
          </w:p>
        </w:tc>
        <w:tc>
          <w:tcPr>
            <w:tcW w:w="80" w:type="dxa"/>
            <w:vAlign w:val="bottom"/>
            <w:shd w:val="clear" w:color="auto" w:fill="D2DCE5"/>
          </w:tcPr>
          <w:p>
            <w:pPr>
              <w:spacing w:after="0"/>
              <w:rPr>
                <w:sz w:val="19"/>
                <w:szCs w:val="19"/>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5.6</w:t>
            </w:r>
          </w:p>
        </w:tc>
        <w:tc>
          <w:tcPr>
            <w:tcW w:w="0" w:type="dxa"/>
            <w:vAlign w:val="bottom"/>
          </w:tcPr>
          <w:p>
            <w:pPr>
              <w:spacing w:after="0"/>
              <w:rPr>
                <w:sz w:val="1"/>
                <w:szCs w:val="1"/>
                <w:color w:val="auto"/>
              </w:rPr>
            </w:pPr>
          </w:p>
        </w:tc>
      </w:tr>
      <w:tr>
        <w:trPr>
          <w:trHeight w:val="193"/>
        </w:trPr>
        <w:tc>
          <w:tcPr>
            <w:tcW w:w="53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Company-operated shop costs and expenses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905,871</w:t>
            </w:r>
          </w:p>
        </w:tc>
        <w:tc>
          <w:tcPr>
            <w:tcW w:w="100" w:type="dxa"/>
            <w:vAlign w:val="bottom"/>
            <w:tcBorders>
              <w:bottom w:val="single" w:sz="8" w:color="D2DCE5"/>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77.7</w:t>
            </w:r>
          </w:p>
        </w:tc>
        <w:tc>
          <w:tcPr>
            <w:tcW w:w="80" w:type="dxa"/>
            <w:vAlign w:val="bottom"/>
            <w:tcBorders>
              <w:bottom w:val="single" w:sz="8" w:color="D2DCE5"/>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677,704</w:t>
            </w:r>
          </w:p>
        </w:tc>
        <w:tc>
          <w:tcPr>
            <w:tcW w:w="80" w:type="dxa"/>
            <w:vAlign w:val="bottom"/>
            <w:tcBorders>
              <w:bottom w:val="single" w:sz="8" w:color="D2DCE5"/>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79.0</w:t>
            </w:r>
          </w:p>
        </w:tc>
        <w:tc>
          <w:tcPr>
            <w:tcW w:w="100" w:type="dxa"/>
            <w:vAlign w:val="bottom"/>
            <w:tcBorders>
              <w:bottom w:val="single" w:sz="8" w:color="D2DCE5"/>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518,383</w:t>
            </w:r>
          </w:p>
        </w:tc>
        <w:tc>
          <w:tcPr>
            <w:tcW w:w="80" w:type="dxa"/>
            <w:vAlign w:val="bottom"/>
            <w:tcBorders>
              <w:bottom w:val="single" w:sz="8" w:color="D2DCE5"/>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81.0</w:t>
            </w:r>
          </w:p>
        </w:tc>
        <w:tc>
          <w:tcPr>
            <w:tcW w:w="0" w:type="dxa"/>
            <w:vAlign w:val="bottom"/>
          </w:tcPr>
          <w:p>
            <w:pPr>
              <w:spacing w:after="0"/>
              <w:rPr>
                <w:sz w:val="1"/>
                <w:szCs w:val="1"/>
                <w:color w:val="auto"/>
              </w:rPr>
            </w:pPr>
          </w:p>
        </w:tc>
      </w:tr>
      <w:tr>
        <w:trPr>
          <w:trHeight w:val="237"/>
        </w:trPr>
        <w:tc>
          <w:tcPr>
            <w:tcW w:w="53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b w:val="1"/>
                <w:bCs w:val="1"/>
                <w:color w:val="131E29"/>
              </w:rPr>
              <w:t>Company-operated shop gross profit</w:t>
            </w: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259,959</w:t>
            </w:r>
          </w:p>
        </w:tc>
        <w:tc>
          <w:tcPr>
            <w:tcW w:w="100" w:type="dxa"/>
            <w:vAlign w:val="bottom"/>
            <w:tcBorders>
              <w:bottom w:val="single" w:sz="8" w:color="D2DCE5"/>
            </w:tcBorders>
            <w:shd w:val="clear" w:color="auto" w:fill="D2DCE5"/>
          </w:tcPr>
          <w:p>
            <w:pPr>
              <w:spacing w:after="0"/>
              <w:rPr>
                <w:sz w:val="20"/>
                <w:szCs w:val="20"/>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22.3</w:t>
            </w:r>
          </w:p>
        </w:tc>
        <w:tc>
          <w:tcPr>
            <w:tcW w:w="80" w:type="dxa"/>
            <w:vAlign w:val="bottom"/>
            <w:tcBorders>
              <w:bottom w:val="single" w:sz="8" w:color="D2DCE5"/>
            </w:tcBorders>
            <w:shd w:val="clear" w:color="auto" w:fill="D2DCE5"/>
          </w:tcPr>
          <w:p>
            <w:pPr>
              <w:spacing w:after="0"/>
              <w:rPr>
                <w:sz w:val="20"/>
                <w:szCs w:val="20"/>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180,235</w:t>
            </w:r>
          </w:p>
        </w:tc>
        <w:tc>
          <w:tcPr>
            <w:tcW w:w="80" w:type="dxa"/>
            <w:vAlign w:val="bottom"/>
            <w:tcBorders>
              <w:bottom w:val="single" w:sz="8" w:color="D2DCE5"/>
            </w:tcBorders>
            <w:shd w:val="clear" w:color="auto" w:fill="D2DCE5"/>
          </w:tcPr>
          <w:p>
            <w:pPr>
              <w:spacing w:after="0"/>
              <w:rPr>
                <w:sz w:val="20"/>
                <w:szCs w:val="20"/>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21.0</w:t>
            </w:r>
          </w:p>
        </w:tc>
        <w:tc>
          <w:tcPr>
            <w:tcW w:w="100" w:type="dxa"/>
            <w:vAlign w:val="bottom"/>
            <w:tcBorders>
              <w:bottom w:val="single" w:sz="8" w:color="D2DCE5"/>
            </w:tcBorders>
            <w:shd w:val="clear" w:color="auto" w:fill="D2DCE5"/>
          </w:tcPr>
          <w:p>
            <w:pPr>
              <w:spacing w:after="0"/>
              <w:rPr>
                <w:sz w:val="20"/>
                <w:szCs w:val="20"/>
                <w:color w:val="auto"/>
              </w:rPr>
            </w:pPr>
          </w:p>
        </w:tc>
        <w:tc>
          <w:tcPr>
            <w:tcW w:w="10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121,327</w:t>
            </w:r>
          </w:p>
        </w:tc>
        <w:tc>
          <w:tcPr>
            <w:tcW w:w="80" w:type="dxa"/>
            <w:vAlign w:val="bottom"/>
            <w:tcBorders>
              <w:bottom w:val="single" w:sz="8" w:color="D2DCE5"/>
            </w:tcBorders>
            <w:shd w:val="clear" w:color="auto" w:fill="D2DCE5"/>
          </w:tcPr>
          <w:p>
            <w:pPr>
              <w:spacing w:after="0"/>
              <w:rPr>
                <w:sz w:val="20"/>
                <w:szCs w:val="20"/>
                <w:color w:val="auto"/>
              </w:rPr>
            </w:pPr>
          </w:p>
        </w:tc>
        <w:tc>
          <w:tcPr>
            <w:tcW w:w="7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19.0</w:t>
            </w:r>
          </w:p>
        </w:tc>
        <w:tc>
          <w:tcPr>
            <w:tcW w:w="0" w:type="dxa"/>
            <w:vAlign w:val="bottom"/>
          </w:tcPr>
          <w:p>
            <w:pPr>
              <w:spacing w:after="0"/>
              <w:rPr>
                <w:sz w:val="1"/>
                <w:szCs w:val="1"/>
                <w:color w:val="auto"/>
              </w:rPr>
            </w:pPr>
          </w:p>
        </w:tc>
      </w:tr>
      <w:tr>
        <w:trPr>
          <w:trHeight w:val="20"/>
        </w:trPr>
        <w:tc>
          <w:tcPr>
            <w:tcW w:w="5320" w:type="dxa"/>
            <w:vAlign w:val="bottom"/>
            <w:tcBorders>
              <w:top w:val="single" w:sz="8" w:color="D2DCE5"/>
              <w:bottom w:val="single" w:sz="8" w:color="D2DCE5"/>
            </w:tcBorders>
            <w:gridSpan w:val="2"/>
            <w:vMerge w:val="restart"/>
          </w:tcPr>
          <w:p>
            <w:pPr>
              <w:ind w:left="140"/>
              <w:spacing w:after="0"/>
              <w:rPr>
                <w:sz w:val="20"/>
                <w:szCs w:val="20"/>
                <w:color w:val="auto"/>
              </w:rPr>
            </w:pPr>
            <w:r>
              <w:rPr>
                <w:rFonts w:ascii="Arial" w:cs="Arial" w:eastAsia="Arial" w:hAnsi="Arial"/>
                <w:sz w:val="14"/>
                <w:szCs w:val="14"/>
                <w:color w:val="131E29"/>
              </w:rPr>
              <w:t xml:space="preserve">Company-operated shop contribution </w:t>
            </w:r>
            <w:r>
              <w:rPr>
                <w:rFonts w:ascii="Arial" w:cs="Arial" w:eastAsia="Arial" w:hAnsi="Arial"/>
                <w:sz w:val="18"/>
                <w:szCs w:val="18"/>
                <w:color w:val="131E29"/>
                <w:vertAlign w:val="superscript"/>
              </w:rPr>
              <w:t>1</w:t>
            </w:r>
          </w:p>
        </w:tc>
        <w:tc>
          <w:tcPr>
            <w:tcW w:w="12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0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72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gridSpan w:val="2"/>
            <w:vMerge w:val="continue"/>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346,768</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29.7</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242,323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28.2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131E29"/>
              </w:rPr>
              <w:t>157,633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131E29"/>
              </w:rPr>
              <w:t>24.6</w:t>
            </w:r>
          </w:p>
        </w:tc>
        <w:tc>
          <w:tcPr>
            <w:tcW w:w="0" w:type="dxa"/>
            <w:vAlign w:val="bottom"/>
          </w:tcPr>
          <w:p>
            <w:pPr>
              <w:spacing w:after="0"/>
              <w:rPr>
                <w:sz w:val="1"/>
                <w:szCs w:val="1"/>
                <w:color w:val="auto"/>
              </w:rPr>
            </w:pPr>
          </w:p>
        </w:tc>
      </w:tr>
      <w:tr>
        <w:trPr>
          <w:trHeight w:val="199"/>
        </w:trPr>
        <w:tc>
          <w:tcPr>
            <w:tcW w:w="5240" w:type="dxa"/>
            <w:vAlign w:val="bottom"/>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20" w:hanging="115"/>
        <w:spacing w:after="0"/>
        <w:tabs>
          <w:tab w:leader="none" w:pos="120" w:val="left"/>
        </w:tabs>
        <w:numPr>
          <w:ilvl w:val="0"/>
          <w:numId w:val="42"/>
        </w:numPr>
        <w:rPr>
          <w:rFonts w:ascii="Arial" w:cs="Arial" w:eastAsia="Arial" w:hAnsi="Arial"/>
          <w:sz w:val="15"/>
          <w:szCs w:val="15"/>
          <w:color w:val="131E29"/>
          <w:vertAlign w:val="superscript"/>
        </w:rPr>
      </w:pPr>
      <w:r>
        <w:rPr>
          <w:rFonts w:ascii="Arial" w:cs="Arial" w:eastAsia="Arial" w:hAnsi="Arial"/>
          <w:sz w:val="11"/>
          <w:szCs w:val="11"/>
          <w:color w:val="131E29"/>
        </w:rPr>
        <w:t>Reconciliation of GAAP to non-GAAP results is provided in the section “Non-GAAP Financial Measures” in Part I, Item 2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Company-operated Shops Segment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Company-operated Shop Revenue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3"/>
                <w:szCs w:val="13"/>
                <w:b w:val="1"/>
                <w:bCs w:val="1"/>
                <w:color w:val="131E29"/>
                <w:w w:val="96"/>
              </w:rPr>
              <w:t>Year Ended December 31,</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82"/>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5"/>
                <w:szCs w:val="15"/>
                <w:color w:val="auto"/>
              </w:rPr>
            </w:pPr>
          </w:p>
        </w:tc>
        <w:tc>
          <w:tcPr>
            <w:tcW w:w="1320" w:type="dxa"/>
            <w:vAlign w:val="bottom"/>
            <w:tcBorders>
              <w:bottom w:val="single" w:sz="8" w:color="131E29"/>
            </w:tcBorders>
          </w:tcPr>
          <w:p>
            <w:pPr>
              <w:jc w:val="right"/>
              <w:ind w:right="453"/>
              <w:spacing w:after="0"/>
              <w:rPr>
                <w:sz w:val="20"/>
                <w:szCs w:val="20"/>
                <w:color w:val="auto"/>
              </w:rPr>
            </w:pPr>
            <w:r>
              <w:rPr>
                <w:rFonts w:ascii="Arial" w:cs="Arial" w:eastAsia="Arial" w:hAnsi="Arial"/>
                <w:sz w:val="13"/>
                <w:szCs w:val="13"/>
                <w:b w:val="1"/>
                <w:bCs w:val="1"/>
                <w:color w:val="131E29"/>
              </w:rPr>
              <w:t>2024</w:t>
            </w:r>
          </w:p>
        </w:tc>
        <w:tc>
          <w:tcPr>
            <w:tcW w:w="100" w:type="dxa"/>
            <w:vAlign w:val="bottom"/>
            <w:tcBorders>
              <w:bottom w:val="single" w:sz="8" w:color="D2DCE5"/>
            </w:tcBorders>
          </w:tcPr>
          <w:p>
            <w:pPr>
              <w:spacing w:after="0"/>
              <w:rPr>
                <w:sz w:val="15"/>
                <w:szCs w:val="15"/>
                <w:color w:val="auto"/>
              </w:rPr>
            </w:pPr>
          </w:p>
        </w:tc>
        <w:tc>
          <w:tcPr>
            <w:tcW w:w="1080" w:type="dxa"/>
            <w:vAlign w:val="bottom"/>
            <w:tcBorders>
              <w:bottom w:val="single" w:sz="8" w:color="131E29"/>
            </w:tcBorders>
          </w:tcPr>
          <w:p>
            <w:pPr>
              <w:jc w:val="right"/>
              <w:ind w:right="333"/>
              <w:spacing w:after="0"/>
              <w:rPr>
                <w:sz w:val="20"/>
                <w:szCs w:val="20"/>
                <w:color w:val="auto"/>
              </w:rPr>
            </w:pPr>
            <w:r>
              <w:rPr>
                <w:rFonts w:ascii="Arial" w:cs="Arial" w:eastAsia="Arial" w:hAnsi="Arial"/>
                <w:sz w:val="13"/>
                <w:szCs w:val="13"/>
                <w:b w:val="1"/>
                <w:bCs w:val="1"/>
                <w:color w:val="131E29"/>
              </w:rPr>
              <w:t>2023</w:t>
            </w:r>
          </w:p>
        </w:tc>
        <w:tc>
          <w:tcPr>
            <w:tcW w:w="80" w:type="dxa"/>
            <w:vAlign w:val="bottom"/>
            <w:tcBorders>
              <w:bottom w:val="single" w:sz="8" w:color="D2DCE5"/>
            </w:tcBorders>
          </w:tcPr>
          <w:p>
            <w:pPr>
              <w:spacing w:after="0"/>
              <w:rPr>
                <w:sz w:val="15"/>
                <w:szCs w:val="15"/>
                <w:color w:val="auto"/>
              </w:rPr>
            </w:pPr>
          </w:p>
        </w:tc>
        <w:tc>
          <w:tcPr>
            <w:tcW w:w="840" w:type="dxa"/>
            <w:vAlign w:val="bottom"/>
            <w:tcBorders>
              <w:bottom w:val="single" w:sz="8" w:color="131E29"/>
            </w:tcBorders>
          </w:tcPr>
          <w:p>
            <w:pPr>
              <w:jc w:val="right"/>
              <w:ind w:right="73"/>
              <w:spacing w:after="0"/>
              <w:rPr>
                <w:sz w:val="20"/>
                <w:szCs w:val="20"/>
                <w:color w:val="auto"/>
              </w:rPr>
            </w:pPr>
            <w:r>
              <w:rPr>
                <w:rFonts w:ascii="Arial" w:cs="Arial" w:eastAsia="Arial" w:hAnsi="Arial"/>
                <w:sz w:val="13"/>
                <w:szCs w:val="13"/>
                <w:b w:val="1"/>
                <w:bCs w:val="1"/>
                <w:color w:val="131E29"/>
              </w:rPr>
              <w:t>2022</w:t>
            </w:r>
          </w:p>
        </w:tc>
        <w:tc>
          <w:tcPr>
            <w:tcW w:w="240" w:type="dxa"/>
            <w:vAlign w:val="bottom"/>
            <w:tcBorders>
              <w:bottom w:val="single" w:sz="8" w:color="131E29"/>
            </w:tcBorders>
          </w:tcPr>
          <w:p>
            <w:pPr>
              <w:spacing w:after="0"/>
              <w:rPr>
                <w:sz w:val="15"/>
                <w:szCs w:val="15"/>
                <w:color w:val="auto"/>
              </w:rPr>
            </w:pPr>
          </w:p>
        </w:tc>
        <w:tc>
          <w:tcPr>
            <w:tcW w:w="100" w:type="dxa"/>
            <w:vAlign w:val="bottom"/>
            <w:tcBorders>
              <w:bottom w:val="single" w:sz="8" w:color="D2DCE5"/>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2024 v. 2023</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D2DCE5"/>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2023 v 2022</w:t>
            </w:r>
          </w:p>
        </w:tc>
        <w:tc>
          <w:tcPr>
            <w:tcW w:w="760" w:type="dxa"/>
            <w:vAlign w:val="bottom"/>
            <w:tcBorders>
              <w:bottom w:val="single" w:sz="8" w:color="auto"/>
            </w:tcBorders>
          </w:tcPr>
          <w:p>
            <w:pPr>
              <w:spacing w:after="0"/>
              <w:rPr>
                <w:sz w:val="15"/>
                <w:szCs w:val="15"/>
                <w:color w:val="auto"/>
              </w:rPr>
            </w:pPr>
          </w:p>
        </w:tc>
      </w:tr>
      <w:tr>
        <w:trPr>
          <w:trHeight w:val="206"/>
        </w:trPr>
        <w:tc>
          <w:tcPr>
            <w:tcW w:w="28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Company-operated shop revenue</w:t>
            </w:r>
          </w:p>
        </w:tc>
        <w:tc>
          <w:tcPr>
            <w:tcW w:w="1320" w:type="dxa"/>
            <w:vAlign w:val="bottom"/>
            <w:shd w:val="clear" w:color="auto" w:fill="D2DCE5"/>
          </w:tcPr>
          <w:p>
            <w:pPr>
              <w:jc w:val="right"/>
              <w:ind w:right="233"/>
              <w:spacing w:after="0"/>
              <w:rPr>
                <w:sz w:val="20"/>
                <w:szCs w:val="20"/>
                <w:color w:val="auto"/>
              </w:rPr>
            </w:pPr>
            <w:r>
              <w:rPr>
                <w:rFonts w:ascii="Arial" w:cs="Arial" w:eastAsia="Arial" w:hAnsi="Arial"/>
                <w:sz w:val="14"/>
                <w:szCs w:val="14"/>
                <w:color w:val="131E29"/>
              </w:rPr>
              <w:t>$1,165,830</w:t>
            </w:r>
          </w:p>
        </w:tc>
        <w:tc>
          <w:tcPr>
            <w:tcW w:w="100" w:type="dxa"/>
            <w:vAlign w:val="bottom"/>
            <w:shd w:val="clear" w:color="auto" w:fill="D2DCE5"/>
          </w:tcPr>
          <w:p>
            <w:pPr>
              <w:spacing w:after="0"/>
              <w:rPr>
                <w:sz w:val="17"/>
                <w:szCs w:val="17"/>
                <w:color w:val="auto"/>
              </w:rPr>
            </w:pPr>
          </w:p>
        </w:tc>
        <w:tc>
          <w:tcPr>
            <w:tcW w:w="1080" w:type="dxa"/>
            <w:vAlign w:val="bottom"/>
            <w:shd w:val="clear" w:color="auto" w:fill="D2DCE5"/>
          </w:tcPr>
          <w:p>
            <w:pPr>
              <w:jc w:val="right"/>
              <w:ind w:right="173"/>
              <w:spacing w:after="0"/>
              <w:rPr>
                <w:sz w:val="20"/>
                <w:szCs w:val="20"/>
                <w:color w:val="auto"/>
              </w:rPr>
            </w:pPr>
            <w:r>
              <w:rPr>
                <w:rFonts w:ascii="Arial" w:cs="Arial" w:eastAsia="Arial" w:hAnsi="Arial"/>
                <w:sz w:val="14"/>
                <w:szCs w:val="14"/>
                <w:color w:val="131E29"/>
              </w:rPr>
              <w:t>$857,939</w:t>
            </w:r>
          </w:p>
        </w:tc>
        <w:tc>
          <w:tcPr>
            <w:tcW w:w="8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$639,710</w:t>
            </w:r>
          </w:p>
        </w:tc>
        <w:tc>
          <w:tcPr>
            <w:tcW w:w="1860" w:type="dxa"/>
            <w:vAlign w:val="bottom"/>
            <w:gridSpan w:val="3"/>
            <w:shd w:val="clear" w:color="auto" w:fill="D2DCE5"/>
          </w:tcPr>
          <w:p>
            <w:pPr>
              <w:jc w:val="right"/>
              <w:ind w:right="616"/>
              <w:spacing w:after="0"/>
              <w:rPr>
                <w:sz w:val="20"/>
                <w:szCs w:val="20"/>
                <w:color w:val="auto"/>
              </w:rPr>
            </w:pPr>
            <w:r>
              <w:rPr>
                <w:rFonts w:ascii="Arial" w:cs="Arial" w:eastAsia="Arial" w:hAnsi="Arial"/>
                <w:sz w:val="14"/>
                <w:szCs w:val="14"/>
                <w:color w:val="131E29"/>
              </w:rPr>
              <w:t>$307,891</w:t>
            </w:r>
          </w:p>
        </w:tc>
        <w:tc>
          <w:tcPr>
            <w:tcW w:w="760" w:type="dxa"/>
            <w:vAlign w:val="bottom"/>
            <w:shd w:val="clear" w:color="auto" w:fill="D2DCE5"/>
          </w:tcPr>
          <w:p>
            <w:pPr>
              <w:jc w:val="right"/>
              <w:ind w:right="269"/>
              <w:spacing w:after="0"/>
              <w:rPr>
                <w:sz w:val="20"/>
                <w:szCs w:val="20"/>
                <w:color w:val="auto"/>
              </w:rPr>
            </w:pPr>
            <w:r>
              <w:rPr>
                <w:rFonts w:ascii="Arial" w:cs="Arial" w:eastAsia="Arial" w:hAnsi="Arial"/>
                <w:sz w:val="14"/>
                <w:szCs w:val="14"/>
                <w:color w:val="131E29"/>
              </w:rPr>
              <w:t>35.9%</w:t>
            </w:r>
          </w:p>
        </w:tc>
        <w:tc>
          <w:tcPr>
            <w:tcW w:w="100" w:type="dxa"/>
            <w:vAlign w:val="bottom"/>
            <w:shd w:val="clear" w:color="auto" w:fill="D2DCE5"/>
          </w:tcPr>
          <w:p>
            <w:pPr>
              <w:spacing w:after="0"/>
              <w:rPr>
                <w:sz w:val="17"/>
                <w:szCs w:val="17"/>
                <w:color w:val="auto"/>
              </w:rPr>
            </w:pPr>
          </w:p>
        </w:tc>
        <w:tc>
          <w:tcPr>
            <w:tcW w:w="1520" w:type="dxa"/>
            <w:vAlign w:val="bottom"/>
            <w:shd w:val="clear" w:color="auto" w:fill="D2DCE5"/>
          </w:tcPr>
          <w:p>
            <w:pPr>
              <w:jc w:val="right"/>
              <w:ind w:right="613"/>
              <w:spacing w:after="0"/>
              <w:rPr>
                <w:sz w:val="20"/>
                <w:szCs w:val="20"/>
                <w:color w:val="auto"/>
              </w:rPr>
            </w:pPr>
            <w:r>
              <w:rPr>
                <w:rFonts w:ascii="Arial" w:cs="Arial" w:eastAsia="Arial" w:hAnsi="Arial"/>
                <w:sz w:val="14"/>
                <w:szCs w:val="14"/>
                <w:color w:val="131E29"/>
              </w:rPr>
              <w:t>$218,229</w:t>
            </w:r>
          </w:p>
        </w:tc>
        <w:tc>
          <w:tcPr>
            <w:tcW w:w="760" w:type="dxa"/>
            <w:vAlign w:val="bottom"/>
            <w:shd w:val="clear" w:color="auto" w:fill="D2DCE5"/>
          </w:tcPr>
          <w:p>
            <w:pPr>
              <w:jc w:val="right"/>
              <w:ind w:right="269"/>
              <w:spacing w:after="0"/>
              <w:rPr>
                <w:sz w:val="20"/>
                <w:szCs w:val="20"/>
                <w:color w:val="auto"/>
              </w:rPr>
            </w:pPr>
            <w:r>
              <w:rPr>
                <w:rFonts w:ascii="Arial" w:cs="Arial" w:eastAsia="Arial" w:hAnsi="Arial"/>
                <w:sz w:val="14"/>
                <w:szCs w:val="14"/>
                <w:color w:val="131E29"/>
              </w:rPr>
              <w:t>34.1%</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2024 v. 2023</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company-operated shop revenue increase was driven by $262.3 million from newly opened shops not yet in the comparable shop base and $45.6 million from an increase in same shop sales within the comparable shop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31750</wp:posOffset>
            </wp:positionV>
            <wp:extent cx="4204335" cy="10979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20433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35" w:lineRule="exact"/>
        <w:rPr>
          <w:sz w:val="20"/>
          <w:szCs w:val="20"/>
          <w:color w:val="auto"/>
        </w:rPr>
      </w:pPr>
    </w:p>
    <w:p>
      <w:pPr>
        <w:ind w:left="120" w:hanging="115"/>
        <w:spacing w:after="0"/>
        <w:tabs>
          <w:tab w:leader="none" w:pos="120" w:val="left"/>
        </w:tabs>
        <w:numPr>
          <w:ilvl w:val="0"/>
          <w:numId w:val="43"/>
        </w:numPr>
        <w:rPr>
          <w:rFonts w:ascii="Arial" w:cs="Arial" w:eastAsia="Arial" w:hAnsi="Arial"/>
          <w:sz w:val="15"/>
          <w:szCs w:val="15"/>
          <w:color w:val="131E29"/>
          <w:vertAlign w:val="superscript"/>
        </w:rPr>
      </w:pPr>
      <w:r>
        <w:rPr>
          <w:rFonts w:ascii="Arial" w:cs="Arial" w:eastAsia="Arial" w:hAnsi="Arial"/>
          <w:sz w:val="11"/>
          <w:szCs w:val="11"/>
          <w:color w:val="131E29"/>
        </w:rPr>
        <w:t>The comparable same shop bases were 370, 246, and 173 for the three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1" w:name="page82"/>
    <w:bookmarkEnd w:id="8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8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Beverage, Food, and Packaging Costs</w:t>
            </w: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w w:val="99"/>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2024</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860" w:type="dxa"/>
            <w:vAlign w:val="bottom"/>
            <w:tcBorders>
              <w:bottom w:val="single" w:sz="8" w:color="131E29"/>
            </w:tcBorders>
          </w:tcPr>
          <w:p>
            <w:pPr>
              <w:jc w:val="center"/>
              <w:ind w:left="169"/>
              <w:spacing w:after="0"/>
              <w:rPr>
                <w:sz w:val="20"/>
                <w:szCs w:val="20"/>
                <w:color w:val="auto"/>
              </w:rPr>
            </w:pPr>
            <w:r>
              <w:rPr>
                <w:rFonts w:ascii="Arial" w:cs="Arial" w:eastAsia="Arial" w:hAnsi="Arial"/>
                <w:sz w:val="14"/>
                <w:szCs w:val="14"/>
                <w:b w:val="1"/>
                <w:bCs w:val="1"/>
                <w:color w:val="131E29"/>
                <w:w w:val="96"/>
              </w:rPr>
              <w:t>2022</w:t>
            </w:r>
          </w:p>
        </w:tc>
        <w:tc>
          <w:tcPr>
            <w:tcW w:w="24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228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131E29"/>
              </w:rPr>
              <w:t>2023 v 2022</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Beverage, food and packaging costs</w:t>
            </w: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$296,752</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$230,133</w:t>
            </w:r>
          </w:p>
        </w:tc>
        <w:tc>
          <w:tcPr>
            <w:tcW w:w="80" w:type="dxa"/>
            <w:vAlign w:val="bottom"/>
            <w:shd w:val="clear" w:color="auto" w:fill="D2DCE5"/>
          </w:tcPr>
          <w:p>
            <w:pPr>
              <w:spacing w:after="0"/>
              <w:rPr>
                <w:sz w:val="18"/>
                <w:szCs w:val="18"/>
                <w:color w:val="auto"/>
              </w:rPr>
            </w:pPr>
          </w:p>
        </w:tc>
        <w:tc>
          <w:tcPr>
            <w:tcW w:w="86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w w:val="99"/>
              </w:rPr>
              <w:t>$171,864</w:t>
            </w:r>
          </w:p>
        </w:tc>
        <w:tc>
          <w:tcPr>
            <w:tcW w:w="176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rPr>
              <w:t>$66,619</w:t>
            </w:r>
          </w:p>
        </w:tc>
        <w:tc>
          <w:tcPr>
            <w:tcW w:w="840" w:type="dxa"/>
            <w:vAlign w:val="bottom"/>
            <w:shd w:val="clear" w:color="auto" w:fill="D2DCE5"/>
          </w:tcPr>
          <w:p>
            <w:pPr>
              <w:jc w:val="right"/>
              <w:ind w:right="269"/>
              <w:spacing w:after="0"/>
              <w:rPr>
                <w:sz w:val="20"/>
                <w:szCs w:val="20"/>
                <w:color w:val="auto"/>
              </w:rPr>
            </w:pPr>
            <w:r>
              <w:rPr>
                <w:rFonts w:ascii="Arial" w:cs="Arial" w:eastAsia="Arial" w:hAnsi="Arial"/>
                <w:sz w:val="14"/>
                <w:szCs w:val="14"/>
                <w:color w:val="131E29"/>
              </w:rPr>
              <w:t>28.9%</w:t>
            </w:r>
          </w:p>
        </w:tc>
        <w:tc>
          <w:tcPr>
            <w:tcW w:w="100" w:type="dxa"/>
            <w:vAlign w:val="bottom"/>
            <w:shd w:val="clear" w:color="auto" w:fill="D2DCE5"/>
          </w:tcPr>
          <w:p>
            <w:pPr>
              <w:spacing w:after="0"/>
              <w:rPr>
                <w:sz w:val="18"/>
                <w:szCs w:val="18"/>
                <w:color w:val="auto"/>
              </w:rPr>
            </w:pPr>
          </w:p>
        </w:tc>
        <w:tc>
          <w:tcPr>
            <w:tcW w:w="1160" w:type="dxa"/>
            <w:vAlign w:val="bottom"/>
            <w:shd w:val="clear" w:color="auto" w:fill="D2DCE5"/>
          </w:tcPr>
          <w:p>
            <w:pPr>
              <w:jc w:val="right"/>
              <w:ind w:right="289"/>
              <w:spacing w:after="0"/>
              <w:rPr>
                <w:sz w:val="20"/>
                <w:szCs w:val="20"/>
                <w:color w:val="auto"/>
              </w:rPr>
            </w:pPr>
            <w:r>
              <w:rPr>
                <w:rFonts w:ascii="Arial" w:cs="Arial" w:eastAsia="Arial" w:hAnsi="Arial"/>
                <w:sz w:val="14"/>
                <w:szCs w:val="14"/>
                <w:color w:val="131E29"/>
              </w:rPr>
              <w:t>$58,269</w:t>
            </w:r>
          </w:p>
        </w:tc>
        <w:tc>
          <w:tcPr>
            <w:tcW w:w="1120" w:type="dxa"/>
            <w:vAlign w:val="bottom"/>
            <w:shd w:val="clear" w:color="auto" w:fill="D2DCE5"/>
          </w:tcPr>
          <w:p>
            <w:pPr>
              <w:ind w:left="380"/>
              <w:spacing w:after="0"/>
              <w:rPr>
                <w:sz w:val="20"/>
                <w:szCs w:val="20"/>
                <w:color w:val="auto"/>
              </w:rPr>
            </w:pPr>
            <w:r>
              <w:rPr>
                <w:rFonts w:ascii="Arial" w:cs="Arial" w:eastAsia="Arial" w:hAnsi="Arial"/>
                <w:sz w:val="14"/>
                <w:szCs w:val="14"/>
                <w:color w:val="131E29"/>
              </w:rPr>
              <w:t>33.9%</w:t>
            </w:r>
          </w:p>
        </w:tc>
        <w:tc>
          <w:tcPr>
            <w:tcW w:w="0" w:type="dxa"/>
            <w:vAlign w:val="bottom"/>
          </w:tcPr>
          <w:p>
            <w:pPr>
              <w:spacing w:after="0"/>
              <w:rPr>
                <w:sz w:val="1"/>
                <w:szCs w:val="1"/>
                <w:color w:val="auto"/>
              </w:rPr>
            </w:pPr>
          </w:p>
        </w:tc>
      </w:tr>
      <w:tr>
        <w:trPr>
          <w:trHeight w:val="178"/>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 company-operated shop</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131E29"/>
              </w:rPr>
              <w:t>25.5%</w:t>
            </w:r>
          </w:p>
        </w:tc>
        <w:tc>
          <w:tcPr>
            <w:tcW w:w="8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131E29"/>
              </w:rPr>
              <w:t>26.9%</w:t>
            </w:r>
          </w:p>
        </w:tc>
        <w:tc>
          <w:tcPr>
            <w:tcW w:w="80" w:type="dxa"/>
            <w:vAlign w:val="bottom"/>
          </w:tcPr>
          <w:p>
            <w:pPr>
              <w:spacing w:after="0"/>
              <w:rPr>
                <w:sz w:val="15"/>
                <w:szCs w:val="15"/>
                <w:color w:val="auto"/>
              </w:rPr>
            </w:pPr>
          </w:p>
        </w:tc>
        <w:tc>
          <w:tcPr>
            <w:tcW w:w="860" w:type="dxa"/>
            <w:vAlign w:val="bottom"/>
            <w:vMerge w:val="restart"/>
          </w:tcPr>
          <w:p>
            <w:pPr>
              <w:jc w:val="center"/>
              <w:ind w:left="149"/>
              <w:spacing w:after="0"/>
              <w:rPr>
                <w:sz w:val="20"/>
                <w:szCs w:val="20"/>
                <w:color w:val="auto"/>
              </w:rPr>
            </w:pPr>
            <w:r>
              <w:rPr>
                <w:rFonts w:ascii="Arial" w:cs="Arial" w:eastAsia="Arial" w:hAnsi="Arial"/>
                <w:sz w:val="14"/>
                <w:szCs w:val="14"/>
                <w:color w:val="131E29"/>
              </w:rPr>
              <w:t>26.9%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vMerge w:val="restart"/>
          </w:tcPr>
          <w:p>
            <w:pPr>
              <w:jc w:val="center"/>
              <w:ind w:right="249"/>
              <w:spacing w:after="0"/>
              <w:rPr>
                <w:sz w:val="20"/>
                <w:szCs w:val="20"/>
                <w:color w:val="auto"/>
              </w:rPr>
            </w:pPr>
            <w:r>
              <w:rPr>
                <w:rFonts w:ascii="Arial" w:cs="Arial" w:eastAsia="Arial" w:hAnsi="Arial"/>
                <w:sz w:val="14"/>
                <w:szCs w:val="14"/>
                <w:color w:val="131E29"/>
              </w:rPr>
              <w:t>N/A</w:t>
            </w: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131E29"/>
              </w:rPr>
              <w:t>(140) bps</w:t>
            </w:r>
          </w:p>
        </w:tc>
        <w:tc>
          <w:tcPr>
            <w:tcW w:w="1160" w:type="dxa"/>
            <w:vAlign w:val="bottom"/>
            <w:vMerge w:val="restart"/>
          </w:tcPr>
          <w:p>
            <w:pPr>
              <w:jc w:val="center"/>
              <w:ind w:right="9"/>
              <w:spacing w:after="0"/>
              <w:rPr>
                <w:sz w:val="20"/>
                <w:szCs w:val="20"/>
                <w:color w:val="auto"/>
              </w:rPr>
            </w:pPr>
            <w:r>
              <w:rPr>
                <w:rFonts w:ascii="Arial" w:cs="Arial" w:eastAsia="Arial" w:hAnsi="Arial"/>
                <w:sz w:val="14"/>
                <w:szCs w:val="14"/>
                <w:color w:val="131E29"/>
              </w:rPr>
              <w:t>N/A</w:t>
            </w:r>
          </w:p>
        </w:tc>
        <w:tc>
          <w:tcPr>
            <w:tcW w:w="1120" w:type="dxa"/>
            <w:vAlign w:val="bottom"/>
            <w:vMerge w:val="restart"/>
          </w:tcPr>
          <w:p>
            <w:pPr>
              <w:ind w:left="360"/>
              <w:spacing w:after="0"/>
              <w:rPr>
                <w:sz w:val="20"/>
                <w:szCs w:val="20"/>
                <w:color w:val="auto"/>
              </w:rPr>
            </w:pPr>
            <w:r>
              <w:rPr>
                <w:rFonts w:ascii="Arial" w:cs="Arial" w:eastAsia="Arial" w:hAnsi="Arial"/>
                <w:sz w:val="14"/>
                <w:szCs w:val="14"/>
                <w:color w:val="131E29"/>
              </w:rPr>
              <w:t>— bps</w:t>
            </w:r>
          </w:p>
        </w:tc>
        <w:tc>
          <w:tcPr>
            <w:tcW w:w="0" w:type="dxa"/>
            <w:vAlign w:val="bottom"/>
          </w:tcPr>
          <w:p>
            <w:pPr>
              <w:spacing w:after="0"/>
              <w:rPr>
                <w:sz w:val="1"/>
                <w:szCs w:val="1"/>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131E29"/>
              </w:rPr>
              <w:t>revenues</w:t>
            </w: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2024 v. 2023</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As a percentage of company-operated shop revenues, beverage, food and packaging costs decreased by 140 basis points. This was primarily due to a 110 basis point decrease due to the impact of increased pricing on the comparable shop base</w:t>
      </w:r>
      <w:r>
        <w:rPr>
          <w:rFonts w:ascii="Arial" w:cs="Arial" w:eastAsia="Arial" w:hAnsi="Arial"/>
          <w:sz w:val="11"/>
          <w:szCs w:val="11"/>
          <w:color w:val="131E29"/>
        </w:rPr>
        <w:t>.</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Labor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w w:val="99"/>
              </w:rPr>
              <w:t>Year Ended December 31,</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2024</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860" w:type="dxa"/>
            <w:vAlign w:val="bottom"/>
            <w:tcBorders>
              <w:bottom w:val="single" w:sz="8" w:color="131E29"/>
            </w:tcBorders>
          </w:tcPr>
          <w:p>
            <w:pPr>
              <w:jc w:val="center"/>
              <w:ind w:left="169"/>
              <w:spacing w:after="0"/>
              <w:rPr>
                <w:sz w:val="20"/>
                <w:szCs w:val="20"/>
                <w:color w:val="auto"/>
              </w:rPr>
            </w:pPr>
            <w:r>
              <w:rPr>
                <w:rFonts w:ascii="Arial" w:cs="Arial" w:eastAsia="Arial" w:hAnsi="Arial"/>
                <w:sz w:val="14"/>
                <w:szCs w:val="14"/>
                <w:b w:val="1"/>
                <w:bCs w:val="1"/>
                <w:color w:val="131E29"/>
                <w:w w:val="96"/>
              </w:rPr>
              <w:t>2022</w:t>
            </w:r>
          </w:p>
        </w:tc>
        <w:tc>
          <w:tcPr>
            <w:tcW w:w="24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2023 v 2022</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Labor costs</w:t>
            </w: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$315,805</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$230,505</w:t>
            </w:r>
          </w:p>
        </w:tc>
        <w:tc>
          <w:tcPr>
            <w:tcW w:w="80" w:type="dxa"/>
            <w:vAlign w:val="bottom"/>
            <w:shd w:val="clear" w:color="auto" w:fill="D2DCE5"/>
          </w:tcPr>
          <w:p>
            <w:pPr>
              <w:spacing w:after="0"/>
              <w:rPr>
                <w:sz w:val="18"/>
                <w:szCs w:val="18"/>
                <w:color w:val="auto"/>
              </w:rPr>
            </w:pPr>
          </w:p>
        </w:tc>
        <w:tc>
          <w:tcPr>
            <w:tcW w:w="86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w w:val="99"/>
              </w:rPr>
              <w:t>$182,861</w:t>
            </w:r>
          </w:p>
        </w:tc>
        <w:tc>
          <w:tcPr>
            <w:tcW w:w="180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rPr>
              <w:t>$85,300</w:t>
            </w:r>
          </w:p>
        </w:tc>
        <w:tc>
          <w:tcPr>
            <w:tcW w:w="80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37.0%</w:t>
            </w:r>
          </w:p>
        </w:tc>
        <w:tc>
          <w:tcPr>
            <w:tcW w:w="100" w:type="dxa"/>
            <w:vAlign w:val="bottom"/>
            <w:shd w:val="clear" w:color="auto" w:fill="D2DCE5"/>
          </w:tcPr>
          <w:p>
            <w:pPr>
              <w:spacing w:after="0"/>
              <w:rPr>
                <w:sz w:val="18"/>
                <w:szCs w:val="18"/>
                <w:color w:val="auto"/>
              </w:rPr>
            </w:pPr>
          </w:p>
        </w:tc>
        <w:tc>
          <w:tcPr>
            <w:tcW w:w="1120" w:type="dxa"/>
            <w:vAlign w:val="bottom"/>
            <w:shd w:val="clear" w:color="auto" w:fill="D2DCE5"/>
          </w:tcPr>
          <w:p>
            <w:pPr>
              <w:jc w:val="right"/>
              <w:ind w:right="249"/>
              <w:spacing w:after="0"/>
              <w:rPr>
                <w:sz w:val="20"/>
                <w:szCs w:val="20"/>
                <w:color w:val="auto"/>
              </w:rPr>
            </w:pPr>
            <w:r>
              <w:rPr>
                <w:rFonts w:ascii="Arial" w:cs="Arial" w:eastAsia="Arial" w:hAnsi="Arial"/>
                <w:sz w:val="14"/>
                <w:szCs w:val="14"/>
                <w:color w:val="131E29"/>
              </w:rPr>
              <w:t>$47,644</w:t>
            </w:r>
          </w:p>
        </w:tc>
        <w:tc>
          <w:tcPr>
            <w:tcW w:w="1160" w:type="dxa"/>
            <w:vAlign w:val="bottom"/>
            <w:shd w:val="clear" w:color="auto" w:fill="D2DCE5"/>
          </w:tcPr>
          <w:p>
            <w:pPr>
              <w:jc w:val="right"/>
              <w:ind w:right="269"/>
              <w:spacing w:after="0"/>
              <w:rPr>
                <w:sz w:val="20"/>
                <w:szCs w:val="20"/>
                <w:color w:val="auto"/>
              </w:rPr>
            </w:pPr>
            <w:r>
              <w:rPr>
                <w:rFonts w:ascii="Arial" w:cs="Arial" w:eastAsia="Arial" w:hAnsi="Arial"/>
                <w:sz w:val="14"/>
                <w:szCs w:val="14"/>
                <w:color w:val="131E29"/>
              </w:rPr>
              <w:t>26.1%</w:t>
            </w:r>
          </w:p>
        </w:tc>
        <w:tc>
          <w:tcPr>
            <w:tcW w:w="0" w:type="dxa"/>
            <w:vAlign w:val="bottom"/>
          </w:tcPr>
          <w:p>
            <w:pPr>
              <w:spacing w:after="0"/>
              <w:rPr>
                <w:sz w:val="1"/>
                <w:szCs w:val="1"/>
                <w:color w:val="auto"/>
              </w:rPr>
            </w:pPr>
          </w:p>
        </w:tc>
      </w:tr>
      <w:tr>
        <w:trPr>
          <w:trHeight w:val="178"/>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 company-operated shop</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131E29"/>
              </w:rPr>
              <w:t>27.1%</w:t>
            </w:r>
          </w:p>
        </w:tc>
        <w:tc>
          <w:tcPr>
            <w:tcW w:w="8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131E29"/>
              </w:rPr>
              <w:t>26.9%</w:t>
            </w:r>
          </w:p>
        </w:tc>
        <w:tc>
          <w:tcPr>
            <w:tcW w:w="80" w:type="dxa"/>
            <w:vAlign w:val="bottom"/>
          </w:tcPr>
          <w:p>
            <w:pPr>
              <w:spacing w:after="0"/>
              <w:rPr>
                <w:sz w:val="15"/>
                <w:szCs w:val="15"/>
                <w:color w:val="auto"/>
              </w:rPr>
            </w:pPr>
          </w:p>
        </w:tc>
        <w:tc>
          <w:tcPr>
            <w:tcW w:w="860" w:type="dxa"/>
            <w:vAlign w:val="bottom"/>
            <w:vMerge w:val="restart"/>
          </w:tcPr>
          <w:p>
            <w:pPr>
              <w:jc w:val="center"/>
              <w:ind w:left="149"/>
              <w:spacing w:after="0"/>
              <w:rPr>
                <w:sz w:val="20"/>
                <w:szCs w:val="20"/>
                <w:color w:val="auto"/>
              </w:rPr>
            </w:pPr>
            <w:r>
              <w:rPr>
                <w:rFonts w:ascii="Arial" w:cs="Arial" w:eastAsia="Arial" w:hAnsi="Arial"/>
                <w:sz w:val="14"/>
                <w:szCs w:val="14"/>
                <w:color w:val="131E29"/>
              </w:rPr>
              <w:t>28.6%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vMerge w:val="restart"/>
          </w:tcPr>
          <w:p>
            <w:pPr>
              <w:jc w:val="center"/>
              <w:ind w:right="289"/>
              <w:spacing w:after="0"/>
              <w:rPr>
                <w:sz w:val="20"/>
                <w:szCs w:val="20"/>
                <w:color w:val="auto"/>
              </w:rPr>
            </w:pPr>
            <w:r>
              <w:rPr>
                <w:rFonts w:ascii="Arial" w:cs="Arial" w:eastAsia="Arial" w:hAnsi="Arial"/>
                <w:sz w:val="14"/>
                <w:szCs w:val="14"/>
                <w:color w:val="131E29"/>
              </w:rPr>
              <w:t>N/A</w:t>
            </w: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color w:val="131E29"/>
              </w:rPr>
              <w:t>20 bps</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131E29"/>
              </w:rPr>
              <w:t>N/A</w:t>
            </w:r>
          </w:p>
        </w:tc>
        <w:tc>
          <w:tcPr>
            <w:tcW w:w="1160" w:type="dxa"/>
            <w:vAlign w:val="bottom"/>
            <w:vMerge w:val="restart"/>
          </w:tcPr>
          <w:p>
            <w:pPr>
              <w:jc w:val="center"/>
              <w:ind w:left="9"/>
              <w:spacing w:after="0"/>
              <w:rPr>
                <w:sz w:val="20"/>
                <w:szCs w:val="20"/>
                <w:color w:val="auto"/>
              </w:rPr>
            </w:pPr>
            <w:r>
              <w:rPr>
                <w:rFonts w:ascii="Arial" w:cs="Arial" w:eastAsia="Arial" w:hAnsi="Arial"/>
                <w:sz w:val="14"/>
                <w:szCs w:val="14"/>
                <w:color w:val="131E29"/>
              </w:rPr>
              <w:t>(170) bps</w:t>
            </w:r>
          </w:p>
        </w:tc>
        <w:tc>
          <w:tcPr>
            <w:tcW w:w="0" w:type="dxa"/>
            <w:vAlign w:val="bottom"/>
          </w:tcPr>
          <w:p>
            <w:pPr>
              <w:spacing w:after="0"/>
              <w:rPr>
                <w:sz w:val="1"/>
                <w:szCs w:val="1"/>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131E29"/>
              </w:rPr>
              <w:t>revenues</w:t>
            </w: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2024 v. 2023</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As a percentage of company-operated shop revenues, labor costs increased by 20 basis points. This was primarily due to 180 basis points from increased wages, partially offset by a decrease of 110 basis points from the impact of increased pricing and a decrease of 50 basis points driven by staffing management.</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Occupancy and Other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w w:val="99"/>
              </w:rPr>
              <w:t>Year Ended December 31,</w:t>
            </w: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2024</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860" w:type="dxa"/>
            <w:vAlign w:val="bottom"/>
            <w:tcBorders>
              <w:bottom w:val="single" w:sz="8" w:color="131E29"/>
            </w:tcBorders>
          </w:tcPr>
          <w:p>
            <w:pPr>
              <w:jc w:val="center"/>
              <w:ind w:left="169"/>
              <w:spacing w:after="0"/>
              <w:rPr>
                <w:sz w:val="20"/>
                <w:szCs w:val="20"/>
                <w:color w:val="auto"/>
              </w:rPr>
            </w:pPr>
            <w:r>
              <w:rPr>
                <w:rFonts w:ascii="Arial" w:cs="Arial" w:eastAsia="Arial" w:hAnsi="Arial"/>
                <w:sz w:val="14"/>
                <w:szCs w:val="14"/>
                <w:b w:val="1"/>
                <w:bCs w:val="1"/>
                <w:color w:val="131E29"/>
                <w:w w:val="96"/>
              </w:rPr>
              <w:t>2022</w:t>
            </w:r>
          </w:p>
        </w:tc>
        <w:tc>
          <w:tcPr>
            <w:tcW w:w="24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2023 v 2022</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Occupancy and other costs</w:t>
            </w: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$191,372</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$140,895</w:t>
            </w:r>
          </w:p>
        </w:tc>
        <w:tc>
          <w:tcPr>
            <w:tcW w:w="80" w:type="dxa"/>
            <w:vAlign w:val="bottom"/>
            <w:shd w:val="clear" w:color="auto" w:fill="D2DCE5"/>
          </w:tcPr>
          <w:p>
            <w:pPr>
              <w:spacing w:after="0"/>
              <w:rPr>
                <w:sz w:val="18"/>
                <w:szCs w:val="18"/>
                <w:color w:val="auto"/>
              </w:rPr>
            </w:pPr>
          </w:p>
        </w:tc>
        <w:tc>
          <w:tcPr>
            <w:tcW w:w="86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w w:val="99"/>
              </w:rPr>
              <w:t>$109,366</w:t>
            </w:r>
          </w:p>
        </w:tc>
        <w:tc>
          <w:tcPr>
            <w:tcW w:w="180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rPr>
              <w:t>$50,477</w:t>
            </w:r>
          </w:p>
        </w:tc>
        <w:tc>
          <w:tcPr>
            <w:tcW w:w="800" w:type="dxa"/>
            <w:vAlign w:val="bottom"/>
            <w:shd w:val="clear" w:color="auto" w:fill="D2DCE5"/>
          </w:tcPr>
          <w:p>
            <w:pPr>
              <w:ind w:left="60"/>
              <w:spacing w:after="0"/>
              <w:rPr>
                <w:sz w:val="20"/>
                <w:szCs w:val="20"/>
                <w:color w:val="auto"/>
              </w:rPr>
            </w:pPr>
            <w:r>
              <w:rPr>
                <w:rFonts w:ascii="Arial" w:cs="Arial" w:eastAsia="Arial" w:hAnsi="Arial"/>
                <w:sz w:val="14"/>
                <w:szCs w:val="14"/>
                <w:color w:val="131E29"/>
              </w:rPr>
              <w:t>35.8%</w:t>
            </w:r>
          </w:p>
        </w:tc>
        <w:tc>
          <w:tcPr>
            <w:tcW w:w="100" w:type="dxa"/>
            <w:vAlign w:val="bottom"/>
            <w:shd w:val="clear" w:color="auto" w:fill="D2DCE5"/>
          </w:tcPr>
          <w:p>
            <w:pPr>
              <w:spacing w:after="0"/>
              <w:rPr>
                <w:sz w:val="18"/>
                <w:szCs w:val="18"/>
                <w:color w:val="auto"/>
              </w:rPr>
            </w:pPr>
          </w:p>
        </w:tc>
        <w:tc>
          <w:tcPr>
            <w:tcW w:w="1140" w:type="dxa"/>
            <w:vAlign w:val="bottom"/>
            <w:shd w:val="clear" w:color="auto" w:fill="D2DCE5"/>
          </w:tcPr>
          <w:p>
            <w:pPr>
              <w:jc w:val="right"/>
              <w:ind w:right="269"/>
              <w:spacing w:after="0"/>
              <w:rPr>
                <w:sz w:val="20"/>
                <w:szCs w:val="20"/>
                <w:color w:val="auto"/>
              </w:rPr>
            </w:pPr>
            <w:r>
              <w:rPr>
                <w:rFonts w:ascii="Arial" w:cs="Arial" w:eastAsia="Arial" w:hAnsi="Arial"/>
                <w:sz w:val="14"/>
                <w:szCs w:val="14"/>
                <w:color w:val="131E29"/>
              </w:rPr>
              <w:t>$31,529</w:t>
            </w:r>
          </w:p>
        </w:tc>
        <w:tc>
          <w:tcPr>
            <w:tcW w:w="1140" w:type="dxa"/>
            <w:vAlign w:val="bottom"/>
            <w:shd w:val="clear" w:color="auto" w:fill="D2DCE5"/>
          </w:tcPr>
          <w:p>
            <w:pPr>
              <w:jc w:val="right"/>
              <w:ind w:right="269"/>
              <w:spacing w:after="0"/>
              <w:rPr>
                <w:sz w:val="20"/>
                <w:szCs w:val="20"/>
                <w:color w:val="auto"/>
              </w:rPr>
            </w:pPr>
            <w:r>
              <w:rPr>
                <w:rFonts w:ascii="Arial" w:cs="Arial" w:eastAsia="Arial" w:hAnsi="Arial"/>
                <w:sz w:val="14"/>
                <w:szCs w:val="14"/>
                <w:color w:val="131E29"/>
              </w:rPr>
              <w:t>28.8%</w:t>
            </w:r>
          </w:p>
        </w:tc>
        <w:tc>
          <w:tcPr>
            <w:tcW w:w="0" w:type="dxa"/>
            <w:vAlign w:val="bottom"/>
          </w:tcPr>
          <w:p>
            <w:pPr>
              <w:spacing w:after="0"/>
              <w:rPr>
                <w:sz w:val="1"/>
                <w:szCs w:val="1"/>
                <w:color w:val="auto"/>
              </w:rPr>
            </w:pPr>
          </w:p>
        </w:tc>
      </w:tr>
      <w:tr>
        <w:trPr>
          <w:trHeight w:val="178"/>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 company-operated shop</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131E29"/>
              </w:rPr>
              <w:t>16.4%</w:t>
            </w:r>
          </w:p>
        </w:tc>
        <w:tc>
          <w:tcPr>
            <w:tcW w:w="8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131E29"/>
              </w:rPr>
              <w:t>16.4%</w:t>
            </w:r>
          </w:p>
        </w:tc>
        <w:tc>
          <w:tcPr>
            <w:tcW w:w="80" w:type="dxa"/>
            <w:vAlign w:val="bottom"/>
          </w:tcPr>
          <w:p>
            <w:pPr>
              <w:spacing w:after="0"/>
              <w:rPr>
                <w:sz w:val="15"/>
                <w:szCs w:val="15"/>
                <w:color w:val="auto"/>
              </w:rPr>
            </w:pPr>
          </w:p>
        </w:tc>
        <w:tc>
          <w:tcPr>
            <w:tcW w:w="860" w:type="dxa"/>
            <w:vAlign w:val="bottom"/>
            <w:vMerge w:val="restart"/>
          </w:tcPr>
          <w:p>
            <w:pPr>
              <w:jc w:val="center"/>
              <w:ind w:left="149"/>
              <w:spacing w:after="0"/>
              <w:rPr>
                <w:sz w:val="20"/>
                <w:szCs w:val="20"/>
                <w:color w:val="auto"/>
              </w:rPr>
            </w:pPr>
            <w:r>
              <w:rPr>
                <w:rFonts w:ascii="Arial" w:cs="Arial" w:eastAsia="Arial" w:hAnsi="Arial"/>
                <w:sz w:val="14"/>
                <w:szCs w:val="14"/>
                <w:color w:val="131E29"/>
              </w:rPr>
              <w:t>17.1%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vMerge w:val="restart"/>
          </w:tcPr>
          <w:p>
            <w:pPr>
              <w:jc w:val="center"/>
              <w:ind w:right="289"/>
              <w:spacing w:after="0"/>
              <w:rPr>
                <w:sz w:val="20"/>
                <w:szCs w:val="20"/>
                <w:color w:val="auto"/>
              </w:rPr>
            </w:pPr>
            <w:r>
              <w:rPr>
                <w:rFonts w:ascii="Arial" w:cs="Arial" w:eastAsia="Arial" w:hAnsi="Arial"/>
                <w:sz w:val="14"/>
                <w:szCs w:val="14"/>
                <w:color w:val="131E29"/>
              </w:rPr>
              <w:t>N/A</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color w:val="131E29"/>
              </w:rPr>
              <w:t>— bps</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131E29"/>
              </w:rPr>
              <w:t>N/A</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131E29"/>
              </w:rPr>
              <w:t>(70) bps</w:t>
            </w:r>
          </w:p>
        </w:tc>
        <w:tc>
          <w:tcPr>
            <w:tcW w:w="0" w:type="dxa"/>
            <w:vAlign w:val="bottom"/>
          </w:tcPr>
          <w:p>
            <w:pPr>
              <w:spacing w:after="0"/>
              <w:rPr>
                <w:sz w:val="1"/>
                <w:szCs w:val="1"/>
                <w:color w:val="auto"/>
              </w:rPr>
            </w:pPr>
          </w:p>
        </w:tc>
      </w:tr>
      <w:tr>
        <w:trPr>
          <w:trHeight w:val="184"/>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131E29"/>
              </w:rPr>
              <w:t>revenues</w:t>
            </w: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2024 v. 2023</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As a percentage of company-operated shop revenues, occupancy and other costs were flat. This was primarily due to a 40 basis point increase driven by higher repairs and maintenance, offset by a decrease of 50 basis points from the impact of increased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2" w:name="page83"/>
    <w:bookmarkEnd w:id="8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Pre-opening Costs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w w:val="99"/>
              </w:rPr>
              <w:t>Year Ended December 31,</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shop data; unaudited)</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2024</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840" w:type="dxa"/>
            <w:vAlign w:val="bottom"/>
            <w:tcBorders>
              <w:bottom w:val="single" w:sz="8" w:color="131E29"/>
            </w:tcBorders>
          </w:tcPr>
          <w:p>
            <w:pPr>
              <w:jc w:val="center"/>
              <w:ind w:left="189"/>
              <w:spacing w:after="0"/>
              <w:rPr>
                <w:sz w:val="20"/>
                <w:szCs w:val="20"/>
                <w:color w:val="auto"/>
              </w:rPr>
            </w:pPr>
            <w:r>
              <w:rPr>
                <w:rFonts w:ascii="Arial" w:cs="Arial" w:eastAsia="Arial" w:hAnsi="Arial"/>
                <w:sz w:val="14"/>
                <w:szCs w:val="14"/>
                <w:b w:val="1"/>
                <w:bCs w:val="1"/>
                <w:color w:val="131E29"/>
                <w:w w:val="96"/>
              </w:rPr>
              <w:t>2022</w:t>
            </w:r>
          </w:p>
        </w:tc>
        <w:tc>
          <w:tcPr>
            <w:tcW w:w="26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jc w:val="right"/>
              <w:ind w:right="669"/>
              <w:spacing w:after="0"/>
              <w:rPr>
                <w:sz w:val="20"/>
                <w:szCs w:val="20"/>
                <w:color w:val="auto"/>
              </w:rPr>
            </w:pPr>
            <w:r>
              <w:rPr>
                <w:rFonts w:ascii="Arial" w:cs="Arial" w:eastAsia="Arial" w:hAnsi="Arial"/>
                <w:sz w:val="14"/>
                <w:szCs w:val="14"/>
                <w:b w:val="1"/>
                <w:bCs w:val="1"/>
                <w:color w:val="131E29"/>
              </w:rPr>
              <w:t>2023 v 2022</w:t>
            </w:r>
          </w:p>
        </w:tc>
        <w:tc>
          <w:tcPr>
            <w:tcW w:w="0" w:type="dxa"/>
            <w:vAlign w:val="bottom"/>
          </w:tcPr>
          <w:p>
            <w:pPr>
              <w:spacing w:after="0"/>
              <w:rPr>
                <w:sz w:val="1"/>
                <w:szCs w:val="1"/>
                <w:color w:val="auto"/>
              </w:rPr>
            </w:pPr>
          </w:p>
        </w:tc>
      </w:tr>
      <w:tr>
        <w:trPr>
          <w:trHeight w:val="209"/>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Pre-opening costs</w:t>
            </w: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8"/>
              </w:rPr>
              <w:t>$15,133</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8"/>
              </w:rPr>
              <w:t>$14,083</w:t>
            </w:r>
          </w:p>
        </w:tc>
        <w:tc>
          <w:tcPr>
            <w:tcW w:w="80" w:type="dxa"/>
            <w:vAlign w:val="bottom"/>
            <w:shd w:val="clear" w:color="auto" w:fill="D2DCE5"/>
          </w:tcPr>
          <w:p>
            <w:pPr>
              <w:spacing w:after="0"/>
              <w:rPr>
                <w:sz w:val="18"/>
                <w:szCs w:val="18"/>
                <w:color w:val="auto"/>
              </w:rPr>
            </w:pPr>
          </w:p>
        </w:tc>
        <w:tc>
          <w:tcPr>
            <w:tcW w:w="840" w:type="dxa"/>
            <w:vAlign w:val="bottom"/>
            <w:shd w:val="clear" w:color="auto" w:fill="D2DCE5"/>
          </w:tcPr>
          <w:p>
            <w:pPr>
              <w:jc w:val="center"/>
              <w:ind w:left="189"/>
              <w:spacing w:after="0"/>
              <w:rPr>
                <w:sz w:val="20"/>
                <w:szCs w:val="20"/>
                <w:color w:val="auto"/>
              </w:rPr>
            </w:pPr>
            <w:r>
              <w:rPr>
                <w:rFonts w:ascii="Arial" w:cs="Arial" w:eastAsia="Arial" w:hAnsi="Arial"/>
                <w:sz w:val="14"/>
                <w:szCs w:val="14"/>
                <w:color w:val="131E29"/>
                <w:w w:val="98"/>
              </w:rPr>
              <w:t>$17,986</w:t>
            </w:r>
          </w:p>
        </w:tc>
        <w:tc>
          <w:tcPr>
            <w:tcW w:w="180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w w:val="97"/>
              </w:rPr>
              <w:t>$1,050</w:t>
            </w:r>
          </w:p>
        </w:tc>
        <w:tc>
          <w:tcPr>
            <w:tcW w:w="820" w:type="dxa"/>
            <w:vAlign w:val="bottom"/>
            <w:shd w:val="clear" w:color="auto" w:fill="D2DCE5"/>
          </w:tcPr>
          <w:p>
            <w:pPr>
              <w:jc w:val="center"/>
              <w:ind w:right="189"/>
              <w:spacing w:after="0"/>
              <w:rPr>
                <w:sz w:val="20"/>
                <w:szCs w:val="20"/>
                <w:color w:val="auto"/>
              </w:rPr>
            </w:pPr>
            <w:r>
              <w:rPr>
                <w:rFonts w:ascii="Arial" w:cs="Arial" w:eastAsia="Arial" w:hAnsi="Arial"/>
                <w:sz w:val="14"/>
                <w:szCs w:val="14"/>
                <w:color w:val="131E29"/>
              </w:rPr>
              <w:t>7.5%</w:t>
            </w:r>
          </w:p>
        </w:tc>
        <w:tc>
          <w:tcPr>
            <w:tcW w:w="100" w:type="dxa"/>
            <w:vAlign w:val="bottom"/>
            <w:shd w:val="clear" w:color="auto" w:fill="D2DCE5"/>
          </w:tcPr>
          <w:p>
            <w:pPr>
              <w:spacing w:after="0"/>
              <w:rPr>
                <w:sz w:val="18"/>
                <w:szCs w:val="18"/>
                <w:color w:val="auto"/>
              </w:rPr>
            </w:pPr>
          </w:p>
        </w:tc>
        <w:tc>
          <w:tcPr>
            <w:tcW w:w="112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$(3,903)</w:t>
            </w:r>
          </w:p>
        </w:tc>
        <w:tc>
          <w:tcPr>
            <w:tcW w:w="1160" w:type="dxa"/>
            <w:vAlign w:val="bottom"/>
            <w:shd w:val="clear" w:color="auto" w:fill="D2DCE5"/>
          </w:tcPr>
          <w:p>
            <w:pPr>
              <w:jc w:val="right"/>
              <w:ind w:right="229"/>
              <w:spacing w:after="0"/>
              <w:rPr>
                <w:sz w:val="20"/>
                <w:szCs w:val="20"/>
                <w:color w:val="auto"/>
              </w:rPr>
            </w:pPr>
            <w:r>
              <w:rPr>
                <w:rFonts w:ascii="Arial" w:cs="Arial" w:eastAsia="Arial" w:hAnsi="Arial"/>
                <w:sz w:val="14"/>
                <w:szCs w:val="14"/>
                <w:color w:val="131E29"/>
              </w:rPr>
              <w:t>(21.7)%</w:t>
            </w:r>
          </w:p>
        </w:tc>
        <w:tc>
          <w:tcPr>
            <w:tcW w:w="0" w:type="dxa"/>
            <w:vAlign w:val="bottom"/>
          </w:tcPr>
          <w:p>
            <w:pPr>
              <w:spacing w:after="0"/>
              <w:rPr>
                <w:sz w:val="1"/>
                <w:szCs w:val="1"/>
                <w:color w:val="auto"/>
              </w:rPr>
            </w:pPr>
          </w:p>
        </w:tc>
      </w:tr>
      <w:tr>
        <w:trPr>
          <w:trHeight w:val="178"/>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 company-operated shop</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131E29"/>
              </w:rPr>
              <w:t>1.3%</w:t>
            </w:r>
          </w:p>
        </w:tc>
        <w:tc>
          <w:tcPr>
            <w:tcW w:w="8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131E29"/>
              </w:rPr>
              <w:t>1.6%</w:t>
            </w:r>
          </w:p>
        </w:tc>
        <w:tc>
          <w:tcPr>
            <w:tcW w:w="80" w:type="dxa"/>
            <w:vAlign w:val="bottom"/>
          </w:tcPr>
          <w:p>
            <w:pPr>
              <w:spacing w:after="0"/>
              <w:rPr>
                <w:sz w:val="15"/>
                <w:szCs w:val="15"/>
                <w:color w:val="auto"/>
              </w:rPr>
            </w:pPr>
          </w:p>
        </w:tc>
        <w:tc>
          <w:tcPr>
            <w:tcW w:w="840" w:type="dxa"/>
            <w:vAlign w:val="bottom"/>
            <w:vMerge w:val="restart"/>
          </w:tcPr>
          <w:p>
            <w:pPr>
              <w:jc w:val="center"/>
              <w:ind w:left="189"/>
              <w:spacing w:after="0"/>
              <w:rPr>
                <w:sz w:val="20"/>
                <w:szCs w:val="20"/>
                <w:color w:val="auto"/>
              </w:rPr>
            </w:pPr>
            <w:r>
              <w:rPr>
                <w:rFonts w:ascii="Arial" w:cs="Arial" w:eastAsia="Arial" w:hAnsi="Arial"/>
                <w:sz w:val="14"/>
                <w:szCs w:val="14"/>
                <w:color w:val="131E29"/>
              </w:rPr>
              <w:t>2.8%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restart"/>
          </w:tcPr>
          <w:p>
            <w:pPr>
              <w:jc w:val="center"/>
              <w:ind w:right="289"/>
              <w:spacing w:after="0"/>
              <w:rPr>
                <w:sz w:val="20"/>
                <w:szCs w:val="20"/>
                <w:color w:val="auto"/>
              </w:rPr>
            </w:pPr>
            <w:r>
              <w:rPr>
                <w:rFonts w:ascii="Arial" w:cs="Arial" w:eastAsia="Arial" w:hAnsi="Arial"/>
                <w:sz w:val="14"/>
                <w:szCs w:val="14"/>
                <w:color w:val="131E29"/>
                <w:w w:val="94"/>
              </w:rPr>
              <w:t>N/A</w:t>
            </w: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color w:val="131E29"/>
              </w:rPr>
              <w:t>(30) bps</w:t>
            </w:r>
          </w:p>
        </w:tc>
        <w:tc>
          <w:tcPr>
            <w:tcW w:w="1120" w:type="dxa"/>
            <w:vAlign w:val="bottom"/>
            <w:vMerge w:val="restart"/>
          </w:tcPr>
          <w:p>
            <w:pPr>
              <w:ind w:left="420"/>
              <w:spacing w:after="0"/>
              <w:rPr>
                <w:sz w:val="20"/>
                <w:szCs w:val="20"/>
                <w:color w:val="auto"/>
              </w:rPr>
            </w:pPr>
            <w:r>
              <w:rPr>
                <w:rFonts w:ascii="Arial" w:cs="Arial" w:eastAsia="Arial" w:hAnsi="Arial"/>
                <w:sz w:val="14"/>
                <w:szCs w:val="14"/>
                <w:color w:val="131E29"/>
              </w:rPr>
              <w:t>N/A</w:t>
            </w:r>
          </w:p>
        </w:tc>
        <w:tc>
          <w:tcPr>
            <w:tcW w:w="1160" w:type="dxa"/>
            <w:vAlign w:val="bottom"/>
            <w:vMerge w:val="restart"/>
          </w:tcPr>
          <w:p>
            <w:pPr>
              <w:jc w:val="right"/>
              <w:ind w:right="169"/>
              <w:spacing w:after="0"/>
              <w:rPr>
                <w:sz w:val="20"/>
                <w:szCs w:val="20"/>
                <w:color w:val="auto"/>
              </w:rPr>
            </w:pPr>
            <w:r>
              <w:rPr>
                <w:rFonts w:ascii="Arial" w:cs="Arial" w:eastAsia="Arial" w:hAnsi="Arial"/>
                <w:sz w:val="14"/>
                <w:szCs w:val="14"/>
                <w:color w:val="131E29"/>
              </w:rPr>
              <w:t>(120) bps</w:t>
            </w:r>
          </w:p>
        </w:tc>
        <w:tc>
          <w:tcPr>
            <w:tcW w:w="0" w:type="dxa"/>
            <w:vAlign w:val="bottom"/>
          </w:tcPr>
          <w:p>
            <w:pPr>
              <w:spacing w:after="0"/>
              <w:rPr>
                <w:sz w:val="1"/>
                <w:szCs w:val="1"/>
                <w:color w:val="auto"/>
              </w:rPr>
            </w:pPr>
          </w:p>
        </w:tc>
      </w:tr>
      <w:tr>
        <w:trPr>
          <w:trHeight w:val="194"/>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131E29"/>
              </w:rPr>
              <w:t>revenues</w:t>
            </w: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New company-operated shops opened</w:t>
            </w: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4"/>
              </w:rPr>
              <w:t>128</w:t>
            </w:r>
          </w:p>
        </w:tc>
        <w:tc>
          <w:tcPr>
            <w:tcW w:w="80" w:type="dxa"/>
            <w:vAlign w:val="bottom"/>
            <w:shd w:val="clear" w:color="auto" w:fill="D2DCE5"/>
          </w:tcPr>
          <w:p>
            <w:pPr>
              <w:spacing w:after="0"/>
              <w:rPr>
                <w:sz w:val="19"/>
                <w:szCs w:val="19"/>
                <w:color w:val="auto"/>
              </w:rPr>
            </w:pP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146</w:t>
            </w:r>
          </w:p>
        </w:tc>
        <w:tc>
          <w:tcPr>
            <w:tcW w:w="80" w:type="dxa"/>
            <w:vAlign w:val="bottom"/>
            <w:shd w:val="clear" w:color="auto" w:fill="D2DCE5"/>
          </w:tcPr>
          <w:p>
            <w:pPr>
              <w:spacing w:after="0"/>
              <w:rPr>
                <w:sz w:val="19"/>
                <w:szCs w:val="19"/>
                <w:color w:val="auto"/>
              </w:rPr>
            </w:pPr>
          </w:p>
        </w:tc>
        <w:tc>
          <w:tcPr>
            <w:tcW w:w="840" w:type="dxa"/>
            <w:vAlign w:val="bottom"/>
            <w:shd w:val="clear" w:color="auto" w:fill="D2DCE5"/>
          </w:tcPr>
          <w:p>
            <w:pPr>
              <w:jc w:val="center"/>
              <w:ind w:left="189"/>
              <w:spacing w:after="0"/>
              <w:rPr>
                <w:sz w:val="20"/>
                <w:szCs w:val="20"/>
                <w:color w:val="auto"/>
              </w:rPr>
            </w:pPr>
            <w:r>
              <w:rPr>
                <w:rFonts w:ascii="Arial" w:cs="Arial" w:eastAsia="Arial" w:hAnsi="Arial"/>
                <w:sz w:val="14"/>
                <w:szCs w:val="14"/>
                <w:color w:val="131E29"/>
                <w:w w:val="94"/>
              </w:rPr>
              <w:t>120</w:t>
            </w:r>
          </w:p>
        </w:tc>
        <w:tc>
          <w:tcPr>
            <w:tcW w:w="180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rPr>
              <w:t>(18)</w:t>
            </w:r>
          </w:p>
        </w:tc>
        <w:tc>
          <w:tcPr>
            <w:tcW w:w="820" w:type="dxa"/>
            <w:vAlign w:val="bottom"/>
            <w:shd w:val="clear" w:color="auto" w:fill="D2DCE5"/>
          </w:tcPr>
          <w:p>
            <w:pPr>
              <w:jc w:val="center"/>
              <w:ind w:right="209"/>
              <w:spacing w:after="0"/>
              <w:rPr>
                <w:sz w:val="20"/>
                <w:szCs w:val="20"/>
                <w:color w:val="auto"/>
              </w:rPr>
            </w:pPr>
            <w:r>
              <w:rPr>
                <w:rFonts w:ascii="Arial" w:cs="Arial" w:eastAsia="Arial" w:hAnsi="Arial"/>
                <w:sz w:val="14"/>
                <w:szCs w:val="14"/>
                <w:color w:val="131E29"/>
              </w:rPr>
              <w:t>(12.3)%</w:t>
            </w:r>
          </w:p>
        </w:tc>
        <w:tc>
          <w:tcPr>
            <w:tcW w:w="100" w:type="dxa"/>
            <w:vAlign w:val="bottom"/>
            <w:shd w:val="clear" w:color="auto" w:fill="D2DCE5"/>
          </w:tcPr>
          <w:p>
            <w:pPr>
              <w:spacing w:after="0"/>
              <w:rPr>
                <w:sz w:val="19"/>
                <w:szCs w:val="19"/>
                <w:color w:val="auto"/>
              </w:rPr>
            </w:pPr>
          </w:p>
        </w:tc>
        <w:tc>
          <w:tcPr>
            <w:tcW w:w="11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26</w:t>
            </w:r>
          </w:p>
        </w:tc>
        <w:tc>
          <w:tcPr>
            <w:tcW w:w="1160" w:type="dxa"/>
            <w:vAlign w:val="bottom"/>
            <w:shd w:val="clear" w:color="auto" w:fill="D2DCE5"/>
          </w:tcPr>
          <w:p>
            <w:pPr>
              <w:jc w:val="right"/>
              <w:ind w:right="269"/>
              <w:spacing w:after="0"/>
              <w:rPr>
                <w:sz w:val="20"/>
                <w:szCs w:val="20"/>
                <w:color w:val="auto"/>
              </w:rPr>
            </w:pPr>
            <w:r>
              <w:rPr>
                <w:rFonts w:ascii="Arial" w:cs="Arial" w:eastAsia="Arial" w:hAnsi="Arial"/>
                <w:sz w:val="14"/>
                <w:szCs w:val="14"/>
                <w:color w:val="131E29"/>
              </w:rPr>
              <w:t>21.7%</w:t>
            </w:r>
          </w:p>
        </w:tc>
        <w:tc>
          <w:tcPr>
            <w:tcW w:w="0" w:type="dxa"/>
            <w:vAlign w:val="bottom"/>
          </w:tcPr>
          <w:p>
            <w:pPr>
              <w:spacing w:after="0"/>
              <w:rPr>
                <w:sz w:val="1"/>
                <w:szCs w:val="1"/>
                <w:color w:val="auto"/>
              </w:rPr>
            </w:pPr>
          </w:p>
        </w:tc>
      </w:tr>
      <w:tr>
        <w:trPr>
          <w:trHeight w:val="176"/>
        </w:trPr>
        <w:tc>
          <w:tcPr>
            <w:tcW w:w="3080" w:type="dxa"/>
            <w:vAlign w:val="bottom"/>
            <w:gridSpan w:val="2"/>
          </w:tcPr>
          <w:p>
            <w:pPr>
              <w:ind w:left="20"/>
              <w:spacing w:after="0"/>
              <w:rPr>
                <w:sz w:val="20"/>
                <w:szCs w:val="20"/>
                <w:color w:val="auto"/>
              </w:rPr>
            </w:pPr>
            <w:r>
              <w:rPr>
                <w:rFonts w:ascii="Arial" w:cs="Arial" w:eastAsia="Arial" w:hAnsi="Arial"/>
                <w:sz w:val="14"/>
                <w:szCs w:val="14"/>
                <w:color w:val="131E29"/>
              </w:rPr>
              <w:t>Pre-opening costs per new company-operated</w:t>
            </w: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080" w:type="dxa"/>
            <w:vAlign w:val="bottom"/>
            <w:gridSpan w:val="2"/>
          </w:tcPr>
          <w:p>
            <w:pPr>
              <w:ind w:left="20"/>
              <w:spacing w:after="0"/>
              <w:rPr>
                <w:sz w:val="20"/>
                <w:szCs w:val="20"/>
                <w:color w:val="auto"/>
              </w:rPr>
            </w:pPr>
            <w:r>
              <w:rPr>
                <w:rFonts w:ascii="Arial" w:cs="Arial" w:eastAsia="Arial" w:hAnsi="Arial"/>
                <w:sz w:val="14"/>
                <w:szCs w:val="14"/>
                <w:color w:val="131E29"/>
              </w:rPr>
              <w:t>shop</w:t>
            </w:r>
          </w:p>
        </w:tc>
        <w:tc>
          <w:tcPr>
            <w:tcW w:w="1100" w:type="dxa"/>
            <w:vAlign w:val="bottom"/>
          </w:tcPr>
          <w:p>
            <w:pPr>
              <w:jc w:val="center"/>
              <w:spacing w:after="0"/>
              <w:rPr>
                <w:sz w:val="20"/>
                <w:szCs w:val="20"/>
                <w:color w:val="auto"/>
              </w:rPr>
            </w:pPr>
            <w:r>
              <w:rPr>
                <w:rFonts w:ascii="Arial" w:cs="Arial" w:eastAsia="Arial" w:hAnsi="Arial"/>
                <w:sz w:val="14"/>
                <w:szCs w:val="14"/>
                <w:color w:val="131E29"/>
                <w:w w:val="96"/>
              </w:rPr>
              <w:t>$118</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131E29"/>
              </w:rPr>
              <w:t>$96</w:t>
            </w:r>
          </w:p>
        </w:tc>
        <w:tc>
          <w:tcPr>
            <w:tcW w:w="80" w:type="dxa"/>
            <w:vAlign w:val="bottom"/>
          </w:tcPr>
          <w:p>
            <w:pPr>
              <w:spacing w:after="0"/>
              <w:rPr>
                <w:sz w:val="16"/>
                <w:szCs w:val="16"/>
                <w:color w:val="auto"/>
              </w:rPr>
            </w:pPr>
          </w:p>
        </w:tc>
        <w:tc>
          <w:tcPr>
            <w:tcW w:w="840" w:type="dxa"/>
            <w:vAlign w:val="bottom"/>
          </w:tcPr>
          <w:p>
            <w:pPr>
              <w:jc w:val="center"/>
              <w:ind w:left="189"/>
              <w:spacing w:after="0"/>
              <w:rPr>
                <w:sz w:val="20"/>
                <w:szCs w:val="20"/>
                <w:color w:val="auto"/>
              </w:rPr>
            </w:pPr>
            <w:r>
              <w:rPr>
                <w:rFonts w:ascii="Arial" w:cs="Arial" w:eastAsia="Arial" w:hAnsi="Arial"/>
                <w:sz w:val="14"/>
                <w:szCs w:val="14"/>
                <w:color w:val="131E29"/>
                <w:w w:val="96"/>
              </w:rPr>
              <w:t>$150</w:t>
            </w:r>
          </w:p>
        </w:tc>
        <w:tc>
          <w:tcPr>
            <w:tcW w:w="1800" w:type="dxa"/>
            <w:vAlign w:val="bottom"/>
            <w:gridSpan w:val="3"/>
          </w:tcPr>
          <w:p>
            <w:pPr>
              <w:jc w:val="center"/>
              <w:spacing w:after="0"/>
              <w:rPr>
                <w:sz w:val="20"/>
                <w:szCs w:val="20"/>
                <w:color w:val="auto"/>
              </w:rPr>
            </w:pPr>
            <w:r>
              <w:rPr>
                <w:rFonts w:ascii="Arial" w:cs="Arial" w:eastAsia="Arial" w:hAnsi="Arial"/>
                <w:sz w:val="14"/>
                <w:szCs w:val="14"/>
                <w:color w:val="131E29"/>
                <w:w w:val="94"/>
              </w:rPr>
              <w:t>$22</w:t>
            </w:r>
          </w:p>
        </w:tc>
        <w:tc>
          <w:tcPr>
            <w:tcW w:w="820" w:type="dxa"/>
            <w:vAlign w:val="bottom"/>
          </w:tcPr>
          <w:p>
            <w:pPr>
              <w:jc w:val="center"/>
              <w:ind w:right="189"/>
              <w:spacing w:after="0"/>
              <w:rPr>
                <w:sz w:val="20"/>
                <w:szCs w:val="20"/>
                <w:color w:val="auto"/>
              </w:rPr>
            </w:pPr>
            <w:r>
              <w:rPr>
                <w:rFonts w:ascii="Arial" w:cs="Arial" w:eastAsia="Arial" w:hAnsi="Arial"/>
                <w:sz w:val="14"/>
                <w:szCs w:val="14"/>
                <w:color w:val="131E29"/>
              </w:rPr>
              <w:t>22.9%</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131E29"/>
                <w:w w:val="97"/>
              </w:rPr>
              <w:t>$(54)</w:t>
            </w:r>
          </w:p>
        </w:tc>
        <w:tc>
          <w:tcPr>
            <w:tcW w:w="1160" w:type="dxa"/>
            <w:vAlign w:val="bottom"/>
          </w:tcPr>
          <w:p>
            <w:pPr>
              <w:jc w:val="right"/>
              <w:ind w:right="229"/>
              <w:spacing w:after="0"/>
              <w:rPr>
                <w:sz w:val="20"/>
                <w:szCs w:val="20"/>
                <w:color w:val="auto"/>
              </w:rPr>
            </w:pPr>
            <w:r>
              <w:rPr>
                <w:rFonts w:ascii="Arial" w:cs="Arial" w:eastAsia="Arial" w:hAnsi="Arial"/>
                <w:sz w:val="14"/>
                <w:szCs w:val="14"/>
                <w:color w:val="131E29"/>
              </w:rPr>
              <w:t>(36.0)%</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2024 v. 2023</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increase in pre-opening costs was primarily driven by increased travel for setup and training teams and lease expense related to unopened shops, in the year ended December 31, 2024 as compared to the same period in 2023.</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gridSpan w:val="5"/>
          </w:tcPr>
          <w:p>
            <w:pPr>
              <w:spacing w:after="0"/>
              <w:rPr>
                <w:sz w:val="20"/>
                <w:szCs w:val="20"/>
                <w:color w:val="auto"/>
              </w:rPr>
            </w:pPr>
            <w:r>
              <w:rPr>
                <w:rFonts w:ascii="Arial" w:cs="Arial" w:eastAsia="Arial" w:hAnsi="Arial"/>
                <w:sz w:val="14"/>
                <w:szCs w:val="14"/>
                <w:b w:val="1"/>
                <w:bCs w:val="1"/>
                <w:i w:val="1"/>
                <w:iCs w:val="1"/>
                <w:color w:val="006098"/>
              </w:rPr>
              <w:t>Depreciation and Amortization</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2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gridSpan w:val="2"/>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20" w:type="dxa"/>
            <w:vAlign w:val="bottom"/>
            <w:tcBorders>
              <w:bottom w:val="single" w:sz="8" w:color="D2DCE5"/>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860" w:type="dxa"/>
            <w:vAlign w:val="bottom"/>
            <w:tcBorders>
              <w:bottom w:val="single" w:sz="8" w:color="131E29"/>
            </w:tcBorders>
          </w:tcPr>
          <w:p>
            <w:pPr>
              <w:jc w:val="center"/>
              <w:ind w:left="189"/>
              <w:spacing w:after="0"/>
              <w:rPr>
                <w:sz w:val="20"/>
                <w:szCs w:val="20"/>
                <w:color w:val="auto"/>
              </w:rPr>
            </w:pPr>
            <w:r>
              <w:rPr>
                <w:rFonts w:ascii="Arial" w:cs="Arial" w:eastAsia="Arial" w:hAnsi="Arial"/>
                <w:sz w:val="14"/>
                <w:szCs w:val="14"/>
                <w:b w:val="1"/>
                <w:bCs w:val="1"/>
                <w:color w:val="131E29"/>
              </w:rPr>
              <w:t>2022</w:t>
            </w:r>
          </w:p>
        </w:tc>
        <w:tc>
          <w:tcPr>
            <w:tcW w:w="24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2023 v 2022</w:t>
            </w:r>
          </w:p>
        </w:tc>
        <w:tc>
          <w:tcPr>
            <w:tcW w:w="0" w:type="dxa"/>
            <w:vAlign w:val="bottom"/>
          </w:tcPr>
          <w:p>
            <w:pPr>
              <w:spacing w:after="0"/>
              <w:rPr>
                <w:sz w:val="1"/>
                <w:szCs w:val="1"/>
                <w:color w:val="auto"/>
              </w:rPr>
            </w:pPr>
          </w:p>
        </w:tc>
      </w:tr>
      <w:tr>
        <w:trPr>
          <w:trHeight w:val="209"/>
        </w:trPr>
        <w:tc>
          <w:tcPr>
            <w:tcW w:w="3100" w:type="dxa"/>
            <w:vAlign w:val="bottom"/>
            <w:gridSpan w:val="5"/>
            <w:shd w:val="clear" w:color="auto" w:fill="D2DCE5"/>
          </w:tcPr>
          <w:p>
            <w:pPr>
              <w:ind w:left="20"/>
              <w:spacing w:after="0"/>
              <w:rPr>
                <w:sz w:val="20"/>
                <w:szCs w:val="20"/>
                <w:color w:val="auto"/>
              </w:rPr>
            </w:pPr>
            <w:r>
              <w:rPr>
                <w:rFonts w:ascii="Arial" w:cs="Arial" w:eastAsia="Arial" w:hAnsi="Arial"/>
                <w:sz w:val="14"/>
                <w:szCs w:val="14"/>
                <w:color w:val="131E29"/>
              </w:rPr>
              <w:t>Depreciation and amortization</w:t>
            </w: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$86,809</w:t>
            </w:r>
          </w:p>
        </w:tc>
        <w:tc>
          <w:tcPr>
            <w:tcW w:w="8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$62,088</w:t>
            </w:r>
          </w:p>
        </w:tc>
        <w:tc>
          <w:tcPr>
            <w:tcW w:w="80" w:type="dxa"/>
            <w:vAlign w:val="bottom"/>
            <w:shd w:val="clear" w:color="auto" w:fill="D2DCE5"/>
          </w:tcPr>
          <w:p>
            <w:pPr>
              <w:spacing w:after="0"/>
              <w:rPr>
                <w:sz w:val="18"/>
                <w:szCs w:val="18"/>
                <w:color w:val="auto"/>
              </w:rPr>
            </w:pPr>
          </w:p>
        </w:tc>
        <w:tc>
          <w:tcPr>
            <w:tcW w:w="86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w w:val="98"/>
              </w:rPr>
              <w:t>$36,306</w:t>
            </w:r>
          </w:p>
        </w:tc>
        <w:tc>
          <w:tcPr>
            <w:tcW w:w="178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rPr>
              <w:t>$24,721</w:t>
            </w:r>
          </w:p>
        </w:tc>
        <w:tc>
          <w:tcPr>
            <w:tcW w:w="820" w:type="dxa"/>
            <w:vAlign w:val="bottom"/>
            <w:shd w:val="clear" w:color="auto" w:fill="D2DCE5"/>
          </w:tcPr>
          <w:p>
            <w:pPr>
              <w:jc w:val="center"/>
              <w:ind w:right="189"/>
              <w:spacing w:after="0"/>
              <w:rPr>
                <w:sz w:val="20"/>
                <w:szCs w:val="20"/>
                <w:color w:val="auto"/>
              </w:rPr>
            </w:pPr>
            <w:r>
              <w:rPr>
                <w:rFonts w:ascii="Arial" w:cs="Arial" w:eastAsia="Arial" w:hAnsi="Arial"/>
                <w:sz w:val="14"/>
                <w:szCs w:val="14"/>
                <w:color w:val="131E29"/>
              </w:rPr>
              <w:t>39.8%</w:t>
            </w:r>
          </w:p>
        </w:tc>
        <w:tc>
          <w:tcPr>
            <w:tcW w:w="100" w:type="dxa"/>
            <w:vAlign w:val="bottom"/>
            <w:shd w:val="clear" w:color="auto" w:fill="D2DCE5"/>
          </w:tcPr>
          <w:p>
            <w:pPr>
              <w:spacing w:after="0"/>
              <w:rPr>
                <w:sz w:val="18"/>
                <w:szCs w:val="18"/>
                <w:color w:val="auto"/>
              </w:rPr>
            </w:pPr>
          </w:p>
        </w:tc>
        <w:tc>
          <w:tcPr>
            <w:tcW w:w="114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$25,782</w:t>
            </w:r>
          </w:p>
        </w:tc>
        <w:tc>
          <w:tcPr>
            <w:tcW w:w="114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71.0%</w:t>
            </w:r>
          </w:p>
        </w:tc>
        <w:tc>
          <w:tcPr>
            <w:tcW w:w="0" w:type="dxa"/>
            <w:vAlign w:val="bottom"/>
          </w:tcPr>
          <w:p>
            <w:pPr>
              <w:spacing w:after="0"/>
              <w:rPr>
                <w:sz w:val="1"/>
                <w:szCs w:val="1"/>
                <w:color w:val="auto"/>
              </w:rPr>
            </w:pPr>
          </w:p>
        </w:tc>
      </w:tr>
      <w:tr>
        <w:trPr>
          <w:trHeight w:val="178"/>
        </w:trPr>
        <w:tc>
          <w:tcPr>
            <w:tcW w:w="3100" w:type="dxa"/>
            <w:vAlign w:val="bottom"/>
            <w:gridSpan w:val="5"/>
          </w:tcPr>
          <w:p>
            <w:pPr>
              <w:ind w:left="20"/>
              <w:spacing w:after="0"/>
              <w:rPr>
                <w:sz w:val="20"/>
                <w:szCs w:val="20"/>
                <w:color w:val="auto"/>
              </w:rPr>
            </w:pPr>
            <w:r>
              <w:rPr>
                <w:rFonts w:ascii="Arial" w:cs="Arial" w:eastAsia="Arial" w:hAnsi="Arial"/>
                <w:sz w:val="14"/>
                <w:szCs w:val="14"/>
                <w:i w:val="1"/>
                <w:iCs w:val="1"/>
                <w:color w:val="131E29"/>
              </w:rPr>
              <w:t>As a percentage of company-operated shop</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131E29"/>
              </w:rPr>
              <w:t>7.4%</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131E29"/>
              </w:rPr>
              <w:t>7.2%</w:t>
            </w:r>
          </w:p>
        </w:tc>
        <w:tc>
          <w:tcPr>
            <w:tcW w:w="80" w:type="dxa"/>
            <w:vAlign w:val="bottom"/>
          </w:tcPr>
          <w:p>
            <w:pPr>
              <w:spacing w:after="0"/>
              <w:rPr>
                <w:sz w:val="15"/>
                <w:szCs w:val="15"/>
                <w:color w:val="auto"/>
              </w:rPr>
            </w:pPr>
          </w:p>
        </w:tc>
        <w:tc>
          <w:tcPr>
            <w:tcW w:w="860" w:type="dxa"/>
            <w:vAlign w:val="bottom"/>
            <w:vMerge w:val="restart"/>
          </w:tcPr>
          <w:p>
            <w:pPr>
              <w:jc w:val="center"/>
              <w:ind w:left="189"/>
              <w:spacing w:after="0"/>
              <w:rPr>
                <w:sz w:val="20"/>
                <w:szCs w:val="20"/>
                <w:color w:val="auto"/>
              </w:rPr>
            </w:pPr>
            <w:r>
              <w:rPr>
                <w:rFonts w:ascii="Arial" w:cs="Arial" w:eastAsia="Arial" w:hAnsi="Arial"/>
                <w:sz w:val="14"/>
                <w:szCs w:val="14"/>
                <w:color w:val="131E29"/>
              </w:rPr>
              <w:t>5.6%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restart"/>
          </w:tcPr>
          <w:p>
            <w:pPr>
              <w:jc w:val="center"/>
              <w:ind w:right="269"/>
              <w:spacing w:after="0"/>
              <w:rPr>
                <w:sz w:val="20"/>
                <w:szCs w:val="20"/>
                <w:color w:val="auto"/>
              </w:rPr>
            </w:pPr>
            <w:r>
              <w:rPr>
                <w:rFonts w:ascii="Arial" w:cs="Arial" w:eastAsia="Arial" w:hAnsi="Arial"/>
                <w:sz w:val="14"/>
                <w:szCs w:val="14"/>
                <w:color w:val="131E29"/>
              </w:rPr>
              <w:t>N/A</w:t>
            </w: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131E29"/>
              </w:rPr>
              <w:t>20 bps</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131E29"/>
              </w:rPr>
              <w:t>N/A</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131E29"/>
              </w:rPr>
              <w:t>160 bps</w:t>
            </w:r>
          </w:p>
        </w:tc>
        <w:tc>
          <w:tcPr>
            <w:tcW w:w="0" w:type="dxa"/>
            <w:vAlign w:val="bottom"/>
          </w:tcPr>
          <w:p>
            <w:pPr>
              <w:spacing w:after="0"/>
              <w:rPr>
                <w:sz w:val="1"/>
                <w:szCs w:val="1"/>
                <w:color w:val="auto"/>
              </w:rPr>
            </w:pPr>
          </w:p>
        </w:tc>
      </w:tr>
      <w:tr>
        <w:trPr>
          <w:trHeight w:val="184"/>
        </w:trPr>
        <w:tc>
          <w:tcPr>
            <w:tcW w:w="3100" w:type="dxa"/>
            <w:vAlign w:val="bottom"/>
            <w:gridSpan w:val="5"/>
          </w:tcPr>
          <w:p>
            <w:pPr>
              <w:ind w:left="20"/>
              <w:spacing w:after="0"/>
              <w:rPr>
                <w:sz w:val="20"/>
                <w:szCs w:val="20"/>
                <w:color w:val="auto"/>
              </w:rPr>
            </w:pPr>
            <w:r>
              <w:rPr>
                <w:rFonts w:ascii="Arial" w:cs="Arial" w:eastAsia="Arial" w:hAnsi="Arial"/>
                <w:sz w:val="14"/>
                <w:szCs w:val="14"/>
                <w:i w:val="1"/>
                <w:iCs w:val="1"/>
                <w:color w:val="131E29"/>
              </w:rPr>
              <w:t>revenues</w:t>
            </w: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2520" w:type="dxa"/>
            <w:vAlign w:val="bottom"/>
            <w:tcBorders>
              <w:bottom w:val="single" w:sz="8" w:color="006098"/>
            </w:tcBorders>
          </w:tcPr>
          <w:p>
            <w:pPr>
              <w:spacing w:after="0"/>
              <w:rPr>
                <w:sz w:val="20"/>
                <w:szCs w:val="20"/>
                <w:color w:val="auto"/>
              </w:rPr>
            </w:pPr>
            <w:r>
              <w:rPr>
                <w:rFonts w:ascii="Arial" w:cs="Arial" w:eastAsia="Arial" w:hAnsi="Arial"/>
                <w:sz w:val="14"/>
                <w:szCs w:val="14"/>
                <w:color w:val="006098"/>
                <w:w w:val="99"/>
              </w:rPr>
              <w:t>Year Ended December 31, 2024 v. 2023</w:t>
            </w:r>
          </w:p>
        </w:tc>
        <w:tc>
          <w:tcPr>
            <w:tcW w:w="580" w:type="dxa"/>
            <w:vAlign w:val="bottom"/>
            <w:gridSpan w:val="4"/>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000" w:type="dxa"/>
            <w:vAlign w:val="bottom"/>
            <w:gridSpan w:val="16"/>
          </w:tcPr>
          <w:p>
            <w:pPr>
              <w:spacing w:after="0"/>
              <w:rPr>
                <w:sz w:val="20"/>
                <w:szCs w:val="20"/>
                <w:color w:val="auto"/>
              </w:rPr>
            </w:pPr>
            <w:r>
              <w:rPr>
                <w:rFonts w:ascii="Arial" w:cs="Arial" w:eastAsia="Arial" w:hAnsi="Arial"/>
                <w:sz w:val="14"/>
                <w:szCs w:val="14"/>
                <w:color w:val="131E29"/>
              </w:rPr>
              <w:t>The increase in depreciation and amortization was primarily driven by the opening of 128 new company-operated shops during 2024.</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4280" w:type="dxa"/>
            <w:vAlign w:val="bottom"/>
            <w:gridSpan w:val="8"/>
          </w:tcPr>
          <w:p>
            <w:pPr>
              <w:spacing w:after="0"/>
              <w:rPr>
                <w:sz w:val="20"/>
                <w:szCs w:val="20"/>
                <w:color w:val="auto"/>
              </w:rPr>
            </w:pPr>
            <w:r>
              <w:rPr>
                <w:rFonts w:ascii="Arial" w:cs="Arial" w:eastAsia="Arial" w:hAnsi="Arial"/>
                <w:sz w:val="14"/>
                <w:szCs w:val="14"/>
                <w:b w:val="1"/>
                <w:bCs w:val="1"/>
                <w:i w:val="1"/>
                <w:iCs w:val="1"/>
                <w:color w:val="006098"/>
              </w:rPr>
              <w:t>Company-operated Shop Gross Profit and Contribution</w:t>
            </w:r>
            <w:r>
              <w:rPr>
                <w:rFonts w:ascii="Arial" w:cs="Arial" w:eastAsia="Arial" w:hAnsi="Arial"/>
                <w:sz w:val="18"/>
                <w:szCs w:val="18"/>
                <w:b w:val="1"/>
                <w:bCs w:val="1"/>
                <w:i w:val="1"/>
                <w:iCs w:val="1"/>
                <w:color w:val="006098"/>
                <w:vertAlign w:val="superscript"/>
              </w:rPr>
              <w:t>1</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w w:val="99"/>
              </w:rPr>
              <w:t>Year Ended December 31,</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gridSpan w:val="2"/>
          </w:tcPr>
          <w:p>
            <w:pPr>
              <w:spacing w:after="0"/>
              <w:rPr>
                <w:sz w:val="17"/>
                <w:szCs w:val="17"/>
                <w:color w:val="auto"/>
              </w:rPr>
            </w:pPr>
          </w:p>
        </w:tc>
        <w:tc>
          <w:tcPr>
            <w:tcW w:w="20" w:type="dxa"/>
            <w:vAlign w:val="bottom"/>
            <w:tcBorders>
              <w:bottom w:val="single" w:sz="8" w:color="131E29"/>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2024</w:t>
            </w:r>
          </w:p>
        </w:tc>
        <w:tc>
          <w:tcPr>
            <w:tcW w:w="80" w:type="dxa"/>
            <w:vAlign w:val="bottom"/>
            <w:tcBorders>
              <w:bottom w:val="single" w:sz="8" w:color="D2DCE5"/>
            </w:tcBorders>
          </w:tcPr>
          <w:p>
            <w:pPr>
              <w:spacing w:after="0"/>
              <w:rPr>
                <w:sz w:val="17"/>
                <w:szCs w:val="17"/>
                <w:color w:val="auto"/>
              </w:rPr>
            </w:pPr>
          </w:p>
        </w:tc>
        <w:tc>
          <w:tcPr>
            <w:tcW w:w="20" w:type="dxa"/>
            <w:vAlign w:val="bottom"/>
            <w:tcBorders>
              <w:bottom w:val="single" w:sz="8" w:color="131E29"/>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860" w:type="dxa"/>
            <w:vAlign w:val="bottom"/>
            <w:tcBorders>
              <w:bottom w:val="single" w:sz="8" w:color="131E29"/>
            </w:tcBorders>
          </w:tcPr>
          <w:p>
            <w:pPr>
              <w:jc w:val="center"/>
              <w:ind w:left="169"/>
              <w:spacing w:after="0"/>
              <w:rPr>
                <w:sz w:val="20"/>
                <w:szCs w:val="20"/>
                <w:color w:val="auto"/>
              </w:rPr>
            </w:pPr>
            <w:r>
              <w:rPr>
                <w:rFonts w:ascii="Arial" w:cs="Arial" w:eastAsia="Arial" w:hAnsi="Arial"/>
                <w:sz w:val="14"/>
                <w:szCs w:val="14"/>
                <w:b w:val="1"/>
                <w:bCs w:val="1"/>
                <w:color w:val="131E29"/>
                <w:w w:val="96"/>
              </w:rPr>
              <w:t>2022</w:t>
            </w:r>
          </w:p>
        </w:tc>
        <w:tc>
          <w:tcPr>
            <w:tcW w:w="24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2023 v 2022</w:t>
            </w:r>
          </w:p>
        </w:tc>
        <w:tc>
          <w:tcPr>
            <w:tcW w:w="0" w:type="dxa"/>
            <w:vAlign w:val="bottom"/>
          </w:tcPr>
          <w:p>
            <w:pPr>
              <w:spacing w:after="0"/>
              <w:rPr>
                <w:sz w:val="1"/>
                <w:szCs w:val="1"/>
                <w:color w:val="auto"/>
              </w:rPr>
            </w:pPr>
          </w:p>
        </w:tc>
      </w:tr>
      <w:tr>
        <w:trPr>
          <w:trHeight w:val="209"/>
        </w:trPr>
        <w:tc>
          <w:tcPr>
            <w:tcW w:w="3100" w:type="dxa"/>
            <w:vAlign w:val="bottom"/>
            <w:gridSpan w:val="5"/>
            <w:shd w:val="clear" w:color="auto" w:fill="D2DCE5"/>
          </w:tcPr>
          <w:p>
            <w:pPr>
              <w:ind w:left="20"/>
              <w:spacing w:after="0"/>
              <w:rPr>
                <w:sz w:val="20"/>
                <w:szCs w:val="20"/>
                <w:color w:val="auto"/>
              </w:rPr>
            </w:pPr>
            <w:r>
              <w:rPr>
                <w:rFonts w:ascii="Arial" w:cs="Arial" w:eastAsia="Arial" w:hAnsi="Arial"/>
                <w:sz w:val="14"/>
                <w:szCs w:val="14"/>
                <w:color w:val="131E29"/>
              </w:rPr>
              <w:t>Company-operated shop gross profit</w:t>
            </w: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$259,959</w:t>
            </w:r>
          </w:p>
        </w:tc>
        <w:tc>
          <w:tcPr>
            <w:tcW w:w="80" w:type="dxa"/>
            <w:vAlign w:val="bottom"/>
            <w:shd w:val="clear" w:color="auto" w:fill="D2DCE5"/>
          </w:tcPr>
          <w:p>
            <w:pPr>
              <w:spacing w:after="0"/>
              <w:rPr>
                <w:sz w:val="18"/>
                <w:szCs w:val="18"/>
                <w:color w:val="auto"/>
              </w:rPr>
            </w:pPr>
          </w:p>
        </w:tc>
        <w:tc>
          <w:tcPr>
            <w:tcW w:w="20" w:type="dxa"/>
            <w:vAlign w:val="bottom"/>
            <w:shd w:val="clear" w:color="auto" w:fill="D2DCE5"/>
          </w:tcPr>
          <w:p>
            <w:pPr>
              <w:spacing w:after="0"/>
              <w:rPr>
                <w:sz w:val="18"/>
                <w:szCs w:val="18"/>
                <w:color w:val="auto"/>
              </w:rPr>
            </w:pP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$180,235</w:t>
            </w:r>
          </w:p>
        </w:tc>
        <w:tc>
          <w:tcPr>
            <w:tcW w:w="80" w:type="dxa"/>
            <w:vAlign w:val="bottom"/>
            <w:shd w:val="clear" w:color="auto" w:fill="D2DCE5"/>
          </w:tcPr>
          <w:p>
            <w:pPr>
              <w:spacing w:after="0"/>
              <w:rPr>
                <w:sz w:val="18"/>
                <w:szCs w:val="18"/>
                <w:color w:val="auto"/>
              </w:rPr>
            </w:pPr>
          </w:p>
        </w:tc>
        <w:tc>
          <w:tcPr>
            <w:tcW w:w="86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w w:val="99"/>
              </w:rPr>
              <w:t>$121,327</w:t>
            </w:r>
          </w:p>
        </w:tc>
        <w:tc>
          <w:tcPr>
            <w:tcW w:w="178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rPr>
              <w:t>$79,724</w:t>
            </w:r>
          </w:p>
        </w:tc>
        <w:tc>
          <w:tcPr>
            <w:tcW w:w="820" w:type="dxa"/>
            <w:vAlign w:val="bottom"/>
            <w:shd w:val="clear" w:color="auto" w:fill="D2DCE5"/>
          </w:tcPr>
          <w:p>
            <w:pPr>
              <w:jc w:val="center"/>
              <w:ind w:right="189"/>
              <w:spacing w:after="0"/>
              <w:rPr>
                <w:sz w:val="20"/>
                <w:szCs w:val="20"/>
                <w:color w:val="auto"/>
              </w:rPr>
            </w:pPr>
            <w:r>
              <w:rPr>
                <w:rFonts w:ascii="Arial" w:cs="Arial" w:eastAsia="Arial" w:hAnsi="Arial"/>
                <w:sz w:val="14"/>
                <w:szCs w:val="14"/>
                <w:color w:val="131E29"/>
              </w:rPr>
              <w:t>44.2%</w:t>
            </w:r>
          </w:p>
        </w:tc>
        <w:tc>
          <w:tcPr>
            <w:tcW w:w="100" w:type="dxa"/>
            <w:vAlign w:val="bottom"/>
            <w:shd w:val="clear" w:color="auto" w:fill="D2DCE5"/>
          </w:tcPr>
          <w:p>
            <w:pPr>
              <w:spacing w:after="0"/>
              <w:rPr>
                <w:sz w:val="18"/>
                <w:szCs w:val="18"/>
                <w:color w:val="auto"/>
              </w:rPr>
            </w:pPr>
          </w:p>
        </w:tc>
        <w:tc>
          <w:tcPr>
            <w:tcW w:w="114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$58,908</w:t>
            </w:r>
          </w:p>
        </w:tc>
        <w:tc>
          <w:tcPr>
            <w:tcW w:w="114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48.6%</w:t>
            </w:r>
          </w:p>
        </w:tc>
        <w:tc>
          <w:tcPr>
            <w:tcW w:w="0" w:type="dxa"/>
            <w:vAlign w:val="bottom"/>
          </w:tcPr>
          <w:p>
            <w:pPr>
              <w:spacing w:after="0"/>
              <w:rPr>
                <w:sz w:val="1"/>
                <w:szCs w:val="1"/>
                <w:color w:val="auto"/>
              </w:rPr>
            </w:pPr>
          </w:p>
        </w:tc>
      </w:tr>
      <w:tr>
        <w:trPr>
          <w:trHeight w:val="178"/>
        </w:trPr>
        <w:tc>
          <w:tcPr>
            <w:tcW w:w="3100" w:type="dxa"/>
            <w:vAlign w:val="bottom"/>
            <w:gridSpan w:val="5"/>
          </w:tcPr>
          <w:p>
            <w:pPr>
              <w:ind w:left="20"/>
              <w:spacing w:after="0"/>
              <w:rPr>
                <w:sz w:val="20"/>
                <w:szCs w:val="20"/>
                <w:color w:val="auto"/>
              </w:rPr>
            </w:pPr>
            <w:r>
              <w:rPr>
                <w:rFonts w:ascii="Arial" w:cs="Arial" w:eastAsia="Arial" w:hAnsi="Arial"/>
                <w:sz w:val="14"/>
                <w:szCs w:val="14"/>
                <w:i w:val="1"/>
                <w:iCs w:val="1"/>
                <w:color w:val="131E29"/>
              </w:rPr>
              <w:t>As a percentage of company-operated shop</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131E29"/>
              </w:rPr>
              <w:t>22.3%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131E29"/>
              </w:rPr>
              <w:t>21.0%</w:t>
            </w:r>
          </w:p>
        </w:tc>
        <w:tc>
          <w:tcPr>
            <w:tcW w:w="80" w:type="dxa"/>
            <w:vAlign w:val="bottom"/>
          </w:tcPr>
          <w:p>
            <w:pPr>
              <w:spacing w:after="0"/>
              <w:rPr>
                <w:sz w:val="15"/>
                <w:szCs w:val="15"/>
                <w:color w:val="auto"/>
              </w:rPr>
            </w:pPr>
          </w:p>
        </w:tc>
        <w:tc>
          <w:tcPr>
            <w:tcW w:w="860" w:type="dxa"/>
            <w:vAlign w:val="bottom"/>
            <w:vMerge w:val="restart"/>
          </w:tcPr>
          <w:p>
            <w:pPr>
              <w:jc w:val="center"/>
              <w:ind w:left="149"/>
              <w:spacing w:after="0"/>
              <w:rPr>
                <w:sz w:val="20"/>
                <w:szCs w:val="20"/>
                <w:color w:val="auto"/>
              </w:rPr>
            </w:pPr>
            <w:r>
              <w:rPr>
                <w:rFonts w:ascii="Arial" w:cs="Arial" w:eastAsia="Arial" w:hAnsi="Arial"/>
                <w:sz w:val="14"/>
                <w:szCs w:val="14"/>
                <w:color w:val="131E29"/>
              </w:rPr>
              <w:t>19.0%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restart"/>
          </w:tcPr>
          <w:p>
            <w:pPr>
              <w:jc w:val="center"/>
              <w:ind w:right="269"/>
              <w:spacing w:after="0"/>
              <w:rPr>
                <w:sz w:val="20"/>
                <w:szCs w:val="20"/>
                <w:color w:val="auto"/>
              </w:rPr>
            </w:pPr>
            <w:r>
              <w:rPr>
                <w:rFonts w:ascii="Arial" w:cs="Arial" w:eastAsia="Arial" w:hAnsi="Arial"/>
                <w:sz w:val="14"/>
                <w:szCs w:val="14"/>
                <w:color w:val="131E29"/>
              </w:rPr>
              <w:t>N/A</w:t>
            </w: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131E29"/>
              </w:rPr>
              <w:t>130 bps</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131E29"/>
              </w:rPr>
              <w:t>N/A</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131E29"/>
              </w:rPr>
              <w:t>200 bps</w:t>
            </w:r>
          </w:p>
        </w:tc>
        <w:tc>
          <w:tcPr>
            <w:tcW w:w="0" w:type="dxa"/>
            <w:vAlign w:val="bottom"/>
          </w:tcPr>
          <w:p>
            <w:pPr>
              <w:spacing w:after="0"/>
              <w:rPr>
                <w:sz w:val="1"/>
                <w:szCs w:val="1"/>
                <w:color w:val="auto"/>
              </w:rPr>
            </w:pPr>
          </w:p>
        </w:tc>
      </w:tr>
      <w:tr>
        <w:trPr>
          <w:trHeight w:val="194"/>
        </w:trPr>
        <w:tc>
          <w:tcPr>
            <w:tcW w:w="3100" w:type="dxa"/>
            <w:vAlign w:val="bottom"/>
            <w:gridSpan w:val="5"/>
          </w:tcPr>
          <w:p>
            <w:pPr>
              <w:ind w:left="20"/>
              <w:spacing w:after="0"/>
              <w:rPr>
                <w:sz w:val="20"/>
                <w:szCs w:val="20"/>
                <w:color w:val="auto"/>
              </w:rPr>
            </w:pPr>
            <w:r>
              <w:rPr>
                <w:rFonts w:ascii="Arial" w:cs="Arial" w:eastAsia="Arial" w:hAnsi="Arial"/>
                <w:sz w:val="14"/>
                <w:szCs w:val="14"/>
                <w:i w:val="1"/>
                <w:iCs w:val="1"/>
                <w:color w:val="131E29"/>
              </w:rPr>
              <w:t>revenues</w:t>
            </w: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100" w:type="dxa"/>
            <w:vAlign w:val="bottom"/>
            <w:gridSpan w:val="5"/>
            <w:shd w:val="clear" w:color="auto" w:fill="D2DCE5"/>
          </w:tcPr>
          <w:p>
            <w:pPr>
              <w:ind w:left="20"/>
              <w:spacing w:after="0"/>
              <w:rPr>
                <w:sz w:val="20"/>
                <w:szCs w:val="20"/>
                <w:color w:val="auto"/>
              </w:rPr>
            </w:pPr>
            <w:r>
              <w:rPr>
                <w:rFonts w:ascii="Arial" w:cs="Arial" w:eastAsia="Arial" w:hAnsi="Arial"/>
                <w:sz w:val="14"/>
                <w:szCs w:val="14"/>
                <w:color w:val="131E29"/>
              </w:rPr>
              <w:t xml:space="preserve">Company-operated shop contribution </w:t>
            </w:r>
            <w:r>
              <w:rPr>
                <w:rFonts w:ascii="Arial" w:cs="Arial" w:eastAsia="Arial" w:hAnsi="Arial"/>
                <w:sz w:val="18"/>
                <w:szCs w:val="18"/>
                <w:color w:val="131E29"/>
                <w:vertAlign w:val="superscript"/>
              </w:rPr>
              <w:t>1</w:t>
            </w: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$346,768</w:t>
            </w:r>
          </w:p>
        </w:tc>
        <w:tc>
          <w:tcPr>
            <w:tcW w:w="80" w:type="dxa"/>
            <w:vAlign w:val="bottom"/>
            <w:shd w:val="clear" w:color="auto" w:fill="D2DCE5"/>
          </w:tcPr>
          <w:p>
            <w:pPr>
              <w:spacing w:after="0"/>
              <w:rPr>
                <w:sz w:val="19"/>
                <w:szCs w:val="19"/>
                <w:color w:val="auto"/>
              </w:rPr>
            </w:pPr>
          </w:p>
        </w:tc>
        <w:tc>
          <w:tcPr>
            <w:tcW w:w="20" w:type="dxa"/>
            <w:vAlign w:val="bottom"/>
            <w:shd w:val="clear" w:color="auto" w:fill="D2DCE5"/>
          </w:tcPr>
          <w:p>
            <w:pPr>
              <w:spacing w:after="0"/>
              <w:rPr>
                <w:sz w:val="19"/>
                <w:szCs w:val="19"/>
                <w:color w:val="auto"/>
              </w:rPr>
            </w:pP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$242,323</w:t>
            </w:r>
          </w:p>
        </w:tc>
        <w:tc>
          <w:tcPr>
            <w:tcW w:w="80" w:type="dxa"/>
            <w:vAlign w:val="bottom"/>
            <w:shd w:val="clear" w:color="auto" w:fill="D2DCE5"/>
          </w:tcPr>
          <w:p>
            <w:pPr>
              <w:spacing w:after="0"/>
              <w:rPr>
                <w:sz w:val="19"/>
                <w:szCs w:val="19"/>
                <w:color w:val="auto"/>
              </w:rPr>
            </w:pPr>
          </w:p>
        </w:tc>
        <w:tc>
          <w:tcPr>
            <w:tcW w:w="86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w w:val="99"/>
              </w:rPr>
              <w:t>$157,633</w:t>
            </w:r>
          </w:p>
        </w:tc>
        <w:tc>
          <w:tcPr>
            <w:tcW w:w="178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rPr>
              <w:t>$104,445</w:t>
            </w:r>
          </w:p>
        </w:tc>
        <w:tc>
          <w:tcPr>
            <w:tcW w:w="820" w:type="dxa"/>
            <w:vAlign w:val="bottom"/>
            <w:shd w:val="clear" w:color="auto" w:fill="D2DCE5"/>
          </w:tcPr>
          <w:p>
            <w:pPr>
              <w:jc w:val="center"/>
              <w:ind w:right="189"/>
              <w:spacing w:after="0"/>
              <w:rPr>
                <w:sz w:val="20"/>
                <w:szCs w:val="20"/>
                <w:color w:val="auto"/>
              </w:rPr>
            </w:pPr>
            <w:r>
              <w:rPr>
                <w:rFonts w:ascii="Arial" w:cs="Arial" w:eastAsia="Arial" w:hAnsi="Arial"/>
                <w:sz w:val="14"/>
                <w:szCs w:val="14"/>
                <w:color w:val="131E29"/>
              </w:rPr>
              <w:t>43.1%</w:t>
            </w:r>
          </w:p>
        </w:tc>
        <w:tc>
          <w:tcPr>
            <w:tcW w:w="100" w:type="dxa"/>
            <w:vAlign w:val="bottom"/>
            <w:shd w:val="clear" w:color="auto" w:fill="D2DCE5"/>
          </w:tcPr>
          <w:p>
            <w:pPr>
              <w:spacing w:after="0"/>
              <w:rPr>
                <w:sz w:val="19"/>
                <w:szCs w:val="19"/>
                <w:color w:val="auto"/>
              </w:rPr>
            </w:pPr>
          </w:p>
        </w:tc>
        <w:tc>
          <w:tcPr>
            <w:tcW w:w="114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$84,690</w:t>
            </w:r>
          </w:p>
        </w:tc>
        <w:tc>
          <w:tcPr>
            <w:tcW w:w="114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53.7%</w:t>
            </w:r>
          </w:p>
        </w:tc>
        <w:tc>
          <w:tcPr>
            <w:tcW w:w="0" w:type="dxa"/>
            <w:vAlign w:val="bottom"/>
          </w:tcPr>
          <w:p>
            <w:pPr>
              <w:spacing w:after="0"/>
              <w:rPr>
                <w:sz w:val="1"/>
                <w:szCs w:val="1"/>
                <w:color w:val="auto"/>
              </w:rPr>
            </w:pPr>
          </w:p>
        </w:tc>
      </w:tr>
      <w:tr>
        <w:trPr>
          <w:trHeight w:val="178"/>
        </w:trPr>
        <w:tc>
          <w:tcPr>
            <w:tcW w:w="3100" w:type="dxa"/>
            <w:vAlign w:val="bottom"/>
            <w:gridSpan w:val="5"/>
          </w:tcPr>
          <w:p>
            <w:pPr>
              <w:ind w:left="20"/>
              <w:spacing w:after="0"/>
              <w:rPr>
                <w:sz w:val="20"/>
                <w:szCs w:val="20"/>
                <w:color w:val="auto"/>
              </w:rPr>
            </w:pPr>
            <w:r>
              <w:rPr>
                <w:rFonts w:ascii="Arial" w:cs="Arial" w:eastAsia="Arial" w:hAnsi="Arial"/>
                <w:sz w:val="14"/>
                <w:szCs w:val="14"/>
                <w:i w:val="1"/>
                <w:iCs w:val="1"/>
                <w:color w:val="131E29"/>
              </w:rPr>
              <w:t>As a percentage of company-operated shop</w:t>
            </w:r>
          </w:p>
        </w:tc>
        <w:tc>
          <w:tcPr>
            <w:tcW w:w="1080" w:type="dxa"/>
            <w:vAlign w:val="bottom"/>
            <w:vMerge w:val="restart"/>
          </w:tcPr>
          <w:p>
            <w:pPr>
              <w:jc w:val="center"/>
              <w:spacing w:after="0"/>
              <w:rPr>
                <w:sz w:val="20"/>
                <w:szCs w:val="20"/>
                <w:color w:val="auto"/>
              </w:rPr>
            </w:pPr>
            <w:r>
              <w:rPr>
                <w:rFonts w:ascii="Arial" w:cs="Arial" w:eastAsia="Arial" w:hAnsi="Arial"/>
                <w:sz w:val="14"/>
                <w:szCs w:val="14"/>
                <w:color w:val="131E29"/>
              </w:rPr>
              <w:t>29.7%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131E29"/>
              </w:rPr>
              <w:t>28.2%</w:t>
            </w:r>
          </w:p>
        </w:tc>
        <w:tc>
          <w:tcPr>
            <w:tcW w:w="80" w:type="dxa"/>
            <w:vAlign w:val="bottom"/>
          </w:tcPr>
          <w:p>
            <w:pPr>
              <w:spacing w:after="0"/>
              <w:rPr>
                <w:sz w:val="15"/>
                <w:szCs w:val="15"/>
                <w:color w:val="auto"/>
              </w:rPr>
            </w:pPr>
          </w:p>
        </w:tc>
        <w:tc>
          <w:tcPr>
            <w:tcW w:w="860" w:type="dxa"/>
            <w:vAlign w:val="bottom"/>
            <w:vMerge w:val="restart"/>
          </w:tcPr>
          <w:p>
            <w:pPr>
              <w:jc w:val="center"/>
              <w:ind w:left="149"/>
              <w:spacing w:after="0"/>
              <w:rPr>
                <w:sz w:val="20"/>
                <w:szCs w:val="20"/>
                <w:color w:val="auto"/>
              </w:rPr>
            </w:pPr>
            <w:r>
              <w:rPr>
                <w:rFonts w:ascii="Arial" w:cs="Arial" w:eastAsia="Arial" w:hAnsi="Arial"/>
                <w:sz w:val="14"/>
                <w:szCs w:val="14"/>
                <w:color w:val="131E29"/>
              </w:rPr>
              <w:t>24.6%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restart"/>
          </w:tcPr>
          <w:p>
            <w:pPr>
              <w:jc w:val="center"/>
              <w:ind w:right="269"/>
              <w:spacing w:after="0"/>
              <w:rPr>
                <w:sz w:val="20"/>
                <w:szCs w:val="20"/>
                <w:color w:val="auto"/>
              </w:rPr>
            </w:pPr>
            <w:r>
              <w:rPr>
                <w:rFonts w:ascii="Arial" w:cs="Arial" w:eastAsia="Arial" w:hAnsi="Arial"/>
                <w:sz w:val="14"/>
                <w:szCs w:val="14"/>
                <w:color w:val="131E29"/>
              </w:rPr>
              <w:t>N/A</w:t>
            </w: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color w:val="131E29"/>
              </w:rPr>
              <w:t>150 bps</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131E29"/>
              </w:rPr>
              <w:t>N/A</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131E29"/>
              </w:rPr>
              <w:t>360 bps</w:t>
            </w:r>
          </w:p>
        </w:tc>
        <w:tc>
          <w:tcPr>
            <w:tcW w:w="0" w:type="dxa"/>
            <w:vAlign w:val="bottom"/>
          </w:tcPr>
          <w:p>
            <w:pPr>
              <w:spacing w:after="0"/>
              <w:rPr>
                <w:sz w:val="1"/>
                <w:szCs w:val="1"/>
                <w:color w:val="auto"/>
              </w:rPr>
            </w:pPr>
          </w:p>
        </w:tc>
      </w:tr>
      <w:tr>
        <w:trPr>
          <w:trHeight w:val="184"/>
        </w:trPr>
        <w:tc>
          <w:tcPr>
            <w:tcW w:w="3100" w:type="dxa"/>
            <w:vAlign w:val="bottom"/>
            <w:gridSpan w:val="5"/>
          </w:tcPr>
          <w:p>
            <w:pPr>
              <w:ind w:left="20"/>
              <w:spacing w:after="0"/>
              <w:rPr>
                <w:sz w:val="20"/>
                <w:szCs w:val="20"/>
                <w:color w:val="auto"/>
              </w:rPr>
            </w:pPr>
            <w:r>
              <w:rPr>
                <w:rFonts w:ascii="Arial" w:cs="Arial" w:eastAsia="Arial" w:hAnsi="Arial"/>
                <w:sz w:val="14"/>
                <w:szCs w:val="14"/>
                <w:i w:val="1"/>
                <w:iCs w:val="1"/>
                <w:color w:val="131E29"/>
              </w:rPr>
              <w:t>revenues</w:t>
            </w: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8"/>
          <w:szCs w:val="8"/>
          <w:color w:val="131E29"/>
        </w:rPr>
        <w:t>_______________________</w:t>
      </w:r>
    </w:p>
    <w:p>
      <w:pPr>
        <w:spacing w:after="0" w:line="37" w:lineRule="exact"/>
        <w:rPr>
          <w:sz w:val="20"/>
          <w:szCs w:val="20"/>
          <w:color w:val="auto"/>
        </w:rPr>
      </w:pPr>
    </w:p>
    <w:p>
      <w:pPr>
        <w:ind w:left="120" w:hanging="115"/>
        <w:spacing w:after="0"/>
        <w:tabs>
          <w:tab w:leader="none" w:pos="120" w:val="left"/>
        </w:tabs>
        <w:numPr>
          <w:ilvl w:val="0"/>
          <w:numId w:val="44"/>
        </w:numPr>
        <w:rPr>
          <w:rFonts w:ascii="Arial" w:cs="Arial" w:eastAsia="Arial" w:hAnsi="Arial"/>
          <w:sz w:val="15"/>
          <w:szCs w:val="15"/>
          <w:color w:val="131E29"/>
          <w:vertAlign w:val="superscript"/>
        </w:rPr>
      </w:pPr>
      <w:r>
        <w:rPr>
          <w:rFonts w:ascii="Arial" w:cs="Arial" w:eastAsia="Arial" w:hAnsi="Arial"/>
          <w:sz w:val="11"/>
          <w:szCs w:val="11"/>
          <w:color w:val="131E29"/>
        </w:rPr>
        <w:t>Reconciliation of GAAP to non-GAAP results is provided in the section “Non-GAAP Financial Measures” in Part II, Item 7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3" w:name="page84"/>
    <w:bookmarkEnd w:id="8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2024 v. 2023</w:t>
      </w:r>
    </w:p>
    <w:p>
      <w:pPr>
        <w:spacing w:after="0" w:line="51"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131E29"/>
        </w:rPr>
        <w:t>The increase in the company-operated shop gross profit margin of 130 basis points was driven primarily by a 270 basis point increase due to the impact of increased pricing on the comparable shop base, offset by a 140 basis point decrease due to increased labor costs.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Franchising and Other Segment Performance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rPr>
              <w:t>Year Ended December 31,</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100" w:type="dxa"/>
            <w:vAlign w:val="bottom"/>
            <w:tcBorders>
              <w:bottom w:val="single" w:sz="8" w:color="D2DCE5"/>
            </w:tcBorders>
          </w:tcPr>
          <w:p>
            <w:pPr>
              <w:spacing w:after="0"/>
              <w:rPr>
                <w:sz w:val="17"/>
                <w:szCs w:val="17"/>
                <w:color w:val="auto"/>
              </w:rPr>
            </w:pPr>
          </w:p>
        </w:tc>
        <w:tc>
          <w:tcPr>
            <w:tcW w:w="108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840" w:type="dxa"/>
            <w:vAlign w:val="bottom"/>
            <w:tcBorders>
              <w:bottom w:val="single" w:sz="8" w:color="131E29"/>
            </w:tcBorders>
          </w:tcPr>
          <w:p>
            <w:pPr>
              <w:jc w:val="center"/>
              <w:ind w:left="169"/>
              <w:spacing w:after="0"/>
              <w:rPr>
                <w:sz w:val="20"/>
                <w:szCs w:val="20"/>
                <w:color w:val="auto"/>
              </w:rPr>
            </w:pPr>
            <w:r>
              <w:rPr>
                <w:rFonts w:ascii="Arial" w:cs="Arial" w:eastAsia="Arial" w:hAnsi="Arial"/>
                <w:sz w:val="14"/>
                <w:szCs w:val="14"/>
                <w:b w:val="1"/>
                <w:bCs w:val="1"/>
                <w:color w:val="131E29"/>
              </w:rPr>
              <w:t>2022</w:t>
            </w:r>
          </w:p>
        </w:tc>
        <w:tc>
          <w:tcPr>
            <w:tcW w:w="26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60" w:type="dxa"/>
            <w:vAlign w:val="bottom"/>
            <w:tcBorders>
              <w:bottom w:val="single" w:sz="8" w:color="131E29"/>
            </w:tcBorders>
            <w:gridSpan w:val="2"/>
          </w:tcPr>
          <w:p>
            <w:pPr>
              <w:ind w:left="720"/>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2023 v 2022</w:t>
            </w:r>
          </w:p>
        </w:tc>
        <w:tc>
          <w:tcPr>
            <w:tcW w:w="0" w:type="dxa"/>
            <w:vAlign w:val="bottom"/>
          </w:tcPr>
          <w:p>
            <w:pPr>
              <w:spacing w:after="0"/>
              <w:rPr>
                <w:sz w:val="1"/>
                <w:szCs w:val="1"/>
                <w:color w:val="auto"/>
              </w:rPr>
            </w:pPr>
          </w:p>
        </w:tc>
      </w:tr>
      <w:tr>
        <w:trPr>
          <w:trHeight w:val="209"/>
        </w:trPr>
        <w:tc>
          <w:tcPr>
            <w:tcW w:w="31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Franchising and other revenue</w:t>
            </w:r>
          </w:p>
        </w:tc>
        <w:tc>
          <w:tcPr>
            <w:tcW w:w="108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$115,185</w:t>
            </w:r>
          </w:p>
        </w:tc>
        <w:tc>
          <w:tcPr>
            <w:tcW w:w="100" w:type="dxa"/>
            <w:vAlign w:val="bottom"/>
            <w:shd w:val="clear" w:color="auto" w:fill="D2DCE5"/>
          </w:tcPr>
          <w:p>
            <w:pPr>
              <w:spacing w:after="0"/>
              <w:rPr>
                <w:sz w:val="18"/>
                <w:szCs w:val="18"/>
                <w:color w:val="auto"/>
              </w:rPr>
            </w:pP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$107,837</w:t>
            </w:r>
          </w:p>
        </w:tc>
        <w:tc>
          <w:tcPr>
            <w:tcW w:w="80" w:type="dxa"/>
            <w:vAlign w:val="bottom"/>
            <w:shd w:val="clear" w:color="auto" w:fill="D2DCE5"/>
          </w:tcPr>
          <w:p>
            <w:pPr>
              <w:spacing w:after="0"/>
              <w:rPr>
                <w:sz w:val="18"/>
                <w:szCs w:val="18"/>
                <w:color w:val="auto"/>
              </w:rPr>
            </w:pPr>
          </w:p>
        </w:tc>
        <w:tc>
          <w:tcPr>
            <w:tcW w:w="84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rPr>
              <w:t>$99,302</w:t>
            </w:r>
          </w:p>
        </w:tc>
        <w:tc>
          <w:tcPr>
            <w:tcW w:w="178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rPr>
              <w:t>$7,348</w:t>
            </w:r>
          </w:p>
        </w:tc>
        <w:tc>
          <w:tcPr>
            <w:tcW w:w="820" w:type="dxa"/>
            <w:vAlign w:val="bottom"/>
            <w:shd w:val="clear" w:color="auto" w:fill="D2DCE5"/>
          </w:tcPr>
          <w:p>
            <w:pPr>
              <w:jc w:val="right"/>
              <w:ind w:right="309"/>
              <w:spacing w:after="0"/>
              <w:rPr>
                <w:sz w:val="20"/>
                <w:szCs w:val="20"/>
                <w:color w:val="auto"/>
              </w:rPr>
            </w:pPr>
            <w:r>
              <w:rPr>
                <w:rFonts w:ascii="Arial" w:cs="Arial" w:eastAsia="Arial" w:hAnsi="Arial"/>
                <w:sz w:val="14"/>
                <w:szCs w:val="14"/>
                <w:color w:val="131E29"/>
              </w:rPr>
              <w:t>6.8%</w:t>
            </w:r>
          </w:p>
        </w:tc>
        <w:tc>
          <w:tcPr>
            <w:tcW w:w="100" w:type="dxa"/>
            <w:vAlign w:val="bottom"/>
            <w:shd w:val="clear" w:color="auto" w:fill="D2DCE5"/>
          </w:tcPr>
          <w:p>
            <w:pPr>
              <w:spacing w:after="0"/>
              <w:rPr>
                <w:sz w:val="18"/>
                <w:szCs w:val="18"/>
                <w:color w:val="auto"/>
              </w:rPr>
            </w:pPr>
          </w:p>
        </w:tc>
        <w:tc>
          <w:tcPr>
            <w:tcW w:w="1140" w:type="dxa"/>
            <w:vAlign w:val="bottom"/>
            <w:shd w:val="clear" w:color="auto" w:fill="D2DCE5"/>
          </w:tcPr>
          <w:p>
            <w:pPr>
              <w:jc w:val="right"/>
              <w:ind w:right="309"/>
              <w:spacing w:after="0"/>
              <w:rPr>
                <w:sz w:val="20"/>
                <w:szCs w:val="20"/>
                <w:color w:val="auto"/>
              </w:rPr>
            </w:pPr>
            <w:r>
              <w:rPr>
                <w:rFonts w:ascii="Arial" w:cs="Arial" w:eastAsia="Arial" w:hAnsi="Arial"/>
                <w:sz w:val="14"/>
                <w:szCs w:val="14"/>
                <w:color w:val="131E29"/>
              </w:rPr>
              <w:t>$8,535</w:t>
            </w:r>
          </w:p>
        </w:tc>
        <w:tc>
          <w:tcPr>
            <w:tcW w:w="1140" w:type="dxa"/>
            <w:vAlign w:val="bottom"/>
            <w:shd w:val="clear" w:color="auto" w:fill="D2DCE5"/>
          </w:tcPr>
          <w:p>
            <w:pPr>
              <w:jc w:val="right"/>
              <w:ind w:right="309"/>
              <w:spacing w:after="0"/>
              <w:rPr>
                <w:sz w:val="20"/>
                <w:szCs w:val="20"/>
                <w:color w:val="auto"/>
              </w:rPr>
            </w:pPr>
            <w:r>
              <w:rPr>
                <w:rFonts w:ascii="Arial" w:cs="Arial" w:eastAsia="Arial" w:hAnsi="Arial"/>
                <w:sz w:val="14"/>
                <w:szCs w:val="14"/>
                <w:color w:val="131E29"/>
              </w:rPr>
              <w:t>8.6%</w:t>
            </w:r>
          </w:p>
        </w:tc>
        <w:tc>
          <w:tcPr>
            <w:tcW w:w="0" w:type="dxa"/>
            <w:vAlign w:val="bottom"/>
          </w:tcPr>
          <w:p>
            <w:pPr>
              <w:spacing w:after="0"/>
              <w:rPr>
                <w:sz w:val="1"/>
                <w:szCs w:val="1"/>
                <w:color w:val="auto"/>
              </w:rPr>
            </w:pPr>
          </w:p>
        </w:tc>
      </w:tr>
      <w:tr>
        <w:trPr>
          <w:trHeight w:val="202"/>
        </w:trPr>
        <w:tc>
          <w:tcPr>
            <w:tcW w:w="3100" w:type="dxa"/>
            <w:vAlign w:val="bottom"/>
            <w:gridSpan w:val="2"/>
          </w:tcPr>
          <w:p>
            <w:pPr>
              <w:ind w:left="20"/>
              <w:spacing w:after="0"/>
              <w:rPr>
                <w:sz w:val="20"/>
                <w:szCs w:val="20"/>
                <w:color w:val="auto"/>
              </w:rPr>
            </w:pPr>
            <w:r>
              <w:rPr>
                <w:rFonts w:ascii="Arial" w:cs="Arial" w:eastAsia="Arial" w:hAnsi="Arial"/>
                <w:sz w:val="14"/>
                <w:szCs w:val="14"/>
                <w:color w:val="131E29"/>
              </w:rPr>
              <w:t>Franchising and other gross profit</w:t>
            </w:r>
          </w:p>
        </w:tc>
        <w:tc>
          <w:tcPr>
            <w:tcW w:w="1080" w:type="dxa"/>
            <w:vAlign w:val="bottom"/>
          </w:tcPr>
          <w:p>
            <w:pPr>
              <w:jc w:val="center"/>
              <w:spacing w:after="0"/>
              <w:rPr>
                <w:sz w:val="20"/>
                <w:szCs w:val="20"/>
                <w:color w:val="auto"/>
              </w:rPr>
            </w:pPr>
            <w:r>
              <w:rPr>
                <w:rFonts w:ascii="Arial" w:cs="Arial" w:eastAsia="Arial" w:hAnsi="Arial"/>
                <w:sz w:val="14"/>
                <w:szCs w:val="14"/>
                <w:color w:val="131E29"/>
              </w:rPr>
              <w:t>$80,170</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131E29"/>
              </w:rPr>
              <w:t>$71,061</w:t>
            </w:r>
          </w:p>
        </w:tc>
        <w:tc>
          <w:tcPr>
            <w:tcW w:w="80" w:type="dxa"/>
            <w:vAlign w:val="bottom"/>
          </w:tcPr>
          <w:p>
            <w:pPr>
              <w:spacing w:after="0"/>
              <w:rPr>
                <w:sz w:val="17"/>
                <w:szCs w:val="17"/>
                <w:color w:val="auto"/>
              </w:rPr>
            </w:pPr>
          </w:p>
        </w:tc>
        <w:tc>
          <w:tcPr>
            <w:tcW w:w="840" w:type="dxa"/>
            <w:vAlign w:val="bottom"/>
          </w:tcPr>
          <w:p>
            <w:pPr>
              <w:jc w:val="center"/>
              <w:ind w:left="169"/>
              <w:spacing w:after="0"/>
              <w:rPr>
                <w:sz w:val="20"/>
                <w:szCs w:val="20"/>
                <w:color w:val="auto"/>
              </w:rPr>
            </w:pPr>
            <w:r>
              <w:rPr>
                <w:rFonts w:ascii="Arial" w:cs="Arial" w:eastAsia="Arial" w:hAnsi="Arial"/>
                <w:sz w:val="14"/>
                <w:szCs w:val="14"/>
                <w:color w:val="131E29"/>
              </w:rPr>
              <w:t>$59,589</w:t>
            </w:r>
          </w:p>
        </w:tc>
        <w:tc>
          <w:tcPr>
            <w:tcW w:w="1780" w:type="dxa"/>
            <w:vAlign w:val="bottom"/>
            <w:gridSpan w:val="3"/>
          </w:tcPr>
          <w:p>
            <w:pPr>
              <w:jc w:val="center"/>
              <w:spacing w:after="0"/>
              <w:rPr>
                <w:sz w:val="20"/>
                <w:szCs w:val="20"/>
                <w:color w:val="auto"/>
              </w:rPr>
            </w:pPr>
            <w:r>
              <w:rPr>
                <w:rFonts w:ascii="Arial" w:cs="Arial" w:eastAsia="Arial" w:hAnsi="Arial"/>
                <w:sz w:val="14"/>
                <w:szCs w:val="14"/>
                <w:color w:val="131E29"/>
              </w:rPr>
              <w:t>$9,109</w:t>
            </w:r>
          </w:p>
        </w:tc>
        <w:tc>
          <w:tcPr>
            <w:tcW w:w="820" w:type="dxa"/>
            <w:vAlign w:val="bottom"/>
          </w:tcPr>
          <w:p>
            <w:pPr>
              <w:jc w:val="right"/>
              <w:ind w:right="269"/>
              <w:spacing w:after="0"/>
              <w:rPr>
                <w:sz w:val="20"/>
                <w:szCs w:val="20"/>
                <w:color w:val="auto"/>
              </w:rPr>
            </w:pPr>
            <w:r>
              <w:rPr>
                <w:rFonts w:ascii="Arial" w:cs="Arial" w:eastAsia="Arial" w:hAnsi="Arial"/>
                <w:sz w:val="14"/>
                <w:szCs w:val="14"/>
                <w:color w:val="131E29"/>
              </w:rPr>
              <w:t>12.8%</w:t>
            </w:r>
          </w:p>
        </w:tc>
        <w:tc>
          <w:tcPr>
            <w:tcW w:w="100" w:type="dxa"/>
            <w:vAlign w:val="bottom"/>
          </w:tcPr>
          <w:p>
            <w:pPr>
              <w:spacing w:after="0"/>
              <w:rPr>
                <w:sz w:val="17"/>
                <w:szCs w:val="17"/>
                <w:color w:val="auto"/>
              </w:rPr>
            </w:pPr>
          </w:p>
        </w:tc>
        <w:tc>
          <w:tcPr>
            <w:tcW w:w="1140" w:type="dxa"/>
            <w:vAlign w:val="bottom"/>
          </w:tcPr>
          <w:p>
            <w:pPr>
              <w:jc w:val="right"/>
              <w:ind w:right="269"/>
              <w:spacing w:after="0"/>
              <w:rPr>
                <w:sz w:val="20"/>
                <w:szCs w:val="20"/>
                <w:color w:val="auto"/>
              </w:rPr>
            </w:pPr>
            <w:r>
              <w:rPr>
                <w:rFonts w:ascii="Arial" w:cs="Arial" w:eastAsia="Arial" w:hAnsi="Arial"/>
                <w:sz w:val="14"/>
                <w:szCs w:val="14"/>
                <w:color w:val="131E29"/>
              </w:rPr>
              <w:t>$11,472</w:t>
            </w:r>
          </w:p>
        </w:tc>
        <w:tc>
          <w:tcPr>
            <w:tcW w:w="1140" w:type="dxa"/>
            <w:vAlign w:val="bottom"/>
          </w:tcPr>
          <w:p>
            <w:pPr>
              <w:jc w:val="right"/>
              <w:ind w:right="269"/>
              <w:spacing w:after="0"/>
              <w:rPr>
                <w:sz w:val="20"/>
                <w:szCs w:val="20"/>
                <w:color w:val="auto"/>
              </w:rPr>
            </w:pPr>
            <w:r>
              <w:rPr>
                <w:rFonts w:ascii="Arial" w:cs="Arial" w:eastAsia="Arial" w:hAnsi="Arial"/>
                <w:sz w:val="14"/>
                <w:szCs w:val="14"/>
                <w:color w:val="131E29"/>
              </w:rPr>
              <w:t>19.3%</w:t>
            </w:r>
          </w:p>
        </w:tc>
        <w:tc>
          <w:tcPr>
            <w:tcW w:w="0" w:type="dxa"/>
            <w:vAlign w:val="bottom"/>
          </w:tcPr>
          <w:p>
            <w:pPr>
              <w:spacing w:after="0"/>
              <w:rPr>
                <w:sz w:val="1"/>
                <w:szCs w:val="1"/>
                <w:color w:val="auto"/>
              </w:rPr>
            </w:pPr>
          </w:p>
        </w:tc>
      </w:tr>
      <w:tr>
        <w:trPr>
          <w:trHeight w:val="188"/>
        </w:trPr>
        <w:tc>
          <w:tcPr>
            <w:tcW w:w="3100" w:type="dxa"/>
            <w:vAlign w:val="bottom"/>
            <w:gridSpan w:val="2"/>
            <w:shd w:val="clear" w:color="auto" w:fill="D2DCE5"/>
          </w:tcPr>
          <w:p>
            <w:pPr>
              <w:ind w:left="20"/>
              <w:spacing w:after="0"/>
              <w:rPr>
                <w:sz w:val="20"/>
                <w:szCs w:val="20"/>
                <w:color w:val="auto"/>
              </w:rPr>
            </w:pPr>
            <w:r>
              <w:rPr>
                <w:rFonts w:ascii="Arial" w:cs="Arial" w:eastAsia="Arial" w:hAnsi="Arial"/>
                <w:sz w:val="14"/>
                <w:szCs w:val="14"/>
                <w:i w:val="1"/>
                <w:iCs w:val="1"/>
                <w:color w:val="131E29"/>
              </w:rPr>
              <w:t>As a percentage of franchising and other</w:t>
            </w:r>
          </w:p>
        </w:tc>
        <w:tc>
          <w:tcPr>
            <w:tcW w:w="1080" w:type="dxa"/>
            <w:vAlign w:val="bottom"/>
            <w:vMerge w:val="restart"/>
            <w:shd w:val="clear" w:color="auto" w:fill="D2DCE5"/>
          </w:tcPr>
          <w:p>
            <w:pPr>
              <w:jc w:val="center"/>
              <w:spacing w:after="0"/>
              <w:rPr>
                <w:sz w:val="20"/>
                <w:szCs w:val="20"/>
                <w:color w:val="auto"/>
              </w:rPr>
            </w:pPr>
            <w:r>
              <w:rPr>
                <w:rFonts w:ascii="Arial" w:cs="Arial" w:eastAsia="Arial" w:hAnsi="Arial"/>
                <w:sz w:val="14"/>
                <w:szCs w:val="14"/>
                <w:color w:val="131E29"/>
              </w:rPr>
              <w:t>69.6%</w:t>
            </w:r>
          </w:p>
        </w:tc>
        <w:tc>
          <w:tcPr>
            <w:tcW w:w="100" w:type="dxa"/>
            <w:vAlign w:val="bottom"/>
            <w:shd w:val="clear" w:color="auto" w:fill="D2DCE5"/>
          </w:tcPr>
          <w:p>
            <w:pPr>
              <w:spacing w:after="0"/>
              <w:rPr>
                <w:sz w:val="16"/>
                <w:szCs w:val="16"/>
                <w:color w:val="auto"/>
              </w:rPr>
            </w:pPr>
          </w:p>
        </w:tc>
        <w:tc>
          <w:tcPr>
            <w:tcW w:w="1100" w:type="dxa"/>
            <w:vAlign w:val="bottom"/>
            <w:vMerge w:val="restart"/>
            <w:shd w:val="clear" w:color="auto" w:fill="D2DCE5"/>
          </w:tcPr>
          <w:p>
            <w:pPr>
              <w:jc w:val="center"/>
              <w:spacing w:after="0"/>
              <w:rPr>
                <w:sz w:val="20"/>
                <w:szCs w:val="20"/>
                <w:color w:val="auto"/>
              </w:rPr>
            </w:pPr>
            <w:r>
              <w:rPr>
                <w:rFonts w:ascii="Arial" w:cs="Arial" w:eastAsia="Arial" w:hAnsi="Arial"/>
                <w:sz w:val="14"/>
                <w:szCs w:val="14"/>
                <w:color w:val="131E29"/>
              </w:rPr>
              <w:t>65.9%</w:t>
            </w:r>
          </w:p>
        </w:tc>
        <w:tc>
          <w:tcPr>
            <w:tcW w:w="80" w:type="dxa"/>
            <w:vAlign w:val="bottom"/>
            <w:shd w:val="clear" w:color="auto" w:fill="D2DCE5"/>
          </w:tcPr>
          <w:p>
            <w:pPr>
              <w:spacing w:after="0"/>
              <w:rPr>
                <w:sz w:val="16"/>
                <w:szCs w:val="16"/>
                <w:color w:val="auto"/>
              </w:rPr>
            </w:pPr>
          </w:p>
        </w:tc>
        <w:tc>
          <w:tcPr>
            <w:tcW w:w="840" w:type="dxa"/>
            <w:vAlign w:val="bottom"/>
            <w:vMerge w:val="restart"/>
            <w:shd w:val="clear" w:color="auto" w:fill="D2DCE5"/>
          </w:tcPr>
          <w:p>
            <w:pPr>
              <w:jc w:val="center"/>
              <w:ind w:left="169"/>
              <w:spacing w:after="0"/>
              <w:rPr>
                <w:sz w:val="20"/>
                <w:szCs w:val="20"/>
                <w:color w:val="auto"/>
              </w:rPr>
            </w:pPr>
            <w:r>
              <w:rPr>
                <w:rFonts w:ascii="Arial" w:cs="Arial" w:eastAsia="Arial" w:hAnsi="Arial"/>
                <w:sz w:val="14"/>
                <w:szCs w:val="14"/>
                <w:color w:val="131E29"/>
              </w:rPr>
              <w:t>60.0%</w:t>
            </w:r>
          </w:p>
        </w:tc>
        <w:tc>
          <w:tcPr>
            <w:tcW w:w="2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440" w:type="dxa"/>
            <w:vAlign w:val="bottom"/>
            <w:vMerge w:val="restart"/>
            <w:shd w:val="clear" w:color="auto" w:fill="D2DCE5"/>
          </w:tcPr>
          <w:p>
            <w:pPr>
              <w:jc w:val="center"/>
              <w:ind w:right="289"/>
              <w:spacing w:after="0"/>
              <w:rPr>
                <w:sz w:val="20"/>
                <w:szCs w:val="20"/>
                <w:color w:val="auto"/>
              </w:rPr>
            </w:pPr>
            <w:r>
              <w:rPr>
                <w:rFonts w:ascii="Arial" w:cs="Arial" w:eastAsia="Arial" w:hAnsi="Arial"/>
                <w:sz w:val="14"/>
                <w:szCs w:val="14"/>
                <w:color w:val="131E29"/>
              </w:rPr>
              <w:t>N/A</w:t>
            </w:r>
          </w:p>
        </w:tc>
        <w:tc>
          <w:tcPr>
            <w:tcW w:w="920" w:type="dxa"/>
            <w:vAlign w:val="bottom"/>
            <w:gridSpan w:val="2"/>
            <w:vMerge w:val="restart"/>
            <w:shd w:val="clear" w:color="auto" w:fill="D2DCE5"/>
          </w:tcPr>
          <w:p>
            <w:pPr>
              <w:ind w:left="20"/>
              <w:spacing w:after="0"/>
              <w:rPr>
                <w:sz w:val="20"/>
                <w:szCs w:val="20"/>
                <w:color w:val="auto"/>
              </w:rPr>
            </w:pPr>
            <w:r>
              <w:rPr>
                <w:rFonts w:ascii="Arial" w:cs="Arial" w:eastAsia="Arial" w:hAnsi="Arial"/>
                <w:sz w:val="14"/>
                <w:szCs w:val="14"/>
                <w:color w:val="131E29"/>
              </w:rPr>
              <w:t>370 bps</w:t>
            </w:r>
          </w:p>
        </w:tc>
        <w:tc>
          <w:tcPr>
            <w:tcW w:w="1140" w:type="dxa"/>
            <w:vAlign w:val="bottom"/>
            <w:vMerge w:val="restart"/>
            <w:shd w:val="clear" w:color="auto" w:fill="D2DCE5"/>
          </w:tcPr>
          <w:p>
            <w:pPr>
              <w:ind w:left="420"/>
              <w:spacing w:after="0"/>
              <w:rPr>
                <w:sz w:val="20"/>
                <w:szCs w:val="20"/>
                <w:color w:val="auto"/>
              </w:rPr>
            </w:pPr>
            <w:r>
              <w:rPr>
                <w:rFonts w:ascii="Arial" w:cs="Arial" w:eastAsia="Arial" w:hAnsi="Arial"/>
                <w:sz w:val="14"/>
                <w:szCs w:val="14"/>
                <w:color w:val="131E29"/>
              </w:rPr>
              <w:t>N/A</w:t>
            </w:r>
          </w:p>
        </w:tc>
        <w:tc>
          <w:tcPr>
            <w:tcW w:w="1140" w:type="dxa"/>
            <w:vAlign w:val="bottom"/>
            <w:vMerge w:val="restart"/>
            <w:shd w:val="clear" w:color="auto" w:fill="D2DCE5"/>
          </w:tcPr>
          <w:p>
            <w:pPr>
              <w:ind w:left="340"/>
              <w:spacing w:after="0"/>
              <w:rPr>
                <w:sz w:val="20"/>
                <w:szCs w:val="20"/>
                <w:color w:val="auto"/>
              </w:rPr>
            </w:pPr>
            <w:r>
              <w:rPr>
                <w:rFonts w:ascii="Arial" w:cs="Arial" w:eastAsia="Arial" w:hAnsi="Arial"/>
                <w:sz w:val="14"/>
                <w:szCs w:val="14"/>
                <w:color w:val="131E29"/>
              </w:rPr>
              <w:t>590 bps</w:t>
            </w:r>
          </w:p>
        </w:tc>
        <w:tc>
          <w:tcPr>
            <w:tcW w:w="0" w:type="dxa"/>
            <w:vAlign w:val="bottom"/>
          </w:tcPr>
          <w:p>
            <w:pPr>
              <w:spacing w:after="0"/>
              <w:rPr>
                <w:sz w:val="1"/>
                <w:szCs w:val="1"/>
                <w:color w:val="auto"/>
              </w:rPr>
            </w:pPr>
          </w:p>
        </w:tc>
      </w:tr>
      <w:tr>
        <w:trPr>
          <w:trHeight w:val="204"/>
        </w:trPr>
        <w:tc>
          <w:tcPr>
            <w:tcW w:w="3100" w:type="dxa"/>
            <w:vAlign w:val="bottom"/>
            <w:gridSpan w:val="2"/>
            <w:shd w:val="clear" w:color="auto" w:fill="D2DCE5"/>
          </w:tcPr>
          <w:p>
            <w:pPr>
              <w:ind w:left="20"/>
              <w:spacing w:after="0"/>
              <w:rPr>
                <w:sz w:val="20"/>
                <w:szCs w:val="20"/>
                <w:color w:val="auto"/>
              </w:rPr>
            </w:pPr>
            <w:r>
              <w:rPr>
                <w:rFonts w:ascii="Arial" w:cs="Arial" w:eastAsia="Arial" w:hAnsi="Arial"/>
                <w:sz w:val="14"/>
                <w:szCs w:val="14"/>
                <w:i w:val="1"/>
                <w:iCs w:val="1"/>
                <w:color w:val="131E29"/>
              </w:rPr>
              <w:t>revenue</w:t>
            </w:r>
          </w:p>
        </w:tc>
        <w:tc>
          <w:tcPr>
            <w:tcW w:w="1080" w:type="dxa"/>
            <w:vAlign w:val="bottom"/>
            <w:vMerge w:val="continue"/>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100" w:type="dxa"/>
            <w:vAlign w:val="bottom"/>
            <w:vMerge w:val="continue"/>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840" w:type="dxa"/>
            <w:vAlign w:val="bottom"/>
            <w:vMerge w:val="continue"/>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40" w:type="dxa"/>
            <w:vAlign w:val="bottom"/>
            <w:vMerge w:val="continue"/>
            <w:shd w:val="clear" w:color="auto" w:fill="D2DCE5"/>
          </w:tcPr>
          <w:p>
            <w:pPr>
              <w:spacing w:after="0"/>
              <w:rPr>
                <w:sz w:val="17"/>
                <w:szCs w:val="17"/>
                <w:color w:val="auto"/>
              </w:rPr>
            </w:pPr>
          </w:p>
        </w:tc>
        <w:tc>
          <w:tcPr>
            <w:tcW w:w="920" w:type="dxa"/>
            <w:vAlign w:val="bottom"/>
            <w:gridSpan w:val="2"/>
            <w:vMerge w:val="continue"/>
            <w:shd w:val="clear" w:color="auto" w:fill="D2DCE5"/>
          </w:tcPr>
          <w:p>
            <w:pPr>
              <w:spacing w:after="0"/>
              <w:rPr>
                <w:sz w:val="17"/>
                <w:szCs w:val="17"/>
                <w:color w:val="auto"/>
              </w:rPr>
            </w:pPr>
          </w:p>
        </w:tc>
        <w:tc>
          <w:tcPr>
            <w:tcW w:w="1140" w:type="dxa"/>
            <w:vAlign w:val="bottom"/>
            <w:vMerge w:val="continue"/>
            <w:shd w:val="clear" w:color="auto" w:fill="D2DCE5"/>
          </w:tcPr>
          <w:p>
            <w:pPr>
              <w:spacing w:after="0"/>
              <w:rPr>
                <w:sz w:val="17"/>
                <w:szCs w:val="17"/>
                <w:color w:val="auto"/>
              </w:rPr>
            </w:pPr>
          </w:p>
        </w:tc>
        <w:tc>
          <w:tcPr>
            <w:tcW w:w="1140" w:type="dxa"/>
            <w:vAlign w:val="bottom"/>
            <w:vMerge w:val="continue"/>
            <w:shd w:val="clear" w:color="auto" w:fill="D2DCE5"/>
          </w:tcPr>
          <w:p>
            <w:pPr>
              <w:spacing w:after="0"/>
              <w:rPr>
                <w:sz w:val="17"/>
                <w:szCs w:val="17"/>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2024 v. 2023</w:t>
      </w:r>
    </w:p>
    <w:p>
      <w:pPr>
        <w:spacing w:after="0" w:line="51"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131E29"/>
        </w:rPr>
        <w:t>The franchising and other gross profit increase of $9.1 million was driven by $4.6 million due to newly opened franchised shops not in the comparable shop base, $2.6 million from same shop sales, and a $1.9 million increase from products sold to franchisees, net of costs and adjustments.</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Selling, General, and Administrative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w w:val="99"/>
              </w:rPr>
              <w:t>Year Ended December 31,</w:t>
            </w: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r>
        <w:trPr>
          <w:trHeight w:val="20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2024</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860" w:type="dxa"/>
            <w:vAlign w:val="bottom"/>
            <w:tcBorders>
              <w:bottom w:val="single" w:sz="8" w:color="131E29"/>
            </w:tcBorders>
          </w:tcPr>
          <w:p>
            <w:pPr>
              <w:jc w:val="center"/>
              <w:ind w:left="169"/>
              <w:spacing w:after="0"/>
              <w:rPr>
                <w:sz w:val="20"/>
                <w:szCs w:val="20"/>
                <w:color w:val="auto"/>
              </w:rPr>
            </w:pPr>
            <w:r>
              <w:rPr>
                <w:rFonts w:ascii="Arial" w:cs="Arial" w:eastAsia="Arial" w:hAnsi="Arial"/>
                <w:sz w:val="14"/>
                <w:szCs w:val="14"/>
                <w:b w:val="1"/>
                <w:bCs w:val="1"/>
                <w:color w:val="131E29"/>
                <w:w w:val="96"/>
              </w:rPr>
              <w:t>2022</w:t>
            </w:r>
          </w:p>
        </w:tc>
        <w:tc>
          <w:tcPr>
            <w:tcW w:w="24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1540" w:type="dxa"/>
            <w:vAlign w:val="bottom"/>
            <w:tcBorders>
              <w:bottom w:val="single" w:sz="8" w:color="131E29"/>
            </w:tcBorders>
          </w:tcPr>
          <w:p>
            <w:pPr>
              <w:ind w:left="740"/>
              <w:spacing w:after="0"/>
              <w:rPr>
                <w:sz w:val="20"/>
                <w:szCs w:val="20"/>
                <w:color w:val="auto"/>
              </w:rPr>
            </w:pPr>
            <w:r>
              <w:rPr>
                <w:rFonts w:ascii="Arial" w:cs="Arial" w:eastAsia="Arial" w:hAnsi="Arial"/>
                <w:sz w:val="14"/>
                <w:szCs w:val="14"/>
                <w:b w:val="1"/>
                <w:bCs w:val="1"/>
                <w:color w:val="131E29"/>
              </w:rPr>
              <w:t>2023 v 2022</w:t>
            </w:r>
          </w:p>
        </w:tc>
        <w:tc>
          <w:tcPr>
            <w:tcW w:w="740" w:type="dxa"/>
            <w:vAlign w:val="bottom"/>
            <w:tcBorders>
              <w:bottom w:val="single" w:sz="8" w:color="131E29"/>
            </w:tcBorders>
          </w:tcPr>
          <w:p>
            <w:pPr>
              <w:spacing w:after="0"/>
              <w:rPr>
                <w:sz w:val="17"/>
                <w:szCs w:val="17"/>
                <w:color w:val="auto"/>
              </w:rPr>
            </w:pPr>
          </w:p>
        </w:tc>
      </w:tr>
      <w:tr>
        <w:trPr>
          <w:trHeight w:val="209"/>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w:t>
            </w: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$234,036</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9"/>
              </w:rPr>
              <w:t>$205,074</w:t>
            </w:r>
          </w:p>
        </w:tc>
        <w:tc>
          <w:tcPr>
            <w:tcW w:w="80" w:type="dxa"/>
            <w:vAlign w:val="bottom"/>
            <w:shd w:val="clear" w:color="auto" w:fill="D2DCE5"/>
          </w:tcPr>
          <w:p>
            <w:pPr>
              <w:spacing w:after="0"/>
              <w:rPr>
                <w:sz w:val="18"/>
                <w:szCs w:val="18"/>
                <w:color w:val="auto"/>
              </w:rPr>
            </w:pPr>
          </w:p>
        </w:tc>
        <w:tc>
          <w:tcPr>
            <w:tcW w:w="86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w w:val="99"/>
              </w:rPr>
              <w:t>$183,528</w:t>
            </w:r>
          </w:p>
        </w:tc>
        <w:tc>
          <w:tcPr>
            <w:tcW w:w="176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rPr>
              <w:t>$28,962</w:t>
            </w:r>
          </w:p>
        </w:tc>
        <w:tc>
          <w:tcPr>
            <w:tcW w:w="840" w:type="dxa"/>
            <w:vAlign w:val="bottom"/>
            <w:shd w:val="clear" w:color="auto" w:fill="D2DCE5"/>
          </w:tcPr>
          <w:p>
            <w:pPr>
              <w:jc w:val="right"/>
              <w:ind w:right="269"/>
              <w:spacing w:after="0"/>
              <w:rPr>
                <w:sz w:val="20"/>
                <w:szCs w:val="20"/>
                <w:color w:val="auto"/>
              </w:rPr>
            </w:pPr>
            <w:r>
              <w:rPr>
                <w:rFonts w:ascii="Arial" w:cs="Arial" w:eastAsia="Arial" w:hAnsi="Arial"/>
                <w:sz w:val="14"/>
                <w:szCs w:val="14"/>
                <w:color w:val="131E29"/>
              </w:rPr>
              <w:t>14.1%</w:t>
            </w:r>
          </w:p>
        </w:tc>
        <w:tc>
          <w:tcPr>
            <w:tcW w:w="100" w:type="dxa"/>
            <w:vAlign w:val="bottom"/>
            <w:shd w:val="clear" w:color="auto" w:fill="D2DCE5"/>
          </w:tcPr>
          <w:p>
            <w:pPr>
              <w:spacing w:after="0"/>
              <w:rPr>
                <w:sz w:val="18"/>
                <w:szCs w:val="18"/>
                <w:color w:val="auto"/>
              </w:rPr>
            </w:pPr>
          </w:p>
        </w:tc>
        <w:tc>
          <w:tcPr>
            <w:tcW w:w="1540" w:type="dxa"/>
            <w:vAlign w:val="bottom"/>
            <w:shd w:val="clear" w:color="auto" w:fill="D2DCE5"/>
          </w:tcPr>
          <w:p>
            <w:pPr>
              <w:jc w:val="right"/>
              <w:ind w:right="669"/>
              <w:spacing w:after="0"/>
              <w:rPr>
                <w:sz w:val="20"/>
                <w:szCs w:val="20"/>
                <w:color w:val="auto"/>
              </w:rPr>
            </w:pPr>
            <w:r>
              <w:rPr>
                <w:rFonts w:ascii="Arial" w:cs="Arial" w:eastAsia="Arial" w:hAnsi="Arial"/>
                <w:sz w:val="14"/>
                <w:szCs w:val="14"/>
                <w:color w:val="131E29"/>
              </w:rPr>
              <w:t>$21,546</w:t>
            </w:r>
          </w:p>
        </w:tc>
        <w:tc>
          <w:tcPr>
            <w:tcW w:w="740" w:type="dxa"/>
            <w:vAlign w:val="bottom"/>
            <w:shd w:val="clear" w:color="auto" w:fill="D2DCE5"/>
          </w:tcPr>
          <w:p>
            <w:pPr>
              <w:jc w:val="right"/>
              <w:ind w:right="289"/>
              <w:spacing w:after="0"/>
              <w:rPr>
                <w:sz w:val="20"/>
                <w:szCs w:val="20"/>
                <w:color w:val="auto"/>
              </w:rPr>
            </w:pPr>
            <w:r>
              <w:rPr>
                <w:rFonts w:ascii="Arial" w:cs="Arial" w:eastAsia="Arial" w:hAnsi="Arial"/>
                <w:sz w:val="14"/>
                <w:szCs w:val="14"/>
                <w:color w:val="131E29"/>
                <w:w w:val="90"/>
              </w:rPr>
              <w:t>11.7%</w:t>
            </w:r>
          </w:p>
        </w:tc>
      </w:tr>
      <w:tr>
        <w:trPr>
          <w:trHeight w:val="193"/>
        </w:trPr>
        <w:tc>
          <w:tcPr>
            <w:tcW w:w="3080" w:type="dxa"/>
            <w:vAlign w:val="bottom"/>
            <w:gridSpan w:val="2"/>
          </w:tcPr>
          <w:p>
            <w:pPr>
              <w:ind w:left="20"/>
              <w:spacing w:after="0"/>
              <w:rPr>
                <w:sz w:val="20"/>
                <w:szCs w:val="20"/>
                <w:color w:val="auto"/>
              </w:rPr>
            </w:pPr>
            <w:r>
              <w:rPr>
                <w:rFonts w:ascii="Arial" w:cs="Arial" w:eastAsia="Arial" w:hAnsi="Arial"/>
                <w:sz w:val="14"/>
                <w:szCs w:val="14"/>
                <w:i w:val="1"/>
                <w:iCs w:val="1"/>
                <w:color w:val="131E29"/>
              </w:rPr>
              <w:t>As a percentage of total revenues</w:t>
            </w:r>
          </w:p>
        </w:tc>
        <w:tc>
          <w:tcPr>
            <w:tcW w:w="1100" w:type="dxa"/>
            <w:vAlign w:val="bottom"/>
          </w:tcPr>
          <w:p>
            <w:pPr>
              <w:jc w:val="center"/>
              <w:spacing w:after="0"/>
              <w:rPr>
                <w:sz w:val="20"/>
                <w:szCs w:val="20"/>
                <w:color w:val="auto"/>
              </w:rPr>
            </w:pPr>
            <w:r>
              <w:rPr>
                <w:rFonts w:ascii="Arial" w:cs="Arial" w:eastAsia="Arial" w:hAnsi="Arial"/>
                <w:sz w:val="14"/>
                <w:szCs w:val="14"/>
                <w:color w:val="131E29"/>
              </w:rPr>
              <w:t>18.3%</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131E29"/>
              </w:rPr>
              <w:t>21.2%</w:t>
            </w:r>
          </w:p>
        </w:tc>
        <w:tc>
          <w:tcPr>
            <w:tcW w:w="80" w:type="dxa"/>
            <w:vAlign w:val="bottom"/>
          </w:tcPr>
          <w:p>
            <w:pPr>
              <w:spacing w:after="0"/>
              <w:rPr>
                <w:sz w:val="16"/>
                <w:szCs w:val="16"/>
                <w:color w:val="auto"/>
              </w:rPr>
            </w:pPr>
          </w:p>
        </w:tc>
        <w:tc>
          <w:tcPr>
            <w:tcW w:w="860" w:type="dxa"/>
            <w:vAlign w:val="bottom"/>
          </w:tcPr>
          <w:p>
            <w:pPr>
              <w:jc w:val="center"/>
              <w:ind w:left="149"/>
              <w:spacing w:after="0"/>
              <w:rPr>
                <w:sz w:val="20"/>
                <w:szCs w:val="20"/>
                <w:color w:val="auto"/>
              </w:rPr>
            </w:pPr>
            <w:r>
              <w:rPr>
                <w:rFonts w:ascii="Arial" w:cs="Arial" w:eastAsia="Arial" w:hAnsi="Arial"/>
                <w:sz w:val="14"/>
                <w:szCs w:val="14"/>
                <w:color w:val="131E29"/>
              </w:rPr>
              <w:t>24.8%</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center"/>
              <w:ind w:right="249"/>
              <w:spacing w:after="0"/>
              <w:rPr>
                <w:sz w:val="20"/>
                <w:szCs w:val="20"/>
                <w:color w:val="auto"/>
              </w:rPr>
            </w:pPr>
            <w:r>
              <w:rPr>
                <w:rFonts w:ascii="Arial" w:cs="Arial" w:eastAsia="Arial" w:hAnsi="Arial"/>
                <w:sz w:val="14"/>
                <w:szCs w:val="14"/>
                <w:color w:val="131E29"/>
              </w:rPr>
              <w:t>N/A</w:t>
            </w:r>
          </w:p>
        </w:tc>
        <w:tc>
          <w:tcPr>
            <w:tcW w:w="940" w:type="dxa"/>
            <w:vAlign w:val="bottom"/>
            <w:gridSpan w:val="2"/>
          </w:tcPr>
          <w:p>
            <w:pPr>
              <w:jc w:val="center"/>
              <w:ind w:right="340"/>
              <w:spacing w:after="0"/>
              <w:rPr>
                <w:sz w:val="20"/>
                <w:szCs w:val="20"/>
                <w:color w:val="auto"/>
              </w:rPr>
            </w:pPr>
            <w:r>
              <w:rPr>
                <w:rFonts w:ascii="Arial" w:cs="Arial" w:eastAsia="Arial" w:hAnsi="Arial"/>
                <w:sz w:val="14"/>
                <w:szCs w:val="14"/>
                <w:color w:val="131E29"/>
              </w:rPr>
              <w:t>(290) bps</w:t>
            </w:r>
          </w:p>
        </w:tc>
        <w:tc>
          <w:tcPr>
            <w:tcW w:w="1540" w:type="dxa"/>
            <w:vAlign w:val="bottom"/>
          </w:tcPr>
          <w:p>
            <w:pPr>
              <w:jc w:val="center"/>
              <w:ind w:right="389"/>
              <w:spacing w:after="0"/>
              <w:rPr>
                <w:sz w:val="20"/>
                <w:szCs w:val="20"/>
                <w:color w:val="auto"/>
              </w:rPr>
            </w:pPr>
            <w:r>
              <w:rPr>
                <w:rFonts w:ascii="Arial" w:cs="Arial" w:eastAsia="Arial" w:hAnsi="Arial"/>
                <w:sz w:val="14"/>
                <w:szCs w:val="14"/>
                <w:color w:val="131E29"/>
              </w:rPr>
              <w:t>N/A</w:t>
            </w:r>
          </w:p>
        </w:tc>
        <w:tc>
          <w:tcPr>
            <w:tcW w:w="740" w:type="dxa"/>
            <w:vAlign w:val="bottom"/>
          </w:tcPr>
          <w:p>
            <w:pPr>
              <w:jc w:val="center"/>
              <w:ind w:right="289"/>
              <w:spacing w:after="0"/>
              <w:rPr>
                <w:sz w:val="20"/>
                <w:szCs w:val="20"/>
                <w:color w:val="auto"/>
              </w:rPr>
            </w:pPr>
            <w:r>
              <w:rPr>
                <w:rFonts w:ascii="Arial" w:cs="Arial" w:eastAsia="Arial" w:hAnsi="Arial"/>
                <w:sz w:val="14"/>
                <w:szCs w:val="14"/>
                <w:color w:val="131E29"/>
              </w:rPr>
              <w:t>N/M</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2024 v. 2023</w:t>
      </w:r>
    </w:p>
    <w:p>
      <w:pPr>
        <w:spacing w:after="0" w:line="5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The selling, general, and administrative increase of approximately $29.0 million was primarily driven by increased expenses of $25.8 million primarily consisting of investments in human capital to support our revenue growth and higher performance-based compensation; an increase of $15.7 million of organization realignment and restructuring costs (which includes a $1.8 million net expense that resulted from the donation of our former Grants Pass headquarters building for the development of a children’s learning center); $12.6 million of increased professional fees and technology services to support our growing business; and $4.0 million of increased donations to our Foundation. These increases were partially offset by lower equity-based compensation of $28.6 million.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4" w:name="page85"/>
    <w:bookmarkEnd w:id="8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Other Expense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131E29"/>
              </w:rPr>
              <w:t>Year Ended December 31,</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60" w:type="dxa"/>
            <w:vAlign w:val="bottom"/>
            <w:tcBorders>
              <w:bottom w:val="single" w:sz="8" w:color="131E29"/>
            </w:tcBorders>
          </w:tcPr>
          <w:p>
            <w:pPr>
              <w:jc w:val="right"/>
              <w:ind w:right="3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60" w:type="dxa"/>
            <w:vAlign w:val="bottom"/>
            <w:tcBorders>
              <w:bottom w:val="single" w:sz="8" w:color="131E29"/>
            </w:tcBorders>
          </w:tcPr>
          <w:p>
            <w:pPr>
              <w:jc w:val="right"/>
              <w:ind w:right="3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131E29"/>
            </w:tcBorders>
          </w:tcPr>
          <w:p>
            <w:pPr>
              <w:spacing w:after="0"/>
              <w:rPr>
                <w:sz w:val="17"/>
                <w:szCs w:val="17"/>
                <w:color w:val="auto"/>
              </w:rPr>
            </w:pPr>
          </w:p>
        </w:tc>
        <w:tc>
          <w:tcPr>
            <w:tcW w:w="860" w:type="dxa"/>
            <w:vAlign w:val="bottom"/>
            <w:tcBorders>
              <w:bottom w:val="single" w:sz="8" w:color="131E29"/>
            </w:tcBorders>
          </w:tcPr>
          <w:p>
            <w:pPr>
              <w:jc w:val="right"/>
              <w:ind w:right="329"/>
              <w:spacing w:after="0"/>
              <w:rPr>
                <w:sz w:val="20"/>
                <w:szCs w:val="20"/>
                <w:color w:val="auto"/>
              </w:rPr>
            </w:pPr>
            <w:r>
              <w:rPr>
                <w:rFonts w:ascii="Arial" w:cs="Arial" w:eastAsia="Arial" w:hAnsi="Arial"/>
                <w:sz w:val="14"/>
                <w:szCs w:val="14"/>
                <w:b w:val="1"/>
                <w:bCs w:val="1"/>
                <w:color w:val="131E29"/>
              </w:rPr>
              <w:t>2022</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131E29"/>
            </w:tcBorders>
          </w:tcPr>
          <w:p>
            <w:pPr>
              <w:spacing w:after="0"/>
              <w:rPr>
                <w:sz w:val="17"/>
                <w:szCs w:val="17"/>
                <w:color w:val="auto"/>
              </w:rPr>
            </w:pPr>
          </w:p>
        </w:tc>
        <w:tc>
          <w:tcPr>
            <w:tcW w:w="1920" w:type="dxa"/>
            <w:vAlign w:val="bottom"/>
            <w:tcBorders>
              <w:bottom w:val="single" w:sz="8" w:color="131E29"/>
            </w:tcBorders>
            <w:gridSpan w:val="4"/>
          </w:tcPr>
          <w:p>
            <w:pPr>
              <w:jc w:val="right"/>
              <w:ind w:right="649"/>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320" w:type="dxa"/>
            <w:vAlign w:val="bottom"/>
            <w:tcBorders>
              <w:bottom w:val="single" w:sz="8" w:color="131E29"/>
            </w:tcBorders>
          </w:tcPr>
          <w:p>
            <w:pPr>
              <w:spacing w:after="0"/>
              <w:rPr>
                <w:sz w:val="17"/>
                <w:szCs w:val="17"/>
                <w:color w:val="auto"/>
              </w:rPr>
            </w:pPr>
          </w:p>
        </w:tc>
        <w:tc>
          <w:tcPr>
            <w:tcW w:w="1960" w:type="dxa"/>
            <w:vAlign w:val="bottom"/>
            <w:tcBorders>
              <w:bottom w:val="single" w:sz="8" w:color="131E29"/>
            </w:tcBorders>
            <w:gridSpan w:val="3"/>
          </w:tcPr>
          <w:p>
            <w:pPr>
              <w:ind w:left="420"/>
              <w:spacing w:after="0"/>
              <w:rPr>
                <w:sz w:val="20"/>
                <w:szCs w:val="20"/>
                <w:color w:val="auto"/>
              </w:rPr>
            </w:pPr>
            <w:r>
              <w:rPr>
                <w:rFonts w:ascii="Arial" w:cs="Arial" w:eastAsia="Arial" w:hAnsi="Arial"/>
                <w:sz w:val="14"/>
                <w:szCs w:val="14"/>
                <w:b w:val="1"/>
                <w:bCs w:val="1"/>
                <w:color w:val="131E29"/>
              </w:rPr>
              <w:t>2023 v 2022</w:t>
            </w:r>
          </w:p>
        </w:tc>
      </w:tr>
      <w:tr>
        <w:trPr>
          <w:trHeight w:val="209"/>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on finance leases</w:t>
            </w:r>
          </w:p>
        </w:tc>
        <w:tc>
          <w:tcPr>
            <w:tcW w:w="240" w:type="dxa"/>
            <w:vAlign w:val="bottom"/>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8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(22,053)</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8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(17,516)</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89"/>
              <w:spacing w:after="0"/>
              <w:rPr>
                <w:sz w:val="20"/>
                <w:szCs w:val="20"/>
                <w:color w:val="auto"/>
              </w:rPr>
            </w:pPr>
            <w:r>
              <w:rPr>
                <w:rFonts w:ascii="Arial" w:cs="Arial" w:eastAsia="Arial" w:hAnsi="Arial"/>
                <w:sz w:val="14"/>
                <w:szCs w:val="14"/>
                <w:color w:val="131E29"/>
                <w:w w:val="76"/>
              </w:rPr>
              <w:t>$</w:t>
            </w:r>
          </w:p>
        </w:tc>
        <w:tc>
          <w:tcPr>
            <w:tcW w:w="8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(9,296)</w:t>
            </w: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74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rPr>
              <w:t>(4,537)</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20" w:type="dxa"/>
            <w:vAlign w:val="bottom"/>
            <w:shd w:val="clear" w:color="auto" w:fill="D2DCE5"/>
          </w:tcPr>
          <w:p>
            <w:pPr>
              <w:jc w:val="right"/>
              <w:ind w:right="269"/>
              <w:spacing w:after="0"/>
              <w:rPr>
                <w:sz w:val="20"/>
                <w:szCs w:val="20"/>
                <w:color w:val="auto"/>
              </w:rPr>
            </w:pPr>
            <w:r>
              <w:rPr>
                <w:rFonts w:ascii="Arial" w:cs="Arial" w:eastAsia="Arial" w:hAnsi="Arial"/>
                <w:sz w:val="14"/>
                <w:szCs w:val="14"/>
                <w:color w:val="131E29"/>
              </w:rPr>
              <w:t>25.9%</w:t>
            </w:r>
          </w:p>
        </w:tc>
        <w:tc>
          <w:tcPr>
            <w:tcW w:w="100" w:type="dxa"/>
            <w:vAlign w:val="bottom"/>
            <w:shd w:val="clear" w:color="auto" w:fill="D2DCE5"/>
          </w:tcPr>
          <w:p>
            <w:pPr>
              <w:spacing w:after="0"/>
              <w:rPr>
                <w:sz w:val="18"/>
                <w:szCs w:val="18"/>
                <w:color w:val="auto"/>
              </w:rPr>
            </w:pPr>
          </w:p>
        </w:tc>
        <w:tc>
          <w:tcPr>
            <w:tcW w:w="320" w:type="dxa"/>
            <w:vAlign w:val="bottom"/>
            <w:shd w:val="clear" w:color="auto" w:fill="D2DCE5"/>
          </w:tcPr>
          <w:p>
            <w:pPr>
              <w:jc w:val="right"/>
              <w:ind w:right="169"/>
              <w:spacing w:after="0"/>
              <w:rPr>
                <w:sz w:val="20"/>
                <w:szCs w:val="20"/>
                <w:color w:val="auto"/>
              </w:rPr>
            </w:pPr>
            <w:r>
              <w:rPr>
                <w:rFonts w:ascii="Arial" w:cs="Arial" w:eastAsia="Arial" w:hAnsi="Arial"/>
                <w:sz w:val="14"/>
                <w:szCs w:val="14"/>
                <w:color w:val="131E29"/>
                <w:w w:val="76"/>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(8,220)</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88.4%</w:t>
            </w:r>
          </w:p>
        </w:tc>
      </w:tr>
      <w:tr>
        <w:trPr>
          <w:trHeight w:val="203"/>
        </w:trPr>
        <w:tc>
          <w:tcPr>
            <w:tcW w:w="30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Other interest expense, net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(4,967)</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(14,805)</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(8,722)</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131E29"/>
              </w:rPr>
              <w:t>9,838</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131E29"/>
              </w:rPr>
              <w:t>(66.5)%</w:t>
            </w:r>
          </w:p>
        </w:tc>
        <w:tc>
          <w:tcPr>
            <w:tcW w:w="10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(6,083)</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69.7%</w:t>
            </w:r>
          </w:p>
        </w:tc>
      </w:tr>
      <w:tr>
        <w:trPr>
          <w:trHeight w:val="212"/>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net</w:t>
            </w:r>
          </w:p>
        </w:tc>
        <w:tc>
          <w:tcPr>
            <w:tcW w:w="240" w:type="dxa"/>
            <w:vAlign w:val="bottom"/>
            <w:tcBorders>
              <w:bottom w:val="single" w:sz="8" w:color="auto"/>
            </w:tcBorders>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(27,020)</w:t>
            </w:r>
          </w:p>
        </w:tc>
        <w:tc>
          <w:tcPr>
            <w:tcW w:w="80" w:type="dxa"/>
            <w:vAlign w:val="bottom"/>
            <w:shd w:val="clear" w:color="auto" w:fill="D2DCE5"/>
          </w:tcPr>
          <w:p>
            <w:pPr>
              <w:spacing w:after="0"/>
              <w:rPr>
                <w:sz w:val="18"/>
                <w:szCs w:val="18"/>
                <w:color w:val="auto"/>
              </w:rPr>
            </w:pPr>
          </w:p>
        </w:tc>
        <w:tc>
          <w:tcPr>
            <w:tcW w:w="240" w:type="dxa"/>
            <w:vAlign w:val="bottom"/>
            <w:tcBorders>
              <w:bottom w:val="single" w:sz="8" w:color="auto"/>
            </w:tcBorders>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(32,321)</w:t>
            </w:r>
          </w:p>
        </w:tc>
        <w:tc>
          <w:tcPr>
            <w:tcW w:w="80" w:type="dxa"/>
            <w:vAlign w:val="bottom"/>
            <w:shd w:val="clear" w:color="auto" w:fill="D2DCE5"/>
          </w:tcPr>
          <w:p>
            <w:pPr>
              <w:spacing w:after="0"/>
              <w:rPr>
                <w:sz w:val="18"/>
                <w:szCs w:val="18"/>
                <w:color w:val="auto"/>
              </w:rPr>
            </w:pPr>
          </w:p>
        </w:tc>
        <w:tc>
          <w:tcPr>
            <w:tcW w:w="240" w:type="dxa"/>
            <w:vAlign w:val="bottom"/>
            <w:tcBorders>
              <w:bottom w:val="single" w:sz="8" w:color="auto"/>
            </w:tcBorders>
            <w:shd w:val="clear" w:color="auto" w:fill="D2DCE5"/>
          </w:tcPr>
          <w:p>
            <w:pPr>
              <w:jc w:val="right"/>
              <w:ind w:right="89"/>
              <w:spacing w:after="0"/>
              <w:rPr>
                <w:sz w:val="20"/>
                <w:szCs w:val="20"/>
                <w:color w:val="auto"/>
              </w:rPr>
            </w:pPr>
            <w:r>
              <w:rPr>
                <w:rFonts w:ascii="Arial" w:cs="Arial" w:eastAsia="Arial" w:hAnsi="Arial"/>
                <w:sz w:val="14"/>
                <w:szCs w:val="14"/>
                <w:color w:val="131E29"/>
                <w:w w:val="76"/>
              </w:rPr>
              <w:t>$</w:t>
            </w: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(18,018)</w:t>
            </w:r>
          </w:p>
        </w:tc>
        <w:tc>
          <w:tcPr>
            <w:tcW w:w="8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740" w:type="dxa"/>
            <w:vAlign w:val="bottom"/>
            <w:tcBorders>
              <w:bottom w:val="single" w:sz="8" w:color="auto"/>
            </w:tcBorders>
            <w:shd w:val="clear" w:color="auto" w:fill="D2DCE5"/>
          </w:tcPr>
          <w:p>
            <w:pPr>
              <w:jc w:val="center"/>
              <w:ind w:left="189"/>
              <w:spacing w:after="0"/>
              <w:rPr>
                <w:sz w:val="20"/>
                <w:szCs w:val="20"/>
                <w:color w:val="auto"/>
              </w:rPr>
            </w:pPr>
            <w:r>
              <w:rPr>
                <w:rFonts w:ascii="Arial" w:cs="Arial" w:eastAsia="Arial" w:hAnsi="Arial"/>
                <w:sz w:val="14"/>
                <w:szCs w:val="14"/>
                <w:color w:val="131E29"/>
              </w:rPr>
              <w:t>5,301</w:t>
            </w:r>
          </w:p>
        </w:tc>
        <w:tc>
          <w:tcPr>
            <w:tcW w:w="8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820" w:type="dxa"/>
            <w:vAlign w:val="bottom"/>
            <w:tcBorders>
              <w:bottom w:val="single" w:sz="8" w:color="auto"/>
            </w:tcBorders>
            <w:shd w:val="clear" w:color="auto" w:fill="D2DCE5"/>
          </w:tcPr>
          <w:p>
            <w:pPr>
              <w:jc w:val="right"/>
              <w:ind w:right="229"/>
              <w:spacing w:after="0"/>
              <w:rPr>
                <w:sz w:val="20"/>
                <w:szCs w:val="20"/>
                <w:color w:val="auto"/>
              </w:rPr>
            </w:pPr>
            <w:r>
              <w:rPr>
                <w:rFonts w:ascii="Arial" w:cs="Arial" w:eastAsia="Arial" w:hAnsi="Arial"/>
                <w:sz w:val="14"/>
                <w:szCs w:val="14"/>
                <w:color w:val="131E29"/>
              </w:rPr>
              <w:t>(16.4)%</w:t>
            </w:r>
          </w:p>
        </w:tc>
        <w:tc>
          <w:tcPr>
            <w:tcW w:w="100" w:type="dxa"/>
            <w:vAlign w:val="bottom"/>
            <w:shd w:val="clear" w:color="auto" w:fill="D2DCE5"/>
          </w:tcPr>
          <w:p>
            <w:pPr>
              <w:spacing w:after="0"/>
              <w:rPr>
                <w:sz w:val="18"/>
                <w:szCs w:val="18"/>
                <w:color w:val="auto"/>
              </w:rPr>
            </w:pPr>
          </w:p>
        </w:tc>
        <w:tc>
          <w:tcPr>
            <w:tcW w:w="320" w:type="dxa"/>
            <w:vAlign w:val="bottom"/>
            <w:tcBorders>
              <w:bottom w:val="single" w:sz="8" w:color="auto"/>
            </w:tcBorders>
            <w:shd w:val="clear" w:color="auto" w:fill="D2DCE5"/>
          </w:tcPr>
          <w:p>
            <w:pPr>
              <w:jc w:val="right"/>
              <w:ind w:right="169"/>
              <w:spacing w:after="0"/>
              <w:rPr>
                <w:sz w:val="20"/>
                <w:szCs w:val="20"/>
                <w:color w:val="auto"/>
              </w:rPr>
            </w:pPr>
            <w:r>
              <w:rPr>
                <w:rFonts w:ascii="Arial" w:cs="Arial" w:eastAsia="Arial" w:hAnsi="Arial"/>
                <w:sz w:val="14"/>
                <w:szCs w:val="14"/>
                <w:color w:val="131E29"/>
                <w:w w:val="76"/>
              </w:rPr>
              <w:t>$</w:t>
            </w: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(14,303)</w:t>
            </w:r>
          </w:p>
        </w:tc>
        <w:tc>
          <w:tcPr>
            <w:tcW w:w="80" w:type="dxa"/>
            <w:vAlign w:val="bottom"/>
            <w:shd w:val="clear" w:color="auto" w:fill="D2DCE5"/>
          </w:tcPr>
          <w:p>
            <w:pPr>
              <w:spacing w:after="0"/>
              <w:rPr>
                <w:sz w:val="18"/>
                <w:szCs w:val="18"/>
                <w:color w:val="auto"/>
              </w:rPr>
            </w:pPr>
          </w:p>
        </w:tc>
        <w:tc>
          <w:tcPr>
            <w:tcW w:w="110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rPr>
              <w:t>79.4%</w:t>
            </w:r>
          </w:p>
        </w:tc>
      </w:tr>
      <w:tr>
        <w:trPr>
          <w:trHeight w:val="193"/>
        </w:trPr>
        <w:tc>
          <w:tcPr>
            <w:tcW w:w="30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Other income</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5,812</w:t>
            </w:r>
          </w:p>
        </w:tc>
        <w:tc>
          <w:tcPr>
            <w:tcW w:w="80" w:type="dxa"/>
            <w:vAlign w:val="bottom"/>
            <w:tcBorders>
              <w:bottom w:val="single" w:sz="8" w:color="D2DC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3,018</w:t>
            </w:r>
          </w:p>
        </w:tc>
        <w:tc>
          <w:tcPr>
            <w:tcW w:w="80" w:type="dxa"/>
            <w:vAlign w:val="bottom"/>
            <w:tcBorders>
              <w:bottom w:val="single" w:sz="8" w:color="D2DCE5"/>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3,976</w:t>
            </w:r>
          </w:p>
        </w:tc>
        <w:tc>
          <w:tcPr>
            <w:tcW w:w="80" w:type="dxa"/>
            <w:vAlign w:val="bottom"/>
            <w:tcBorders>
              <w:bottom w:val="single" w:sz="8" w:color="D2DC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131E29"/>
              </w:rPr>
              <w:t>2,794</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131E29"/>
              </w:rPr>
              <w:t>92.6%</w:t>
            </w:r>
          </w:p>
        </w:tc>
        <w:tc>
          <w:tcPr>
            <w:tcW w:w="100" w:type="dxa"/>
            <w:vAlign w:val="bottom"/>
            <w:tcBorders>
              <w:bottom w:val="single" w:sz="8" w:color="D2DCE5"/>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(958)</w:t>
            </w:r>
          </w:p>
        </w:tc>
        <w:tc>
          <w:tcPr>
            <w:tcW w:w="80" w:type="dxa"/>
            <w:vAlign w:val="bottom"/>
            <w:tcBorders>
              <w:bottom w:val="single" w:sz="8" w:color="D2DCE5"/>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131E29"/>
              </w:rPr>
              <w:t>(24.1)%</w:t>
            </w:r>
          </w:p>
        </w:tc>
      </w:tr>
      <w:tr>
        <w:trPr>
          <w:trHeight w:val="237"/>
        </w:trPr>
        <w:tc>
          <w:tcPr>
            <w:tcW w:w="3080" w:type="dxa"/>
            <w:vAlign w:val="bottom"/>
            <w:tcBorders>
              <w:bottom w:val="single" w:sz="8" w:color="D2DCE5"/>
            </w:tcBorders>
            <w:gridSpan w:val="2"/>
            <w:shd w:val="clear" w:color="auto" w:fill="D2DCE5"/>
          </w:tcPr>
          <w:p>
            <w:pPr>
              <w:ind w:left="180"/>
              <w:spacing w:after="0"/>
              <w:rPr>
                <w:sz w:val="20"/>
                <w:szCs w:val="20"/>
                <w:color w:val="auto"/>
              </w:rPr>
            </w:pPr>
            <w:r>
              <w:rPr>
                <w:rFonts w:ascii="Arial" w:cs="Arial" w:eastAsia="Arial" w:hAnsi="Arial"/>
                <w:sz w:val="14"/>
                <w:szCs w:val="14"/>
                <w:b w:val="1"/>
                <w:bCs w:val="1"/>
                <w:color w:val="131E29"/>
              </w:rPr>
              <w:t>Total other expense</w:t>
            </w:r>
          </w:p>
        </w:tc>
        <w:tc>
          <w:tcPr>
            <w:tcW w:w="240" w:type="dxa"/>
            <w:vAlign w:val="bottom"/>
            <w:tcBorders>
              <w:bottom w:val="single" w:sz="8" w:color="auto"/>
            </w:tcBorders>
            <w:shd w:val="clear" w:color="auto" w:fill="D2DCE5"/>
          </w:tcPr>
          <w:p>
            <w:pPr>
              <w:jc w:val="right"/>
              <w:ind w:right="69"/>
              <w:spacing w:after="0"/>
              <w:rPr>
                <w:sz w:val="20"/>
                <w:szCs w:val="20"/>
                <w:color w:val="auto"/>
              </w:rPr>
            </w:pPr>
            <w:r>
              <w:rPr>
                <w:rFonts w:ascii="Arial" w:cs="Arial" w:eastAsia="Arial" w:hAnsi="Arial"/>
                <w:sz w:val="14"/>
                <w:szCs w:val="14"/>
                <w:b w:val="1"/>
                <w:bCs w:val="1"/>
                <w:color w:val="131E29"/>
              </w:rPr>
              <w:t>$</w:t>
            </w: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(21,208)</w:t>
            </w:r>
          </w:p>
        </w:tc>
        <w:tc>
          <w:tcPr>
            <w:tcW w:w="80" w:type="dxa"/>
            <w:vAlign w:val="bottom"/>
            <w:tcBorders>
              <w:bottom w:val="single" w:sz="8" w:color="D2DCE5"/>
            </w:tcBorders>
            <w:shd w:val="clear" w:color="auto" w:fill="D2DCE5"/>
          </w:tcPr>
          <w:p>
            <w:pPr>
              <w:spacing w:after="0"/>
              <w:rPr>
                <w:sz w:val="20"/>
                <w:szCs w:val="20"/>
                <w:color w:val="auto"/>
              </w:rPr>
            </w:pPr>
          </w:p>
        </w:tc>
        <w:tc>
          <w:tcPr>
            <w:tcW w:w="240" w:type="dxa"/>
            <w:vAlign w:val="bottom"/>
            <w:tcBorders>
              <w:bottom w:val="single" w:sz="8" w:color="auto"/>
            </w:tcBorders>
            <w:shd w:val="clear" w:color="auto" w:fill="D2DCE5"/>
          </w:tcPr>
          <w:p>
            <w:pPr>
              <w:jc w:val="right"/>
              <w:ind w:right="69"/>
              <w:spacing w:after="0"/>
              <w:rPr>
                <w:sz w:val="20"/>
                <w:szCs w:val="20"/>
                <w:color w:val="auto"/>
              </w:rPr>
            </w:pPr>
            <w:r>
              <w:rPr>
                <w:rFonts w:ascii="Arial" w:cs="Arial" w:eastAsia="Arial" w:hAnsi="Arial"/>
                <w:sz w:val="14"/>
                <w:szCs w:val="14"/>
                <w:b w:val="1"/>
                <w:bCs w:val="1"/>
                <w:color w:val="131E29"/>
              </w:rPr>
              <w:t>$</w:t>
            </w: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(29,303)</w:t>
            </w:r>
          </w:p>
        </w:tc>
        <w:tc>
          <w:tcPr>
            <w:tcW w:w="80" w:type="dxa"/>
            <w:vAlign w:val="bottom"/>
            <w:tcBorders>
              <w:bottom w:val="single" w:sz="8" w:color="D2DCE5"/>
            </w:tcBorders>
            <w:shd w:val="clear" w:color="auto" w:fill="D2DCE5"/>
          </w:tcPr>
          <w:p>
            <w:pPr>
              <w:spacing w:after="0"/>
              <w:rPr>
                <w:sz w:val="20"/>
                <w:szCs w:val="20"/>
                <w:color w:val="auto"/>
              </w:rPr>
            </w:pPr>
          </w:p>
        </w:tc>
        <w:tc>
          <w:tcPr>
            <w:tcW w:w="240" w:type="dxa"/>
            <w:vAlign w:val="bottom"/>
            <w:tcBorders>
              <w:bottom w:val="single" w:sz="8" w:color="auto"/>
            </w:tcBorders>
            <w:shd w:val="clear" w:color="auto" w:fill="D2DCE5"/>
          </w:tcPr>
          <w:p>
            <w:pPr>
              <w:jc w:val="right"/>
              <w:ind w:right="89"/>
              <w:spacing w:after="0"/>
              <w:rPr>
                <w:sz w:val="20"/>
                <w:szCs w:val="20"/>
                <w:color w:val="auto"/>
              </w:rPr>
            </w:pPr>
            <w:r>
              <w:rPr>
                <w:rFonts w:ascii="Arial" w:cs="Arial" w:eastAsia="Arial" w:hAnsi="Arial"/>
                <w:sz w:val="14"/>
                <w:szCs w:val="14"/>
                <w:b w:val="1"/>
                <w:bCs w:val="1"/>
                <w:color w:val="131E29"/>
                <w:w w:val="76"/>
              </w:rPr>
              <w:t>$</w:t>
            </w: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(14,042)</w:t>
            </w:r>
          </w:p>
        </w:tc>
        <w:tc>
          <w:tcPr>
            <w:tcW w:w="80" w:type="dxa"/>
            <w:vAlign w:val="bottom"/>
            <w:tcBorders>
              <w:bottom w:val="single" w:sz="8" w:color="D2DCE5"/>
            </w:tcBorders>
            <w:shd w:val="clear" w:color="auto" w:fill="D2DCE5"/>
          </w:tcPr>
          <w:p>
            <w:pPr>
              <w:spacing w:after="0"/>
              <w:rPr>
                <w:sz w:val="20"/>
                <w:szCs w:val="20"/>
                <w:color w:val="auto"/>
              </w:rPr>
            </w:pPr>
          </w:p>
        </w:tc>
        <w:tc>
          <w:tcPr>
            <w:tcW w:w="360" w:type="dxa"/>
            <w:vAlign w:val="bottom"/>
            <w:tcBorders>
              <w:bottom w:val="single" w:sz="8" w:color="auto"/>
            </w:tcBorders>
            <w:shd w:val="clear" w:color="auto" w:fill="D2DCE5"/>
          </w:tcPr>
          <w:p>
            <w:pPr>
              <w:jc w:val="right"/>
              <w:ind w:right="189"/>
              <w:spacing w:after="0"/>
              <w:rPr>
                <w:sz w:val="20"/>
                <w:szCs w:val="20"/>
                <w:color w:val="auto"/>
              </w:rPr>
            </w:pPr>
            <w:r>
              <w:rPr>
                <w:rFonts w:ascii="Arial" w:cs="Arial" w:eastAsia="Arial" w:hAnsi="Arial"/>
                <w:sz w:val="14"/>
                <w:szCs w:val="14"/>
                <w:b w:val="1"/>
                <w:bCs w:val="1"/>
                <w:color w:val="131E29"/>
              </w:rPr>
              <w:t>$</w:t>
            </w:r>
          </w:p>
        </w:tc>
        <w:tc>
          <w:tcPr>
            <w:tcW w:w="740" w:type="dxa"/>
            <w:vAlign w:val="bottom"/>
            <w:tcBorders>
              <w:bottom w:val="single" w:sz="8" w:color="auto"/>
            </w:tcBorders>
            <w:shd w:val="clear" w:color="auto" w:fill="D2DCE5"/>
          </w:tcPr>
          <w:p>
            <w:pPr>
              <w:jc w:val="center"/>
              <w:ind w:left="189"/>
              <w:spacing w:after="0"/>
              <w:rPr>
                <w:sz w:val="20"/>
                <w:szCs w:val="20"/>
                <w:color w:val="auto"/>
              </w:rPr>
            </w:pPr>
            <w:r>
              <w:rPr>
                <w:rFonts w:ascii="Arial" w:cs="Arial" w:eastAsia="Arial" w:hAnsi="Arial"/>
                <w:sz w:val="14"/>
                <w:szCs w:val="14"/>
                <w:b w:val="1"/>
                <w:bCs w:val="1"/>
                <w:color w:val="131E29"/>
              </w:rPr>
              <w:t>8,095</w:t>
            </w:r>
          </w:p>
        </w:tc>
        <w:tc>
          <w:tcPr>
            <w:tcW w:w="80" w:type="dxa"/>
            <w:vAlign w:val="bottom"/>
            <w:tcBorders>
              <w:bottom w:val="single" w:sz="8" w:color="D2DCE5"/>
            </w:tcBorders>
            <w:shd w:val="clear" w:color="auto" w:fill="D2DCE5"/>
          </w:tcPr>
          <w:p>
            <w:pPr>
              <w:spacing w:after="0"/>
              <w:rPr>
                <w:sz w:val="20"/>
                <w:szCs w:val="20"/>
                <w:color w:val="auto"/>
              </w:rPr>
            </w:pPr>
          </w:p>
        </w:tc>
        <w:tc>
          <w:tcPr>
            <w:tcW w:w="280" w:type="dxa"/>
            <w:vAlign w:val="bottom"/>
            <w:tcBorders>
              <w:bottom w:val="single" w:sz="8" w:color="auto"/>
            </w:tcBorders>
            <w:shd w:val="clear" w:color="auto" w:fill="D2DCE5"/>
          </w:tcPr>
          <w:p>
            <w:pPr>
              <w:spacing w:after="0"/>
              <w:rPr>
                <w:sz w:val="20"/>
                <w:szCs w:val="20"/>
                <w:color w:val="auto"/>
              </w:rPr>
            </w:pPr>
          </w:p>
        </w:tc>
        <w:tc>
          <w:tcPr>
            <w:tcW w:w="820" w:type="dxa"/>
            <w:vAlign w:val="bottom"/>
            <w:tcBorders>
              <w:bottom w:val="single" w:sz="8" w:color="auto"/>
            </w:tcBorders>
            <w:shd w:val="clear" w:color="auto" w:fill="D2DCE5"/>
          </w:tcPr>
          <w:p>
            <w:pPr>
              <w:jc w:val="right"/>
              <w:ind w:right="229"/>
              <w:spacing w:after="0"/>
              <w:rPr>
                <w:sz w:val="20"/>
                <w:szCs w:val="20"/>
                <w:color w:val="auto"/>
              </w:rPr>
            </w:pPr>
            <w:r>
              <w:rPr>
                <w:rFonts w:ascii="Arial" w:cs="Arial" w:eastAsia="Arial" w:hAnsi="Arial"/>
                <w:sz w:val="14"/>
                <w:szCs w:val="14"/>
                <w:b w:val="1"/>
                <w:bCs w:val="1"/>
                <w:color w:val="131E29"/>
              </w:rPr>
              <w:t>(27.6)%</w:t>
            </w:r>
          </w:p>
        </w:tc>
        <w:tc>
          <w:tcPr>
            <w:tcW w:w="100" w:type="dxa"/>
            <w:vAlign w:val="bottom"/>
            <w:tcBorders>
              <w:bottom w:val="single" w:sz="8" w:color="D2DCE5"/>
            </w:tcBorders>
            <w:shd w:val="clear" w:color="auto" w:fill="D2DCE5"/>
          </w:tcPr>
          <w:p>
            <w:pPr>
              <w:spacing w:after="0"/>
              <w:rPr>
                <w:sz w:val="20"/>
                <w:szCs w:val="20"/>
                <w:color w:val="auto"/>
              </w:rPr>
            </w:pPr>
          </w:p>
        </w:tc>
        <w:tc>
          <w:tcPr>
            <w:tcW w:w="320" w:type="dxa"/>
            <w:vAlign w:val="bottom"/>
            <w:tcBorders>
              <w:bottom w:val="single" w:sz="8" w:color="auto"/>
            </w:tcBorders>
            <w:shd w:val="clear" w:color="auto" w:fill="D2DCE5"/>
          </w:tcPr>
          <w:p>
            <w:pPr>
              <w:jc w:val="right"/>
              <w:ind w:right="169"/>
              <w:spacing w:after="0"/>
              <w:rPr>
                <w:sz w:val="20"/>
                <w:szCs w:val="20"/>
                <w:color w:val="auto"/>
              </w:rPr>
            </w:pPr>
            <w:r>
              <w:rPr>
                <w:rFonts w:ascii="Arial" w:cs="Arial" w:eastAsia="Arial" w:hAnsi="Arial"/>
                <w:sz w:val="14"/>
                <w:szCs w:val="14"/>
                <w:b w:val="1"/>
                <w:bCs w:val="1"/>
                <w:color w:val="131E29"/>
                <w:w w:val="76"/>
              </w:rPr>
              <w:t>$</w:t>
            </w: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(15,261)</w:t>
            </w:r>
          </w:p>
        </w:tc>
        <w:tc>
          <w:tcPr>
            <w:tcW w:w="80" w:type="dxa"/>
            <w:vAlign w:val="bottom"/>
            <w:tcBorders>
              <w:bottom w:val="single" w:sz="8" w:color="D2DCE5"/>
            </w:tcBorders>
            <w:shd w:val="clear" w:color="auto" w:fill="D2DCE5"/>
          </w:tcPr>
          <w:p>
            <w:pPr>
              <w:spacing w:after="0"/>
              <w:rPr>
                <w:sz w:val="20"/>
                <w:szCs w:val="20"/>
                <w:color w:val="auto"/>
              </w:rPr>
            </w:pPr>
          </w:p>
        </w:tc>
        <w:tc>
          <w:tcPr>
            <w:tcW w:w="110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b w:val="1"/>
                <w:bCs w:val="1"/>
                <w:color w:val="131E29"/>
              </w:rPr>
              <w:t>108.7%</w:t>
            </w:r>
          </w:p>
        </w:tc>
      </w:tr>
      <w:tr>
        <w:trPr>
          <w:trHeight w:val="20"/>
        </w:trPr>
        <w:tc>
          <w:tcPr>
            <w:tcW w:w="30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40" w:type="dxa"/>
            <w:vAlign w:val="bottom"/>
            <w:tcBorders>
              <w:top w:val="single" w:sz="8" w:color="D2DCE5"/>
              <w:bottom w:val="single" w:sz="8" w:color="auto"/>
            </w:tcBorders>
          </w:tcPr>
          <w:p>
            <w:pPr>
              <w:spacing w:after="0" w:line="20" w:lineRule="exact"/>
              <w:rPr>
                <w:sz w:val="1"/>
                <w:szCs w:val="1"/>
                <w:color w:val="auto"/>
              </w:rPr>
            </w:pPr>
          </w:p>
        </w:tc>
        <w:tc>
          <w:tcPr>
            <w:tcW w:w="8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7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82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78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2024 v. 2023</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decrease in interest expense, net was primarily driven by interest income on cash invested in money market funds, partially offset by additional interest on finance leases for new shop builds.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131E29"/>
        </w:rPr>
        <w:t>The increase in other income was primarily driven by higher remeasurement gains in the current year related to the TRAs liability and the gain on sale of our airplane and hangar.</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Income Tax Expense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w w:val="99"/>
              </w:rPr>
              <w:t>Year Ended December 31,</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0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w w:val="96"/>
              </w:rPr>
              <w:t>2024</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840" w:type="dxa"/>
            <w:vAlign w:val="bottom"/>
            <w:tcBorders>
              <w:bottom w:val="single" w:sz="8" w:color="131E29"/>
            </w:tcBorders>
          </w:tcPr>
          <w:p>
            <w:pPr>
              <w:jc w:val="center"/>
              <w:ind w:left="169"/>
              <w:spacing w:after="0"/>
              <w:rPr>
                <w:sz w:val="20"/>
                <w:szCs w:val="20"/>
                <w:color w:val="auto"/>
              </w:rPr>
            </w:pPr>
            <w:r>
              <w:rPr>
                <w:rFonts w:ascii="Arial" w:cs="Arial" w:eastAsia="Arial" w:hAnsi="Arial"/>
                <w:sz w:val="14"/>
                <w:szCs w:val="14"/>
                <w:b w:val="1"/>
                <w:bCs w:val="1"/>
                <w:color w:val="131E29"/>
              </w:rPr>
              <w:t>2022</w:t>
            </w:r>
          </w:p>
        </w:tc>
        <w:tc>
          <w:tcPr>
            <w:tcW w:w="240" w:type="dxa"/>
            <w:vAlign w:val="bottom"/>
            <w:tcBorders>
              <w:bottom w:val="single" w:sz="8" w:color="131E29"/>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2280" w:type="dxa"/>
            <w:vAlign w:val="bottom"/>
            <w:tcBorders>
              <w:bottom w:val="single" w:sz="8" w:color="131E29"/>
            </w:tcBorders>
            <w:gridSpan w:val="2"/>
          </w:tcPr>
          <w:p>
            <w:pPr>
              <w:ind w:left="740"/>
              <w:spacing w:after="0"/>
              <w:rPr>
                <w:sz w:val="20"/>
                <w:szCs w:val="20"/>
                <w:color w:val="auto"/>
              </w:rPr>
            </w:pPr>
            <w:r>
              <w:rPr>
                <w:rFonts w:ascii="Arial" w:cs="Arial" w:eastAsia="Arial" w:hAnsi="Arial"/>
                <w:sz w:val="14"/>
                <w:szCs w:val="14"/>
                <w:b w:val="1"/>
                <w:bCs w:val="1"/>
                <w:color w:val="131E29"/>
              </w:rPr>
              <w:t>2023 v 2022</w:t>
            </w:r>
          </w:p>
        </w:tc>
      </w:tr>
      <w:tr>
        <w:trPr>
          <w:trHeight w:val="209"/>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w:t>
            </w: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8"/>
              </w:rPr>
              <w:t>$18,435</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$6,967</w:t>
            </w:r>
          </w:p>
        </w:tc>
        <w:tc>
          <w:tcPr>
            <w:tcW w:w="80" w:type="dxa"/>
            <w:vAlign w:val="bottom"/>
            <w:shd w:val="clear" w:color="auto" w:fill="D2DCE5"/>
          </w:tcPr>
          <w:p>
            <w:pPr>
              <w:spacing w:after="0"/>
              <w:rPr>
                <w:sz w:val="18"/>
                <w:szCs w:val="18"/>
                <w:color w:val="auto"/>
              </w:rPr>
            </w:pPr>
          </w:p>
        </w:tc>
        <w:tc>
          <w:tcPr>
            <w:tcW w:w="840" w:type="dxa"/>
            <w:vAlign w:val="bottom"/>
            <w:shd w:val="clear" w:color="auto" w:fill="D2DCE5"/>
          </w:tcPr>
          <w:p>
            <w:pPr>
              <w:jc w:val="center"/>
              <w:ind w:left="169"/>
              <w:spacing w:after="0"/>
              <w:rPr>
                <w:sz w:val="20"/>
                <w:szCs w:val="20"/>
                <w:color w:val="auto"/>
              </w:rPr>
            </w:pPr>
            <w:r>
              <w:rPr>
                <w:rFonts w:ascii="Arial" w:cs="Arial" w:eastAsia="Arial" w:hAnsi="Arial"/>
                <w:sz w:val="14"/>
                <w:szCs w:val="14"/>
                <w:color w:val="131E29"/>
              </w:rPr>
              <w:t>$2,599</w:t>
            </w:r>
          </w:p>
        </w:tc>
        <w:tc>
          <w:tcPr>
            <w:tcW w:w="180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w w:val="98"/>
              </w:rPr>
              <w:t>$11,468</w:t>
            </w:r>
          </w:p>
        </w:tc>
        <w:tc>
          <w:tcPr>
            <w:tcW w:w="820" w:type="dxa"/>
            <w:vAlign w:val="bottom"/>
            <w:shd w:val="clear" w:color="auto" w:fill="D2DCE5"/>
          </w:tcPr>
          <w:p>
            <w:pPr>
              <w:jc w:val="right"/>
              <w:ind w:right="229"/>
              <w:spacing w:after="0"/>
              <w:rPr>
                <w:sz w:val="20"/>
                <w:szCs w:val="20"/>
                <w:color w:val="auto"/>
              </w:rPr>
            </w:pPr>
            <w:r>
              <w:rPr>
                <w:rFonts w:ascii="Arial" w:cs="Arial" w:eastAsia="Arial" w:hAnsi="Arial"/>
                <w:sz w:val="14"/>
                <w:szCs w:val="14"/>
                <w:color w:val="131E29"/>
              </w:rPr>
              <w:t>164.6%</w:t>
            </w:r>
          </w:p>
        </w:tc>
        <w:tc>
          <w:tcPr>
            <w:tcW w:w="100" w:type="dxa"/>
            <w:vAlign w:val="bottom"/>
            <w:shd w:val="clear" w:color="auto" w:fill="D2DCE5"/>
          </w:tcPr>
          <w:p>
            <w:pPr>
              <w:spacing w:after="0"/>
              <w:rPr>
                <w:sz w:val="18"/>
                <w:szCs w:val="18"/>
                <w:color w:val="auto"/>
              </w:rPr>
            </w:pPr>
          </w:p>
        </w:tc>
        <w:tc>
          <w:tcPr>
            <w:tcW w:w="1120" w:type="dxa"/>
            <w:vAlign w:val="bottom"/>
            <w:shd w:val="clear" w:color="auto" w:fill="D2DCE5"/>
          </w:tcPr>
          <w:p>
            <w:pPr>
              <w:jc w:val="right"/>
              <w:ind w:right="289"/>
              <w:spacing w:after="0"/>
              <w:rPr>
                <w:sz w:val="20"/>
                <w:szCs w:val="20"/>
                <w:color w:val="auto"/>
              </w:rPr>
            </w:pPr>
            <w:r>
              <w:rPr>
                <w:rFonts w:ascii="Arial" w:cs="Arial" w:eastAsia="Arial" w:hAnsi="Arial"/>
                <w:sz w:val="14"/>
                <w:szCs w:val="14"/>
                <w:color w:val="131E29"/>
              </w:rPr>
              <w:t>$4,368</w:t>
            </w:r>
          </w:p>
        </w:tc>
        <w:tc>
          <w:tcPr>
            <w:tcW w:w="1160" w:type="dxa"/>
            <w:vAlign w:val="bottom"/>
            <w:shd w:val="clear" w:color="auto" w:fill="D2DCE5"/>
          </w:tcPr>
          <w:p>
            <w:pPr>
              <w:jc w:val="right"/>
              <w:ind w:right="229"/>
              <w:spacing w:after="0"/>
              <w:rPr>
                <w:sz w:val="20"/>
                <w:szCs w:val="20"/>
                <w:color w:val="auto"/>
              </w:rPr>
            </w:pPr>
            <w:r>
              <w:rPr>
                <w:rFonts w:ascii="Arial" w:cs="Arial" w:eastAsia="Arial" w:hAnsi="Arial"/>
                <w:sz w:val="14"/>
                <w:szCs w:val="14"/>
                <w:color w:val="131E29"/>
              </w:rPr>
              <w:t>168.1%</w:t>
            </w:r>
          </w:p>
        </w:tc>
      </w:tr>
      <w:tr>
        <w:trPr>
          <w:trHeight w:val="193"/>
        </w:trPr>
        <w:tc>
          <w:tcPr>
            <w:tcW w:w="3080" w:type="dxa"/>
            <w:vAlign w:val="bottom"/>
            <w:gridSpan w:val="2"/>
          </w:tcPr>
          <w:p>
            <w:pPr>
              <w:ind w:left="20"/>
              <w:spacing w:after="0"/>
              <w:rPr>
                <w:sz w:val="20"/>
                <w:szCs w:val="20"/>
                <w:color w:val="auto"/>
              </w:rPr>
            </w:pPr>
            <w:r>
              <w:rPr>
                <w:rFonts w:ascii="Arial" w:cs="Arial" w:eastAsia="Arial" w:hAnsi="Arial"/>
                <w:sz w:val="14"/>
                <w:szCs w:val="14"/>
                <w:color w:val="131E29"/>
              </w:rPr>
              <w:t>Effective tax rate</w:t>
            </w:r>
          </w:p>
        </w:tc>
        <w:tc>
          <w:tcPr>
            <w:tcW w:w="1100" w:type="dxa"/>
            <w:vAlign w:val="bottom"/>
          </w:tcPr>
          <w:p>
            <w:pPr>
              <w:jc w:val="center"/>
              <w:spacing w:after="0"/>
              <w:rPr>
                <w:sz w:val="20"/>
                <w:szCs w:val="20"/>
                <w:color w:val="auto"/>
              </w:rPr>
            </w:pPr>
            <w:r>
              <w:rPr>
                <w:rFonts w:ascii="Arial" w:cs="Arial" w:eastAsia="Arial" w:hAnsi="Arial"/>
                <w:sz w:val="14"/>
                <w:szCs w:val="14"/>
                <w:color w:val="131E29"/>
              </w:rPr>
              <w:t>21.7%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131E29"/>
              </w:rPr>
              <w:t>41.2%</w:t>
            </w:r>
          </w:p>
        </w:tc>
        <w:tc>
          <w:tcPr>
            <w:tcW w:w="80" w:type="dxa"/>
            <w:vAlign w:val="bottom"/>
          </w:tcPr>
          <w:p>
            <w:pPr>
              <w:spacing w:after="0"/>
              <w:rPr>
                <w:sz w:val="16"/>
                <w:szCs w:val="16"/>
                <w:color w:val="auto"/>
              </w:rPr>
            </w:pPr>
          </w:p>
        </w:tc>
        <w:tc>
          <w:tcPr>
            <w:tcW w:w="840" w:type="dxa"/>
            <w:vAlign w:val="bottom"/>
          </w:tcPr>
          <w:p>
            <w:pPr>
              <w:jc w:val="center"/>
              <w:ind w:left="189"/>
              <w:spacing w:after="0"/>
              <w:rPr>
                <w:sz w:val="20"/>
                <w:szCs w:val="20"/>
                <w:color w:val="auto"/>
              </w:rPr>
            </w:pPr>
            <w:r>
              <w:rPr>
                <w:rFonts w:ascii="Arial" w:cs="Arial" w:eastAsia="Arial" w:hAnsi="Arial"/>
                <w:sz w:val="14"/>
                <w:szCs w:val="14"/>
                <w:color w:val="131E29"/>
              </w:rPr>
              <w:t>(15.6)%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center"/>
              <w:ind w:right="309"/>
              <w:spacing w:after="0"/>
              <w:rPr>
                <w:sz w:val="20"/>
                <w:szCs w:val="20"/>
                <w:color w:val="auto"/>
              </w:rPr>
            </w:pPr>
            <w:r>
              <w:rPr>
                <w:rFonts w:ascii="Arial" w:cs="Arial" w:eastAsia="Arial" w:hAnsi="Arial"/>
                <w:sz w:val="14"/>
                <w:szCs w:val="14"/>
                <w:color w:val="131E29"/>
              </w:rPr>
              <w:t>N/A</w:t>
            </w:r>
          </w:p>
        </w:tc>
        <w:tc>
          <w:tcPr>
            <w:tcW w:w="920" w:type="dxa"/>
            <w:vAlign w:val="bottom"/>
            <w:gridSpan w:val="2"/>
          </w:tcPr>
          <w:p>
            <w:pPr>
              <w:jc w:val="center"/>
              <w:ind w:right="380"/>
              <w:spacing w:after="0"/>
              <w:rPr>
                <w:sz w:val="20"/>
                <w:szCs w:val="20"/>
                <w:color w:val="auto"/>
              </w:rPr>
            </w:pPr>
            <w:r>
              <w:rPr>
                <w:rFonts w:ascii="Arial" w:cs="Arial" w:eastAsia="Arial" w:hAnsi="Arial"/>
                <w:sz w:val="14"/>
                <w:szCs w:val="14"/>
                <w:color w:val="131E29"/>
              </w:rPr>
              <w:t>N/M</w:t>
            </w:r>
          </w:p>
        </w:tc>
        <w:tc>
          <w:tcPr>
            <w:tcW w:w="1120" w:type="dxa"/>
            <w:vAlign w:val="bottom"/>
          </w:tcPr>
          <w:p>
            <w:pPr>
              <w:jc w:val="center"/>
              <w:spacing w:after="0"/>
              <w:rPr>
                <w:sz w:val="20"/>
                <w:szCs w:val="20"/>
                <w:color w:val="auto"/>
              </w:rPr>
            </w:pPr>
            <w:r>
              <w:rPr>
                <w:rFonts w:ascii="Arial" w:cs="Arial" w:eastAsia="Arial" w:hAnsi="Arial"/>
                <w:sz w:val="14"/>
                <w:szCs w:val="14"/>
                <w:color w:val="131E29"/>
              </w:rPr>
              <w:t>N/A</w:t>
            </w:r>
          </w:p>
        </w:tc>
        <w:tc>
          <w:tcPr>
            <w:tcW w:w="1160" w:type="dxa"/>
            <w:vAlign w:val="bottom"/>
          </w:tcPr>
          <w:p>
            <w:pPr>
              <w:jc w:val="center"/>
              <w:spacing w:after="0"/>
              <w:rPr>
                <w:sz w:val="20"/>
                <w:szCs w:val="20"/>
                <w:color w:val="auto"/>
              </w:rPr>
            </w:pPr>
            <w:r>
              <w:rPr>
                <w:rFonts w:ascii="Arial" w:cs="Arial" w:eastAsia="Arial" w:hAnsi="Arial"/>
                <w:sz w:val="14"/>
                <w:szCs w:val="14"/>
                <w:color w:val="131E29"/>
              </w:rPr>
              <w:t>N/M</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Year Ended December 31, 2024 v. 2023</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increase in tax expense was primarily driven by increased current year pre-tax income and the increase in our ownership interest of Dutch Bros OpCo, changes in state earnings mix, and its impact on deferred taxes.</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Liquidity and Capital Resources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Overview</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131E29"/>
        </w:rPr>
        <w:t>We had cash and cash equivalents of $293.4 million and $133.5 million as of December 31, 2024 and December 31, 2023, respectively.</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For the year ended December 31, 2024, our principal sources of liquidity were cash flows from operations and our delayed draw term loan facility. Our principal uses of liquidity for the year ended December 31, 2024 were to fund our new shop builds, our new Texas roasting facility, and other working capital needs.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5" w:name="page86"/>
    <w:bookmarkEnd w:id="8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Flows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our cash flows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131E29"/>
              </w:rPr>
              <w:t>Year Ended December 31,</w:t>
            </w: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131E29"/>
              </w:rPr>
              <w:t>2022</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131E29"/>
            </w:tcBorders>
          </w:tcPr>
          <w:p>
            <w:pPr>
              <w:spacing w:after="0"/>
              <w:rPr>
                <w:sz w:val="17"/>
                <w:szCs w:val="17"/>
                <w:color w:val="auto"/>
              </w:rPr>
            </w:pPr>
          </w:p>
        </w:tc>
        <w:tc>
          <w:tcPr>
            <w:tcW w:w="1980" w:type="dxa"/>
            <w:vAlign w:val="bottom"/>
            <w:tcBorders>
              <w:bottom w:val="single" w:sz="8" w:color="131E29"/>
            </w:tcBorders>
            <w:gridSpan w:val="4"/>
          </w:tcPr>
          <w:p>
            <w:pPr>
              <w:ind w:left="440"/>
              <w:spacing w:after="0"/>
              <w:rPr>
                <w:sz w:val="20"/>
                <w:szCs w:val="20"/>
                <w:color w:val="auto"/>
              </w:rPr>
            </w:pPr>
            <w:r>
              <w:rPr>
                <w:rFonts w:ascii="Arial" w:cs="Arial" w:eastAsia="Arial" w:hAnsi="Arial"/>
                <w:sz w:val="14"/>
                <w:szCs w:val="14"/>
                <w:b w:val="1"/>
                <w:bCs w:val="1"/>
                <w:color w:val="131E29"/>
              </w:rPr>
              <w:t>2024 v. 2023</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131E29"/>
            </w:tcBorders>
          </w:tcPr>
          <w:p>
            <w:pPr>
              <w:spacing w:after="0"/>
              <w:rPr>
                <w:sz w:val="17"/>
                <w:szCs w:val="17"/>
                <w:color w:val="auto"/>
              </w:rPr>
            </w:pPr>
          </w:p>
        </w:tc>
        <w:tc>
          <w:tcPr>
            <w:tcW w:w="1980" w:type="dxa"/>
            <w:vAlign w:val="bottom"/>
            <w:tcBorders>
              <w:bottom w:val="single" w:sz="8" w:color="131E29"/>
            </w:tcBorders>
            <w:gridSpan w:val="3"/>
          </w:tcPr>
          <w:p>
            <w:pPr>
              <w:ind w:left="440"/>
              <w:spacing w:after="0"/>
              <w:rPr>
                <w:sz w:val="20"/>
                <w:szCs w:val="20"/>
                <w:color w:val="auto"/>
              </w:rPr>
            </w:pPr>
            <w:r>
              <w:rPr>
                <w:rFonts w:ascii="Arial" w:cs="Arial" w:eastAsia="Arial" w:hAnsi="Arial"/>
                <w:sz w:val="14"/>
                <w:szCs w:val="14"/>
                <w:b w:val="1"/>
                <w:bCs w:val="1"/>
                <w:color w:val="131E29"/>
              </w:rPr>
              <w:t>2023 v 2022</w:t>
            </w:r>
          </w:p>
        </w:tc>
      </w:tr>
      <w:tr>
        <w:trPr>
          <w:trHeight w:val="209"/>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cash provided by operating activities</w:t>
            </w:r>
          </w:p>
        </w:tc>
        <w:tc>
          <w:tcPr>
            <w:tcW w:w="240" w:type="dxa"/>
            <w:vAlign w:val="bottom"/>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860" w:type="dxa"/>
            <w:vAlign w:val="bottom"/>
            <w:shd w:val="clear" w:color="auto" w:fill="D2DCE5"/>
          </w:tcPr>
          <w:p>
            <w:pPr>
              <w:jc w:val="center"/>
              <w:ind w:left="149"/>
              <w:spacing w:after="0"/>
              <w:rPr>
                <w:sz w:val="20"/>
                <w:szCs w:val="20"/>
                <w:color w:val="auto"/>
              </w:rPr>
            </w:pPr>
            <w:r>
              <w:rPr>
                <w:rFonts w:ascii="Arial" w:cs="Arial" w:eastAsia="Arial" w:hAnsi="Arial"/>
                <w:sz w:val="14"/>
                <w:szCs w:val="14"/>
                <w:color w:val="131E29"/>
              </w:rPr>
              <w:t>246,432</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69"/>
              <w:spacing w:after="0"/>
              <w:rPr>
                <w:sz w:val="20"/>
                <w:szCs w:val="20"/>
                <w:color w:val="auto"/>
              </w:rPr>
            </w:pPr>
            <w:r>
              <w:rPr>
                <w:rFonts w:ascii="Arial" w:cs="Arial" w:eastAsia="Arial" w:hAnsi="Arial"/>
                <w:sz w:val="14"/>
                <w:szCs w:val="14"/>
                <w:color w:val="131E29"/>
              </w:rPr>
              <w:t>$</w:t>
            </w:r>
          </w:p>
        </w:tc>
        <w:tc>
          <w:tcPr>
            <w:tcW w:w="8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139,915</w:t>
            </w:r>
          </w:p>
        </w:tc>
        <w:tc>
          <w:tcPr>
            <w:tcW w:w="80" w:type="dxa"/>
            <w:vAlign w:val="bottom"/>
            <w:shd w:val="clear" w:color="auto" w:fill="D2DCE5"/>
          </w:tcPr>
          <w:p>
            <w:pPr>
              <w:spacing w:after="0"/>
              <w:rPr>
                <w:sz w:val="18"/>
                <w:szCs w:val="18"/>
                <w:color w:val="auto"/>
              </w:rPr>
            </w:pPr>
          </w:p>
        </w:tc>
        <w:tc>
          <w:tcPr>
            <w:tcW w:w="240" w:type="dxa"/>
            <w:vAlign w:val="bottom"/>
            <w:shd w:val="clear" w:color="auto" w:fill="D2DCE5"/>
          </w:tcPr>
          <w:p>
            <w:pPr>
              <w:jc w:val="right"/>
              <w:ind w:right="89"/>
              <w:spacing w:after="0"/>
              <w:rPr>
                <w:sz w:val="20"/>
                <w:szCs w:val="20"/>
                <w:color w:val="auto"/>
              </w:rPr>
            </w:pPr>
            <w:r>
              <w:rPr>
                <w:rFonts w:ascii="Arial" w:cs="Arial" w:eastAsia="Arial" w:hAnsi="Arial"/>
                <w:sz w:val="14"/>
                <w:szCs w:val="14"/>
                <w:color w:val="131E29"/>
                <w:w w:val="76"/>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59,883</w:t>
            </w: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49"/>
              <w:spacing w:after="0"/>
              <w:rPr>
                <w:sz w:val="20"/>
                <w:szCs w:val="20"/>
                <w:color w:val="auto"/>
              </w:rPr>
            </w:pPr>
            <w:r>
              <w:rPr>
                <w:rFonts w:ascii="Arial" w:cs="Arial" w:eastAsia="Arial" w:hAnsi="Arial"/>
                <w:sz w:val="14"/>
                <w:szCs w:val="14"/>
                <w:color w:val="131E29"/>
                <w:w w:val="76"/>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106,517</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820" w:type="dxa"/>
            <w:vAlign w:val="bottom"/>
            <w:shd w:val="clear" w:color="auto" w:fill="D2DCE5"/>
          </w:tcPr>
          <w:p>
            <w:pPr>
              <w:jc w:val="center"/>
              <w:ind w:right="189"/>
              <w:spacing w:after="0"/>
              <w:rPr>
                <w:sz w:val="20"/>
                <w:szCs w:val="20"/>
                <w:color w:val="auto"/>
              </w:rPr>
            </w:pPr>
            <w:r>
              <w:rPr>
                <w:rFonts w:ascii="Arial" w:cs="Arial" w:eastAsia="Arial" w:hAnsi="Arial"/>
                <w:sz w:val="14"/>
                <w:szCs w:val="14"/>
                <w:color w:val="131E29"/>
              </w:rPr>
              <w:t>76.1%</w:t>
            </w: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jc w:val="right"/>
              <w:ind w:right="149"/>
              <w:spacing w:after="0"/>
              <w:rPr>
                <w:sz w:val="20"/>
                <w:szCs w:val="20"/>
                <w:color w:val="auto"/>
              </w:rPr>
            </w:pPr>
            <w:r>
              <w:rPr>
                <w:rFonts w:ascii="Arial" w:cs="Arial" w:eastAsia="Arial" w:hAnsi="Arial"/>
                <w:sz w:val="14"/>
                <w:szCs w:val="14"/>
                <w:color w:val="131E29"/>
                <w:w w:val="76"/>
              </w:rPr>
              <w:t>$</w:t>
            </w:r>
          </w:p>
        </w:tc>
        <w:tc>
          <w:tcPr>
            <w:tcW w:w="8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80,032</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133.6%</w:t>
            </w:r>
          </w:p>
        </w:tc>
      </w:tr>
      <w:tr>
        <w:trPr>
          <w:trHeight w:val="202"/>
        </w:trPr>
        <w:tc>
          <w:tcPr>
            <w:tcW w:w="3080" w:type="dxa"/>
            <w:vAlign w:val="bottom"/>
            <w:gridSpan w:val="2"/>
          </w:tcPr>
          <w:p>
            <w:pPr>
              <w:ind w:left="20"/>
              <w:spacing w:after="0"/>
              <w:rPr>
                <w:sz w:val="20"/>
                <w:szCs w:val="20"/>
                <w:color w:val="auto"/>
              </w:rPr>
            </w:pPr>
            <w:r>
              <w:rPr>
                <w:rFonts w:ascii="Arial" w:cs="Arial" w:eastAsia="Arial" w:hAnsi="Arial"/>
                <w:sz w:val="14"/>
                <w:szCs w:val="14"/>
                <w:color w:val="131E29"/>
              </w:rPr>
              <w:t>Net cash used in investing activities</w:t>
            </w:r>
          </w:p>
        </w:tc>
        <w:tc>
          <w:tcPr>
            <w:tcW w:w="240" w:type="dxa"/>
            <w:vAlign w:val="bottom"/>
          </w:tcPr>
          <w:p>
            <w:pPr>
              <w:spacing w:after="0"/>
              <w:rPr>
                <w:sz w:val="17"/>
                <w:szCs w:val="17"/>
                <w:color w:val="auto"/>
              </w:rPr>
            </w:pPr>
          </w:p>
        </w:tc>
        <w:tc>
          <w:tcPr>
            <w:tcW w:w="860" w:type="dxa"/>
            <w:vAlign w:val="bottom"/>
          </w:tcPr>
          <w:p>
            <w:pPr>
              <w:jc w:val="center"/>
              <w:ind w:left="129"/>
              <w:spacing w:after="0"/>
              <w:rPr>
                <w:sz w:val="20"/>
                <w:szCs w:val="20"/>
                <w:color w:val="auto"/>
              </w:rPr>
            </w:pPr>
            <w:r>
              <w:rPr>
                <w:rFonts w:ascii="Arial" w:cs="Arial" w:eastAsia="Arial" w:hAnsi="Arial"/>
                <w:sz w:val="14"/>
                <w:szCs w:val="14"/>
                <w:color w:val="131E29"/>
              </w:rPr>
              <w:t>(212,072)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131E29"/>
              </w:rPr>
              <w:t>(227,280)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(192,572)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131E29"/>
              </w:rPr>
              <w:t>15,208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jc w:val="center"/>
              <w:ind w:right="209"/>
              <w:spacing w:after="0"/>
              <w:rPr>
                <w:sz w:val="20"/>
                <w:szCs w:val="20"/>
                <w:color w:val="auto"/>
              </w:rPr>
            </w:pPr>
            <w:r>
              <w:rPr>
                <w:rFonts w:ascii="Arial" w:cs="Arial" w:eastAsia="Arial" w:hAnsi="Arial"/>
                <w:sz w:val="14"/>
                <w:szCs w:val="14"/>
                <w:color w:val="131E29"/>
              </w:rPr>
              <w:t>(6.7)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131E29"/>
              </w:rPr>
              <w:t>(34,708)</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131E29"/>
                <w:w w:val="95"/>
              </w:rPr>
              <w:t>18.0</w:t>
            </w:r>
          </w:p>
        </w:tc>
      </w:tr>
      <w:tr>
        <w:trPr>
          <w:trHeight w:val="222"/>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cash provided by financing activities</w:t>
            </w:r>
          </w:p>
        </w:tc>
        <w:tc>
          <w:tcPr>
            <w:tcW w:w="240" w:type="dxa"/>
            <w:vAlign w:val="bottom"/>
            <w:tcBorders>
              <w:bottom w:val="single" w:sz="8" w:color="auto"/>
            </w:tcBorders>
            <w:shd w:val="clear" w:color="auto" w:fill="D2DCE5"/>
          </w:tcPr>
          <w:p>
            <w:pPr>
              <w:spacing w:after="0"/>
              <w:rPr>
                <w:sz w:val="19"/>
                <w:szCs w:val="19"/>
                <w:color w:val="auto"/>
              </w:rPr>
            </w:pPr>
          </w:p>
        </w:tc>
        <w:tc>
          <w:tcPr>
            <w:tcW w:w="860" w:type="dxa"/>
            <w:vAlign w:val="bottom"/>
            <w:tcBorders>
              <w:bottom w:val="single" w:sz="8" w:color="auto"/>
            </w:tcBorders>
            <w:shd w:val="clear" w:color="auto" w:fill="D2DCE5"/>
          </w:tcPr>
          <w:p>
            <w:pPr>
              <w:jc w:val="center"/>
              <w:ind w:left="149"/>
              <w:spacing w:after="0"/>
              <w:rPr>
                <w:sz w:val="20"/>
                <w:szCs w:val="20"/>
                <w:color w:val="auto"/>
              </w:rPr>
            </w:pPr>
            <w:r>
              <w:rPr>
                <w:rFonts w:ascii="Arial" w:cs="Arial" w:eastAsia="Arial" w:hAnsi="Arial"/>
                <w:sz w:val="14"/>
                <w:szCs w:val="14"/>
                <w:color w:val="131E29"/>
              </w:rPr>
              <w:t>125,449</w:t>
            </w:r>
          </w:p>
        </w:tc>
        <w:tc>
          <w:tcPr>
            <w:tcW w:w="80" w:type="dxa"/>
            <w:vAlign w:val="bottom"/>
            <w:shd w:val="clear" w:color="auto" w:fill="D2DCE5"/>
          </w:tcPr>
          <w:p>
            <w:pPr>
              <w:spacing w:after="0"/>
              <w:rPr>
                <w:sz w:val="19"/>
                <w:szCs w:val="19"/>
                <w:color w:val="auto"/>
              </w:rPr>
            </w:pPr>
          </w:p>
        </w:tc>
        <w:tc>
          <w:tcPr>
            <w:tcW w:w="240" w:type="dxa"/>
            <w:vAlign w:val="bottom"/>
            <w:tcBorders>
              <w:bottom w:val="single" w:sz="8" w:color="auto"/>
            </w:tcBorders>
            <w:shd w:val="clear" w:color="auto" w:fill="D2DCE5"/>
          </w:tcPr>
          <w:p>
            <w:pPr>
              <w:spacing w:after="0"/>
              <w:rPr>
                <w:sz w:val="19"/>
                <w:szCs w:val="19"/>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200,732</w:t>
            </w:r>
          </w:p>
        </w:tc>
        <w:tc>
          <w:tcPr>
            <w:tcW w:w="80" w:type="dxa"/>
            <w:vAlign w:val="bottom"/>
            <w:shd w:val="clear" w:color="auto" w:fill="D2DCE5"/>
          </w:tcPr>
          <w:p>
            <w:pPr>
              <w:spacing w:after="0"/>
              <w:rPr>
                <w:sz w:val="19"/>
                <w:szCs w:val="19"/>
                <w:color w:val="auto"/>
              </w:rPr>
            </w:pPr>
          </w:p>
        </w:tc>
        <w:tc>
          <w:tcPr>
            <w:tcW w:w="240" w:type="dxa"/>
            <w:vAlign w:val="bottom"/>
            <w:tcBorders>
              <w:bottom w:val="single" w:sz="8" w:color="auto"/>
            </w:tcBorders>
            <w:shd w:val="clear" w:color="auto" w:fill="D2DCE5"/>
          </w:tcPr>
          <w:p>
            <w:pPr>
              <w:spacing w:after="0"/>
              <w:rPr>
                <w:sz w:val="19"/>
                <w:szCs w:val="19"/>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134,361</w:t>
            </w:r>
          </w:p>
        </w:tc>
        <w:tc>
          <w:tcPr>
            <w:tcW w:w="10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(75,283)</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820" w:type="dxa"/>
            <w:vAlign w:val="bottom"/>
            <w:tcBorders>
              <w:bottom w:val="single" w:sz="8" w:color="auto"/>
            </w:tcBorders>
            <w:shd w:val="clear" w:color="auto" w:fill="D2DCE5"/>
          </w:tcPr>
          <w:p>
            <w:pPr>
              <w:jc w:val="center"/>
              <w:ind w:right="209"/>
              <w:spacing w:after="0"/>
              <w:rPr>
                <w:sz w:val="20"/>
                <w:szCs w:val="20"/>
                <w:color w:val="auto"/>
              </w:rPr>
            </w:pPr>
            <w:r>
              <w:rPr>
                <w:rFonts w:ascii="Arial" w:cs="Arial" w:eastAsia="Arial" w:hAnsi="Arial"/>
                <w:sz w:val="14"/>
                <w:szCs w:val="14"/>
                <w:color w:val="131E29"/>
              </w:rPr>
              <w:t>(37.5)%</w:t>
            </w:r>
          </w:p>
        </w:tc>
        <w:tc>
          <w:tcPr>
            <w:tcW w:w="10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66,371</w:t>
            </w:r>
          </w:p>
        </w:tc>
        <w:tc>
          <w:tcPr>
            <w:tcW w:w="80" w:type="dxa"/>
            <w:vAlign w:val="bottom"/>
            <w:shd w:val="clear" w:color="auto" w:fill="D2DCE5"/>
          </w:tcPr>
          <w:p>
            <w:pPr>
              <w:spacing w:after="0"/>
              <w:rPr>
                <w:sz w:val="19"/>
                <w:szCs w:val="19"/>
                <w:color w:val="auto"/>
              </w:rPr>
            </w:pPr>
          </w:p>
        </w:tc>
        <w:tc>
          <w:tcPr>
            <w:tcW w:w="110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rPr>
              <w:t>49.4%</w:t>
            </w:r>
          </w:p>
        </w:tc>
      </w:tr>
      <w:tr>
        <w:trPr>
          <w:trHeight w:val="193"/>
        </w:trPr>
        <w:tc>
          <w:tcPr>
            <w:tcW w:w="3080" w:type="dxa"/>
            <w:vAlign w:val="bottom"/>
            <w:gridSpan w:val="2"/>
          </w:tcPr>
          <w:p>
            <w:pPr>
              <w:ind w:left="20"/>
              <w:spacing w:after="0"/>
              <w:rPr>
                <w:sz w:val="20"/>
                <w:szCs w:val="20"/>
                <w:color w:val="auto"/>
              </w:rPr>
            </w:pPr>
            <w:r>
              <w:rPr>
                <w:rFonts w:ascii="Arial" w:cs="Arial" w:eastAsia="Arial" w:hAnsi="Arial"/>
                <w:sz w:val="14"/>
                <w:szCs w:val="14"/>
                <w:color w:val="131E29"/>
              </w:rPr>
              <w:t>Net increase in cash and cash equivalents</w:t>
            </w:r>
          </w:p>
        </w:tc>
        <w:tc>
          <w:tcPr>
            <w:tcW w:w="240" w:type="dxa"/>
            <w:vAlign w:val="bottom"/>
          </w:tcPr>
          <w:p>
            <w:pPr>
              <w:jc w:val="right"/>
              <w:ind w:right="69"/>
              <w:spacing w:after="0"/>
              <w:rPr>
                <w:sz w:val="20"/>
                <w:szCs w:val="20"/>
                <w:color w:val="auto"/>
              </w:rPr>
            </w:pPr>
            <w:r>
              <w:rPr>
                <w:rFonts w:ascii="Arial" w:cs="Arial" w:eastAsia="Arial" w:hAnsi="Arial"/>
                <w:sz w:val="14"/>
                <w:szCs w:val="14"/>
                <w:color w:val="131E29"/>
              </w:rPr>
              <w:t>$</w:t>
            </w:r>
          </w:p>
        </w:tc>
        <w:tc>
          <w:tcPr>
            <w:tcW w:w="860" w:type="dxa"/>
            <w:vAlign w:val="bottom"/>
          </w:tcPr>
          <w:p>
            <w:pPr>
              <w:jc w:val="center"/>
              <w:ind w:left="149"/>
              <w:spacing w:after="0"/>
              <w:rPr>
                <w:sz w:val="20"/>
                <w:szCs w:val="20"/>
                <w:color w:val="auto"/>
              </w:rPr>
            </w:pPr>
            <w:r>
              <w:rPr>
                <w:rFonts w:ascii="Arial" w:cs="Arial" w:eastAsia="Arial" w:hAnsi="Arial"/>
                <w:sz w:val="14"/>
                <w:szCs w:val="14"/>
                <w:color w:val="131E29"/>
              </w:rPr>
              <w:t>159,809</w:t>
            </w:r>
          </w:p>
        </w:tc>
        <w:tc>
          <w:tcPr>
            <w:tcW w:w="80" w:type="dxa"/>
            <w:vAlign w:val="bottom"/>
          </w:tcPr>
          <w:p>
            <w:pPr>
              <w:spacing w:after="0"/>
              <w:rPr>
                <w:sz w:val="16"/>
                <w:szCs w:val="16"/>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color w:val="131E29"/>
              </w:rPr>
              <w:t>$</w:t>
            </w:r>
          </w:p>
        </w:tc>
        <w:tc>
          <w:tcPr>
            <w:tcW w:w="860" w:type="dxa"/>
            <w:vAlign w:val="bottom"/>
          </w:tcPr>
          <w:p>
            <w:pPr>
              <w:jc w:val="right"/>
              <w:spacing w:after="0"/>
              <w:rPr>
                <w:sz w:val="20"/>
                <w:szCs w:val="20"/>
                <w:color w:val="auto"/>
              </w:rPr>
            </w:pPr>
            <w:r>
              <w:rPr>
                <w:rFonts w:ascii="Arial" w:cs="Arial" w:eastAsia="Arial" w:hAnsi="Arial"/>
                <w:sz w:val="14"/>
                <w:szCs w:val="14"/>
                <w:color w:val="131E29"/>
              </w:rPr>
              <w:t>113,367</w:t>
            </w:r>
          </w:p>
        </w:tc>
        <w:tc>
          <w:tcPr>
            <w:tcW w:w="8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Arial" w:cs="Arial" w:eastAsia="Arial" w:hAnsi="Arial"/>
                <w:sz w:val="14"/>
                <w:szCs w:val="14"/>
                <w:color w:val="131E29"/>
                <w:w w:val="76"/>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1,672</w:t>
            </w:r>
          </w:p>
        </w:tc>
        <w:tc>
          <w:tcPr>
            <w:tcW w:w="10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131E29"/>
                <w:w w:val="76"/>
              </w:rPr>
              <w:t>$</w:t>
            </w:r>
          </w:p>
        </w:tc>
        <w:tc>
          <w:tcPr>
            <w:tcW w:w="800" w:type="dxa"/>
            <w:vAlign w:val="bottom"/>
          </w:tcPr>
          <w:p>
            <w:pPr>
              <w:jc w:val="right"/>
              <w:spacing w:after="0"/>
              <w:rPr>
                <w:sz w:val="20"/>
                <w:szCs w:val="20"/>
                <w:color w:val="auto"/>
              </w:rPr>
            </w:pPr>
            <w:r>
              <w:rPr>
                <w:rFonts w:ascii="Arial" w:cs="Arial" w:eastAsia="Arial" w:hAnsi="Arial"/>
                <w:sz w:val="14"/>
                <w:szCs w:val="14"/>
                <w:color w:val="131E29"/>
              </w:rPr>
              <w:t>46,442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center"/>
              <w:ind w:right="189"/>
              <w:spacing w:after="0"/>
              <w:rPr>
                <w:sz w:val="20"/>
                <w:szCs w:val="20"/>
                <w:color w:val="auto"/>
              </w:rPr>
            </w:pPr>
            <w:r>
              <w:rPr>
                <w:rFonts w:ascii="Arial" w:cs="Arial" w:eastAsia="Arial" w:hAnsi="Arial"/>
                <w:sz w:val="14"/>
                <w:szCs w:val="14"/>
                <w:color w:val="131E29"/>
              </w:rPr>
              <w:t>41.0%</w:t>
            </w:r>
          </w:p>
        </w:tc>
        <w:tc>
          <w:tcPr>
            <w:tcW w:w="100" w:type="dxa"/>
            <w:vAlign w:val="bottom"/>
          </w:tcPr>
          <w:p>
            <w:pPr>
              <w:spacing w:after="0"/>
              <w:rPr>
                <w:sz w:val="16"/>
                <w:szCs w:val="16"/>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131E29"/>
                <w:w w:val="76"/>
              </w:rPr>
              <w:t>$</w:t>
            </w:r>
          </w:p>
        </w:tc>
        <w:tc>
          <w:tcPr>
            <w:tcW w:w="800" w:type="dxa"/>
            <w:vAlign w:val="bottom"/>
          </w:tcPr>
          <w:p>
            <w:pPr>
              <w:jc w:val="right"/>
              <w:spacing w:after="0"/>
              <w:rPr>
                <w:sz w:val="20"/>
                <w:szCs w:val="20"/>
                <w:color w:val="auto"/>
              </w:rPr>
            </w:pPr>
            <w:r>
              <w:rPr>
                <w:rFonts w:ascii="Arial" w:cs="Arial" w:eastAsia="Arial" w:hAnsi="Arial"/>
                <w:sz w:val="14"/>
                <w:szCs w:val="14"/>
                <w:color w:val="131E29"/>
              </w:rPr>
              <w:t>111,695</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131E29"/>
              </w:rPr>
              <w:t>6680.3%</w:t>
            </w:r>
          </w:p>
        </w:tc>
      </w:tr>
      <w:tr>
        <w:trPr>
          <w:trHeight w:val="186"/>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Cash and cash equivalents at beginning of</w:t>
            </w:r>
          </w:p>
        </w:tc>
        <w:tc>
          <w:tcPr>
            <w:tcW w:w="240" w:type="dxa"/>
            <w:vAlign w:val="bottom"/>
            <w:shd w:val="clear" w:color="auto" w:fill="D2DCE5"/>
          </w:tcPr>
          <w:p>
            <w:pPr>
              <w:spacing w:after="0"/>
              <w:rPr>
                <w:sz w:val="16"/>
                <w:szCs w:val="16"/>
                <w:color w:val="auto"/>
              </w:rPr>
            </w:pPr>
          </w:p>
        </w:tc>
        <w:tc>
          <w:tcPr>
            <w:tcW w:w="8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80" w:type="dxa"/>
            <w:vAlign w:val="bottom"/>
            <w:shd w:val="clear" w:color="auto" w:fill="D2DCE5"/>
          </w:tcPr>
          <w:p>
            <w:pPr>
              <w:spacing w:after="0"/>
              <w:rPr>
                <w:sz w:val="16"/>
                <w:szCs w:val="16"/>
                <w:color w:val="auto"/>
              </w:rPr>
            </w:pPr>
          </w:p>
        </w:tc>
        <w:tc>
          <w:tcPr>
            <w:tcW w:w="8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8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1100" w:type="dxa"/>
            <w:vAlign w:val="bottom"/>
            <w:shd w:val="clear" w:color="auto" w:fill="D2DCE5"/>
          </w:tcPr>
          <w:p>
            <w:pPr>
              <w:spacing w:after="0"/>
              <w:rPr>
                <w:sz w:val="16"/>
                <w:szCs w:val="16"/>
                <w:color w:val="auto"/>
              </w:rPr>
            </w:pPr>
          </w:p>
        </w:tc>
      </w:tr>
      <w:tr>
        <w:trPr>
          <w:trHeight w:val="196"/>
        </w:trPr>
        <w:tc>
          <w:tcPr>
            <w:tcW w:w="30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period</w:t>
            </w:r>
          </w:p>
        </w:tc>
        <w:tc>
          <w:tcPr>
            <w:tcW w:w="240" w:type="dxa"/>
            <w:vAlign w:val="bottom"/>
            <w:tcBorders>
              <w:bottom w:val="single" w:sz="8" w:color="auto"/>
            </w:tcBorders>
            <w:shd w:val="clear" w:color="auto" w:fill="D2DCE5"/>
          </w:tcPr>
          <w:p>
            <w:pPr>
              <w:spacing w:after="0"/>
              <w:rPr>
                <w:sz w:val="17"/>
                <w:szCs w:val="17"/>
                <w:color w:val="auto"/>
              </w:rPr>
            </w:pPr>
          </w:p>
        </w:tc>
        <w:tc>
          <w:tcPr>
            <w:tcW w:w="860" w:type="dxa"/>
            <w:vAlign w:val="bottom"/>
            <w:tcBorders>
              <w:bottom w:val="single" w:sz="8" w:color="auto"/>
            </w:tcBorders>
            <w:shd w:val="clear" w:color="auto" w:fill="D2DCE5"/>
          </w:tcPr>
          <w:p>
            <w:pPr>
              <w:jc w:val="center"/>
              <w:ind w:left="149"/>
              <w:spacing w:after="0"/>
              <w:rPr>
                <w:sz w:val="20"/>
                <w:szCs w:val="20"/>
                <w:color w:val="auto"/>
              </w:rPr>
            </w:pPr>
            <w:r>
              <w:rPr>
                <w:rFonts w:ascii="Arial" w:cs="Arial" w:eastAsia="Arial" w:hAnsi="Arial"/>
                <w:sz w:val="14"/>
                <w:szCs w:val="14"/>
                <w:color w:val="131E29"/>
              </w:rPr>
              <w:t>133,545</w:t>
            </w:r>
          </w:p>
        </w:tc>
        <w:tc>
          <w:tcPr>
            <w:tcW w:w="80" w:type="dxa"/>
            <w:vAlign w:val="bottom"/>
            <w:shd w:val="clear" w:color="auto" w:fill="D2DCE5"/>
          </w:tcPr>
          <w:p>
            <w:pPr>
              <w:spacing w:after="0"/>
              <w:rPr>
                <w:sz w:val="17"/>
                <w:szCs w:val="17"/>
                <w:color w:val="auto"/>
              </w:rPr>
            </w:pPr>
          </w:p>
        </w:tc>
        <w:tc>
          <w:tcPr>
            <w:tcW w:w="240" w:type="dxa"/>
            <w:vAlign w:val="bottom"/>
            <w:tcBorders>
              <w:bottom w:val="single" w:sz="8" w:color="auto"/>
            </w:tcBorders>
            <w:shd w:val="clear" w:color="auto" w:fill="D2DCE5"/>
          </w:tcPr>
          <w:p>
            <w:pPr>
              <w:spacing w:after="0"/>
              <w:rPr>
                <w:sz w:val="17"/>
                <w:szCs w:val="17"/>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20,178</w:t>
            </w:r>
          </w:p>
        </w:tc>
        <w:tc>
          <w:tcPr>
            <w:tcW w:w="80" w:type="dxa"/>
            <w:vAlign w:val="bottom"/>
            <w:shd w:val="clear" w:color="auto" w:fill="D2DCE5"/>
          </w:tcPr>
          <w:p>
            <w:pPr>
              <w:spacing w:after="0"/>
              <w:rPr>
                <w:sz w:val="17"/>
                <w:szCs w:val="17"/>
                <w:color w:val="auto"/>
              </w:rPr>
            </w:pPr>
          </w:p>
        </w:tc>
        <w:tc>
          <w:tcPr>
            <w:tcW w:w="240" w:type="dxa"/>
            <w:vAlign w:val="bottom"/>
            <w:tcBorders>
              <w:bottom w:val="single" w:sz="8" w:color="auto"/>
            </w:tcBorders>
            <w:shd w:val="clear" w:color="auto" w:fill="D2DCE5"/>
          </w:tcPr>
          <w:p>
            <w:pPr>
              <w:spacing w:after="0"/>
              <w:rPr>
                <w:sz w:val="17"/>
                <w:szCs w:val="17"/>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18,506</w:t>
            </w:r>
          </w:p>
        </w:tc>
        <w:tc>
          <w:tcPr>
            <w:tcW w:w="10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113,367</w:t>
            </w:r>
          </w:p>
        </w:tc>
        <w:tc>
          <w:tcPr>
            <w:tcW w:w="80" w:type="dxa"/>
            <w:vAlign w:val="bottom"/>
            <w:shd w:val="clear" w:color="auto" w:fill="D2DCE5"/>
          </w:tcPr>
          <w:p>
            <w:pPr>
              <w:spacing w:after="0"/>
              <w:rPr>
                <w:sz w:val="17"/>
                <w:szCs w:val="17"/>
                <w:color w:val="auto"/>
              </w:rPr>
            </w:pPr>
          </w:p>
        </w:tc>
        <w:tc>
          <w:tcPr>
            <w:tcW w:w="280" w:type="dxa"/>
            <w:vAlign w:val="bottom"/>
            <w:tcBorders>
              <w:bottom w:val="single" w:sz="8" w:color="auto"/>
            </w:tcBorders>
            <w:shd w:val="clear" w:color="auto" w:fill="D2DCE5"/>
          </w:tcPr>
          <w:p>
            <w:pPr>
              <w:spacing w:after="0"/>
              <w:rPr>
                <w:sz w:val="17"/>
                <w:szCs w:val="17"/>
                <w:color w:val="auto"/>
              </w:rPr>
            </w:pPr>
          </w:p>
        </w:tc>
        <w:tc>
          <w:tcPr>
            <w:tcW w:w="820" w:type="dxa"/>
            <w:vAlign w:val="bottom"/>
            <w:tcBorders>
              <w:bottom w:val="single" w:sz="8" w:color="auto"/>
            </w:tcBorders>
            <w:shd w:val="clear" w:color="auto" w:fill="D2DCE5"/>
          </w:tcPr>
          <w:p>
            <w:pPr>
              <w:jc w:val="center"/>
              <w:ind w:right="189"/>
              <w:spacing w:after="0"/>
              <w:rPr>
                <w:sz w:val="20"/>
                <w:szCs w:val="20"/>
                <w:color w:val="auto"/>
              </w:rPr>
            </w:pPr>
            <w:r>
              <w:rPr>
                <w:rFonts w:ascii="Arial" w:cs="Arial" w:eastAsia="Arial" w:hAnsi="Arial"/>
                <w:sz w:val="14"/>
                <w:szCs w:val="14"/>
                <w:color w:val="131E29"/>
              </w:rPr>
              <w:t>561.8</w:t>
            </w:r>
          </w:p>
        </w:tc>
        <w:tc>
          <w:tcPr>
            <w:tcW w:w="10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1,672</w:t>
            </w:r>
          </w:p>
        </w:tc>
        <w:tc>
          <w:tcPr>
            <w:tcW w:w="80" w:type="dxa"/>
            <w:vAlign w:val="bottom"/>
            <w:shd w:val="clear" w:color="auto" w:fill="D2DCE5"/>
          </w:tcPr>
          <w:p>
            <w:pPr>
              <w:spacing w:after="0"/>
              <w:rPr>
                <w:sz w:val="17"/>
                <w:szCs w:val="17"/>
                <w:color w:val="auto"/>
              </w:rPr>
            </w:pPr>
          </w:p>
        </w:tc>
        <w:tc>
          <w:tcPr>
            <w:tcW w:w="1100" w:type="dxa"/>
            <w:vAlign w:val="bottom"/>
            <w:tcBorders>
              <w:bottom w:val="single" w:sz="8" w:color="auto"/>
            </w:tcBorders>
            <w:shd w:val="clear" w:color="auto" w:fill="D2DCE5"/>
          </w:tcPr>
          <w:p>
            <w:pPr>
              <w:jc w:val="center"/>
              <w:spacing w:after="0"/>
              <w:rPr>
                <w:sz w:val="20"/>
                <w:szCs w:val="20"/>
                <w:color w:val="auto"/>
              </w:rPr>
            </w:pPr>
            <w:r>
              <w:rPr>
                <w:rFonts w:ascii="Arial" w:cs="Arial" w:eastAsia="Arial" w:hAnsi="Arial"/>
                <w:sz w:val="14"/>
                <w:szCs w:val="14"/>
                <w:color w:val="131E29"/>
                <w:w w:val="92"/>
              </w:rPr>
              <w:t>9.0</w:t>
            </w:r>
          </w:p>
        </w:tc>
      </w:tr>
      <w:tr>
        <w:trPr>
          <w:trHeight w:val="212"/>
        </w:trPr>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131E29"/>
              </w:rPr>
              <w:t>Cash and cash equivalents at end of period</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131E29"/>
              </w:rPr>
              <w:t>$</w:t>
            </w:r>
          </w:p>
        </w:tc>
        <w:tc>
          <w:tcPr>
            <w:tcW w:w="860" w:type="dxa"/>
            <w:vAlign w:val="bottom"/>
            <w:tcBorders>
              <w:bottom w:val="single" w:sz="8" w:color="auto"/>
            </w:tcBorders>
          </w:tcPr>
          <w:p>
            <w:pPr>
              <w:jc w:val="center"/>
              <w:ind w:left="149"/>
              <w:spacing w:after="0"/>
              <w:rPr>
                <w:sz w:val="20"/>
                <w:szCs w:val="20"/>
                <w:color w:val="auto"/>
              </w:rPr>
            </w:pPr>
            <w:r>
              <w:rPr>
                <w:rFonts w:ascii="Arial" w:cs="Arial" w:eastAsia="Arial" w:hAnsi="Arial"/>
                <w:sz w:val="14"/>
                <w:szCs w:val="14"/>
                <w:b w:val="1"/>
                <w:bCs w:val="1"/>
                <w:color w:val="131E29"/>
              </w:rPr>
              <w:t>293,354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131E2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133,545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131E29"/>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20,178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159,809</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b w:val="1"/>
                <w:bCs w:val="1"/>
                <w:color w:val="131E29"/>
              </w:rPr>
              <w:t>119.7%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113,367</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561.8%</w:t>
            </w: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Operating Activities</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increase in operating activities cash flows was primarily driven by higher net income as a result of year-over-year sales growth, expanded company-operated shop contribution, leverage of selling, general and administrative costs, and working capital management.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Investing Activities</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decrease in investing activities cash outflows was primarily driven by lower i</w:t>
      </w:r>
      <w:r>
        <w:rPr>
          <w:rFonts w:ascii="Arial" w:cs="Arial" w:eastAsia="Arial" w:hAnsi="Arial"/>
          <w:sz w:val="14"/>
          <w:szCs w:val="14"/>
          <w:color w:val="000000"/>
        </w:rPr>
        <w:t>nvestment in capital expenditures due to fewer new company-operated shop openings in the current</w:t>
      </w:r>
      <w:r>
        <w:rPr>
          <w:rFonts w:ascii="Arial" w:cs="Arial" w:eastAsia="Arial" w:hAnsi="Arial"/>
          <w:sz w:val="14"/>
          <w:szCs w:val="14"/>
          <w:color w:val="131E29"/>
        </w:rPr>
        <w:t xml:space="preserve"> </w:t>
      </w:r>
      <w:r>
        <w:rPr>
          <w:rFonts w:ascii="Arial" w:cs="Arial" w:eastAsia="Arial" w:hAnsi="Arial"/>
          <w:sz w:val="14"/>
          <w:szCs w:val="14"/>
          <w:color w:val="000000"/>
        </w:rPr>
        <w:t xml:space="preserve">period compared to last period, and </w:t>
      </w:r>
      <w:r>
        <w:rPr>
          <w:rFonts w:ascii="Arial" w:cs="Arial" w:eastAsia="Arial" w:hAnsi="Arial"/>
          <w:sz w:val="14"/>
          <w:szCs w:val="14"/>
          <w:color w:val="131E29"/>
        </w:rPr>
        <w:t>higher proceeds from disposal of fixed assets in the current year, driven by the sale of our company plane (a non-recurring event)</w:t>
      </w:r>
      <w:r>
        <w:rPr>
          <w:rFonts w:ascii="Arial" w:cs="Arial" w:eastAsia="Arial" w:hAnsi="Arial"/>
          <w:sz w:val="14"/>
          <w:szCs w:val="14"/>
          <w:color w:val="000000"/>
        </w:rPr>
        <w: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Financing Activities</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decrease in financing activities cash flows was primarily driven by proceeds received in 2023 from our follow-on offering, partially offset by a prior year payoff of our net revolving credit facility, and our delayed draw term loan advance in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Cash Requirements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believe that cash provided by operating activities and proceeds from our 2022 Credit Facility are adequate to fund our debt service requirements, lease obligations, cash distributions required by the OpCo LLC Agreement and the TRAs, and working capital obligations for at least the next 12 months.</w:t>
      </w:r>
    </w:p>
    <w:p>
      <w:pPr>
        <w:spacing w:after="0" w:line="78" w:lineRule="exact"/>
        <w:rPr>
          <w:sz w:val="20"/>
          <w:szCs w:val="20"/>
          <w:color w:val="auto"/>
        </w:rPr>
      </w:pPr>
    </w:p>
    <w:p>
      <w:pPr>
        <w:jc w:val="both"/>
        <w:spacing w:after="0" w:line="177" w:lineRule="exact"/>
        <w:rPr>
          <w:sz w:val="20"/>
          <w:szCs w:val="20"/>
          <w:color w:val="auto"/>
        </w:rPr>
      </w:pPr>
      <w:r>
        <w:rPr>
          <w:rFonts w:ascii="Arial" w:cs="Arial" w:eastAsia="Arial" w:hAnsi="Arial"/>
          <w:sz w:val="14"/>
          <w:szCs w:val="14"/>
          <w:color w:val="131E29"/>
        </w:rPr>
        <w:t>Our future capital requirements may vary materially from period to period and will depend on many factors, primarily our expansion and growth by opening additional company-operated shops and/or reacquiring existing franchised shops, and our large-scale organization realignment including relocation of key business operations to Arizona. Further, the payments that we may be required to make under the TRAs may be significant. We currently expect to fund our current and long-term material capital requirements with operating cash flows and, as needed, additional proceeds from our 2022 Credit Facility, but we may also seek additional debt or equity financing. From time to time, we may explore additional financing sources which could include equity, equity</w:t>
      </w:r>
      <w:r>
        <w:rPr>
          <w:rFonts w:ascii="MS PGothic" w:cs="MS PGothic" w:eastAsia="MS PGothic" w:hAnsi="MS PGothic"/>
          <w:sz w:val="14"/>
          <w:szCs w:val="14"/>
          <w:color w:val="131E29"/>
        </w:rPr>
        <w:t>‑</w:t>
      </w:r>
      <w:r>
        <w:rPr>
          <w:rFonts w:ascii="Arial" w:cs="Arial" w:eastAsia="Arial" w:hAnsi="Arial"/>
          <w:sz w:val="14"/>
          <w:szCs w:val="14"/>
          <w:color w:val="131E29"/>
        </w:rPr>
        <w:t>linked, and debt financing arrangements.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6" w:name="page87"/>
    <w:bookmarkEnd w:id="8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Other than operating expenses, our cash requirements for 2025 are expected to consist primarily of capital expenditures for investments in our new and existing shops, our supply chain, and our corporate facilities. The total capital expenditures for 2025 are estimated to be approximately $240 million to $260 million.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131E29"/>
        </w:rPr>
        <w:t>Our current and long-term material cash requirements as of December 31, 2024, primarily include the following:</w:t>
      </w:r>
    </w:p>
    <w:p>
      <w:pPr>
        <w:spacing w:after="0" w:line="94" w:lineRule="exact"/>
        <w:rPr>
          <w:sz w:val="20"/>
          <w:szCs w:val="20"/>
          <w:color w:val="auto"/>
        </w:rPr>
      </w:pPr>
    </w:p>
    <w:p>
      <w:pPr>
        <w:ind w:left="260" w:hanging="255"/>
        <w:spacing w:after="0" w:line="284" w:lineRule="auto"/>
        <w:tabs>
          <w:tab w:leader="none" w:pos="256" w:val="left"/>
        </w:tabs>
        <w:numPr>
          <w:ilvl w:val="0"/>
          <w:numId w:val="45"/>
        </w:numPr>
        <w:rPr>
          <w:rFonts w:ascii="Arial" w:cs="Arial" w:eastAsia="Arial" w:hAnsi="Arial"/>
          <w:sz w:val="14"/>
          <w:szCs w:val="14"/>
          <w:color w:val="131E29"/>
        </w:rPr>
      </w:pPr>
      <w:r>
        <w:rPr>
          <w:rFonts w:ascii="Arial" w:cs="Arial" w:eastAsia="Arial" w:hAnsi="Arial"/>
          <w:sz w:val="14"/>
          <w:szCs w:val="14"/>
          <w:b w:val="1"/>
          <w:bCs w:val="1"/>
          <w:color w:val="006098"/>
        </w:rPr>
        <w:t xml:space="preserve">Debt Obligations: </w:t>
      </w:r>
      <w:r>
        <w:rPr>
          <w:rFonts w:ascii="Arial" w:cs="Arial" w:eastAsia="Arial" w:hAnsi="Arial"/>
          <w:sz w:val="14"/>
          <w:szCs w:val="14"/>
          <w:color w:val="131E29"/>
        </w:rPr>
        <w:t>Refer to NOTE 9 — Debt, of the notes to the consolidated financial statements, included elsewhere in this Form 10-K, for further information of our</w:t>
      </w:r>
      <w:r>
        <w:rPr>
          <w:rFonts w:ascii="Arial" w:cs="Arial" w:eastAsia="Arial" w:hAnsi="Arial"/>
          <w:sz w:val="14"/>
          <w:szCs w:val="14"/>
          <w:b w:val="1"/>
          <w:bCs w:val="1"/>
          <w:color w:val="006098"/>
        </w:rPr>
        <w:t xml:space="preserve"> </w:t>
      </w:r>
      <w:r>
        <w:rPr>
          <w:rFonts w:ascii="Arial" w:cs="Arial" w:eastAsia="Arial" w:hAnsi="Arial"/>
          <w:sz w:val="14"/>
          <w:szCs w:val="14"/>
          <w:color w:val="131E29"/>
        </w:rPr>
        <w:t>obligations and the timing of expected payments.</w:t>
      </w:r>
    </w:p>
    <w:p>
      <w:pPr>
        <w:ind w:left="260" w:hanging="255"/>
        <w:spacing w:after="0" w:line="284" w:lineRule="auto"/>
        <w:tabs>
          <w:tab w:leader="none" w:pos="256" w:val="left"/>
        </w:tabs>
        <w:numPr>
          <w:ilvl w:val="0"/>
          <w:numId w:val="45"/>
        </w:numPr>
        <w:rPr>
          <w:rFonts w:ascii="Arial" w:cs="Arial" w:eastAsia="Arial" w:hAnsi="Arial"/>
          <w:sz w:val="14"/>
          <w:szCs w:val="14"/>
          <w:color w:val="131E29"/>
        </w:rPr>
      </w:pPr>
      <w:r>
        <w:rPr>
          <w:rFonts w:ascii="Arial" w:cs="Arial" w:eastAsia="Arial" w:hAnsi="Arial"/>
          <w:sz w:val="14"/>
          <w:szCs w:val="14"/>
          <w:b w:val="1"/>
          <w:bCs w:val="1"/>
          <w:color w:val="006098"/>
        </w:rPr>
        <w:t xml:space="preserve">Operating and Finance Leases: </w:t>
      </w:r>
      <w:r>
        <w:rPr>
          <w:rFonts w:ascii="Arial" w:cs="Arial" w:eastAsia="Arial" w:hAnsi="Arial"/>
          <w:sz w:val="14"/>
          <w:szCs w:val="14"/>
          <w:color w:val="131E29"/>
        </w:rPr>
        <w:t>Refer to NOTE 8 — Leases, of the notes to the consolidated financial statements, included elsewhere in this Form 10-K, for further</w:t>
      </w:r>
      <w:r>
        <w:rPr>
          <w:rFonts w:ascii="Arial" w:cs="Arial" w:eastAsia="Arial" w:hAnsi="Arial"/>
          <w:sz w:val="14"/>
          <w:szCs w:val="14"/>
          <w:b w:val="1"/>
          <w:bCs w:val="1"/>
          <w:color w:val="006098"/>
        </w:rPr>
        <w:t xml:space="preserve"> </w:t>
      </w:r>
      <w:r>
        <w:rPr>
          <w:rFonts w:ascii="Arial" w:cs="Arial" w:eastAsia="Arial" w:hAnsi="Arial"/>
          <w:sz w:val="14"/>
          <w:szCs w:val="14"/>
          <w:color w:val="131E29"/>
        </w:rPr>
        <w:t>information of our obligations and the timing of expected payments.</w:t>
      </w:r>
    </w:p>
    <w:p>
      <w:pPr>
        <w:jc w:val="both"/>
        <w:ind w:left="260" w:hanging="255"/>
        <w:spacing w:after="0" w:line="271" w:lineRule="auto"/>
        <w:tabs>
          <w:tab w:leader="none" w:pos="256" w:val="left"/>
        </w:tabs>
        <w:numPr>
          <w:ilvl w:val="0"/>
          <w:numId w:val="45"/>
        </w:numPr>
        <w:rPr>
          <w:rFonts w:ascii="Arial" w:cs="Arial" w:eastAsia="Arial" w:hAnsi="Arial"/>
          <w:sz w:val="14"/>
          <w:szCs w:val="14"/>
          <w:color w:val="131E29"/>
        </w:rPr>
      </w:pPr>
      <w:r>
        <w:rPr>
          <w:rFonts w:ascii="Arial" w:cs="Arial" w:eastAsia="Arial" w:hAnsi="Arial"/>
          <w:sz w:val="14"/>
          <w:szCs w:val="14"/>
          <w:b w:val="1"/>
          <w:bCs w:val="1"/>
          <w:color w:val="006098"/>
        </w:rPr>
        <w:t xml:space="preserve">Purchase Obligations: </w:t>
      </w:r>
      <w:r>
        <w:rPr>
          <w:rFonts w:ascii="Arial" w:cs="Arial" w:eastAsia="Arial" w:hAnsi="Arial"/>
          <w:sz w:val="14"/>
          <w:szCs w:val="14"/>
          <w:color w:val="131E29"/>
        </w:rPr>
        <w:t>include all legally binding contracts, including firm minimum commitments for inventory purchases, commitments for the purchase, construction or</w:t>
      </w:r>
      <w:r>
        <w:rPr>
          <w:rFonts w:ascii="Arial" w:cs="Arial" w:eastAsia="Arial" w:hAnsi="Arial"/>
          <w:sz w:val="14"/>
          <w:szCs w:val="14"/>
          <w:b w:val="1"/>
          <w:bCs w:val="1"/>
          <w:color w:val="006098"/>
        </w:rPr>
        <w:t xml:space="preserve"> </w:t>
      </w:r>
      <w:r>
        <w:rPr>
          <w:rFonts w:ascii="Arial" w:cs="Arial" w:eastAsia="Arial" w:hAnsi="Arial"/>
          <w:sz w:val="14"/>
          <w:szCs w:val="14"/>
          <w:color w:val="131E29"/>
        </w:rPr>
        <w:t>remodeling of real estate facilities, equipment purchases, marketing-related contracts, software acquisition/license commitments and service contracts. As of December 31, 2024, purchase obligations were approximately $210 million, of which substantially all are expected to be paid within one to two years.</w:t>
      </w:r>
    </w:p>
    <w:p>
      <w:pPr>
        <w:spacing w:after="0" w:line="6" w:lineRule="exact"/>
        <w:rPr>
          <w:rFonts w:ascii="Arial" w:cs="Arial" w:eastAsia="Arial" w:hAnsi="Arial"/>
          <w:sz w:val="14"/>
          <w:szCs w:val="14"/>
          <w:color w:val="131E29"/>
        </w:rPr>
      </w:pPr>
    </w:p>
    <w:p>
      <w:pPr>
        <w:ind w:left="260" w:hanging="255"/>
        <w:spacing w:after="0" w:line="290" w:lineRule="auto"/>
        <w:tabs>
          <w:tab w:leader="none" w:pos="256" w:val="left"/>
        </w:tabs>
        <w:numPr>
          <w:ilvl w:val="0"/>
          <w:numId w:val="45"/>
        </w:numPr>
        <w:rPr>
          <w:rFonts w:ascii="Arial" w:cs="Arial" w:eastAsia="Arial" w:hAnsi="Arial"/>
          <w:sz w:val="14"/>
          <w:szCs w:val="14"/>
          <w:color w:val="131E29"/>
        </w:rPr>
      </w:pPr>
      <w:r>
        <w:rPr>
          <w:rFonts w:ascii="Arial" w:cs="Arial" w:eastAsia="Arial" w:hAnsi="Arial"/>
          <w:sz w:val="14"/>
          <w:szCs w:val="14"/>
          <w:b w:val="1"/>
          <w:bCs w:val="1"/>
          <w:color w:val="006098"/>
        </w:rPr>
        <w:t xml:space="preserve">TRAs Obligations: </w:t>
      </w:r>
      <w:r>
        <w:rPr>
          <w:rFonts w:ascii="Arial" w:cs="Arial" w:eastAsia="Arial" w:hAnsi="Arial"/>
          <w:sz w:val="14"/>
          <w:szCs w:val="14"/>
          <w:color w:val="131E29"/>
        </w:rPr>
        <w:t>Refer to NOTE 11 — Tax Receivable Agreements and NOTE 17 — Commitments and Contingencies, of the notes to the consolidated financial statements,</w:t>
      </w:r>
      <w:r>
        <w:rPr>
          <w:rFonts w:ascii="Arial" w:cs="Arial" w:eastAsia="Arial" w:hAnsi="Arial"/>
          <w:sz w:val="14"/>
          <w:szCs w:val="14"/>
          <w:b w:val="1"/>
          <w:bCs w:val="1"/>
          <w:color w:val="006098"/>
        </w:rPr>
        <w:t xml:space="preserve"> </w:t>
      </w:r>
      <w:r>
        <w:rPr>
          <w:rFonts w:ascii="Arial" w:cs="Arial" w:eastAsia="Arial" w:hAnsi="Arial"/>
          <w:sz w:val="14"/>
          <w:szCs w:val="14"/>
          <w:color w:val="131E29"/>
        </w:rPr>
        <w:t>included elsewhere in this Form 10-K, for further information of our obligations.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Credit Facility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JPMorgan Credit Facility</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On August 4, 2023, we amended our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131E29"/>
        </w:rPr>
        <w:t>On February 4, 2025, we drew the remaining $50 million on our delayed draw term loan facility before this portion was set to expire on February 4, 2025.</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Obligations under the 2022 Credit Facility are guaranteed by each of Dutch Bros Inc.’s subsidiaries, and secured by a first priority perfected security interest in substantially all of the assets of the guarantors.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Interest Rate Swap Contract</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have an interest rate swap with JPMorgan Chase Bank, N.A. As of December 31, 2024, the interest rate swap had a notional amount of approximately $63.9 million and hedges interest rate risk on the term loan under the 2022 Credit Facility. The purpose of the floating-to-fixed interest rate swap is to fix the interest base rate charged on the term loan at 2.67% for the notional amount. The interest rate swap matures on February 28, 2027.</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131E29"/>
        </w:rPr>
        <w:t>See NOTE 9 — Debt and NOTE 10 — Derivative Financial Instruments for additional details related to our 2022 Credit Facility and interest rate swap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7" w:name="page88"/>
    <w:bookmarkEnd w:id="8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Critical Accounting Estimates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consolidated financial statements. While we believe that our estimates, assumptions, and judgments are reasonable, they are based on information available when the estimate was made.</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Refer to NOTE 2 — Basis of Presentation and Summary of Significant Accounting Policies within the consolidated financial statements, included elsewhere in this Form 10-K, for further information on our critical accounting estimates and policies, which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Leases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At the commencement of each lease, we evaluate the lease agreement to determine whether it is an operating or finance lease. The evaluation requires significant judgments in determining the fair value of the lease right-of-use asset and the lease liability and appropriate lease terms.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lease agreements generally do not provide an implicit interest rate; as such, the discount rate used to measure the initial lease liability is equal to the rate the Company would pay on a collateralized basis to borrow an amount equal to the lease payments under similar terms. Management uses a specialist to determine the discount rate, which is subject to fluctuation based on market interest rates and our credit risk profile.</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also estimate the lease term at commencement. The lease term commences on the date when we take possession of the leased property. To determine the length of the lease term at inception, we consider both termination and renewal option periods available. Reasonably certain renewal periods are included in the lease term at commencement.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131E29"/>
        </w:rPr>
        <w:t>Variations in judgment applied to these estimates could result in material differences such as the following:</w:t>
      </w:r>
    </w:p>
    <w:p>
      <w:pPr>
        <w:spacing w:after="0" w:line="94" w:lineRule="exact"/>
        <w:rPr>
          <w:sz w:val="20"/>
          <w:szCs w:val="20"/>
          <w:color w:val="auto"/>
        </w:rPr>
      </w:pPr>
    </w:p>
    <w:p>
      <w:pPr>
        <w:ind w:left="100" w:hanging="95"/>
        <w:spacing w:after="0"/>
        <w:tabs>
          <w:tab w:leader="none" w:pos="10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Lease expenses, including rent, depreciation and amortization</w:t>
      </w:r>
    </w:p>
    <w:p>
      <w:pPr>
        <w:spacing w:after="0" w:line="51" w:lineRule="exact"/>
        <w:rPr>
          <w:rFonts w:ascii="Arial" w:cs="Arial" w:eastAsia="Arial" w:hAnsi="Arial"/>
          <w:sz w:val="14"/>
          <w:szCs w:val="14"/>
          <w:color w:val="131E29"/>
        </w:rPr>
      </w:pPr>
    </w:p>
    <w:p>
      <w:pPr>
        <w:ind w:left="100" w:hanging="95"/>
        <w:spacing w:after="0"/>
        <w:tabs>
          <w:tab w:leader="none" w:pos="10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Present value of lease right-of-use assets and lease liabilities</w:t>
      </w:r>
    </w:p>
    <w:p>
      <w:pPr>
        <w:spacing w:after="0" w:line="51" w:lineRule="exact"/>
        <w:rPr>
          <w:rFonts w:ascii="Arial" w:cs="Arial" w:eastAsia="Arial" w:hAnsi="Arial"/>
          <w:sz w:val="14"/>
          <w:szCs w:val="14"/>
          <w:color w:val="131E29"/>
        </w:rPr>
      </w:pPr>
    </w:p>
    <w:p>
      <w:pPr>
        <w:ind w:left="100" w:hanging="95"/>
        <w:spacing w:after="0"/>
        <w:tabs>
          <w:tab w:leader="none" w:pos="100" w:val="left"/>
        </w:tabs>
        <w:numPr>
          <w:ilvl w:val="0"/>
          <w:numId w:val="46"/>
        </w:numPr>
        <w:rPr>
          <w:rFonts w:ascii="Arial" w:cs="Arial" w:eastAsia="Arial" w:hAnsi="Arial"/>
          <w:sz w:val="14"/>
          <w:szCs w:val="14"/>
          <w:color w:val="131E29"/>
        </w:rPr>
      </w:pPr>
      <w:r>
        <w:rPr>
          <w:rFonts w:ascii="Arial" w:cs="Arial" w:eastAsia="Arial" w:hAnsi="Arial"/>
          <w:sz w:val="14"/>
          <w:szCs w:val="14"/>
          <w:color w:val="131E29"/>
        </w:rPr>
        <w:t>Reasonably certain lease term</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See NOTE 8 — Leases for further details.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Income Taxes</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In determining the provision for income taxes, we make estimates and judgments which affect our evaluation of the carrying value of our deferred tax assets as well as our calculation of certain tax liabilities. We evaluate the carrying value of our deferred tax assets on a quarterly basis. In completing this evaluation, we consider all available positive and negative evidence. Such evidence includes historical operating results, the existence of cumulative earnings and losses in the most recent fiscal years, taxable income in prior carryback year(s) if permitted under the tax law, expectations for future pre-tax operating income, the time period over which our temporary differences will reverse, and the implementation of feasible and prudent tax planning strategies. Estimating future taxable income is inherently uncertain and requires judgment.</w:t>
      </w:r>
    </w:p>
    <w:p>
      <w:pPr>
        <w:spacing w:after="0" w:line="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Our expense/(benefit) for income taxes, deferred tax assets and liabilities including valuation allowance requires the use of estimates based on our management’s interpretation and application of complex tax laws and accounting guidance.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8" w:name="page89"/>
    <w:bookmarkEnd w:id="8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 See NOTE 12 — Income Taxes for further details.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Tax Receivable Agreements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connection with our IPO, we entered into two TRAs with the Continuing Members and Pre-IPO Blocker Holders. The TRAs generally provide for us to pay the Continuing Members and Pre-IPO Blocker Holders 85% of the net cash savings, if any, in U.S. federal, state and local income tax or franchise tax that we actually realize or are deemed to realize in certain circumstances. We will retain the benefit of the remaining 15% of these net cash savings. As of December 31, 2024, we recognized $627.8 million of liabilities relating to our obligations under the TRAs.</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Changes in the projected TRAs liability resulting from these tax benefit arrangements may occur based on changes in anticipated future taxable income, changes in applicable tax rates or other changes in tax attributes that may occur and impact the expected future tax benefits to be received by the Company. Estimating future taxable income is a key input in calculating the TRAs liability, and is inherently uncertain and requires judgment. In projecting future taxable income, we consider our historical results and incorporate certain assumptions. See NOTE 11 — Tax Receivable Agreements for further details.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Non-GAAP Financial Measures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Segment contribution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Definition and/or calculation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Segment gross profit, before depreciation and amortization.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This non-GAAP measure is used by our management in making performance decisions without the impact of non-cash depreciation and amortization charges. This is a standard metric used across our industry by investors.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EBITDA, Adjusted EBITDA</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EBITDA — definition and/or calculation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Net income before interest expense (net of interest income), income tax expense, and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89" w:name="page90"/>
    <w:bookmarkEnd w:id="8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Adjusted EBITDA — definition and/or calculation</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Defined as EBITDA, excluding equity-based compensation, expenses associated with equity offerings, COVID-19: catastrophic leave expenses, COVID-19: prepaid costs not utilized, costs incurred for company-wide milestone events, executives transitions costs, (gain) loss on the remeasurement of the liability related to the TRAs, estimated expenses related to certain legal disputes, sale of aircraft, and organization realignment and restructuring costs.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Adjusted selling, general, and administrative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Definition and/or calculation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Selling, general, and administrative expenses, excluding depreciation and amortization, equity-based compensation expense, expenses associated with equity offerings, COVID-19:</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131E29"/>
        </w:rPr>
        <w:t>prepaid costs not utilized, costs incurred for company-wide milestone events, executive transitions, legal proceedings, and organization realignment and restructuring costs.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Usefulness to management and investors</w:t>
      </w:r>
    </w:p>
    <w:p>
      <w:pPr>
        <w:spacing w:after="0" w:line="5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Non-GAAP adjustments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131E29"/>
        </w:rPr>
        <w:t>Below are the definitions of the non-GAAP adjustments that are used in the calculation of our non-GAAP measures, as described above.</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Equity-based compensation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Non-cash expenses related to the grant and vesting of stock awards, including RSAs and RSUs, in Dutch Bros Inc. to certain eligible employees.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Expenses associated with equity offerings</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Costs incurred as a result of our equity offerings, including secondary offerings by our Sponsor. These costs include, but are not limited to, legal fees, consulting fees, tax fees, and accounting fees.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COVID-19: Catastrophic leave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131E29"/>
        </w:rPr>
        <w:t>Costs related to a catastrophic leave policy that provided paid leave to employees who were required to quarantine due to in-shop exposures and could not work their regular hours.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The catastrophic leave program was retired in May 2023.</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COVID-19: Prepaid costs not utilized</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Costs related to the write-off of previously prepaid expenses for the development of a virtual corporate engagement platform built in response to the health restrictions of the COVID-19 pandemic. The platform was developed as a substitute for in person engagement practices used pre-pandemic. The platform has been determined ineffective, particularly as we shift back to in-person events with the easing of restrictions related to the COVID-19 pandemic.</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Milestone events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131E29"/>
        </w:rPr>
        <w:t>Costs incurred for company-wide events to celebrate 30 years of serving high QUALITY, hand-crafted beverages with unparalleled SPEED and superior SERVICE to our customers.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0" w:name="page91"/>
    <w:bookmarkEnd w:id="9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Executive transitions</w:t>
      </w:r>
    </w:p>
    <w:p>
      <w:pPr>
        <w:spacing w:after="0" w:line="5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Employee severance and related benefit costs, as well as sign-on bonus(es) for several executive-level transitions occurring in 2022 and 2023, and amortized through the first quarter of 2024.</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TRAs remeasurements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(Gain) loss impacts related to adjustments of our TRAs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Legal proceedings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Loss accrual related to certain legal disputes.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Sale of Aircraft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Gain impact related to the sale of our airplane, hangar and related equipment to our Co-Founder.</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Organization realignment and restructuring</w:t>
      </w:r>
    </w:p>
    <w:p>
      <w:pPr>
        <w:spacing w:after="0" w:line="5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Fees and costs, including consulting, employee-related and other costs, in connection with our comprehensive initiative to develop and implement a long-term strategy involving changes to our organizational structure to support our growth. This initiative resulted in realignment activities that occurred in 2023, and restructuring activities that commenced in 2024, and are expected to continue through the first half of 2025. Given this strategic initiative's magnitude and scope, we do not expect such costs will recur in the foreseeable future, and do not consider such costs reflective of the ongoing costs necessary to operate our business.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are reconciliations of the most comparable GAAP metric to non-GAAP metrics (presented in dollars and as a percentage of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00" w:type="dxa"/>
            <w:vAlign w:val="bottom"/>
            <w:gridSpan w:val="2"/>
          </w:tcPr>
          <w:p>
            <w:pPr>
              <w:spacing w:after="0"/>
              <w:rPr>
                <w:sz w:val="20"/>
                <w:szCs w:val="20"/>
                <w:color w:val="auto"/>
              </w:rPr>
            </w:pPr>
            <w:r>
              <w:rPr>
                <w:rFonts w:ascii="Arial" w:cs="Arial" w:eastAsia="Arial" w:hAnsi="Arial"/>
                <w:sz w:val="14"/>
                <w:szCs w:val="14"/>
                <w:i w:val="1"/>
                <w:iCs w:val="1"/>
                <w:color w:val="006098"/>
              </w:rPr>
              <w:t>Segment contribution:</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6"/>
        </w:trPr>
        <w:tc>
          <w:tcPr>
            <w:tcW w:w="4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131E29"/>
                <w:w w:val="99"/>
              </w:rPr>
              <w:t>Year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03"/>
        </w:trPr>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2024</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center"/>
              <w:ind w:left="769"/>
              <w:spacing w:after="0"/>
              <w:rPr>
                <w:sz w:val="20"/>
                <w:szCs w:val="20"/>
                <w:color w:val="auto"/>
              </w:rPr>
            </w:pPr>
            <w:r>
              <w:rPr>
                <w:rFonts w:ascii="Arial" w:cs="Arial" w:eastAsia="Arial" w:hAnsi="Arial"/>
                <w:sz w:val="14"/>
                <w:szCs w:val="14"/>
                <w:b w:val="1"/>
                <w:bCs w:val="1"/>
                <w:color w:val="131E29"/>
              </w:rPr>
              <w:t>2023</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2022</w:t>
            </w:r>
          </w:p>
        </w:tc>
        <w:tc>
          <w:tcPr>
            <w:tcW w:w="840" w:type="dxa"/>
            <w:vAlign w:val="bottom"/>
            <w:tcBorders>
              <w:bottom w:val="single" w:sz="8" w:color="auto"/>
            </w:tcBorders>
          </w:tcPr>
          <w:p>
            <w:pPr>
              <w:spacing w:after="0"/>
              <w:rPr>
                <w:sz w:val="17"/>
                <w:szCs w:val="17"/>
                <w:color w:val="auto"/>
              </w:rPr>
            </w:pPr>
          </w:p>
        </w:tc>
      </w:tr>
      <w:tr>
        <w:trPr>
          <w:trHeight w:val="20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131E29"/>
              </w:rPr>
              <w:t>%</w:t>
            </w:r>
          </w:p>
        </w:tc>
      </w:tr>
      <w:tr>
        <w:trPr>
          <w:trHeight w:val="209"/>
        </w:trPr>
        <w:tc>
          <w:tcPr>
            <w:tcW w:w="50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Company-operated shop gross profit</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259,959</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22.3</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180,235</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21.0</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121,327</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19.0</w:t>
            </w:r>
          </w:p>
        </w:tc>
      </w:tr>
      <w:tr>
        <w:trPr>
          <w:trHeight w:val="203"/>
        </w:trPr>
        <w:tc>
          <w:tcPr>
            <w:tcW w:w="50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86,809</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7.4</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62,088</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7.2</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36,306</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5.6</w:t>
            </w:r>
          </w:p>
        </w:tc>
      </w:tr>
      <w:tr>
        <w:trPr>
          <w:trHeight w:val="237"/>
        </w:trPr>
        <w:tc>
          <w:tcPr>
            <w:tcW w:w="50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Company-operated shop contribution</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346,768</w:t>
            </w:r>
          </w:p>
        </w:tc>
        <w:tc>
          <w:tcPr>
            <w:tcW w:w="100" w:type="dxa"/>
            <w:vAlign w:val="bottom"/>
            <w:tcBorders>
              <w:bottom w:val="single" w:sz="8" w:color="D2DCE5"/>
            </w:tcBorders>
            <w:shd w:val="clear" w:color="auto" w:fill="D2DCE5"/>
          </w:tcPr>
          <w:p>
            <w:pPr>
              <w:spacing w:after="0"/>
              <w:rPr>
                <w:sz w:val="20"/>
                <w:szCs w:val="20"/>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29.7</w:t>
            </w:r>
          </w:p>
        </w:tc>
        <w:tc>
          <w:tcPr>
            <w:tcW w:w="80" w:type="dxa"/>
            <w:vAlign w:val="bottom"/>
            <w:tcBorders>
              <w:bottom w:val="single" w:sz="8" w:color="D2DCE5"/>
            </w:tcBorders>
            <w:shd w:val="clear" w:color="auto" w:fill="D2DCE5"/>
          </w:tcPr>
          <w:p>
            <w:pPr>
              <w:spacing w:after="0"/>
              <w:rPr>
                <w:sz w:val="20"/>
                <w:szCs w:val="20"/>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242,323</w:t>
            </w:r>
          </w:p>
        </w:tc>
        <w:tc>
          <w:tcPr>
            <w:tcW w:w="100" w:type="dxa"/>
            <w:vAlign w:val="bottom"/>
            <w:tcBorders>
              <w:bottom w:val="single" w:sz="8" w:color="D2DCE5"/>
            </w:tcBorders>
            <w:shd w:val="clear" w:color="auto" w:fill="D2DCE5"/>
          </w:tcPr>
          <w:p>
            <w:pPr>
              <w:spacing w:after="0"/>
              <w:rPr>
                <w:sz w:val="20"/>
                <w:szCs w:val="20"/>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28.2</w:t>
            </w:r>
          </w:p>
        </w:tc>
        <w:tc>
          <w:tcPr>
            <w:tcW w:w="80" w:type="dxa"/>
            <w:vAlign w:val="bottom"/>
            <w:tcBorders>
              <w:bottom w:val="single" w:sz="8" w:color="D2DCE5"/>
            </w:tcBorders>
            <w:shd w:val="clear" w:color="auto" w:fill="D2DCE5"/>
          </w:tcPr>
          <w:p>
            <w:pPr>
              <w:spacing w:after="0"/>
              <w:rPr>
                <w:sz w:val="20"/>
                <w:szCs w:val="20"/>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157,633</w:t>
            </w:r>
          </w:p>
        </w:tc>
        <w:tc>
          <w:tcPr>
            <w:tcW w:w="100" w:type="dxa"/>
            <w:vAlign w:val="bottom"/>
            <w:tcBorders>
              <w:bottom w:val="single" w:sz="8" w:color="D2DCE5"/>
            </w:tcBorders>
            <w:shd w:val="clear" w:color="auto" w:fill="D2DCE5"/>
          </w:tcPr>
          <w:p>
            <w:pPr>
              <w:spacing w:after="0"/>
              <w:rPr>
                <w:sz w:val="20"/>
                <w:szCs w:val="20"/>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24.6</w:t>
            </w:r>
          </w:p>
        </w:tc>
      </w:tr>
      <w:tr>
        <w:trPr>
          <w:trHeight w:val="20"/>
        </w:trPr>
        <w:tc>
          <w:tcPr>
            <w:tcW w:w="49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r>
      <w:tr>
        <w:trPr>
          <w:trHeight w:val="392"/>
        </w:trPr>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131E29"/>
                <w:w w:val="99"/>
              </w:rPr>
              <w:t>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3"/>
        </w:trPr>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2024</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center"/>
              <w:ind w:left="769"/>
              <w:spacing w:after="0"/>
              <w:rPr>
                <w:sz w:val="20"/>
                <w:szCs w:val="20"/>
                <w:color w:val="auto"/>
              </w:rPr>
            </w:pPr>
            <w:r>
              <w:rPr>
                <w:rFonts w:ascii="Arial" w:cs="Arial" w:eastAsia="Arial" w:hAnsi="Arial"/>
                <w:sz w:val="14"/>
                <w:szCs w:val="14"/>
                <w:b w:val="1"/>
                <w:bCs w:val="1"/>
                <w:color w:val="131E29"/>
              </w:rPr>
              <w:t>2023</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2022</w:t>
            </w:r>
          </w:p>
        </w:tc>
        <w:tc>
          <w:tcPr>
            <w:tcW w:w="840" w:type="dxa"/>
            <w:vAlign w:val="bottom"/>
            <w:tcBorders>
              <w:bottom w:val="single" w:sz="8" w:color="auto"/>
            </w:tcBorders>
          </w:tcPr>
          <w:p>
            <w:pPr>
              <w:spacing w:after="0"/>
              <w:rPr>
                <w:sz w:val="17"/>
                <w:szCs w:val="17"/>
                <w:color w:val="auto"/>
              </w:rPr>
            </w:pPr>
          </w:p>
        </w:tc>
      </w:tr>
      <w:tr>
        <w:trPr>
          <w:trHeight w:val="20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131E29"/>
              </w:rPr>
              <w:t>%</w:t>
            </w:r>
          </w:p>
        </w:tc>
      </w:tr>
      <w:tr>
        <w:trPr>
          <w:trHeight w:val="209"/>
        </w:trPr>
        <w:tc>
          <w:tcPr>
            <w:tcW w:w="50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Franchising and other gross profit</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80,170</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69.6</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71,061</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65.9</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59,589</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60.0</w:t>
            </w:r>
          </w:p>
        </w:tc>
      </w:tr>
      <w:tr>
        <w:trPr>
          <w:trHeight w:val="203"/>
        </w:trPr>
        <w:tc>
          <w:tcPr>
            <w:tcW w:w="50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4,915</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4.3</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5,398</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5.0</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5,706</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5.8</w:t>
            </w:r>
          </w:p>
        </w:tc>
      </w:tr>
      <w:tr>
        <w:trPr>
          <w:trHeight w:val="237"/>
        </w:trPr>
        <w:tc>
          <w:tcPr>
            <w:tcW w:w="50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Franchising and other contribution</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85,085</w:t>
            </w:r>
          </w:p>
        </w:tc>
        <w:tc>
          <w:tcPr>
            <w:tcW w:w="100" w:type="dxa"/>
            <w:vAlign w:val="bottom"/>
            <w:tcBorders>
              <w:bottom w:val="single" w:sz="8" w:color="D2DCE5"/>
            </w:tcBorders>
            <w:shd w:val="clear" w:color="auto" w:fill="D2DCE5"/>
          </w:tcPr>
          <w:p>
            <w:pPr>
              <w:spacing w:after="0"/>
              <w:rPr>
                <w:sz w:val="20"/>
                <w:szCs w:val="20"/>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73.9</w:t>
            </w:r>
          </w:p>
        </w:tc>
        <w:tc>
          <w:tcPr>
            <w:tcW w:w="80" w:type="dxa"/>
            <w:vAlign w:val="bottom"/>
            <w:tcBorders>
              <w:bottom w:val="single" w:sz="8" w:color="D2DCE5"/>
            </w:tcBorders>
            <w:shd w:val="clear" w:color="auto" w:fill="D2DCE5"/>
          </w:tcPr>
          <w:p>
            <w:pPr>
              <w:spacing w:after="0"/>
              <w:rPr>
                <w:sz w:val="20"/>
                <w:szCs w:val="20"/>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76,459</w:t>
            </w:r>
          </w:p>
        </w:tc>
        <w:tc>
          <w:tcPr>
            <w:tcW w:w="100" w:type="dxa"/>
            <w:vAlign w:val="bottom"/>
            <w:tcBorders>
              <w:bottom w:val="single" w:sz="8" w:color="D2DCE5"/>
            </w:tcBorders>
            <w:shd w:val="clear" w:color="auto" w:fill="D2DCE5"/>
          </w:tcPr>
          <w:p>
            <w:pPr>
              <w:spacing w:after="0"/>
              <w:rPr>
                <w:sz w:val="20"/>
                <w:szCs w:val="20"/>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70.9</w:t>
            </w:r>
          </w:p>
        </w:tc>
        <w:tc>
          <w:tcPr>
            <w:tcW w:w="80" w:type="dxa"/>
            <w:vAlign w:val="bottom"/>
            <w:tcBorders>
              <w:bottom w:val="single" w:sz="8" w:color="D2DCE5"/>
            </w:tcBorders>
            <w:shd w:val="clear" w:color="auto" w:fill="D2DCE5"/>
          </w:tcPr>
          <w:p>
            <w:pPr>
              <w:spacing w:after="0"/>
              <w:rPr>
                <w:sz w:val="20"/>
                <w:szCs w:val="20"/>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65,295</w:t>
            </w:r>
          </w:p>
        </w:tc>
        <w:tc>
          <w:tcPr>
            <w:tcW w:w="100" w:type="dxa"/>
            <w:vAlign w:val="bottom"/>
            <w:tcBorders>
              <w:bottom w:val="single" w:sz="8" w:color="D2DCE5"/>
            </w:tcBorders>
            <w:shd w:val="clear" w:color="auto" w:fill="D2DCE5"/>
          </w:tcPr>
          <w:p>
            <w:pPr>
              <w:spacing w:after="0"/>
              <w:rPr>
                <w:sz w:val="20"/>
                <w:szCs w:val="20"/>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65.8</w:t>
            </w:r>
          </w:p>
        </w:tc>
      </w:tr>
      <w:tr>
        <w:trPr>
          <w:trHeight w:val="20"/>
        </w:trPr>
        <w:tc>
          <w:tcPr>
            <w:tcW w:w="49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8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1" w:name="page92"/>
    <w:bookmarkEnd w:id="9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131E29"/>
                <w:w w:val="99"/>
              </w:rPr>
              <w:t>Year Ended December 31,</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2024</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center"/>
              <w:ind w:left="769"/>
              <w:spacing w:after="0"/>
              <w:rPr>
                <w:sz w:val="20"/>
                <w:szCs w:val="20"/>
                <w:color w:val="auto"/>
              </w:rPr>
            </w:pPr>
            <w:r>
              <w:rPr>
                <w:rFonts w:ascii="Arial" w:cs="Arial" w:eastAsia="Arial" w:hAnsi="Arial"/>
                <w:sz w:val="14"/>
                <w:szCs w:val="14"/>
                <w:b w:val="1"/>
                <w:bCs w:val="1"/>
                <w:color w:val="131E29"/>
              </w:rPr>
              <w:t>2023</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2022</w:t>
            </w:r>
          </w:p>
        </w:tc>
        <w:tc>
          <w:tcPr>
            <w:tcW w:w="840" w:type="dxa"/>
            <w:vAlign w:val="bottom"/>
            <w:tcBorders>
              <w:bottom w:val="single" w:sz="8" w:color="auto"/>
            </w:tcBorders>
          </w:tcPr>
          <w:p>
            <w:pPr>
              <w:spacing w:after="0"/>
              <w:rPr>
                <w:sz w:val="17"/>
                <w:szCs w:val="17"/>
                <w:color w:val="auto"/>
              </w:rPr>
            </w:pPr>
          </w:p>
        </w:tc>
      </w:tr>
      <w:tr>
        <w:trPr>
          <w:trHeight w:val="20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131E29"/>
            </w:tcBorders>
          </w:tcPr>
          <w:p>
            <w:pPr>
              <w:jc w:val="right"/>
              <w:ind w:right="2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131E29"/>
            </w:tcBorders>
          </w:tcPr>
          <w:p>
            <w:pPr>
              <w:jc w:val="right"/>
              <w:ind w:right="2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131E29"/>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131E29"/>
            </w:tcBorders>
          </w:tcPr>
          <w:p>
            <w:pPr>
              <w:jc w:val="right"/>
              <w:ind w:right="289"/>
              <w:spacing w:after="0"/>
              <w:rPr>
                <w:sz w:val="20"/>
                <w:szCs w:val="20"/>
                <w:color w:val="auto"/>
              </w:rPr>
            </w:pPr>
            <w:r>
              <w:rPr>
                <w:rFonts w:ascii="Arial" w:cs="Arial" w:eastAsia="Arial" w:hAnsi="Arial"/>
                <w:sz w:val="14"/>
                <w:szCs w:val="14"/>
                <w:b w:val="1"/>
                <w:bCs w:val="1"/>
                <w:color w:val="131E29"/>
              </w:rPr>
              <w:t>%</w:t>
            </w:r>
          </w:p>
        </w:tc>
      </w:tr>
      <w:tr>
        <w:trPr>
          <w:trHeight w:val="209"/>
        </w:trPr>
        <w:tc>
          <w:tcPr>
            <w:tcW w:w="50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Net income (loss)</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66,450</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5.2</w:t>
            </w:r>
          </w:p>
        </w:tc>
        <w:tc>
          <w:tcPr>
            <w:tcW w:w="1180" w:type="dxa"/>
            <w:vAlign w:val="bottom"/>
            <w:gridSpan w:val="2"/>
            <w:shd w:val="clear" w:color="auto" w:fill="D2DCE5"/>
          </w:tcPr>
          <w:p>
            <w:pPr>
              <w:jc w:val="right"/>
              <w:spacing w:after="0"/>
              <w:rPr>
                <w:sz w:val="20"/>
                <w:szCs w:val="20"/>
                <w:color w:val="auto"/>
              </w:rPr>
            </w:pPr>
            <w:r>
              <w:rPr>
                <w:rFonts w:ascii="Arial" w:cs="Arial" w:eastAsia="Arial" w:hAnsi="Arial"/>
                <w:sz w:val="14"/>
                <w:szCs w:val="14"/>
                <w:b w:val="1"/>
                <w:bCs w:val="1"/>
                <w:color w:val="131E29"/>
              </w:rPr>
              <w:t>9,952</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1.0</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(19,253)</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(2.6)</w:t>
            </w:r>
          </w:p>
        </w:tc>
      </w:tr>
      <w:tr>
        <w:trPr>
          <w:trHeight w:val="202"/>
        </w:trPr>
        <w:tc>
          <w:tcPr>
            <w:tcW w:w="5000" w:type="dxa"/>
            <w:vAlign w:val="bottom"/>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1100" w:type="dxa"/>
            <w:vAlign w:val="bottom"/>
          </w:tcPr>
          <w:p>
            <w:pPr>
              <w:jc w:val="right"/>
              <w:spacing w:after="0"/>
              <w:rPr>
                <w:sz w:val="20"/>
                <w:szCs w:val="20"/>
                <w:color w:val="auto"/>
              </w:rPr>
            </w:pPr>
            <w:r>
              <w:rPr>
                <w:rFonts w:ascii="Arial" w:cs="Arial" w:eastAsia="Arial" w:hAnsi="Arial"/>
                <w:sz w:val="14"/>
                <w:szCs w:val="14"/>
                <w:color w:val="131E29"/>
              </w:rPr>
              <w:t>93,005</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7.3</w:t>
            </w:r>
          </w:p>
        </w:tc>
        <w:tc>
          <w:tcPr>
            <w:tcW w:w="1180" w:type="dxa"/>
            <w:vAlign w:val="bottom"/>
            <w:gridSpan w:val="2"/>
          </w:tcPr>
          <w:p>
            <w:pPr>
              <w:jc w:val="right"/>
              <w:spacing w:after="0"/>
              <w:rPr>
                <w:sz w:val="20"/>
                <w:szCs w:val="20"/>
                <w:color w:val="auto"/>
              </w:rPr>
            </w:pPr>
            <w:r>
              <w:rPr>
                <w:rFonts w:ascii="Arial" w:cs="Arial" w:eastAsia="Arial" w:hAnsi="Arial"/>
                <w:sz w:val="14"/>
                <w:szCs w:val="14"/>
                <w:color w:val="131E29"/>
              </w:rPr>
              <w:t>69,135</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7.2</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31E29"/>
              </w:rPr>
              <w:t>44,728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6.0</w:t>
            </w:r>
          </w:p>
        </w:tc>
      </w:tr>
      <w:tr>
        <w:trPr>
          <w:trHeight w:val="222"/>
        </w:trPr>
        <w:tc>
          <w:tcPr>
            <w:tcW w:w="5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Interest expense, net</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27,020</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w:t>
            </w:r>
          </w:p>
        </w:tc>
        <w:tc>
          <w:tcPr>
            <w:tcW w:w="11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32,321</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3.3</w:t>
            </w:r>
          </w:p>
        </w:tc>
        <w:tc>
          <w:tcPr>
            <w:tcW w:w="80" w:type="dxa"/>
            <w:vAlign w:val="bottom"/>
            <w:shd w:val="clear" w:color="auto" w:fill="D2DCE5"/>
          </w:tcPr>
          <w:p>
            <w:pPr>
              <w:spacing w:after="0"/>
              <w:rPr>
                <w:sz w:val="19"/>
                <w:szCs w:val="19"/>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18,018</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w:t>
            </w:r>
          </w:p>
        </w:tc>
      </w:tr>
      <w:tr>
        <w:trPr>
          <w:trHeight w:val="203"/>
        </w:trPr>
        <w:tc>
          <w:tcPr>
            <w:tcW w:w="50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Income tax expense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18,435</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1.4</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6,967</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0.8</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2,599</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0.4</w:t>
            </w:r>
          </w:p>
        </w:tc>
      </w:tr>
      <w:tr>
        <w:trPr>
          <w:trHeight w:val="212"/>
        </w:trPr>
        <w:tc>
          <w:tcPr>
            <w:tcW w:w="5000" w:type="dxa"/>
            <w:vAlign w:val="bottom"/>
            <w:gridSpan w:val="2"/>
            <w:shd w:val="clear" w:color="auto" w:fill="D2DCE5"/>
          </w:tcPr>
          <w:p>
            <w:pPr>
              <w:ind w:left="280"/>
              <w:spacing w:after="0"/>
              <w:rPr>
                <w:sz w:val="20"/>
                <w:szCs w:val="20"/>
                <w:color w:val="auto"/>
              </w:rPr>
            </w:pPr>
            <w:r>
              <w:rPr>
                <w:rFonts w:ascii="Arial" w:cs="Arial" w:eastAsia="Arial" w:hAnsi="Arial"/>
                <w:sz w:val="14"/>
                <w:szCs w:val="14"/>
                <w:b w:val="1"/>
                <w:bCs w:val="1"/>
                <w:color w:val="131E29"/>
              </w:rPr>
              <w:t>EBITDA</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204,910</w:t>
            </w:r>
          </w:p>
        </w:tc>
        <w:tc>
          <w:tcPr>
            <w:tcW w:w="100" w:type="dxa"/>
            <w:vAlign w:val="bottom"/>
            <w:shd w:val="clear" w:color="auto" w:fill="D2DCE5"/>
          </w:tcPr>
          <w:p>
            <w:pPr>
              <w:spacing w:after="0"/>
              <w:rPr>
                <w:sz w:val="18"/>
                <w:szCs w:val="18"/>
                <w:color w:val="auto"/>
              </w:rPr>
            </w:pPr>
          </w:p>
        </w:tc>
        <w:tc>
          <w:tcPr>
            <w:tcW w:w="8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16.0</w:t>
            </w:r>
          </w:p>
        </w:tc>
        <w:tc>
          <w:tcPr>
            <w:tcW w:w="80" w:type="dxa"/>
            <w:vAlign w:val="bottom"/>
            <w:shd w:val="clear" w:color="auto" w:fill="D2DCE5"/>
          </w:tcPr>
          <w:p>
            <w:pPr>
              <w:spacing w:after="0"/>
              <w:rPr>
                <w:sz w:val="18"/>
                <w:szCs w:val="18"/>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118,375</w:t>
            </w:r>
          </w:p>
        </w:tc>
        <w:tc>
          <w:tcPr>
            <w:tcW w:w="100" w:type="dxa"/>
            <w:vAlign w:val="bottom"/>
            <w:shd w:val="clear" w:color="auto" w:fill="D2DCE5"/>
          </w:tcPr>
          <w:p>
            <w:pPr>
              <w:spacing w:after="0"/>
              <w:rPr>
                <w:sz w:val="18"/>
                <w:szCs w:val="18"/>
                <w:color w:val="auto"/>
              </w:rPr>
            </w:pPr>
          </w:p>
        </w:tc>
        <w:tc>
          <w:tcPr>
            <w:tcW w:w="8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12.3</w:t>
            </w:r>
          </w:p>
        </w:tc>
        <w:tc>
          <w:tcPr>
            <w:tcW w:w="80" w:type="dxa"/>
            <w:vAlign w:val="bottom"/>
            <w:shd w:val="clear" w:color="auto" w:fill="D2DCE5"/>
          </w:tcPr>
          <w:p>
            <w:pPr>
              <w:spacing w:after="0"/>
              <w:rPr>
                <w:sz w:val="18"/>
                <w:szCs w:val="18"/>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46,092</w:t>
            </w:r>
          </w:p>
        </w:tc>
        <w:tc>
          <w:tcPr>
            <w:tcW w:w="100" w:type="dxa"/>
            <w:vAlign w:val="bottom"/>
            <w:shd w:val="clear" w:color="auto" w:fill="D2DCE5"/>
          </w:tcPr>
          <w:p>
            <w:pPr>
              <w:spacing w:after="0"/>
              <w:rPr>
                <w:sz w:val="18"/>
                <w:szCs w:val="18"/>
                <w:color w:val="auto"/>
              </w:rPr>
            </w:pPr>
          </w:p>
        </w:tc>
        <w:tc>
          <w:tcPr>
            <w:tcW w:w="84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6.2</w:t>
            </w:r>
          </w:p>
        </w:tc>
      </w:tr>
      <w:tr>
        <w:trPr>
          <w:trHeight w:val="193"/>
        </w:trPr>
        <w:tc>
          <w:tcPr>
            <w:tcW w:w="5000" w:type="dxa"/>
            <w:vAlign w:val="bottom"/>
            <w:gridSpan w:val="2"/>
          </w:tcPr>
          <w:p>
            <w:pPr>
              <w:ind w:left="140"/>
              <w:spacing w:after="0"/>
              <w:rPr>
                <w:sz w:val="20"/>
                <w:szCs w:val="20"/>
                <w:color w:val="auto"/>
              </w:rPr>
            </w:pPr>
            <w:r>
              <w:rPr>
                <w:rFonts w:ascii="Arial" w:cs="Arial" w:eastAsia="Arial" w:hAnsi="Arial"/>
                <w:sz w:val="14"/>
                <w:szCs w:val="14"/>
                <w:color w:val="131E29"/>
              </w:rPr>
              <w:t>Equity-based compensation</w:t>
            </w:r>
          </w:p>
        </w:tc>
        <w:tc>
          <w:tcPr>
            <w:tcW w:w="1100" w:type="dxa"/>
            <w:vAlign w:val="bottom"/>
          </w:tcPr>
          <w:p>
            <w:pPr>
              <w:jc w:val="right"/>
              <w:spacing w:after="0"/>
              <w:rPr>
                <w:sz w:val="20"/>
                <w:szCs w:val="20"/>
                <w:color w:val="auto"/>
              </w:rPr>
            </w:pPr>
            <w:r>
              <w:rPr>
                <w:rFonts w:ascii="Arial" w:cs="Arial" w:eastAsia="Arial" w:hAnsi="Arial"/>
                <w:sz w:val="14"/>
                <w:szCs w:val="14"/>
                <w:color w:val="131E29"/>
              </w:rPr>
              <w:t>11,482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0.9</w:t>
            </w:r>
          </w:p>
        </w:tc>
        <w:tc>
          <w:tcPr>
            <w:tcW w:w="1180" w:type="dxa"/>
            <w:vAlign w:val="bottom"/>
            <w:gridSpan w:val="2"/>
          </w:tcPr>
          <w:p>
            <w:pPr>
              <w:jc w:val="right"/>
              <w:spacing w:after="0"/>
              <w:rPr>
                <w:sz w:val="20"/>
                <w:szCs w:val="20"/>
                <w:color w:val="auto"/>
              </w:rPr>
            </w:pPr>
            <w:r>
              <w:rPr>
                <w:rFonts w:ascii="Arial" w:cs="Arial" w:eastAsia="Arial" w:hAnsi="Arial"/>
                <w:sz w:val="14"/>
                <w:szCs w:val="14"/>
                <w:color w:val="131E29"/>
              </w:rPr>
              <w:t>39,222</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4.1</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31E29"/>
              </w:rPr>
              <w:t>41,657</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5.6</w:t>
            </w:r>
          </w:p>
        </w:tc>
      </w:tr>
      <w:tr>
        <w:trPr>
          <w:trHeight w:val="222"/>
        </w:trPr>
        <w:tc>
          <w:tcPr>
            <w:tcW w:w="5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Expenses associated with equity offerings</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1,489</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80" w:type="dxa"/>
            <w:vAlign w:val="bottom"/>
            <w:shd w:val="clear" w:color="auto" w:fill="DBDBDB"/>
          </w:tcPr>
          <w:p>
            <w:pPr>
              <w:spacing w:after="0"/>
              <w:rPr>
                <w:sz w:val="19"/>
                <w:szCs w:val="19"/>
                <w:color w:val="auto"/>
              </w:rPr>
            </w:pP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5000" w:type="dxa"/>
            <w:vAlign w:val="bottom"/>
            <w:gridSpan w:val="2"/>
          </w:tcPr>
          <w:p>
            <w:pPr>
              <w:ind w:left="140"/>
              <w:spacing w:after="0"/>
              <w:rPr>
                <w:sz w:val="20"/>
                <w:szCs w:val="20"/>
                <w:color w:val="auto"/>
              </w:rPr>
            </w:pPr>
            <w:r>
              <w:rPr>
                <w:rFonts w:ascii="Arial" w:cs="Arial" w:eastAsia="Arial" w:hAnsi="Arial"/>
                <w:sz w:val="14"/>
                <w:szCs w:val="14"/>
                <w:color w:val="131E29"/>
              </w:rPr>
              <w:t>COVID-19: Catastrophic leave</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100" w:type="dxa"/>
            <w:vAlign w:val="bottom"/>
          </w:tcPr>
          <w:p>
            <w:pPr>
              <w:jc w:val="right"/>
              <w:spacing w:after="0"/>
              <w:rPr>
                <w:sz w:val="20"/>
                <w:szCs w:val="20"/>
                <w:color w:val="auto"/>
              </w:rPr>
            </w:pPr>
            <w:r>
              <w:rPr>
                <w:rFonts w:ascii="Arial" w:cs="Arial" w:eastAsia="Arial" w:hAnsi="Arial"/>
                <w:sz w:val="14"/>
                <w:szCs w:val="14"/>
                <w:color w:val="131E29"/>
              </w:rPr>
              <w:t>1,468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0.2</w:t>
            </w:r>
          </w:p>
        </w:tc>
      </w:tr>
      <w:tr>
        <w:trPr>
          <w:trHeight w:val="222"/>
        </w:trPr>
        <w:tc>
          <w:tcPr>
            <w:tcW w:w="5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COVID-19: prepaid costs not utilized</w:t>
            </w: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2,305</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0.3</w:t>
            </w:r>
          </w:p>
        </w:tc>
      </w:tr>
      <w:tr>
        <w:trPr>
          <w:trHeight w:val="202"/>
        </w:trPr>
        <w:tc>
          <w:tcPr>
            <w:tcW w:w="5000" w:type="dxa"/>
            <w:vAlign w:val="bottom"/>
            <w:gridSpan w:val="2"/>
          </w:tcPr>
          <w:p>
            <w:pPr>
              <w:ind w:left="140"/>
              <w:spacing w:after="0"/>
              <w:rPr>
                <w:sz w:val="20"/>
                <w:szCs w:val="20"/>
                <w:color w:val="auto"/>
              </w:rPr>
            </w:pPr>
            <w:r>
              <w:rPr>
                <w:rFonts w:ascii="Arial" w:cs="Arial" w:eastAsia="Arial" w:hAnsi="Arial"/>
                <w:sz w:val="14"/>
                <w:szCs w:val="14"/>
                <w:color w:val="131E29"/>
              </w:rPr>
              <w:t>Milestone events</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100" w:type="dxa"/>
            <w:vAlign w:val="bottom"/>
          </w:tcPr>
          <w:p>
            <w:pPr>
              <w:jc w:val="right"/>
              <w:spacing w:after="0"/>
              <w:rPr>
                <w:sz w:val="20"/>
                <w:szCs w:val="20"/>
                <w:color w:val="auto"/>
              </w:rPr>
            </w:pPr>
            <w:r>
              <w:rPr>
                <w:rFonts w:ascii="Arial" w:cs="Arial" w:eastAsia="Arial" w:hAnsi="Arial"/>
                <w:sz w:val="14"/>
                <w:szCs w:val="14"/>
                <w:color w:val="131E29"/>
              </w:rPr>
              <w:t>2,434</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0.3</w:t>
            </w:r>
          </w:p>
        </w:tc>
      </w:tr>
      <w:tr>
        <w:trPr>
          <w:trHeight w:val="222"/>
        </w:trPr>
        <w:tc>
          <w:tcPr>
            <w:tcW w:w="5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Executive transitions</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75</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80" w:type="dxa"/>
            <w:vAlign w:val="bottom"/>
            <w:shd w:val="clear" w:color="auto" w:fill="D2DCE5"/>
          </w:tcPr>
          <w:p>
            <w:pPr>
              <w:spacing w:after="0"/>
              <w:rPr>
                <w:sz w:val="19"/>
                <w:szCs w:val="19"/>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691</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r>
      <w:tr>
        <w:trPr>
          <w:trHeight w:val="202"/>
        </w:trPr>
        <w:tc>
          <w:tcPr>
            <w:tcW w:w="5000" w:type="dxa"/>
            <w:vAlign w:val="bottom"/>
            <w:gridSpan w:val="2"/>
          </w:tcPr>
          <w:p>
            <w:pPr>
              <w:ind w:left="140"/>
              <w:spacing w:after="0"/>
              <w:rPr>
                <w:sz w:val="20"/>
                <w:szCs w:val="20"/>
                <w:color w:val="auto"/>
              </w:rPr>
            </w:pPr>
            <w:r>
              <w:rPr>
                <w:rFonts w:ascii="Arial" w:cs="Arial" w:eastAsia="Arial" w:hAnsi="Arial"/>
                <w:sz w:val="14"/>
                <w:szCs w:val="14"/>
                <w:color w:val="131E29"/>
              </w:rPr>
              <w:t>TRAs remeasurement</w:t>
            </w:r>
          </w:p>
        </w:tc>
        <w:tc>
          <w:tcPr>
            <w:tcW w:w="1100" w:type="dxa"/>
            <w:vAlign w:val="bottom"/>
          </w:tcPr>
          <w:p>
            <w:pPr>
              <w:jc w:val="right"/>
              <w:spacing w:after="0"/>
              <w:rPr>
                <w:sz w:val="20"/>
                <w:szCs w:val="20"/>
                <w:color w:val="auto"/>
              </w:rPr>
            </w:pPr>
            <w:r>
              <w:rPr>
                <w:rFonts w:ascii="Arial" w:cs="Arial" w:eastAsia="Arial" w:hAnsi="Arial"/>
                <w:sz w:val="14"/>
                <w:szCs w:val="14"/>
                <w:color w:val="131E29"/>
              </w:rPr>
              <w:t>(4,247)</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(0.3)</w:t>
            </w:r>
          </w:p>
        </w:tc>
        <w:tc>
          <w:tcPr>
            <w:tcW w:w="1180" w:type="dxa"/>
            <w:vAlign w:val="bottom"/>
            <w:gridSpan w:val="2"/>
          </w:tcPr>
          <w:p>
            <w:pPr>
              <w:jc w:val="right"/>
              <w:spacing w:after="0"/>
              <w:rPr>
                <w:sz w:val="20"/>
                <w:szCs w:val="20"/>
                <w:color w:val="auto"/>
              </w:rPr>
            </w:pPr>
            <w:r>
              <w:rPr>
                <w:rFonts w:ascii="Arial" w:cs="Arial" w:eastAsia="Arial" w:hAnsi="Arial"/>
                <w:sz w:val="14"/>
                <w:szCs w:val="14"/>
                <w:color w:val="131E29"/>
              </w:rPr>
              <w:t>(2,638)</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(0.3)</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31E29"/>
              </w:rPr>
              <w:t>(3,466)</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(0.4)</w:t>
            </w:r>
          </w:p>
        </w:tc>
      </w:tr>
      <w:tr>
        <w:trPr>
          <w:trHeight w:val="222"/>
        </w:trPr>
        <w:tc>
          <w:tcPr>
            <w:tcW w:w="5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Legal proceedings</w:t>
            </w: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1,950</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0.2</w:t>
            </w:r>
          </w:p>
        </w:tc>
        <w:tc>
          <w:tcPr>
            <w:tcW w:w="80" w:type="dxa"/>
            <w:vAlign w:val="bottom"/>
            <w:shd w:val="clear" w:color="auto" w:fill="D2DCE5"/>
          </w:tcPr>
          <w:p>
            <w:pPr>
              <w:spacing w:after="0"/>
              <w:rPr>
                <w:sz w:val="19"/>
                <w:szCs w:val="19"/>
                <w:color w:val="auto"/>
              </w:rPr>
            </w:pP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12"/>
        </w:trPr>
        <w:tc>
          <w:tcPr>
            <w:tcW w:w="5000" w:type="dxa"/>
            <w:vAlign w:val="bottom"/>
            <w:gridSpan w:val="2"/>
          </w:tcPr>
          <w:p>
            <w:pPr>
              <w:ind w:left="140"/>
              <w:spacing w:after="0"/>
              <w:rPr>
                <w:sz w:val="20"/>
                <w:szCs w:val="20"/>
                <w:color w:val="auto"/>
              </w:rPr>
            </w:pPr>
            <w:r>
              <w:rPr>
                <w:rFonts w:ascii="Arial" w:cs="Arial" w:eastAsia="Arial" w:hAnsi="Arial"/>
                <w:sz w:val="14"/>
                <w:szCs w:val="14"/>
                <w:color w:val="131E29"/>
              </w:rPr>
              <w:t>Sale of aircraft</w:t>
            </w:r>
          </w:p>
        </w:tc>
        <w:tc>
          <w:tcPr>
            <w:tcW w:w="1100" w:type="dxa"/>
            <w:vAlign w:val="bottom"/>
          </w:tcPr>
          <w:p>
            <w:pPr>
              <w:jc w:val="right"/>
              <w:spacing w:after="0"/>
              <w:rPr>
                <w:sz w:val="20"/>
                <w:szCs w:val="20"/>
                <w:color w:val="auto"/>
              </w:rPr>
            </w:pPr>
            <w:r>
              <w:rPr>
                <w:rFonts w:ascii="Arial" w:cs="Arial" w:eastAsia="Arial" w:hAnsi="Arial"/>
                <w:sz w:val="14"/>
                <w:szCs w:val="14"/>
                <w:color w:val="131E29"/>
              </w:rPr>
              <w:t>(1,302)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(0.1)</w:t>
            </w: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12"/>
        </w:trPr>
        <w:tc>
          <w:tcPr>
            <w:tcW w:w="5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Organization realignment and restructuring:</w:t>
            </w:r>
          </w:p>
        </w:tc>
        <w:tc>
          <w:tcPr>
            <w:tcW w:w="11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spacing w:after="0"/>
              <w:rPr>
                <w:sz w:val="18"/>
                <w:szCs w:val="18"/>
                <w:color w:val="auto"/>
              </w:rPr>
            </w:pPr>
          </w:p>
        </w:tc>
      </w:tr>
      <w:tr>
        <w:trPr>
          <w:trHeight w:val="212"/>
        </w:trPr>
        <w:tc>
          <w:tcPr>
            <w:tcW w:w="5000" w:type="dxa"/>
            <w:vAlign w:val="bottom"/>
            <w:gridSpan w:val="2"/>
          </w:tcPr>
          <w:p>
            <w:pPr>
              <w:ind w:left="280"/>
              <w:spacing w:after="0"/>
              <w:rPr>
                <w:sz w:val="20"/>
                <w:szCs w:val="20"/>
                <w:color w:val="auto"/>
              </w:rPr>
            </w:pPr>
            <w:r>
              <w:rPr>
                <w:rFonts w:ascii="Arial" w:cs="Arial" w:eastAsia="Arial" w:hAnsi="Arial"/>
                <w:sz w:val="14"/>
                <w:szCs w:val="14"/>
                <w:color w:val="131E29"/>
              </w:rPr>
              <w:t>Consulting</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131E29"/>
              </w:rPr>
              <w:t>2,153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12"/>
        </w:trPr>
        <w:tc>
          <w:tcPr>
            <w:tcW w:w="500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Employee-related costs</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15,549</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w:t>
            </w:r>
          </w:p>
        </w:tc>
        <w:tc>
          <w:tcPr>
            <w:tcW w:w="80" w:type="dxa"/>
            <w:vAlign w:val="bottom"/>
            <w:shd w:val="clear" w:color="auto" w:fill="D2DCE5"/>
          </w:tcPr>
          <w:p>
            <w:pPr>
              <w:spacing w:after="0"/>
              <w:rPr>
                <w:sz w:val="18"/>
                <w:szCs w:val="18"/>
                <w:color w:val="auto"/>
              </w:rPr>
            </w:pP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500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Other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2,327</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5000" w:type="dxa"/>
            <w:vAlign w:val="bottom"/>
            <w:gridSpan w:val="2"/>
            <w:shd w:val="clear" w:color="auto" w:fill="D2DCE5"/>
          </w:tcPr>
          <w:p>
            <w:pPr>
              <w:ind w:left="400"/>
              <w:spacing w:after="0"/>
              <w:rPr>
                <w:sz w:val="20"/>
                <w:szCs w:val="20"/>
                <w:color w:val="auto"/>
              </w:rPr>
            </w:pPr>
            <w:r>
              <w:rPr>
                <w:rFonts w:ascii="Arial" w:cs="Arial" w:eastAsia="Arial" w:hAnsi="Arial"/>
                <w:sz w:val="14"/>
                <w:szCs w:val="14"/>
                <w:color w:val="131E29"/>
              </w:rPr>
              <w:t>Total organization realignment and restructuring</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17,876</w:t>
            </w:r>
          </w:p>
        </w:tc>
        <w:tc>
          <w:tcPr>
            <w:tcW w:w="100" w:type="dxa"/>
            <w:vAlign w:val="bottom"/>
            <w:shd w:val="clear" w:color="auto" w:fill="D2DCE5"/>
          </w:tcPr>
          <w:p>
            <w:pPr>
              <w:spacing w:after="0"/>
              <w:rPr>
                <w:sz w:val="17"/>
                <w:szCs w:val="17"/>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w:t>
            </w:r>
          </w:p>
        </w:tc>
        <w:tc>
          <w:tcPr>
            <w:tcW w:w="80" w:type="dxa"/>
            <w:vAlign w:val="bottom"/>
            <w:shd w:val="clear" w:color="auto" w:fill="D2DCE5"/>
          </w:tcPr>
          <w:p>
            <w:pPr>
              <w:spacing w:after="0"/>
              <w:rPr>
                <w:sz w:val="17"/>
                <w:szCs w:val="17"/>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2,153</w:t>
            </w:r>
          </w:p>
        </w:tc>
        <w:tc>
          <w:tcPr>
            <w:tcW w:w="100" w:type="dxa"/>
            <w:vAlign w:val="bottom"/>
            <w:shd w:val="clear" w:color="auto" w:fill="D2DCE5"/>
          </w:tcPr>
          <w:p>
            <w:pPr>
              <w:spacing w:after="0"/>
              <w:rPr>
                <w:sz w:val="17"/>
                <w:szCs w:val="17"/>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0.2</w:t>
            </w:r>
          </w:p>
        </w:tc>
        <w:tc>
          <w:tcPr>
            <w:tcW w:w="80" w:type="dxa"/>
            <w:vAlign w:val="bottom"/>
            <w:shd w:val="clear" w:color="auto" w:fill="D2DCE5"/>
          </w:tcPr>
          <w:p>
            <w:pPr>
              <w:spacing w:after="0"/>
              <w:rPr>
                <w:sz w:val="17"/>
                <w:szCs w:val="17"/>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7"/>
                <w:szCs w:val="17"/>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12"/>
        </w:trPr>
        <w:tc>
          <w:tcPr>
            <w:tcW w:w="5000" w:type="dxa"/>
            <w:vAlign w:val="bottom"/>
            <w:gridSpan w:val="2"/>
          </w:tcPr>
          <w:p>
            <w:pPr>
              <w:ind w:left="400"/>
              <w:spacing w:after="0"/>
              <w:rPr>
                <w:sz w:val="20"/>
                <w:szCs w:val="20"/>
                <w:color w:val="auto"/>
              </w:rPr>
            </w:pPr>
            <w:r>
              <w:rPr>
                <w:rFonts w:ascii="Arial" w:cs="Arial" w:eastAsia="Arial" w:hAnsi="Arial"/>
                <w:sz w:val="14"/>
                <w:szCs w:val="14"/>
                <w:b w:val="1"/>
                <w:bCs w:val="1"/>
                <w:color w:val="131E29"/>
              </w:rPr>
              <w:t>Adjusted EBITDA</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230,283</w:t>
            </w:r>
          </w:p>
        </w:tc>
        <w:tc>
          <w:tcPr>
            <w:tcW w:w="100" w:type="dxa"/>
            <w:vAlign w:val="bottom"/>
          </w:tcPr>
          <w:p>
            <w:pPr>
              <w:spacing w:after="0"/>
              <w:rPr>
                <w:sz w:val="18"/>
                <w:szCs w:val="18"/>
                <w:color w:val="auto"/>
              </w:rPr>
            </w:pPr>
          </w:p>
        </w:tc>
        <w:tc>
          <w:tcPr>
            <w:tcW w:w="840" w:type="dxa"/>
            <w:vAlign w:val="bottom"/>
            <w:tcBorders>
              <w:bottom w:val="single" w:sz="8" w:color="131E29"/>
            </w:tcBorders>
          </w:tcPr>
          <w:p>
            <w:pPr>
              <w:jc w:val="right"/>
              <w:spacing w:after="0"/>
              <w:rPr>
                <w:sz w:val="20"/>
                <w:szCs w:val="20"/>
                <w:color w:val="auto"/>
              </w:rPr>
            </w:pPr>
            <w:r>
              <w:rPr>
                <w:rFonts w:ascii="Arial" w:cs="Arial" w:eastAsia="Arial" w:hAnsi="Arial"/>
                <w:sz w:val="14"/>
                <w:szCs w:val="14"/>
                <w:b w:val="1"/>
                <w:bCs w:val="1"/>
                <w:color w:val="131E29"/>
              </w:rPr>
              <w:t>18.0</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160,062</w:t>
            </w:r>
          </w:p>
        </w:tc>
        <w:tc>
          <w:tcPr>
            <w:tcW w:w="100" w:type="dxa"/>
            <w:vAlign w:val="bottom"/>
          </w:tcPr>
          <w:p>
            <w:pPr>
              <w:spacing w:after="0"/>
              <w:rPr>
                <w:sz w:val="18"/>
                <w:szCs w:val="18"/>
                <w:color w:val="auto"/>
              </w:rPr>
            </w:pPr>
          </w:p>
        </w:tc>
        <w:tc>
          <w:tcPr>
            <w:tcW w:w="840" w:type="dxa"/>
            <w:vAlign w:val="bottom"/>
            <w:tcBorders>
              <w:bottom w:val="single" w:sz="8" w:color="131E29"/>
            </w:tcBorders>
          </w:tcPr>
          <w:p>
            <w:pPr>
              <w:jc w:val="right"/>
              <w:spacing w:after="0"/>
              <w:rPr>
                <w:sz w:val="20"/>
                <w:szCs w:val="20"/>
                <w:color w:val="auto"/>
              </w:rPr>
            </w:pPr>
            <w:r>
              <w:rPr>
                <w:rFonts w:ascii="Arial" w:cs="Arial" w:eastAsia="Arial" w:hAnsi="Arial"/>
                <w:sz w:val="14"/>
                <w:szCs w:val="14"/>
                <w:b w:val="1"/>
                <w:bCs w:val="1"/>
                <w:color w:val="131E29"/>
              </w:rPr>
              <w:t>16.6</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91,181</w:t>
            </w:r>
          </w:p>
        </w:tc>
        <w:tc>
          <w:tcPr>
            <w:tcW w:w="100" w:type="dxa"/>
            <w:vAlign w:val="bottom"/>
          </w:tcPr>
          <w:p>
            <w:pPr>
              <w:spacing w:after="0"/>
              <w:rPr>
                <w:sz w:val="18"/>
                <w:szCs w:val="18"/>
                <w:color w:val="auto"/>
              </w:rPr>
            </w:pPr>
          </w:p>
        </w:tc>
        <w:tc>
          <w:tcPr>
            <w:tcW w:w="840" w:type="dxa"/>
            <w:vAlign w:val="bottom"/>
            <w:tcBorders>
              <w:bottom w:val="single" w:sz="8" w:color="131E29"/>
            </w:tcBorders>
          </w:tcPr>
          <w:p>
            <w:pPr>
              <w:jc w:val="right"/>
              <w:spacing w:after="0"/>
              <w:rPr>
                <w:sz w:val="20"/>
                <w:szCs w:val="20"/>
                <w:color w:val="auto"/>
              </w:rPr>
            </w:pPr>
            <w:r>
              <w:rPr>
                <w:rFonts w:ascii="Arial" w:cs="Arial" w:eastAsia="Arial" w:hAnsi="Arial"/>
                <w:sz w:val="14"/>
                <w:szCs w:val="14"/>
                <w:b w:val="1"/>
                <w:bCs w:val="1"/>
                <w:color w:val="131E29"/>
              </w:rPr>
              <w:t>12.3</w:t>
            </w: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131E29"/>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131E29"/>
            </w:tcBorders>
          </w:tcPr>
          <w:p>
            <w:pPr>
              <w:spacing w:after="0" w:line="20" w:lineRule="exact"/>
              <w:rPr>
                <w:sz w:val="1"/>
                <w:szCs w:val="1"/>
                <w:color w:val="auto"/>
              </w:rPr>
            </w:pPr>
          </w:p>
        </w:tc>
      </w:tr>
      <w:tr>
        <w:trPr>
          <w:trHeight w:val="412"/>
        </w:trPr>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131E29"/>
                <w:w w:val="99"/>
              </w:rPr>
              <w:t>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203"/>
        </w:trPr>
        <w:tc>
          <w:tcPr>
            <w:tcW w:w="4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2024</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center"/>
              <w:ind w:left="769"/>
              <w:spacing w:after="0"/>
              <w:rPr>
                <w:sz w:val="20"/>
                <w:szCs w:val="20"/>
                <w:color w:val="auto"/>
              </w:rPr>
            </w:pPr>
            <w:r>
              <w:rPr>
                <w:rFonts w:ascii="Arial" w:cs="Arial" w:eastAsia="Arial" w:hAnsi="Arial"/>
                <w:sz w:val="14"/>
                <w:szCs w:val="14"/>
                <w:b w:val="1"/>
                <w:bCs w:val="1"/>
                <w:color w:val="131E29"/>
              </w:rPr>
              <w:t>2023</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131E29"/>
              </w:rPr>
              <w:t>2022</w:t>
            </w:r>
          </w:p>
        </w:tc>
        <w:tc>
          <w:tcPr>
            <w:tcW w:w="840" w:type="dxa"/>
            <w:vAlign w:val="bottom"/>
            <w:tcBorders>
              <w:bottom w:val="single" w:sz="8" w:color="auto"/>
            </w:tcBorders>
          </w:tcPr>
          <w:p>
            <w:pPr>
              <w:spacing w:after="0"/>
              <w:rPr>
                <w:sz w:val="17"/>
                <w:szCs w:val="17"/>
                <w:color w:val="auto"/>
              </w:rPr>
            </w:pPr>
          </w:p>
        </w:tc>
      </w:tr>
      <w:tr>
        <w:trPr>
          <w:trHeight w:val="203"/>
        </w:trPr>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unaudited)</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131E29"/>
              </w:rPr>
              <w:t>%</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131E29"/>
              </w:rPr>
              <w:t>%</w:t>
            </w:r>
          </w:p>
        </w:tc>
      </w:tr>
      <w:tr>
        <w:trPr>
          <w:trHeight w:val="209"/>
        </w:trPr>
        <w:tc>
          <w:tcPr>
            <w:tcW w:w="50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Selling, general, and administrative</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234,036</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18.3</w:t>
            </w:r>
          </w:p>
        </w:tc>
        <w:tc>
          <w:tcPr>
            <w:tcW w:w="1180" w:type="dxa"/>
            <w:vAlign w:val="bottom"/>
            <w:gridSpan w:val="2"/>
            <w:shd w:val="clear" w:color="auto" w:fill="D2DCE5"/>
          </w:tcPr>
          <w:p>
            <w:pPr>
              <w:jc w:val="right"/>
              <w:spacing w:after="0"/>
              <w:rPr>
                <w:sz w:val="20"/>
                <w:szCs w:val="20"/>
                <w:color w:val="auto"/>
              </w:rPr>
            </w:pPr>
            <w:r>
              <w:rPr>
                <w:rFonts w:ascii="Arial" w:cs="Arial" w:eastAsia="Arial" w:hAnsi="Arial"/>
                <w:sz w:val="14"/>
                <w:szCs w:val="14"/>
                <w:b w:val="1"/>
                <w:bCs w:val="1"/>
                <w:color w:val="131E29"/>
              </w:rPr>
              <w:t>205,074</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21.2</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183,528</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24.8</w:t>
            </w:r>
          </w:p>
        </w:tc>
      </w:tr>
      <w:tr>
        <w:trPr>
          <w:trHeight w:val="212"/>
        </w:trPr>
        <w:tc>
          <w:tcPr>
            <w:tcW w:w="5000" w:type="dxa"/>
            <w:vAlign w:val="bottom"/>
            <w:gridSpan w:val="2"/>
          </w:tcPr>
          <w:p>
            <w:pPr>
              <w:ind w:left="140"/>
              <w:spacing w:after="0"/>
              <w:rPr>
                <w:sz w:val="20"/>
                <w:szCs w:val="20"/>
                <w:color w:val="auto"/>
              </w:rPr>
            </w:pPr>
            <w:r>
              <w:rPr>
                <w:rFonts w:ascii="Arial" w:cs="Arial" w:eastAsia="Arial" w:hAnsi="Arial"/>
                <w:sz w:val="14"/>
                <w:szCs w:val="14"/>
                <w:color w:val="131E29"/>
              </w:rPr>
              <w:t>Depreciation and amortization</w:t>
            </w:r>
          </w:p>
        </w:tc>
        <w:tc>
          <w:tcPr>
            <w:tcW w:w="1100" w:type="dxa"/>
            <w:vAlign w:val="bottom"/>
          </w:tcPr>
          <w:p>
            <w:pPr>
              <w:jc w:val="right"/>
              <w:spacing w:after="0"/>
              <w:rPr>
                <w:sz w:val="20"/>
                <w:szCs w:val="20"/>
                <w:color w:val="auto"/>
              </w:rPr>
            </w:pPr>
            <w:r>
              <w:rPr>
                <w:rFonts w:ascii="Arial" w:cs="Arial" w:eastAsia="Arial" w:hAnsi="Arial"/>
                <w:sz w:val="14"/>
                <w:szCs w:val="14"/>
                <w:color w:val="131E29"/>
              </w:rPr>
              <w:t>(1,281)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(0.2)</w:t>
            </w:r>
          </w:p>
        </w:tc>
        <w:tc>
          <w:tcPr>
            <w:tcW w:w="1180" w:type="dxa"/>
            <w:vAlign w:val="bottom"/>
            <w:gridSpan w:val="2"/>
          </w:tcPr>
          <w:p>
            <w:pPr>
              <w:jc w:val="right"/>
              <w:spacing w:after="0"/>
              <w:rPr>
                <w:sz w:val="20"/>
                <w:szCs w:val="20"/>
                <w:color w:val="auto"/>
              </w:rPr>
            </w:pPr>
            <w:r>
              <w:rPr>
                <w:rFonts w:ascii="Arial" w:cs="Arial" w:eastAsia="Arial" w:hAnsi="Arial"/>
                <w:sz w:val="14"/>
                <w:szCs w:val="14"/>
                <w:color w:val="131E29"/>
              </w:rPr>
              <w:t>(1,648)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(0.1)</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131E29"/>
              </w:rPr>
              <w:t>(2,716)</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(0.4)</w:t>
            </w:r>
          </w:p>
        </w:tc>
      </w:tr>
      <w:tr>
        <w:trPr>
          <w:trHeight w:val="212"/>
        </w:trPr>
        <w:tc>
          <w:tcPr>
            <w:tcW w:w="5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Equity-based compensation</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(10,595)</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(0.8)</w:t>
            </w:r>
          </w:p>
        </w:tc>
        <w:tc>
          <w:tcPr>
            <w:tcW w:w="11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(39,222)</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(4.1)</w:t>
            </w: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(41,657)</w:t>
            </w:r>
          </w:p>
        </w:tc>
        <w:tc>
          <w:tcPr>
            <w:tcW w:w="100" w:type="dxa"/>
            <w:vAlign w:val="bottom"/>
            <w:shd w:val="clear" w:color="auto" w:fill="D2DCE5"/>
          </w:tcPr>
          <w:p>
            <w:pPr>
              <w:spacing w:after="0"/>
              <w:rPr>
                <w:sz w:val="18"/>
                <w:szCs w:val="18"/>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(5.6)</w:t>
            </w:r>
          </w:p>
        </w:tc>
      </w:tr>
      <w:tr>
        <w:trPr>
          <w:trHeight w:val="202"/>
        </w:trPr>
        <w:tc>
          <w:tcPr>
            <w:tcW w:w="5000" w:type="dxa"/>
            <w:vAlign w:val="bottom"/>
            <w:gridSpan w:val="2"/>
          </w:tcPr>
          <w:p>
            <w:pPr>
              <w:ind w:left="140"/>
              <w:spacing w:after="0"/>
              <w:rPr>
                <w:sz w:val="20"/>
                <w:szCs w:val="20"/>
                <w:color w:val="auto"/>
              </w:rPr>
            </w:pPr>
            <w:r>
              <w:rPr>
                <w:rFonts w:ascii="Arial" w:cs="Arial" w:eastAsia="Arial" w:hAnsi="Arial"/>
                <w:sz w:val="14"/>
                <w:szCs w:val="14"/>
                <w:color w:val="131E29"/>
              </w:rPr>
              <w:t>Expenses associated with equity offerings</w:t>
            </w:r>
          </w:p>
        </w:tc>
        <w:tc>
          <w:tcPr>
            <w:tcW w:w="1100" w:type="dxa"/>
            <w:vAlign w:val="bottom"/>
          </w:tcPr>
          <w:p>
            <w:pPr>
              <w:jc w:val="right"/>
              <w:spacing w:after="0"/>
              <w:rPr>
                <w:sz w:val="20"/>
                <w:szCs w:val="20"/>
                <w:color w:val="auto"/>
              </w:rPr>
            </w:pPr>
            <w:r>
              <w:rPr>
                <w:rFonts w:ascii="Arial" w:cs="Arial" w:eastAsia="Arial" w:hAnsi="Arial"/>
                <w:sz w:val="14"/>
                <w:szCs w:val="14"/>
                <w:color w:val="131E29"/>
              </w:rPr>
              <w:t>(1,489)</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(0.1)</w:t>
            </w: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2"/>
        </w:trPr>
        <w:tc>
          <w:tcPr>
            <w:tcW w:w="5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COVID-19: prepaid costs not utilized</w:t>
            </w: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(2,305)</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(0.3)</w:t>
            </w:r>
          </w:p>
        </w:tc>
      </w:tr>
      <w:tr>
        <w:trPr>
          <w:trHeight w:val="202"/>
        </w:trPr>
        <w:tc>
          <w:tcPr>
            <w:tcW w:w="5000" w:type="dxa"/>
            <w:vAlign w:val="bottom"/>
            <w:gridSpan w:val="2"/>
          </w:tcPr>
          <w:p>
            <w:pPr>
              <w:ind w:left="140"/>
              <w:spacing w:after="0"/>
              <w:rPr>
                <w:sz w:val="20"/>
                <w:szCs w:val="20"/>
                <w:color w:val="auto"/>
              </w:rPr>
            </w:pPr>
            <w:r>
              <w:rPr>
                <w:rFonts w:ascii="Arial" w:cs="Arial" w:eastAsia="Arial" w:hAnsi="Arial"/>
                <w:sz w:val="14"/>
                <w:szCs w:val="14"/>
                <w:color w:val="131E29"/>
              </w:rPr>
              <w:t>Milestone events</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100" w:type="dxa"/>
            <w:vAlign w:val="bottom"/>
          </w:tcPr>
          <w:p>
            <w:pPr>
              <w:jc w:val="right"/>
              <w:spacing w:after="0"/>
              <w:rPr>
                <w:sz w:val="20"/>
                <w:szCs w:val="20"/>
                <w:color w:val="auto"/>
              </w:rPr>
            </w:pPr>
            <w:r>
              <w:rPr>
                <w:rFonts w:ascii="Arial" w:cs="Arial" w:eastAsia="Arial" w:hAnsi="Arial"/>
                <w:sz w:val="14"/>
                <w:szCs w:val="14"/>
                <w:color w:val="131E29"/>
              </w:rPr>
              <w:t>(2,434)</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(0.3)</w:t>
            </w:r>
          </w:p>
        </w:tc>
      </w:tr>
      <w:tr>
        <w:trPr>
          <w:trHeight w:val="222"/>
        </w:trPr>
        <w:tc>
          <w:tcPr>
            <w:tcW w:w="5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Executives transition</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(75)</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(1,000)</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c>
          <w:tcPr>
            <w:tcW w:w="80" w:type="dxa"/>
            <w:vAlign w:val="bottom"/>
            <w:shd w:val="clear" w:color="auto" w:fill="D2DCE5"/>
          </w:tcPr>
          <w:p>
            <w:pPr>
              <w:spacing w:after="0"/>
              <w:rPr>
                <w:sz w:val="19"/>
                <w:szCs w:val="19"/>
                <w:color w:val="auto"/>
              </w:rPr>
            </w:pP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(691)</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(0.1)</w:t>
            </w:r>
          </w:p>
        </w:tc>
      </w:tr>
      <w:tr>
        <w:trPr>
          <w:trHeight w:val="202"/>
        </w:trPr>
        <w:tc>
          <w:tcPr>
            <w:tcW w:w="5000" w:type="dxa"/>
            <w:vAlign w:val="bottom"/>
            <w:gridSpan w:val="2"/>
          </w:tcPr>
          <w:p>
            <w:pPr>
              <w:ind w:left="140"/>
              <w:spacing w:after="0"/>
              <w:rPr>
                <w:sz w:val="20"/>
                <w:szCs w:val="20"/>
                <w:color w:val="auto"/>
              </w:rPr>
            </w:pPr>
            <w:r>
              <w:rPr>
                <w:rFonts w:ascii="Arial" w:cs="Arial" w:eastAsia="Arial" w:hAnsi="Arial"/>
                <w:sz w:val="14"/>
                <w:szCs w:val="14"/>
                <w:color w:val="131E29"/>
              </w:rPr>
              <w:t>Legal proceedings</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131E29"/>
              </w:rPr>
              <w:t>(1,950)</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2"/>
        </w:trPr>
        <w:tc>
          <w:tcPr>
            <w:tcW w:w="50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Organization realignment and restructuring:</w:t>
            </w:r>
          </w:p>
        </w:tc>
        <w:tc>
          <w:tcPr>
            <w:tcW w:w="11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1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1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spacing w:after="0"/>
              <w:rPr>
                <w:sz w:val="19"/>
                <w:szCs w:val="19"/>
                <w:color w:val="auto"/>
              </w:rPr>
            </w:pPr>
          </w:p>
        </w:tc>
      </w:tr>
      <w:tr>
        <w:trPr>
          <w:trHeight w:val="202"/>
        </w:trPr>
        <w:tc>
          <w:tcPr>
            <w:tcW w:w="5000" w:type="dxa"/>
            <w:vAlign w:val="bottom"/>
            <w:gridSpan w:val="2"/>
          </w:tcPr>
          <w:p>
            <w:pPr>
              <w:ind w:left="280"/>
              <w:spacing w:after="0"/>
              <w:rPr>
                <w:sz w:val="20"/>
                <w:szCs w:val="20"/>
                <w:color w:val="auto"/>
              </w:rPr>
            </w:pPr>
            <w:r>
              <w:rPr>
                <w:rFonts w:ascii="Arial" w:cs="Arial" w:eastAsia="Arial" w:hAnsi="Arial"/>
                <w:sz w:val="14"/>
                <w:szCs w:val="14"/>
                <w:color w:val="131E29"/>
              </w:rPr>
              <w:t>Consulting</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131E29"/>
              </w:rPr>
              <w:t>(2,153)</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2"/>
        </w:trPr>
        <w:tc>
          <w:tcPr>
            <w:tcW w:w="500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Employee-related costs</w:t>
            </w:r>
          </w:p>
        </w:tc>
        <w:tc>
          <w:tcPr>
            <w:tcW w:w="1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(15,549)</w:t>
            </w:r>
          </w:p>
        </w:tc>
        <w:tc>
          <w:tcPr>
            <w:tcW w:w="100" w:type="dxa"/>
            <w:vAlign w:val="bottom"/>
            <w:shd w:val="clear" w:color="auto" w:fill="D2DCE5"/>
          </w:tcPr>
          <w:p>
            <w:pPr>
              <w:spacing w:after="0"/>
              <w:rPr>
                <w:sz w:val="19"/>
                <w:szCs w:val="19"/>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w:t>
            </w:r>
          </w:p>
        </w:tc>
        <w:tc>
          <w:tcPr>
            <w:tcW w:w="80" w:type="dxa"/>
            <w:vAlign w:val="bottom"/>
            <w:shd w:val="clear" w:color="auto" w:fill="D2DCE5"/>
          </w:tcPr>
          <w:p>
            <w:pPr>
              <w:spacing w:after="0"/>
              <w:rPr>
                <w:sz w:val="19"/>
                <w:szCs w:val="19"/>
                <w:color w:val="auto"/>
              </w:rPr>
            </w:pP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920" w:type="dxa"/>
            <w:vAlign w:val="bottom"/>
            <w:gridSpan w:val="2"/>
            <w:shd w:val="clear" w:color="auto" w:fill="D2DCE5"/>
          </w:tcPr>
          <w:p>
            <w:pPr>
              <w:jc w:val="right"/>
              <w:ind w:right="140"/>
              <w:spacing w:after="0"/>
              <w:rPr>
                <w:sz w:val="20"/>
                <w:szCs w:val="20"/>
                <w:color w:val="auto"/>
              </w:rPr>
            </w:pPr>
            <w:r>
              <w:rPr>
                <w:rFonts w:ascii="Arial" w:cs="Arial" w:eastAsia="Arial" w:hAnsi="Arial"/>
                <w:sz w:val="14"/>
                <w:szCs w:val="14"/>
                <w:color w:val="131E29"/>
              </w:rPr>
              <w:t>—</w:t>
            </w:r>
          </w:p>
        </w:tc>
        <w:tc>
          <w:tcPr>
            <w:tcW w:w="12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8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500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Other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(2,327)</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(0.2)</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5000" w:type="dxa"/>
            <w:vAlign w:val="bottom"/>
            <w:gridSpan w:val="2"/>
            <w:shd w:val="clear" w:color="auto" w:fill="D2DCE5"/>
          </w:tcPr>
          <w:p>
            <w:pPr>
              <w:ind w:left="400"/>
              <w:spacing w:after="0"/>
              <w:rPr>
                <w:sz w:val="20"/>
                <w:szCs w:val="20"/>
                <w:color w:val="auto"/>
              </w:rPr>
            </w:pPr>
            <w:r>
              <w:rPr>
                <w:rFonts w:ascii="Arial" w:cs="Arial" w:eastAsia="Arial" w:hAnsi="Arial"/>
                <w:sz w:val="14"/>
                <w:szCs w:val="14"/>
                <w:color w:val="131E29"/>
              </w:rPr>
              <w:t>Total organization realignment and restructuring</w:t>
            </w: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(17,876)</w:t>
            </w:r>
          </w:p>
        </w:tc>
        <w:tc>
          <w:tcPr>
            <w:tcW w:w="100" w:type="dxa"/>
            <w:vAlign w:val="bottom"/>
            <w:shd w:val="clear" w:color="auto" w:fill="D2DCE5"/>
          </w:tcPr>
          <w:p>
            <w:pPr>
              <w:spacing w:after="0"/>
              <w:rPr>
                <w:sz w:val="17"/>
                <w:szCs w:val="17"/>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w:t>
            </w:r>
          </w:p>
        </w:tc>
        <w:tc>
          <w:tcPr>
            <w:tcW w:w="80" w:type="dxa"/>
            <w:vAlign w:val="bottom"/>
            <w:shd w:val="clear" w:color="auto" w:fill="D2DCE5"/>
          </w:tcPr>
          <w:p>
            <w:pPr>
              <w:spacing w:after="0"/>
              <w:rPr>
                <w:sz w:val="17"/>
                <w:szCs w:val="17"/>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(2,153)</w:t>
            </w:r>
          </w:p>
        </w:tc>
        <w:tc>
          <w:tcPr>
            <w:tcW w:w="100" w:type="dxa"/>
            <w:vAlign w:val="bottom"/>
            <w:shd w:val="clear" w:color="auto" w:fill="D2DCE5"/>
          </w:tcPr>
          <w:p>
            <w:pPr>
              <w:spacing w:after="0"/>
              <w:rPr>
                <w:sz w:val="17"/>
                <w:szCs w:val="17"/>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(0.2)</w:t>
            </w:r>
          </w:p>
        </w:tc>
        <w:tc>
          <w:tcPr>
            <w:tcW w:w="80" w:type="dxa"/>
            <w:vAlign w:val="bottom"/>
            <w:shd w:val="clear" w:color="auto" w:fill="D2DCE5"/>
          </w:tcPr>
          <w:p>
            <w:pPr>
              <w:spacing w:after="0"/>
              <w:rPr>
                <w:sz w:val="17"/>
                <w:szCs w:val="17"/>
                <w:color w:val="auto"/>
              </w:rPr>
            </w:pPr>
          </w:p>
        </w:tc>
        <w:tc>
          <w:tcPr>
            <w:tcW w:w="1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7"/>
                <w:szCs w:val="17"/>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12"/>
        </w:trPr>
        <w:tc>
          <w:tcPr>
            <w:tcW w:w="5000" w:type="dxa"/>
            <w:vAlign w:val="bottom"/>
            <w:gridSpan w:val="2"/>
          </w:tcPr>
          <w:p>
            <w:pPr>
              <w:ind w:left="280"/>
              <w:spacing w:after="0"/>
              <w:rPr>
                <w:sz w:val="20"/>
                <w:szCs w:val="20"/>
                <w:color w:val="auto"/>
              </w:rPr>
            </w:pPr>
            <w:r>
              <w:rPr>
                <w:rFonts w:ascii="Arial" w:cs="Arial" w:eastAsia="Arial" w:hAnsi="Arial"/>
                <w:sz w:val="14"/>
                <w:szCs w:val="14"/>
                <w:b w:val="1"/>
                <w:bCs w:val="1"/>
                <w:color w:val="131E29"/>
              </w:rPr>
              <w:t>Adjusted selling, general and administrative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131E29"/>
              </w:rPr>
              <w:t>202,720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131E29"/>
              </w:rPr>
              <w:t>15.8</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131E29"/>
              </w:rPr>
              <w:t>159,101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131E29"/>
              </w:rPr>
              <w:t>16.5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131E29"/>
              </w:rPr>
              <w:t>133,725</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131E29"/>
              </w:rPr>
              <w:t>18.1</w:t>
            </w: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480"/>
        <w:spacing w:after="0"/>
        <w:rPr>
          <w:sz w:val="20"/>
          <w:szCs w:val="20"/>
          <w:color w:val="auto"/>
        </w:rPr>
      </w:pPr>
      <w:r>
        <w:rPr>
          <w:sz w:val="1"/>
          <w:szCs w:val="1"/>
          <w:color w:val="auto"/>
        </w:rPr>
        <w:drawing>
          <wp:inline distT="0" distB="0" distL="0" distR="0">
            <wp:extent cx="134620" cy="18859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2" w:name="page93"/>
    <w:bookmarkEnd w:id="9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7A. 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Commodity Risks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adjusting our Dutch Rewards loyalty program, and making operational adjustments that increase productivity. However, sustained inflation of or substantial increases in costs and expenses, including dairy, coffee, fuel, sugar, cocoa, and packaging commodities pricing,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Labor Costs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have experienced minimum wage increases, which directly affect our labor costs, and other upward pressure on wage rates in several states, including in California beginning in April 2024. Additionally, several other states that we operate in have increased their minimum wage requirements in 2025. In the future, we may or may not be able to offset these cost increases with operational efficiencies, menu price increases, or other adjustments. As of December 31, 2024, we employed approximately 17,000 hourly workers in our company-operated shops.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Interest Rate Risk</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We have historically been exposed to interest rate risk through fluctuations in interest rates on our debt obligations. Our 2022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December 31, 2024, we had no revolving loans outstanding, and $234.7 million was outstanding on our term loan facilities. A hypothetical increase of interest rates up to 1% on our outstanding term loan as of December 31, 2024 would result in an increase in our annual interest expense of approximately $2.3 million, excluding any potential impacts of interest rate swaps.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Impact of Inflation</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The primary inflation factors affecting our operations are commodity and supply costs,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for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3" w:name="page94"/>
    <w:bookmarkEnd w:id="9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8. FINANCIAL STATEMENTS AND SUPPLEMENTARY DATA</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Index to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480" w:type="dxa"/>
            <w:vAlign w:val="bottom"/>
            <w:tcBorders>
              <w:bottom w:val="single" w:sz="8" w:color="131E29"/>
            </w:tcBorders>
          </w:tcPr>
          <w:p>
            <w:pPr>
              <w:ind w:left="20"/>
              <w:spacing w:after="0"/>
              <w:rPr>
                <w:sz w:val="20"/>
                <w:szCs w:val="20"/>
                <w:color w:val="auto"/>
              </w:rPr>
            </w:pPr>
            <w:r>
              <w:rPr>
                <w:rFonts w:ascii="Arial" w:cs="Arial" w:eastAsia="Arial" w:hAnsi="Arial"/>
                <w:sz w:val="14"/>
                <w:szCs w:val="14"/>
                <w:b w:val="1"/>
                <w:bCs w:val="1"/>
                <w:color w:val="131E29"/>
              </w:rPr>
              <w:t>Audited Consolidated Financial Statements of Dutch Bros Inc. and Subsidiaries</w:t>
            </w:r>
          </w:p>
        </w:tc>
        <w:tc>
          <w:tcPr>
            <w:tcW w:w="80" w:type="dxa"/>
            <w:vAlign w:val="bottom"/>
            <w:tcBorders>
              <w:bottom w:val="single" w:sz="8" w:color="D2DCE5"/>
            </w:tcBorders>
          </w:tcPr>
          <w:p>
            <w:pPr>
              <w:spacing w:after="0"/>
              <w:rPr>
                <w:sz w:val="17"/>
                <w:szCs w:val="17"/>
                <w:color w:val="auto"/>
              </w:rPr>
            </w:pPr>
          </w:p>
        </w:tc>
        <w:tc>
          <w:tcPr>
            <w:tcW w:w="720" w:type="dxa"/>
            <w:vAlign w:val="bottom"/>
            <w:tcBorders>
              <w:bottom w:val="single" w:sz="8" w:color="131E29"/>
            </w:tcBorders>
          </w:tcPr>
          <w:p>
            <w:pPr>
              <w:ind w:left="200"/>
              <w:spacing w:after="0"/>
              <w:rPr>
                <w:sz w:val="20"/>
                <w:szCs w:val="20"/>
                <w:color w:val="auto"/>
              </w:rPr>
            </w:pPr>
            <w:r>
              <w:rPr>
                <w:rFonts w:ascii="Arial" w:cs="Arial" w:eastAsia="Arial" w:hAnsi="Arial"/>
                <w:sz w:val="14"/>
                <w:szCs w:val="14"/>
                <w:b w:val="1"/>
                <w:bCs w:val="1"/>
                <w:color w:val="131E29"/>
              </w:rPr>
              <w:t>Page</w:t>
            </w:r>
          </w:p>
        </w:tc>
      </w:tr>
      <w:tr>
        <w:trPr>
          <w:trHeight w:val="209"/>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Report of Independent Registered Public Accounting Firm</w:t>
            </w:r>
          </w:p>
        </w:tc>
        <w:tc>
          <w:tcPr>
            <w:tcW w:w="7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91</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Balance Sheets</w:t>
            </w:r>
          </w:p>
        </w:tc>
        <w:tc>
          <w:tcPr>
            <w:tcW w:w="720" w:type="dxa"/>
            <w:vAlign w:val="bottom"/>
          </w:tcPr>
          <w:p>
            <w:pPr>
              <w:jc w:val="center"/>
              <w:spacing w:after="0"/>
              <w:rPr>
                <w:sz w:val="20"/>
                <w:szCs w:val="20"/>
                <w:color w:val="auto"/>
              </w:rPr>
            </w:pPr>
            <w:r>
              <w:rPr>
                <w:rFonts w:ascii="Arial" w:cs="Arial" w:eastAsia="Arial" w:hAnsi="Arial"/>
                <w:sz w:val="14"/>
                <w:szCs w:val="14"/>
                <w:color w:val="131E29"/>
              </w:rPr>
              <w:t>93</w:t>
            </w:r>
          </w:p>
        </w:tc>
      </w:tr>
      <w:tr>
        <w:trPr>
          <w:trHeight w:val="222"/>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Consolidated Statements of Operations</w:t>
            </w:r>
          </w:p>
        </w:tc>
        <w:tc>
          <w:tcPr>
            <w:tcW w:w="7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95</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Statements of Comprehensive Income (Loss)</w:t>
            </w:r>
          </w:p>
        </w:tc>
        <w:tc>
          <w:tcPr>
            <w:tcW w:w="720" w:type="dxa"/>
            <w:vAlign w:val="bottom"/>
          </w:tcPr>
          <w:p>
            <w:pPr>
              <w:jc w:val="center"/>
              <w:spacing w:after="0"/>
              <w:rPr>
                <w:sz w:val="20"/>
                <w:szCs w:val="20"/>
                <w:color w:val="auto"/>
              </w:rPr>
            </w:pPr>
            <w:r>
              <w:rPr>
                <w:rFonts w:ascii="Arial" w:cs="Arial" w:eastAsia="Arial" w:hAnsi="Arial"/>
                <w:sz w:val="14"/>
                <w:szCs w:val="14"/>
                <w:color w:val="131E29"/>
              </w:rPr>
              <w:t>96</w:t>
            </w:r>
          </w:p>
        </w:tc>
      </w:tr>
      <w:tr>
        <w:trPr>
          <w:trHeight w:val="222"/>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Consolidated Statements of Stockholders’ Equity</w:t>
            </w:r>
          </w:p>
        </w:tc>
        <w:tc>
          <w:tcPr>
            <w:tcW w:w="7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97</w:t>
            </w:r>
          </w:p>
        </w:tc>
      </w:tr>
      <w:tr>
        <w:trPr>
          <w:trHeight w:val="202"/>
        </w:trPr>
        <w:tc>
          <w:tcPr>
            <w:tcW w:w="10560" w:type="dxa"/>
            <w:vAlign w:val="bottom"/>
            <w:gridSpan w:val="2"/>
          </w:tcPr>
          <w:p>
            <w:pPr>
              <w:ind w:left="20"/>
              <w:spacing w:after="0"/>
              <w:rPr>
                <w:sz w:val="20"/>
                <w:szCs w:val="20"/>
                <w:color w:val="auto"/>
              </w:rPr>
            </w:pPr>
            <w:r>
              <w:rPr>
                <w:rFonts w:ascii="Arial" w:cs="Arial" w:eastAsia="Arial" w:hAnsi="Arial"/>
                <w:sz w:val="14"/>
                <w:szCs w:val="14"/>
                <w:color w:val="131E29"/>
              </w:rPr>
              <w:t>Consolidated Statements of Cash Flows</w:t>
            </w:r>
          </w:p>
        </w:tc>
        <w:tc>
          <w:tcPr>
            <w:tcW w:w="720" w:type="dxa"/>
            <w:vAlign w:val="bottom"/>
          </w:tcPr>
          <w:p>
            <w:pPr>
              <w:jc w:val="center"/>
              <w:spacing w:after="0"/>
              <w:rPr>
                <w:sz w:val="20"/>
                <w:szCs w:val="20"/>
                <w:color w:val="auto"/>
              </w:rPr>
            </w:pPr>
            <w:r>
              <w:rPr>
                <w:rFonts w:ascii="Arial" w:cs="Arial" w:eastAsia="Arial" w:hAnsi="Arial"/>
                <w:sz w:val="14"/>
                <w:szCs w:val="14"/>
                <w:color w:val="131E29"/>
              </w:rPr>
              <w:t>100</w:t>
            </w:r>
          </w:p>
        </w:tc>
      </w:tr>
      <w:tr>
        <w:trPr>
          <w:trHeight w:val="222"/>
        </w:trPr>
        <w:tc>
          <w:tcPr>
            <w:tcW w:w="105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Notes to Consolidated Financial Statements</w:t>
            </w:r>
          </w:p>
        </w:tc>
        <w:tc>
          <w:tcPr>
            <w:tcW w:w="72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4" w:name="page95"/>
    <w:bookmarkEnd w:id="9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131E29"/>
        </w:rPr>
        <w:t>Dutch Bros Inc.:</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Opinions on the Consolidated Financial Statements and Internal Control Over Financial Reporting</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have audited the accompanying consolidated balance sheets of Dutch Bros Inc. and subsidiaries (the Company) as of December 31, 2024 and 2023, the related consolidated statements of operations, comprehensive income (loss), stockholders’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Basis for Opinions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Definition and Limitations of Internal Control Over Financial Reporting</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5" w:name="page96"/>
    <w:bookmarkEnd w:id="9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131E29"/>
        </w:rPr>
        <w:t>Critical Audit Matter</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131E29"/>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30"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131E29"/>
        </w:rPr>
        <w:t>Measurement of the tax receivable agreements liability</w:t>
      </w:r>
    </w:p>
    <w:p>
      <w:pPr>
        <w:spacing w:after="0" w:line="134"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131E29"/>
        </w:rPr>
        <w:t>As discussed in Note 2 to the consolidated financial statements, the Company has tax receivable agreements (TRAs), which are contractual commitments to pay an amount equal to 85% of certain tax attributes and benefits, deemed to be realized in certain circumstances by the Company, to the parties to the TRAs. As discussed in Note 11, the Company’s liability related to obligations under the TRAs (TRA liability) was $627.8 million as of December 31, 2024.</w:t>
      </w:r>
    </w:p>
    <w:p>
      <w:pPr>
        <w:spacing w:after="0" w:line="49"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131E29"/>
        </w:rPr>
        <w:t>We identified the measurement of the TRA liability as a critical audit matter. Subjective auditor judgment, including specialized skills and knowledge, was required in the evaluation of the Company’s application of relevant tax law to determine the tax attributes and benefits subject to the TRAs. In addition, evaluation of the accuracy of the TRA liability required specialized skills and knowledge.</w:t>
      </w:r>
    </w:p>
    <w:p>
      <w:pPr>
        <w:spacing w:after="0" w:line="49"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131E29"/>
        </w:rPr>
        <w:t>The following are the primary procedures we performed to address this critical audit matter. We evaluated the design and tested the operating effectiveness of certain internal controls over the TRA liability. This included the internal controls over the application of relevant tax law and the accuracy of the TRA liability. We involved tax professionals with specialized skills and knowledge, who assisted in:</w:t>
      </w:r>
    </w:p>
    <w:p>
      <w:pPr>
        <w:spacing w:after="0" w:line="49" w:lineRule="exact"/>
        <w:rPr>
          <w:sz w:val="20"/>
          <w:szCs w:val="20"/>
          <w:color w:val="auto"/>
        </w:rPr>
      </w:pPr>
    </w:p>
    <w:p>
      <w:pPr>
        <w:ind w:left="760" w:hanging="246"/>
        <w:spacing w:after="0" w:line="290" w:lineRule="auto"/>
        <w:tabs>
          <w:tab w:leader="none" w:pos="756" w:val="left"/>
        </w:tabs>
        <w:numPr>
          <w:ilvl w:val="0"/>
          <w:numId w:val="47"/>
        </w:numPr>
        <w:rPr>
          <w:rFonts w:ascii="Arial" w:cs="Arial" w:eastAsia="Arial" w:hAnsi="Arial"/>
          <w:sz w:val="14"/>
          <w:szCs w:val="14"/>
          <w:color w:val="131E29"/>
        </w:rPr>
      </w:pPr>
      <w:r>
        <w:rPr>
          <w:rFonts w:ascii="Arial" w:cs="Arial" w:eastAsia="Arial" w:hAnsi="Arial"/>
          <w:sz w:val="14"/>
          <w:szCs w:val="14"/>
          <w:color w:val="131E29"/>
        </w:rPr>
        <w:t>developing an independent application of the relevant tax law to determine the tax attributes and benefits subject to the TRAs and comparing to the Company’s application</w:t>
      </w:r>
    </w:p>
    <w:p>
      <w:pPr>
        <w:spacing w:after="0" w:line="35" w:lineRule="exact"/>
        <w:rPr>
          <w:rFonts w:ascii="Arial" w:cs="Arial" w:eastAsia="Arial" w:hAnsi="Arial"/>
          <w:sz w:val="14"/>
          <w:szCs w:val="14"/>
          <w:color w:val="131E29"/>
        </w:rPr>
      </w:pPr>
    </w:p>
    <w:p>
      <w:pPr>
        <w:ind w:left="760" w:hanging="246"/>
        <w:spacing w:after="0"/>
        <w:tabs>
          <w:tab w:leader="none" w:pos="760" w:val="left"/>
        </w:tabs>
        <w:numPr>
          <w:ilvl w:val="0"/>
          <w:numId w:val="47"/>
        </w:numPr>
        <w:rPr>
          <w:rFonts w:ascii="Arial" w:cs="Arial" w:eastAsia="Arial" w:hAnsi="Arial"/>
          <w:sz w:val="14"/>
          <w:szCs w:val="14"/>
          <w:color w:val="131E29"/>
        </w:rPr>
      </w:pPr>
      <w:r>
        <w:rPr>
          <w:rFonts w:ascii="Arial" w:cs="Arial" w:eastAsia="Arial" w:hAnsi="Arial"/>
          <w:sz w:val="14"/>
          <w:szCs w:val="14"/>
          <w:color w:val="131E29"/>
        </w:rPr>
        <w:t>evaluating the accuracy of the TRA liability by comparing the TRA liability calculated by the Company to our independently calculated TRA liability.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 KPMG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We have served as the Company’s auditor since 2020.</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Portland, Oregon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131E29"/>
        </w:rPr>
        <w:t>February 13, 2025</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6" w:name="page97"/>
    <w:bookmarkEnd w:id="96"/>
    <w:p>
      <w:pPr>
        <w:ind w:left="240"/>
        <w:spacing w:after="0"/>
        <w:rPr>
          <w:sz w:val="20"/>
          <w:szCs w:val="20"/>
          <w:color w:val="auto"/>
        </w:rPr>
      </w:pPr>
      <w:r>
        <w:rPr>
          <w:rFonts w:ascii="Arial" w:cs="Arial" w:eastAsia="Arial" w:hAnsi="Arial"/>
          <w:sz w:val="11"/>
          <w:szCs w:val="11"/>
          <w:u w:val="single" w:color="auto"/>
          <w:color w:val="006098"/>
        </w:rPr>
        <w:t>Table of Contents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131E29"/>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131E29"/>
              </w:rPr>
              <w:t>December 31,</w:t>
            </w:r>
          </w:p>
        </w:tc>
        <w:tc>
          <w:tcPr>
            <w:tcW w:w="300" w:type="dxa"/>
            <w:vAlign w:val="bottom"/>
          </w:tcPr>
          <w:p>
            <w:pPr>
              <w:spacing w:after="0"/>
              <w:rPr>
                <w:sz w:val="14"/>
                <w:szCs w:val="14"/>
                <w:color w:val="auto"/>
              </w:rPr>
            </w:pPr>
          </w:p>
        </w:tc>
        <w:tc>
          <w:tcPr>
            <w:tcW w:w="1640" w:type="dxa"/>
            <w:vAlign w:val="bottom"/>
          </w:tcPr>
          <w:p>
            <w:pPr>
              <w:jc w:val="right"/>
              <w:ind w:right="449"/>
              <w:spacing w:after="0"/>
              <w:rPr>
                <w:sz w:val="20"/>
                <w:szCs w:val="20"/>
                <w:color w:val="auto"/>
              </w:rPr>
            </w:pPr>
            <w:r>
              <w:rPr>
                <w:rFonts w:ascii="Arial" w:cs="Arial" w:eastAsia="Arial" w:hAnsi="Arial"/>
                <w:sz w:val="14"/>
                <w:szCs w:val="14"/>
                <w:b w:val="1"/>
                <w:bCs w:val="1"/>
                <w:color w:val="131E29"/>
              </w:rPr>
              <w:t>December 31,</w:t>
            </w:r>
          </w:p>
        </w:tc>
      </w:tr>
      <w:tr>
        <w:trPr>
          <w:trHeight w:val="200"/>
        </w:trPr>
        <w:tc>
          <w:tcPr>
            <w:tcW w:w="722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b w:val="1"/>
                <w:bCs w:val="1"/>
                <w:color w:val="131E29"/>
              </w:rPr>
              <w:t>2023</w:t>
            </w:r>
          </w:p>
        </w:tc>
      </w:tr>
      <w:tr>
        <w:trPr>
          <w:trHeight w:val="209"/>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b w:val="1"/>
                <w:bCs w:val="1"/>
                <w:color w:val="131E29"/>
              </w:rPr>
              <w:t>Assets</w:t>
            </w: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Current assets:</w:t>
            </w: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2"/>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Cash and cash equivalents</w:t>
            </w: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293,354</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133,545</w:t>
            </w:r>
          </w:p>
        </w:tc>
      </w:tr>
      <w:tr>
        <w:trPr>
          <w:trHeight w:val="202"/>
        </w:trPr>
        <w:tc>
          <w:tcPr>
            <w:tcW w:w="7300" w:type="dxa"/>
            <w:vAlign w:val="bottom"/>
            <w:gridSpan w:val="2"/>
          </w:tcPr>
          <w:p>
            <w:pPr>
              <w:ind w:left="140"/>
              <w:spacing w:after="0"/>
              <w:rPr>
                <w:sz w:val="20"/>
                <w:szCs w:val="20"/>
                <w:color w:val="auto"/>
              </w:rPr>
            </w:pPr>
            <w:r>
              <w:rPr>
                <w:rFonts w:ascii="Arial" w:cs="Arial" w:eastAsia="Arial" w:hAnsi="Arial"/>
                <w:sz w:val="14"/>
                <w:szCs w:val="14"/>
                <w:color w:val="131E29"/>
              </w:rPr>
              <w:t>Accounts receivable,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10,598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9,124</w:t>
            </w:r>
          </w:p>
        </w:tc>
      </w:tr>
      <w:tr>
        <w:trPr>
          <w:trHeight w:val="222"/>
        </w:trPr>
        <w:tc>
          <w:tcPr>
            <w:tcW w:w="73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Inventories,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36,488</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46,953</w:t>
            </w:r>
          </w:p>
        </w:tc>
      </w:tr>
      <w:tr>
        <w:trPr>
          <w:trHeight w:val="203"/>
        </w:trPr>
        <w:tc>
          <w:tcPr>
            <w:tcW w:w="73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Prepaid expenses and other current assets</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17,501</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15,637</w:t>
            </w:r>
          </w:p>
        </w:tc>
      </w:tr>
      <w:tr>
        <w:trPr>
          <w:trHeight w:val="212"/>
        </w:trPr>
        <w:tc>
          <w:tcPr>
            <w:tcW w:w="7300" w:type="dxa"/>
            <w:vAlign w:val="bottom"/>
            <w:gridSpan w:val="2"/>
            <w:shd w:val="clear" w:color="auto" w:fill="D2DCE5"/>
          </w:tcPr>
          <w:p>
            <w:pPr>
              <w:ind w:left="260"/>
              <w:spacing w:after="0"/>
              <w:rPr>
                <w:sz w:val="20"/>
                <w:szCs w:val="20"/>
                <w:color w:val="auto"/>
              </w:rPr>
            </w:pPr>
            <w:r>
              <w:rPr>
                <w:rFonts w:ascii="Arial" w:cs="Arial" w:eastAsia="Arial" w:hAnsi="Arial"/>
                <w:sz w:val="14"/>
                <w:szCs w:val="14"/>
                <w:color w:val="131E29"/>
              </w:rPr>
              <w:t>Total current assets</w:t>
            </w: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357,941</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205,259</w:t>
            </w: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Property and equipment,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683,971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542,440</w:t>
            </w:r>
          </w:p>
        </w:tc>
      </w:tr>
      <w:tr>
        <w:trPr>
          <w:trHeight w:val="222"/>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Finance lease right-of-use assets,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374,623</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382,734</w:t>
            </w: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Operating lease right-of-use assets, net</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315,256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199,673</w:t>
            </w:r>
          </w:p>
        </w:tc>
      </w:tr>
      <w:tr>
        <w:trPr>
          <w:trHeight w:val="222"/>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Intangibles,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2,947</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5,415</w:t>
            </w:r>
          </w:p>
        </w:tc>
      </w:tr>
      <w:tr>
        <w:trPr>
          <w:trHeight w:val="202"/>
        </w:trPr>
        <w:tc>
          <w:tcPr>
            <w:tcW w:w="7300" w:type="dxa"/>
            <w:vAlign w:val="bottom"/>
            <w:gridSpan w:val="2"/>
          </w:tcPr>
          <w:p>
            <w:pPr>
              <w:spacing w:after="0"/>
              <w:rPr>
                <w:sz w:val="20"/>
                <w:szCs w:val="20"/>
                <w:color w:val="auto"/>
              </w:rPr>
            </w:pPr>
            <w:r>
              <w:rPr>
                <w:rFonts w:ascii="Arial" w:cs="Arial" w:eastAsia="Arial" w:hAnsi="Arial"/>
                <w:sz w:val="14"/>
                <w:szCs w:val="14"/>
                <w:color w:val="131E29"/>
              </w:rPr>
              <w:t>Goodwill</w:t>
            </w: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21,629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21,629</w:t>
            </w:r>
          </w:p>
        </w:tc>
      </w:tr>
      <w:tr>
        <w:trPr>
          <w:trHeight w:val="222"/>
        </w:trPr>
        <w:tc>
          <w:tcPr>
            <w:tcW w:w="730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Deferred income tax assets, net</w:t>
            </w: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742,126</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402,995</w:t>
            </w:r>
          </w:p>
        </w:tc>
      </w:tr>
      <w:tr>
        <w:trPr>
          <w:trHeight w:val="193"/>
        </w:trPr>
        <w:tc>
          <w:tcPr>
            <w:tcW w:w="7300" w:type="dxa"/>
            <w:vAlign w:val="bottom"/>
            <w:gridSpan w:val="2"/>
          </w:tcPr>
          <w:p>
            <w:pPr>
              <w:spacing w:after="0"/>
              <w:rPr>
                <w:sz w:val="20"/>
                <w:szCs w:val="20"/>
                <w:color w:val="auto"/>
              </w:rPr>
            </w:pPr>
            <w:r>
              <w:rPr>
                <w:rFonts w:ascii="Arial" w:cs="Arial" w:eastAsia="Arial" w:hAnsi="Arial"/>
                <w:sz w:val="14"/>
                <w:szCs w:val="14"/>
                <w:color w:val="131E29"/>
              </w:rPr>
              <w:t>Other long-term assets</w:t>
            </w: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2,592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3,865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300" w:type="dxa"/>
            <w:vAlign w:val="bottom"/>
            <w:tcBorders>
              <w:top w:val="single" w:sz="8" w:color="D2DCE5"/>
              <w:bottom w:val="single" w:sz="8" w:color="D2DCE5"/>
            </w:tcBorders>
            <w:shd w:val="clear" w:color="auto" w:fill="D2DCE5"/>
          </w:tcPr>
          <w:p>
            <w:pPr>
              <w:ind w:left="400"/>
              <w:spacing w:after="0"/>
              <w:rPr>
                <w:sz w:val="20"/>
                <w:szCs w:val="20"/>
                <w:color w:val="auto"/>
              </w:rPr>
            </w:pPr>
            <w:r>
              <w:rPr>
                <w:rFonts w:ascii="Arial" w:cs="Arial" w:eastAsia="Arial" w:hAnsi="Arial"/>
                <w:sz w:val="14"/>
                <w:szCs w:val="14"/>
                <w:b w:val="1"/>
                <w:bCs w:val="1"/>
                <w:color w:val="131E29"/>
              </w:rPr>
              <w:t>Total assets</w:t>
            </w:r>
          </w:p>
        </w:tc>
        <w:tc>
          <w:tcPr>
            <w:tcW w:w="680" w:type="dxa"/>
            <w:vAlign w:val="bottom"/>
            <w:tcBorders>
              <w:top w:val="single" w:sz="8" w:color="auto"/>
              <w:bottom w:val="single" w:sz="8" w:color="auto"/>
            </w:tcBorders>
            <w:shd w:val="clear" w:color="auto" w:fill="D2DCE5"/>
          </w:tcPr>
          <w:p>
            <w:pPr>
              <w:jc w:val="right"/>
              <w:ind w:right="509"/>
              <w:spacing w:after="0"/>
              <w:rPr>
                <w:sz w:val="20"/>
                <w:szCs w:val="20"/>
                <w:color w:val="auto"/>
              </w:rPr>
            </w:pPr>
            <w:r>
              <w:rPr>
                <w:rFonts w:ascii="Arial" w:cs="Arial" w:eastAsia="Arial" w:hAnsi="Arial"/>
                <w:sz w:val="14"/>
                <w:szCs w:val="14"/>
                <w:b w:val="1"/>
                <w:bCs w:val="1"/>
                <w:color w:val="131E29"/>
              </w:rPr>
              <w:t>$</w:t>
            </w:r>
          </w:p>
        </w:tc>
        <w:tc>
          <w:tcPr>
            <w:tcW w:w="12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2,501,085</w:t>
            </w:r>
          </w:p>
        </w:tc>
        <w:tc>
          <w:tcPr>
            <w:tcW w:w="80" w:type="dxa"/>
            <w:vAlign w:val="bottom"/>
            <w:tcBorders>
              <w:top w:val="single" w:sz="8" w:color="D2DCE5"/>
              <w:bottom w:val="single" w:sz="8" w:color="D2DCE5"/>
            </w:tcBorders>
            <w:shd w:val="clear" w:color="auto" w:fill="D2DCE5"/>
          </w:tcPr>
          <w:p>
            <w:pPr>
              <w:spacing w:after="0"/>
              <w:rPr>
                <w:sz w:val="21"/>
                <w:szCs w:val="21"/>
                <w:color w:val="auto"/>
              </w:rPr>
            </w:pPr>
          </w:p>
        </w:tc>
        <w:tc>
          <w:tcPr>
            <w:tcW w:w="660" w:type="dxa"/>
            <w:vAlign w:val="bottom"/>
            <w:tcBorders>
              <w:top w:val="single" w:sz="8" w:color="auto"/>
              <w:bottom w:val="single" w:sz="8" w:color="auto"/>
            </w:tcBorders>
            <w:shd w:val="clear" w:color="auto" w:fill="D2DCE5"/>
          </w:tcPr>
          <w:p>
            <w:pPr>
              <w:jc w:val="right"/>
              <w:ind w:right="489"/>
              <w:spacing w:after="0"/>
              <w:rPr>
                <w:sz w:val="20"/>
                <w:szCs w:val="20"/>
                <w:color w:val="auto"/>
              </w:rPr>
            </w:pPr>
            <w:r>
              <w:rPr>
                <w:rFonts w:ascii="Arial" w:cs="Arial" w:eastAsia="Arial" w:hAnsi="Arial"/>
                <w:sz w:val="14"/>
                <w:szCs w:val="14"/>
                <w:b w:val="1"/>
                <w:bCs w:val="1"/>
                <w:color w:val="131E29"/>
              </w:rPr>
              <w:t>$</w:t>
            </w:r>
          </w:p>
        </w:tc>
        <w:tc>
          <w:tcPr>
            <w:tcW w:w="128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1,764,010</w:t>
            </w:r>
          </w:p>
        </w:tc>
        <w:tc>
          <w:tcPr>
            <w:tcW w:w="0" w:type="dxa"/>
            <w:vAlign w:val="bottom"/>
          </w:tcPr>
          <w:p>
            <w:pPr>
              <w:spacing w:after="0"/>
              <w:rPr>
                <w:sz w:val="1"/>
                <w:szCs w:val="1"/>
                <w:color w:val="auto"/>
              </w:rPr>
            </w:pPr>
          </w:p>
        </w:tc>
      </w:tr>
      <w:tr>
        <w:trPr>
          <w:trHeight w:val="20"/>
        </w:trPr>
        <w:tc>
          <w:tcPr>
            <w:tcW w:w="730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b w:val="1"/>
                <w:bCs w:val="1"/>
                <w:color w:val="131E29"/>
              </w:rPr>
              <w:t>Liabilities and Equity</w:t>
            </w:r>
          </w:p>
        </w:tc>
        <w:tc>
          <w:tcPr>
            <w:tcW w:w="680" w:type="dxa"/>
            <w:vAlign w:val="bottom"/>
            <w:tcBorders>
              <w:top w:val="single" w:sz="8" w:color="D2DCE5"/>
              <w:bottom w:val="single" w:sz="8" w:color="auto"/>
            </w:tcBorders>
          </w:tcPr>
          <w:p>
            <w:pPr>
              <w:spacing w:after="0" w:line="20" w:lineRule="exact"/>
              <w:rPr>
                <w:sz w:val="1"/>
                <w:szCs w:val="1"/>
                <w:color w:val="auto"/>
              </w:rPr>
            </w:pPr>
          </w:p>
        </w:tc>
        <w:tc>
          <w:tcPr>
            <w:tcW w:w="12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660" w:type="dxa"/>
            <w:vAlign w:val="bottom"/>
            <w:tcBorders>
              <w:top w:val="single" w:sz="8" w:color="D2DCE5"/>
              <w:bottom w:val="single" w:sz="8" w:color="auto"/>
            </w:tcBorders>
          </w:tcPr>
          <w:p>
            <w:pPr>
              <w:spacing w:after="0" w:line="20" w:lineRule="exact"/>
              <w:rPr>
                <w:sz w:val="1"/>
                <w:szCs w:val="1"/>
                <w:color w:val="auto"/>
              </w:rPr>
            </w:pPr>
          </w:p>
        </w:tc>
        <w:tc>
          <w:tcPr>
            <w:tcW w:w="128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3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D2DCE5"/>
          </w:tcPr>
          <w:p>
            <w:pPr>
              <w:spacing w:after="0"/>
              <w:rPr>
                <w:sz w:val="20"/>
                <w:szCs w:val="20"/>
                <w:color w:val="auto"/>
              </w:rPr>
            </w:pPr>
            <w:r>
              <w:rPr>
                <w:rFonts w:ascii="Arial" w:cs="Arial" w:eastAsia="Arial" w:hAnsi="Arial"/>
                <w:sz w:val="14"/>
                <w:szCs w:val="14"/>
                <w:color w:val="131E29"/>
              </w:rPr>
              <w:t>Current liabilities:</w:t>
            </w:r>
          </w:p>
        </w:tc>
        <w:tc>
          <w:tcPr>
            <w:tcW w:w="680" w:type="dxa"/>
            <w:vAlign w:val="bottom"/>
            <w:shd w:val="clear" w:color="auto" w:fill="D2DCE5"/>
          </w:tcPr>
          <w:p>
            <w:pPr>
              <w:spacing w:after="0"/>
              <w:rPr>
                <w:sz w:val="18"/>
                <w:szCs w:val="18"/>
                <w:color w:val="auto"/>
              </w:rPr>
            </w:pPr>
          </w:p>
        </w:tc>
        <w:tc>
          <w:tcPr>
            <w:tcW w:w="12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660" w:type="dxa"/>
            <w:vAlign w:val="bottom"/>
            <w:shd w:val="clear" w:color="auto" w:fill="D2DCE5"/>
          </w:tcPr>
          <w:p>
            <w:pPr>
              <w:spacing w:after="0"/>
              <w:rPr>
                <w:sz w:val="18"/>
                <w:szCs w:val="18"/>
                <w:color w:val="auto"/>
              </w:rPr>
            </w:pPr>
          </w:p>
        </w:tc>
        <w:tc>
          <w:tcPr>
            <w:tcW w:w="128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00" w:type="dxa"/>
            <w:vAlign w:val="bottom"/>
          </w:tcPr>
          <w:p>
            <w:pPr>
              <w:ind w:left="140"/>
              <w:spacing w:after="0"/>
              <w:rPr>
                <w:sz w:val="20"/>
                <w:szCs w:val="20"/>
                <w:color w:val="auto"/>
              </w:rPr>
            </w:pPr>
            <w:r>
              <w:rPr>
                <w:rFonts w:ascii="Arial" w:cs="Arial" w:eastAsia="Arial" w:hAnsi="Arial"/>
                <w:sz w:val="14"/>
                <w:szCs w:val="14"/>
                <w:color w:val="131E29"/>
              </w:rPr>
              <w:t>Accounts payable</w:t>
            </w:r>
          </w:p>
        </w:tc>
        <w:tc>
          <w:tcPr>
            <w:tcW w:w="680" w:type="dxa"/>
            <w:vAlign w:val="bottom"/>
          </w:tcPr>
          <w:p>
            <w:pPr>
              <w:jc w:val="right"/>
              <w:ind w:right="509"/>
              <w:spacing w:after="0"/>
              <w:rPr>
                <w:sz w:val="20"/>
                <w:szCs w:val="20"/>
                <w:color w:val="auto"/>
              </w:rPr>
            </w:pPr>
            <w:r>
              <w:rPr>
                <w:rFonts w:ascii="Arial" w:cs="Arial" w:eastAsia="Arial" w:hAnsi="Arial"/>
                <w:sz w:val="14"/>
                <w:szCs w:val="14"/>
                <w:color w:val="131E29"/>
              </w:rPr>
              <w:t>$</w:t>
            </w:r>
          </w:p>
        </w:tc>
        <w:tc>
          <w:tcPr>
            <w:tcW w:w="1260" w:type="dxa"/>
            <w:vAlign w:val="bottom"/>
          </w:tcPr>
          <w:p>
            <w:pPr>
              <w:jc w:val="right"/>
              <w:spacing w:after="0"/>
              <w:rPr>
                <w:sz w:val="20"/>
                <w:szCs w:val="20"/>
                <w:color w:val="auto"/>
              </w:rPr>
            </w:pPr>
            <w:r>
              <w:rPr>
                <w:rFonts w:ascii="Arial" w:cs="Arial" w:eastAsia="Arial" w:hAnsi="Arial"/>
                <w:sz w:val="14"/>
                <w:szCs w:val="14"/>
                <w:color w:val="131E29"/>
              </w:rPr>
              <w:t>32,225</w:t>
            </w:r>
          </w:p>
        </w:tc>
        <w:tc>
          <w:tcPr>
            <w:tcW w:w="80" w:type="dxa"/>
            <w:vAlign w:val="bottom"/>
          </w:tcPr>
          <w:p>
            <w:pPr>
              <w:spacing w:after="0"/>
              <w:rPr>
                <w:sz w:val="17"/>
                <w:szCs w:val="17"/>
                <w:color w:val="auto"/>
              </w:rPr>
            </w:pPr>
          </w:p>
        </w:tc>
        <w:tc>
          <w:tcPr>
            <w:tcW w:w="660" w:type="dxa"/>
            <w:vAlign w:val="bottom"/>
          </w:tcPr>
          <w:p>
            <w:pPr>
              <w:jc w:val="right"/>
              <w:ind w:right="489"/>
              <w:spacing w:after="0"/>
              <w:rPr>
                <w:sz w:val="20"/>
                <w:szCs w:val="20"/>
                <w:color w:val="auto"/>
              </w:rPr>
            </w:pPr>
            <w:r>
              <w:rPr>
                <w:rFonts w:ascii="Arial" w:cs="Arial" w:eastAsia="Arial" w:hAnsi="Arial"/>
                <w:sz w:val="14"/>
                <w:szCs w:val="14"/>
                <w:color w:val="131E29"/>
              </w:rPr>
              <w:t>$</w:t>
            </w:r>
          </w:p>
        </w:tc>
        <w:tc>
          <w:tcPr>
            <w:tcW w:w="1280" w:type="dxa"/>
            <w:vAlign w:val="bottom"/>
          </w:tcPr>
          <w:p>
            <w:pPr>
              <w:jc w:val="right"/>
              <w:spacing w:after="0"/>
              <w:rPr>
                <w:sz w:val="20"/>
                <w:szCs w:val="20"/>
                <w:color w:val="auto"/>
              </w:rPr>
            </w:pPr>
            <w:r>
              <w:rPr>
                <w:rFonts w:ascii="Arial" w:cs="Arial" w:eastAsia="Arial" w:hAnsi="Arial"/>
                <w:sz w:val="14"/>
                <w:szCs w:val="14"/>
                <w:color w:val="131E29"/>
              </w:rPr>
              <w:t>29,957</w:t>
            </w:r>
          </w:p>
        </w:tc>
        <w:tc>
          <w:tcPr>
            <w:tcW w:w="0" w:type="dxa"/>
            <w:vAlign w:val="bottom"/>
          </w:tcPr>
          <w:p>
            <w:pPr>
              <w:spacing w:after="0"/>
              <w:rPr>
                <w:sz w:val="1"/>
                <w:szCs w:val="1"/>
                <w:color w:val="auto"/>
              </w:rPr>
            </w:pPr>
          </w:p>
        </w:tc>
      </w:tr>
      <w:tr>
        <w:trPr>
          <w:trHeight w:val="222"/>
        </w:trPr>
        <w:tc>
          <w:tcPr>
            <w:tcW w:w="7300" w:type="dxa"/>
            <w:vAlign w:val="bottom"/>
            <w:shd w:val="clear" w:color="auto" w:fill="D2DCE5"/>
          </w:tcPr>
          <w:p>
            <w:pPr>
              <w:ind w:left="140"/>
              <w:spacing w:after="0"/>
              <w:rPr>
                <w:sz w:val="20"/>
                <w:szCs w:val="20"/>
                <w:color w:val="auto"/>
              </w:rPr>
            </w:pPr>
            <w:r>
              <w:rPr>
                <w:rFonts w:ascii="Arial" w:cs="Arial" w:eastAsia="Arial" w:hAnsi="Arial"/>
                <w:sz w:val="14"/>
                <w:szCs w:val="14"/>
                <w:color w:val="131E29"/>
              </w:rPr>
              <w:t>Accrued compensation and benefits</w:t>
            </w:r>
          </w:p>
        </w:tc>
        <w:tc>
          <w:tcPr>
            <w:tcW w:w="680" w:type="dxa"/>
            <w:vAlign w:val="bottom"/>
            <w:shd w:val="clear" w:color="auto" w:fill="D2DCE5"/>
          </w:tcPr>
          <w:p>
            <w:pPr>
              <w:spacing w:after="0"/>
              <w:rPr>
                <w:sz w:val="19"/>
                <w:szCs w:val="19"/>
                <w:color w:val="auto"/>
              </w:rPr>
            </w:pPr>
          </w:p>
        </w:tc>
        <w:tc>
          <w:tcPr>
            <w:tcW w:w="1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49,778</w:t>
            </w:r>
          </w:p>
        </w:tc>
        <w:tc>
          <w:tcPr>
            <w:tcW w:w="80" w:type="dxa"/>
            <w:vAlign w:val="bottom"/>
            <w:shd w:val="clear" w:color="auto" w:fill="D2DCE5"/>
          </w:tcPr>
          <w:p>
            <w:pPr>
              <w:spacing w:after="0"/>
              <w:rPr>
                <w:sz w:val="19"/>
                <w:szCs w:val="19"/>
                <w:color w:val="auto"/>
              </w:rPr>
            </w:pPr>
          </w:p>
        </w:tc>
        <w:tc>
          <w:tcPr>
            <w:tcW w:w="660" w:type="dxa"/>
            <w:vAlign w:val="bottom"/>
            <w:shd w:val="clear" w:color="auto" w:fill="D2DCE5"/>
          </w:tcPr>
          <w:p>
            <w:pPr>
              <w:spacing w:after="0"/>
              <w:rPr>
                <w:sz w:val="19"/>
                <w:szCs w:val="19"/>
                <w:color w:val="auto"/>
              </w:rPr>
            </w:pPr>
          </w:p>
        </w:tc>
        <w:tc>
          <w:tcPr>
            <w:tcW w:w="1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31,405</w:t>
            </w:r>
          </w:p>
        </w:tc>
        <w:tc>
          <w:tcPr>
            <w:tcW w:w="0" w:type="dxa"/>
            <w:vAlign w:val="bottom"/>
          </w:tcPr>
          <w:p>
            <w:pPr>
              <w:spacing w:after="0"/>
              <w:rPr>
                <w:sz w:val="1"/>
                <w:szCs w:val="1"/>
                <w:color w:val="auto"/>
              </w:rPr>
            </w:pPr>
          </w:p>
        </w:tc>
      </w:tr>
      <w:tr>
        <w:trPr>
          <w:trHeight w:val="202"/>
        </w:trPr>
        <w:tc>
          <w:tcPr>
            <w:tcW w:w="7300" w:type="dxa"/>
            <w:vAlign w:val="bottom"/>
          </w:tcPr>
          <w:p>
            <w:pPr>
              <w:ind w:left="140"/>
              <w:spacing w:after="0"/>
              <w:rPr>
                <w:sz w:val="20"/>
                <w:szCs w:val="20"/>
                <w:color w:val="auto"/>
              </w:rPr>
            </w:pPr>
            <w:r>
              <w:rPr>
                <w:rFonts w:ascii="Arial" w:cs="Arial" w:eastAsia="Arial" w:hAnsi="Arial"/>
                <w:sz w:val="14"/>
                <w:szCs w:val="14"/>
                <w:color w:val="131E29"/>
              </w:rPr>
              <w:t>Other accrued liabilities</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131E29"/>
              </w:rPr>
              <w:t>26,516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15,770</w:t>
            </w:r>
          </w:p>
        </w:tc>
        <w:tc>
          <w:tcPr>
            <w:tcW w:w="0" w:type="dxa"/>
            <w:vAlign w:val="bottom"/>
          </w:tcPr>
          <w:p>
            <w:pPr>
              <w:spacing w:after="0"/>
              <w:rPr>
                <w:sz w:val="1"/>
                <w:szCs w:val="1"/>
                <w:color w:val="auto"/>
              </w:rPr>
            </w:pPr>
          </w:p>
        </w:tc>
      </w:tr>
      <w:tr>
        <w:trPr>
          <w:trHeight w:val="222"/>
        </w:trPr>
        <w:tc>
          <w:tcPr>
            <w:tcW w:w="7300" w:type="dxa"/>
            <w:vAlign w:val="bottom"/>
            <w:shd w:val="clear" w:color="auto" w:fill="D2DCE5"/>
          </w:tcPr>
          <w:p>
            <w:pPr>
              <w:ind w:left="140"/>
              <w:spacing w:after="0"/>
              <w:rPr>
                <w:sz w:val="20"/>
                <w:szCs w:val="20"/>
                <w:color w:val="auto"/>
              </w:rPr>
            </w:pPr>
            <w:r>
              <w:rPr>
                <w:rFonts w:ascii="Arial" w:cs="Arial" w:eastAsia="Arial" w:hAnsi="Arial"/>
                <w:sz w:val="14"/>
                <w:szCs w:val="14"/>
                <w:color w:val="131E29"/>
              </w:rPr>
              <w:t>Other current liabilities</w:t>
            </w:r>
          </w:p>
        </w:tc>
        <w:tc>
          <w:tcPr>
            <w:tcW w:w="680" w:type="dxa"/>
            <w:vAlign w:val="bottom"/>
            <w:shd w:val="clear" w:color="auto" w:fill="D2DCE5"/>
          </w:tcPr>
          <w:p>
            <w:pPr>
              <w:spacing w:after="0"/>
              <w:rPr>
                <w:sz w:val="19"/>
                <w:szCs w:val="19"/>
                <w:color w:val="auto"/>
              </w:rPr>
            </w:pPr>
          </w:p>
        </w:tc>
        <w:tc>
          <w:tcPr>
            <w:tcW w:w="1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7,067</w:t>
            </w:r>
          </w:p>
        </w:tc>
        <w:tc>
          <w:tcPr>
            <w:tcW w:w="80" w:type="dxa"/>
            <w:vAlign w:val="bottom"/>
            <w:shd w:val="clear" w:color="auto" w:fill="D2DCE5"/>
          </w:tcPr>
          <w:p>
            <w:pPr>
              <w:spacing w:after="0"/>
              <w:rPr>
                <w:sz w:val="19"/>
                <w:szCs w:val="19"/>
                <w:color w:val="auto"/>
              </w:rPr>
            </w:pPr>
          </w:p>
        </w:tc>
        <w:tc>
          <w:tcPr>
            <w:tcW w:w="660" w:type="dxa"/>
            <w:vAlign w:val="bottom"/>
            <w:shd w:val="clear" w:color="auto" w:fill="D2DCE5"/>
          </w:tcPr>
          <w:p>
            <w:pPr>
              <w:spacing w:after="0"/>
              <w:rPr>
                <w:sz w:val="19"/>
                <w:szCs w:val="19"/>
                <w:color w:val="auto"/>
              </w:rPr>
            </w:pPr>
          </w:p>
        </w:tc>
        <w:tc>
          <w:tcPr>
            <w:tcW w:w="1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6,423</w:t>
            </w:r>
          </w:p>
        </w:tc>
        <w:tc>
          <w:tcPr>
            <w:tcW w:w="0" w:type="dxa"/>
            <w:vAlign w:val="bottom"/>
          </w:tcPr>
          <w:p>
            <w:pPr>
              <w:spacing w:after="0"/>
              <w:rPr>
                <w:sz w:val="1"/>
                <w:szCs w:val="1"/>
                <w:color w:val="auto"/>
              </w:rPr>
            </w:pPr>
          </w:p>
        </w:tc>
      </w:tr>
      <w:tr>
        <w:trPr>
          <w:trHeight w:val="202"/>
        </w:trPr>
        <w:tc>
          <w:tcPr>
            <w:tcW w:w="7300" w:type="dxa"/>
            <w:vAlign w:val="bottom"/>
          </w:tcPr>
          <w:p>
            <w:pPr>
              <w:ind w:left="140"/>
              <w:spacing w:after="0"/>
              <w:rPr>
                <w:sz w:val="20"/>
                <w:szCs w:val="20"/>
                <w:color w:val="auto"/>
              </w:rPr>
            </w:pPr>
            <w:r>
              <w:rPr>
                <w:rFonts w:ascii="Arial" w:cs="Arial" w:eastAsia="Arial" w:hAnsi="Arial"/>
                <w:sz w:val="14"/>
                <w:szCs w:val="14"/>
                <w:color w:val="131E29"/>
              </w:rPr>
              <w:t>Deferred revenue</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131E29"/>
              </w:rPr>
              <w:t>42,868</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30,349</w:t>
            </w:r>
          </w:p>
        </w:tc>
        <w:tc>
          <w:tcPr>
            <w:tcW w:w="0" w:type="dxa"/>
            <w:vAlign w:val="bottom"/>
          </w:tcPr>
          <w:p>
            <w:pPr>
              <w:spacing w:after="0"/>
              <w:rPr>
                <w:sz w:val="1"/>
                <w:szCs w:val="1"/>
                <w:color w:val="auto"/>
              </w:rPr>
            </w:pPr>
          </w:p>
        </w:tc>
      </w:tr>
      <w:tr>
        <w:trPr>
          <w:trHeight w:val="222"/>
        </w:trPr>
        <w:tc>
          <w:tcPr>
            <w:tcW w:w="7300" w:type="dxa"/>
            <w:vAlign w:val="bottom"/>
            <w:shd w:val="clear" w:color="auto" w:fill="D2DCE5"/>
          </w:tcPr>
          <w:p>
            <w:pPr>
              <w:ind w:left="140"/>
              <w:spacing w:after="0"/>
              <w:rPr>
                <w:sz w:val="20"/>
                <w:szCs w:val="20"/>
                <w:color w:val="auto"/>
              </w:rPr>
            </w:pPr>
            <w:r>
              <w:rPr>
                <w:rFonts w:ascii="Arial" w:cs="Arial" w:eastAsia="Arial" w:hAnsi="Arial"/>
                <w:sz w:val="14"/>
                <w:szCs w:val="14"/>
                <w:color w:val="131E29"/>
              </w:rPr>
              <w:t>Current portion of tax receivable agreements liability</w:t>
            </w:r>
          </w:p>
        </w:tc>
        <w:tc>
          <w:tcPr>
            <w:tcW w:w="680" w:type="dxa"/>
            <w:vAlign w:val="bottom"/>
            <w:shd w:val="clear" w:color="auto" w:fill="D2DCE5"/>
          </w:tcPr>
          <w:p>
            <w:pPr>
              <w:spacing w:after="0"/>
              <w:rPr>
                <w:sz w:val="19"/>
                <w:szCs w:val="19"/>
                <w:color w:val="auto"/>
              </w:rPr>
            </w:pPr>
          </w:p>
        </w:tc>
        <w:tc>
          <w:tcPr>
            <w:tcW w:w="1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71</w:t>
            </w:r>
          </w:p>
        </w:tc>
        <w:tc>
          <w:tcPr>
            <w:tcW w:w="80" w:type="dxa"/>
            <w:vAlign w:val="bottom"/>
            <w:shd w:val="clear" w:color="auto" w:fill="D2DCE5"/>
          </w:tcPr>
          <w:p>
            <w:pPr>
              <w:spacing w:after="0"/>
              <w:rPr>
                <w:sz w:val="19"/>
                <w:szCs w:val="19"/>
                <w:color w:val="auto"/>
              </w:rPr>
            </w:pPr>
          </w:p>
        </w:tc>
        <w:tc>
          <w:tcPr>
            <w:tcW w:w="660" w:type="dxa"/>
            <w:vAlign w:val="bottom"/>
            <w:shd w:val="clear" w:color="auto" w:fill="D2DCE5"/>
          </w:tcPr>
          <w:p>
            <w:pPr>
              <w:spacing w:after="0"/>
              <w:rPr>
                <w:sz w:val="19"/>
                <w:szCs w:val="19"/>
                <w:color w:val="auto"/>
              </w:rPr>
            </w:pPr>
          </w:p>
        </w:tc>
        <w:tc>
          <w:tcPr>
            <w:tcW w:w="1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02"/>
        </w:trPr>
        <w:tc>
          <w:tcPr>
            <w:tcW w:w="7300" w:type="dxa"/>
            <w:vAlign w:val="bottom"/>
          </w:tcPr>
          <w:p>
            <w:pPr>
              <w:ind w:left="140"/>
              <w:spacing w:after="0"/>
              <w:rPr>
                <w:sz w:val="20"/>
                <w:szCs w:val="20"/>
                <w:color w:val="auto"/>
              </w:rPr>
            </w:pPr>
            <w:r>
              <w:rPr>
                <w:rFonts w:ascii="Arial" w:cs="Arial" w:eastAsia="Arial" w:hAnsi="Arial"/>
                <w:sz w:val="14"/>
                <w:szCs w:val="14"/>
                <w:color w:val="131E29"/>
              </w:rPr>
              <w:t>Current portion of finance lease liabilities</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131E29"/>
              </w:rPr>
              <w:t>13,256</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9,482</w:t>
            </w:r>
          </w:p>
        </w:tc>
        <w:tc>
          <w:tcPr>
            <w:tcW w:w="0" w:type="dxa"/>
            <w:vAlign w:val="bottom"/>
          </w:tcPr>
          <w:p>
            <w:pPr>
              <w:spacing w:after="0"/>
              <w:rPr>
                <w:sz w:val="1"/>
                <w:szCs w:val="1"/>
                <w:color w:val="auto"/>
              </w:rPr>
            </w:pPr>
          </w:p>
        </w:tc>
      </w:tr>
      <w:tr>
        <w:trPr>
          <w:trHeight w:val="222"/>
        </w:trPr>
        <w:tc>
          <w:tcPr>
            <w:tcW w:w="7300" w:type="dxa"/>
            <w:vAlign w:val="bottom"/>
            <w:shd w:val="clear" w:color="auto" w:fill="D2DCE5"/>
          </w:tcPr>
          <w:p>
            <w:pPr>
              <w:ind w:left="140"/>
              <w:spacing w:after="0"/>
              <w:rPr>
                <w:sz w:val="20"/>
                <w:szCs w:val="20"/>
                <w:color w:val="auto"/>
              </w:rPr>
            </w:pPr>
            <w:r>
              <w:rPr>
                <w:rFonts w:ascii="Arial" w:cs="Arial" w:eastAsia="Arial" w:hAnsi="Arial"/>
                <w:sz w:val="14"/>
                <w:szCs w:val="14"/>
                <w:color w:val="131E29"/>
              </w:rPr>
              <w:t>Current portion of operating lease liabilities</w:t>
            </w:r>
          </w:p>
        </w:tc>
        <w:tc>
          <w:tcPr>
            <w:tcW w:w="680" w:type="dxa"/>
            <w:vAlign w:val="bottom"/>
            <w:shd w:val="clear" w:color="auto" w:fill="D2DCE5"/>
          </w:tcPr>
          <w:p>
            <w:pPr>
              <w:spacing w:after="0"/>
              <w:rPr>
                <w:sz w:val="19"/>
                <w:szCs w:val="19"/>
                <w:color w:val="auto"/>
              </w:rPr>
            </w:pPr>
          </w:p>
        </w:tc>
        <w:tc>
          <w:tcPr>
            <w:tcW w:w="1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13,979</w:t>
            </w:r>
          </w:p>
        </w:tc>
        <w:tc>
          <w:tcPr>
            <w:tcW w:w="80" w:type="dxa"/>
            <w:vAlign w:val="bottom"/>
            <w:shd w:val="clear" w:color="auto" w:fill="D2DCE5"/>
          </w:tcPr>
          <w:p>
            <w:pPr>
              <w:spacing w:after="0"/>
              <w:rPr>
                <w:sz w:val="19"/>
                <w:szCs w:val="19"/>
                <w:color w:val="auto"/>
              </w:rPr>
            </w:pPr>
          </w:p>
        </w:tc>
        <w:tc>
          <w:tcPr>
            <w:tcW w:w="660" w:type="dxa"/>
            <w:vAlign w:val="bottom"/>
            <w:shd w:val="clear" w:color="auto" w:fill="D2DCE5"/>
          </w:tcPr>
          <w:p>
            <w:pPr>
              <w:spacing w:after="0"/>
              <w:rPr>
                <w:sz w:val="19"/>
                <w:szCs w:val="19"/>
                <w:color w:val="auto"/>
              </w:rPr>
            </w:pPr>
          </w:p>
        </w:tc>
        <w:tc>
          <w:tcPr>
            <w:tcW w:w="1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10,239</w:t>
            </w:r>
          </w:p>
        </w:tc>
        <w:tc>
          <w:tcPr>
            <w:tcW w:w="0" w:type="dxa"/>
            <w:vAlign w:val="bottom"/>
          </w:tcPr>
          <w:p>
            <w:pPr>
              <w:spacing w:after="0"/>
              <w:rPr>
                <w:sz w:val="1"/>
                <w:szCs w:val="1"/>
                <w:color w:val="auto"/>
              </w:rPr>
            </w:pPr>
          </w:p>
        </w:tc>
      </w:tr>
      <w:tr>
        <w:trPr>
          <w:trHeight w:val="203"/>
        </w:trPr>
        <w:tc>
          <w:tcPr>
            <w:tcW w:w="7300" w:type="dxa"/>
            <w:vAlign w:val="bottom"/>
            <w:tcBorders>
              <w:bottom w:val="single" w:sz="8" w:color="D2DCE5"/>
            </w:tcBorders>
          </w:tcPr>
          <w:p>
            <w:pPr>
              <w:ind w:left="140"/>
              <w:spacing w:after="0"/>
              <w:rPr>
                <w:sz w:val="20"/>
                <w:szCs w:val="20"/>
                <w:color w:val="auto"/>
              </w:rPr>
            </w:pPr>
            <w:r>
              <w:rPr>
                <w:rFonts w:ascii="Arial" w:cs="Arial" w:eastAsia="Arial" w:hAnsi="Arial"/>
                <w:sz w:val="14"/>
                <w:szCs w:val="14"/>
                <w:color w:val="131E29"/>
              </w:rPr>
              <w:t>Current portion of long-term debt</w:t>
            </w:r>
          </w:p>
        </w:tc>
        <w:tc>
          <w:tcPr>
            <w:tcW w:w="6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17,311</w:t>
            </w:r>
          </w:p>
        </w:tc>
        <w:tc>
          <w:tcPr>
            <w:tcW w:w="80" w:type="dxa"/>
            <w:vAlign w:val="bottom"/>
            <w:tcBorders>
              <w:bottom w:val="single" w:sz="8" w:color="D2DCE5"/>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4,491</w:t>
            </w:r>
          </w:p>
        </w:tc>
        <w:tc>
          <w:tcPr>
            <w:tcW w:w="0" w:type="dxa"/>
            <w:vAlign w:val="bottom"/>
          </w:tcPr>
          <w:p>
            <w:pPr>
              <w:spacing w:after="0"/>
              <w:rPr>
                <w:sz w:val="1"/>
                <w:szCs w:val="1"/>
                <w:color w:val="auto"/>
              </w:rPr>
            </w:pPr>
          </w:p>
        </w:tc>
      </w:tr>
      <w:tr>
        <w:trPr>
          <w:trHeight w:val="212"/>
        </w:trPr>
        <w:tc>
          <w:tcPr>
            <w:tcW w:w="7300" w:type="dxa"/>
            <w:vAlign w:val="bottom"/>
            <w:shd w:val="clear" w:color="auto" w:fill="D2DCE5"/>
          </w:tcPr>
          <w:p>
            <w:pPr>
              <w:ind w:left="260"/>
              <w:spacing w:after="0"/>
              <w:rPr>
                <w:sz w:val="20"/>
                <w:szCs w:val="20"/>
                <w:color w:val="auto"/>
              </w:rPr>
            </w:pPr>
            <w:r>
              <w:rPr>
                <w:rFonts w:ascii="Arial" w:cs="Arial" w:eastAsia="Arial" w:hAnsi="Arial"/>
                <w:sz w:val="14"/>
                <w:szCs w:val="14"/>
                <w:color w:val="131E29"/>
              </w:rPr>
              <w:t>Total current liabilities</w:t>
            </w:r>
          </w:p>
        </w:tc>
        <w:tc>
          <w:tcPr>
            <w:tcW w:w="680" w:type="dxa"/>
            <w:vAlign w:val="bottom"/>
            <w:shd w:val="clear" w:color="auto" w:fill="D2DCE5"/>
          </w:tcPr>
          <w:p>
            <w:pPr>
              <w:spacing w:after="0"/>
              <w:rPr>
                <w:sz w:val="18"/>
                <w:szCs w:val="18"/>
                <w:color w:val="auto"/>
              </w:rPr>
            </w:pPr>
          </w:p>
        </w:tc>
        <w:tc>
          <w:tcPr>
            <w:tcW w:w="1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203,071</w:t>
            </w:r>
          </w:p>
        </w:tc>
        <w:tc>
          <w:tcPr>
            <w:tcW w:w="80" w:type="dxa"/>
            <w:vAlign w:val="bottom"/>
            <w:shd w:val="clear" w:color="auto" w:fill="D2DCE5"/>
          </w:tcPr>
          <w:p>
            <w:pPr>
              <w:spacing w:after="0"/>
              <w:rPr>
                <w:sz w:val="18"/>
                <w:szCs w:val="18"/>
                <w:color w:val="auto"/>
              </w:rPr>
            </w:pPr>
          </w:p>
        </w:tc>
        <w:tc>
          <w:tcPr>
            <w:tcW w:w="660" w:type="dxa"/>
            <w:vAlign w:val="bottom"/>
            <w:shd w:val="clear" w:color="auto" w:fill="D2DCE5"/>
          </w:tcPr>
          <w:p>
            <w:pPr>
              <w:spacing w:after="0"/>
              <w:rPr>
                <w:sz w:val="18"/>
                <w:szCs w:val="18"/>
                <w:color w:val="auto"/>
              </w:rPr>
            </w:pPr>
          </w:p>
        </w:tc>
        <w:tc>
          <w:tcPr>
            <w:tcW w:w="1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138,116</w:t>
            </w:r>
          </w:p>
        </w:tc>
        <w:tc>
          <w:tcPr>
            <w:tcW w:w="0" w:type="dxa"/>
            <w:vAlign w:val="bottom"/>
          </w:tcPr>
          <w:p>
            <w:pPr>
              <w:spacing w:after="0"/>
              <w:rPr>
                <w:sz w:val="1"/>
                <w:szCs w:val="1"/>
                <w:color w:val="auto"/>
              </w:rPr>
            </w:pPr>
          </w:p>
        </w:tc>
      </w:tr>
      <w:tr>
        <w:trPr>
          <w:trHeight w:val="202"/>
        </w:trPr>
        <w:tc>
          <w:tcPr>
            <w:tcW w:w="7300" w:type="dxa"/>
            <w:vAlign w:val="bottom"/>
          </w:tcPr>
          <w:p>
            <w:pPr>
              <w:spacing w:after="0"/>
              <w:rPr>
                <w:sz w:val="20"/>
                <w:szCs w:val="20"/>
                <w:color w:val="auto"/>
              </w:rPr>
            </w:pPr>
            <w:r>
              <w:rPr>
                <w:rFonts w:ascii="Arial" w:cs="Arial" w:eastAsia="Arial" w:hAnsi="Arial"/>
                <w:sz w:val="14"/>
                <w:szCs w:val="14"/>
                <w:color w:val="131E29"/>
              </w:rPr>
              <w:t>Deferred revenue, net of current portion</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131E29"/>
              </w:rPr>
              <w:t>8,015</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6,676</w:t>
            </w:r>
          </w:p>
        </w:tc>
        <w:tc>
          <w:tcPr>
            <w:tcW w:w="0" w:type="dxa"/>
            <w:vAlign w:val="bottom"/>
          </w:tcPr>
          <w:p>
            <w:pPr>
              <w:spacing w:after="0"/>
              <w:rPr>
                <w:sz w:val="1"/>
                <w:szCs w:val="1"/>
                <w:color w:val="auto"/>
              </w:rPr>
            </w:pPr>
          </w:p>
        </w:tc>
      </w:tr>
      <w:tr>
        <w:trPr>
          <w:trHeight w:val="222"/>
        </w:trPr>
        <w:tc>
          <w:tcPr>
            <w:tcW w:w="7300" w:type="dxa"/>
            <w:vAlign w:val="bottom"/>
            <w:shd w:val="clear" w:color="auto" w:fill="D2DCE5"/>
          </w:tcPr>
          <w:p>
            <w:pPr>
              <w:spacing w:after="0"/>
              <w:rPr>
                <w:sz w:val="20"/>
                <w:szCs w:val="20"/>
                <w:color w:val="auto"/>
              </w:rPr>
            </w:pPr>
            <w:r>
              <w:rPr>
                <w:rFonts w:ascii="Arial" w:cs="Arial" w:eastAsia="Arial" w:hAnsi="Arial"/>
                <w:sz w:val="14"/>
                <w:szCs w:val="14"/>
                <w:color w:val="131E29"/>
              </w:rPr>
              <w:t>Finance lease liabilities, net of current portion</w:t>
            </w:r>
          </w:p>
        </w:tc>
        <w:tc>
          <w:tcPr>
            <w:tcW w:w="680" w:type="dxa"/>
            <w:vAlign w:val="bottom"/>
            <w:shd w:val="clear" w:color="auto" w:fill="D2DCE5"/>
          </w:tcPr>
          <w:p>
            <w:pPr>
              <w:spacing w:after="0"/>
              <w:rPr>
                <w:sz w:val="19"/>
                <w:szCs w:val="19"/>
                <w:color w:val="auto"/>
              </w:rPr>
            </w:pPr>
          </w:p>
        </w:tc>
        <w:tc>
          <w:tcPr>
            <w:tcW w:w="1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369,297</w:t>
            </w:r>
          </w:p>
        </w:tc>
        <w:tc>
          <w:tcPr>
            <w:tcW w:w="80" w:type="dxa"/>
            <w:vAlign w:val="bottom"/>
            <w:shd w:val="clear" w:color="auto" w:fill="D2DCE5"/>
          </w:tcPr>
          <w:p>
            <w:pPr>
              <w:spacing w:after="0"/>
              <w:rPr>
                <w:sz w:val="19"/>
                <w:szCs w:val="19"/>
                <w:color w:val="auto"/>
              </w:rPr>
            </w:pPr>
          </w:p>
        </w:tc>
        <w:tc>
          <w:tcPr>
            <w:tcW w:w="660" w:type="dxa"/>
            <w:vAlign w:val="bottom"/>
            <w:shd w:val="clear" w:color="auto" w:fill="D2DCE5"/>
          </w:tcPr>
          <w:p>
            <w:pPr>
              <w:spacing w:after="0"/>
              <w:rPr>
                <w:sz w:val="19"/>
                <w:szCs w:val="19"/>
                <w:color w:val="auto"/>
              </w:rPr>
            </w:pPr>
          </w:p>
        </w:tc>
        <w:tc>
          <w:tcPr>
            <w:tcW w:w="1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367,775</w:t>
            </w:r>
          </w:p>
        </w:tc>
        <w:tc>
          <w:tcPr>
            <w:tcW w:w="0" w:type="dxa"/>
            <w:vAlign w:val="bottom"/>
          </w:tcPr>
          <w:p>
            <w:pPr>
              <w:spacing w:after="0"/>
              <w:rPr>
                <w:sz w:val="1"/>
                <w:szCs w:val="1"/>
                <w:color w:val="auto"/>
              </w:rPr>
            </w:pPr>
          </w:p>
        </w:tc>
      </w:tr>
      <w:tr>
        <w:trPr>
          <w:trHeight w:val="202"/>
        </w:trPr>
        <w:tc>
          <w:tcPr>
            <w:tcW w:w="7300" w:type="dxa"/>
            <w:vAlign w:val="bottom"/>
          </w:tcPr>
          <w:p>
            <w:pPr>
              <w:spacing w:after="0"/>
              <w:rPr>
                <w:sz w:val="20"/>
                <w:szCs w:val="20"/>
                <w:color w:val="auto"/>
              </w:rPr>
            </w:pPr>
            <w:r>
              <w:rPr>
                <w:rFonts w:ascii="Arial" w:cs="Arial" w:eastAsia="Arial" w:hAnsi="Arial"/>
                <w:sz w:val="14"/>
                <w:szCs w:val="14"/>
                <w:color w:val="131E29"/>
              </w:rPr>
              <w:t>Operating lease liabilities, net of current portion</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131E29"/>
              </w:rPr>
              <w:t>309,311</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191,419</w:t>
            </w:r>
          </w:p>
        </w:tc>
        <w:tc>
          <w:tcPr>
            <w:tcW w:w="0" w:type="dxa"/>
            <w:vAlign w:val="bottom"/>
          </w:tcPr>
          <w:p>
            <w:pPr>
              <w:spacing w:after="0"/>
              <w:rPr>
                <w:sz w:val="1"/>
                <w:szCs w:val="1"/>
                <w:color w:val="auto"/>
              </w:rPr>
            </w:pPr>
          </w:p>
        </w:tc>
      </w:tr>
      <w:tr>
        <w:trPr>
          <w:trHeight w:val="222"/>
        </w:trPr>
        <w:tc>
          <w:tcPr>
            <w:tcW w:w="7300" w:type="dxa"/>
            <w:vAlign w:val="bottom"/>
            <w:shd w:val="clear" w:color="auto" w:fill="D2DCE5"/>
          </w:tcPr>
          <w:p>
            <w:pPr>
              <w:spacing w:after="0"/>
              <w:rPr>
                <w:sz w:val="20"/>
                <w:szCs w:val="20"/>
                <w:color w:val="auto"/>
              </w:rPr>
            </w:pPr>
            <w:r>
              <w:rPr>
                <w:rFonts w:ascii="Arial" w:cs="Arial" w:eastAsia="Arial" w:hAnsi="Arial"/>
                <w:sz w:val="14"/>
                <w:szCs w:val="14"/>
                <w:color w:val="131E29"/>
              </w:rPr>
              <w:t>Long-term debt, net of current portion</w:t>
            </w:r>
          </w:p>
        </w:tc>
        <w:tc>
          <w:tcPr>
            <w:tcW w:w="680" w:type="dxa"/>
            <w:vAlign w:val="bottom"/>
            <w:shd w:val="clear" w:color="auto" w:fill="D2DCE5"/>
          </w:tcPr>
          <w:p>
            <w:pPr>
              <w:spacing w:after="0"/>
              <w:rPr>
                <w:sz w:val="19"/>
                <w:szCs w:val="19"/>
                <w:color w:val="auto"/>
              </w:rPr>
            </w:pPr>
          </w:p>
        </w:tc>
        <w:tc>
          <w:tcPr>
            <w:tcW w:w="1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219,755</w:t>
            </w:r>
          </w:p>
        </w:tc>
        <w:tc>
          <w:tcPr>
            <w:tcW w:w="80" w:type="dxa"/>
            <w:vAlign w:val="bottom"/>
            <w:shd w:val="clear" w:color="auto" w:fill="D2DCE5"/>
          </w:tcPr>
          <w:p>
            <w:pPr>
              <w:spacing w:after="0"/>
              <w:rPr>
                <w:sz w:val="19"/>
                <w:szCs w:val="19"/>
                <w:color w:val="auto"/>
              </w:rPr>
            </w:pPr>
          </w:p>
        </w:tc>
        <w:tc>
          <w:tcPr>
            <w:tcW w:w="660" w:type="dxa"/>
            <w:vAlign w:val="bottom"/>
            <w:shd w:val="clear" w:color="auto" w:fill="D2DCE5"/>
          </w:tcPr>
          <w:p>
            <w:pPr>
              <w:spacing w:after="0"/>
              <w:rPr>
                <w:sz w:val="19"/>
                <w:szCs w:val="19"/>
                <w:color w:val="auto"/>
              </w:rPr>
            </w:pPr>
          </w:p>
        </w:tc>
        <w:tc>
          <w:tcPr>
            <w:tcW w:w="1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93,175</w:t>
            </w:r>
          </w:p>
        </w:tc>
        <w:tc>
          <w:tcPr>
            <w:tcW w:w="0" w:type="dxa"/>
            <w:vAlign w:val="bottom"/>
          </w:tcPr>
          <w:p>
            <w:pPr>
              <w:spacing w:after="0"/>
              <w:rPr>
                <w:sz w:val="1"/>
                <w:szCs w:val="1"/>
                <w:color w:val="auto"/>
              </w:rPr>
            </w:pPr>
          </w:p>
        </w:tc>
      </w:tr>
      <w:tr>
        <w:trPr>
          <w:trHeight w:val="202"/>
        </w:trPr>
        <w:tc>
          <w:tcPr>
            <w:tcW w:w="7300" w:type="dxa"/>
            <w:vAlign w:val="bottom"/>
          </w:tcPr>
          <w:p>
            <w:pPr>
              <w:spacing w:after="0"/>
              <w:rPr>
                <w:sz w:val="20"/>
                <w:szCs w:val="20"/>
                <w:color w:val="auto"/>
              </w:rPr>
            </w:pPr>
            <w:r>
              <w:rPr>
                <w:rFonts w:ascii="Arial" w:cs="Arial" w:eastAsia="Arial" w:hAnsi="Arial"/>
                <w:sz w:val="14"/>
                <w:szCs w:val="14"/>
                <w:color w:val="131E29"/>
              </w:rPr>
              <w:t>Tax receivable agreements liability, net of current portion</w:t>
            </w:r>
          </w:p>
        </w:tc>
        <w:tc>
          <w:tcPr>
            <w:tcW w:w="6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131E29"/>
              </w:rPr>
              <w:t>627,763</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290,920</w:t>
            </w:r>
          </w:p>
        </w:tc>
        <w:tc>
          <w:tcPr>
            <w:tcW w:w="0" w:type="dxa"/>
            <w:vAlign w:val="bottom"/>
          </w:tcPr>
          <w:p>
            <w:pPr>
              <w:spacing w:after="0"/>
              <w:rPr>
                <w:sz w:val="1"/>
                <w:szCs w:val="1"/>
                <w:color w:val="auto"/>
              </w:rPr>
            </w:pPr>
          </w:p>
        </w:tc>
      </w:tr>
      <w:tr>
        <w:trPr>
          <w:trHeight w:val="222"/>
        </w:trPr>
        <w:tc>
          <w:tcPr>
            <w:tcW w:w="7300" w:type="dxa"/>
            <w:vAlign w:val="bottom"/>
            <w:shd w:val="clear" w:color="auto" w:fill="D2DCE5"/>
          </w:tcPr>
          <w:p>
            <w:pPr>
              <w:spacing w:after="0"/>
              <w:rPr>
                <w:sz w:val="20"/>
                <w:szCs w:val="20"/>
                <w:color w:val="auto"/>
              </w:rPr>
            </w:pPr>
            <w:r>
              <w:rPr>
                <w:rFonts w:ascii="Arial" w:cs="Arial" w:eastAsia="Arial" w:hAnsi="Arial"/>
                <w:sz w:val="14"/>
                <w:szCs w:val="14"/>
                <w:color w:val="131E29"/>
              </w:rPr>
              <w:t>Other long-term liabilities</w:t>
            </w:r>
          </w:p>
        </w:tc>
        <w:tc>
          <w:tcPr>
            <w:tcW w:w="680" w:type="dxa"/>
            <w:vAlign w:val="bottom"/>
            <w:tcBorders>
              <w:bottom w:val="single" w:sz="8" w:color="auto"/>
            </w:tcBorders>
            <w:shd w:val="clear" w:color="auto" w:fill="D2DCE5"/>
          </w:tcPr>
          <w:p>
            <w:pPr>
              <w:spacing w:after="0"/>
              <w:rPr>
                <w:sz w:val="19"/>
                <w:szCs w:val="19"/>
                <w:color w:val="auto"/>
              </w:rPr>
            </w:pPr>
          </w:p>
        </w:tc>
        <w:tc>
          <w:tcPr>
            <w:tcW w:w="12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w:t>
            </w:r>
          </w:p>
        </w:tc>
        <w:tc>
          <w:tcPr>
            <w:tcW w:w="80" w:type="dxa"/>
            <w:vAlign w:val="bottom"/>
            <w:shd w:val="clear" w:color="auto" w:fill="D2DCE5"/>
          </w:tcPr>
          <w:p>
            <w:pPr>
              <w:spacing w:after="0"/>
              <w:rPr>
                <w:sz w:val="19"/>
                <w:szCs w:val="19"/>
                <w:color w:val="auto"/>
              </w:rPr>
            </w:pPr>
          </w:p>
        </w:tc>
        <w:tc>
          <w:tcPr>
            <w:tcW w:w="660" w:type="dxa"/>
            <w:vAlign w:val="bottom"/>
            <w:tcBorders>
              <w:bottom w:val="single" w:sz="8" w:color="auto"/>
            </w:tcBorders>
            <w:shd w:val="clear" w:color="auto" w:fill="D2DCE5"/>
          </w:tcPr>
          <w:p>
            <w:pPr>
              <w:spacing w:after="0"/>
              <w:rPr>
                <w:sz w:val="19"/>
                <w:szCs w:val="19"/>
                <w:color w:val="auto"/>
              </w:rPr>
            </w:pPr>
          </w:p>
        </w:tc>
        <w:tc>
          <w:tcPr>
            <w:tcW w:w="12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w:t>
            </w:r>
          </w:p>
        </w:tc>
        <w:tc>
          <w:tcPr>
            <w:tcW w:w="0" w:type="dxa"/>
            <w:vAlign w:val="bottom"/>
          </w:tcPr>
          <w:p>
            <w:pPr>
              <w:spacing w:after="0"/>
              <w:rPr>
                <w:sz w:val="1"/>
                <w:szCs w:val="1"/>
                <w:color w:val="auto"/>
              </w:rPr>
            </w:pPr>
          </w:p>
        </w:tc>
      </w:tr>
      <w:tr>
        <w:trPr>
          <w:trHeight w:val="193"/>
        </w:trPr>
        <w:tc>
          <w:tcPr>
            <w:tcW w:w="7300" w:type="dxa"/>
            <w:vAlign w:val="bottom"/>
          </w:tcPr>
          <w:p>
            <w:pPr>
              <w:ind w:left="260"/>
              <w:spacing w:after="0"/>
              <w:rPr>
                <w:sz w:val="20"/>
                <w:szCs w:val="20"/>
                <w:color w:val="auto"/>
              </w:rPr>
            </w:pPr>
            <w:r>
              <w:rPr>
                <w:rFonts w:ascii="Arial" w:cs="Arial" w:eastAsia="Arial" w:hAnsi="Arial"/>
                <w:sz w:val="14"/>
                <w:szCs w:val="14"/>
                <w:color w:val="131E29"/>
              </w:rPr>
              <w:t>Total liabilities</w:t>
            </w:r>
          </w:p>
        </w:tc>
        <w:tc>
          <w:tcPr>
            <w:tcW w:w="6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131E29"/>
              </w:rPr>
              <w:t>1,737,220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1,088,089</w:t>
            </w:r>
          </w:p>
        </w:tc>
        <w:tc>
          <w:tcPr>
            <w:tcW w:w="0" w:type="dxa"/>
            <w:vAlign w:val="bottom"/>
          </w:tcPr>
          <w:p>
            <w:pPr>
              <w:spacing w:after="0"/>
              <w:rPr>
                <w:sz w:val="1"/>
                <w:szCs w:val="1"/>
                <w:color w:val="auto"/>
              </w:rPr>
            </w:pPr>
          </w:p>
        </w:tc>
      </w:tr>
      <w:tr>
        <w:trPr>
          <w:trHeight w:val="222"/>
        </w:trPr>
        <w:tc>
          <w:tcPr>
            <w:tcW w:w="7300" w:type="dxa"/>
            <w:vAlign w:val="bottom"/>
            <w:shd w:val="clear" w:color="auto" w:fill="D2DCE5"/>
          </w:tcPr>
          <w:p>
            <w:pPr>
              <w:spacing w:after="0"/>
              <w:rPr>
                <w:sz w:val="20"/>
                <w:szCs w:val="20"/>
                <w:color w:val="auto"/>
              </w:rPr>
            </w:pPr>
            <w:r>
              <w:rPr>
                <w:rFonts w:ascii="Arial" w:cs="Arial" w:eastAsia="Arial" w:hAnsi="Arial"/>
                <w:sz w:val="14"/>
                <w:szCs w:val="14"/>
                <w:color w:val="131E29"/>
              </w:rPr>
              <w:t>Commitments and contingencies (Note 17)</w:t>
            </w:r>
          </w:p>
        </w:tc>
        <w:tc>
          <w:tcPr>
            <w:tcW w:w="680" w:type="dxa"/>
            <w:vAlign w:val="bottom"/>
            <w:shd w:val="clear" w:color="auto" w:fill="D2DCE5"/>
          </w:tcPr>
          <w:p>
            <w:pPr>
              <w:spacing w:after="0"/>
              <w:rPr>
                <w:sz w:val="19"/>
                <w:szCs w:val="19"/>
                <w:color w:val="auto"/>
              </w:rPr>
            </w:pPr>
          </w:p>
        </w:tc>
        <w:tc>
          <w:tcPr>
            <w:tcW w:w="12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660" w:type="dxa"/>
            <w:vAlign w:val="bottom"/>
            <w:shd w:val="clear" w:color="auto" w:fill="D2DCE5"/>
          </w:tcPr>
          <w:p>
            <w:pPr>
              <w:spacing w:after="0"/>
              <w:rPr>
                <w:sz w:val="19"/>
                <w:szCs w:val="19"/>
                <w:color w:val="auto"/>
              </w:rPr>
            </w:pPr>
          </w:p>
        </w:tc>
        <w:tc>
          <w:tcPr>
            <w:tcW w:w="128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186930"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97" w:name="page98"/>
    <w:bookmarkEnd w:id="97"/>
    <w:p>
      <w:pPr>
        <w:ind w:left="260"/>
        <w:spacing w:after="0"/>
        <w:rPr>
          <w:sz w:val="20"/>
          <w:szCs w:val="20"/>
          <w:color w:val="auto"/>
        </w:rPr>
      </w:pPr>
      <w:r>
        <w:rPr>
          <w:rFonts w:ascii="Arial" w:cs="Arial" w:eastAsia="Arial" w:hAnsi="Arial"/>
          <w:sz w:val="11"/>
          <w:szCs w:val="11"/>
          <w:u w:val="single" w:color="auto"/>
          <w:color w:val="006098"/>
        </w:rPr>
        <w:t>Table of Contents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Balance Sheets (continued)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ind w:left="200"/>
              <w:spacing w:after="0"/>
              <w:rPr>
                <w:sz w:val="20"/>
                <w:szCs w:val="20"/>
                <w:color w:val="auto"/>
              </w:rPr>
            </w:pPr>
            <w:r>
              <w:rPr>
                <w:rFonts w:ascii="Arial" w:cs="Arial" w:eastAsia="Arial" w:hAnsi="Arial"/>
                <w:sz w:val="14"/>
                <w:szCs w:val="14"/>
                <w:b w:val="1"/>
                <w:bCs w:val="1"/>
                <w:color w:val="131E29"/>
              </w:rPr>
              <w:t>December 31,</w:t>
            </w:r>
          </w:p>
        </w:tc>
        <w:tc>
          <w:tcPr>
            <w:tcW w:w="300" w:type="dxa"/>
            <w:vAlign w:val="bottom"/>
          </w:tcPr>
          <w:p>
            <w:pPr>
              <w:spacing w:after="0"/>
              <w:rPr>
                <w:sz w:val="14"/>
                <w:szCs w:val="14"/>
                <w:color w:val="auto"/>
              </w:rPr>
            </w:pPr>
          </w:p>
        </w:tc>
        <w:tc>
          <w:tcPr>
            <w:tcW w:w="1620" w:type="dxa"/>
            <w:vAlign w:val="bottom"/>
          </w:tcPr>
          <w:p>
            <w:pPr>
              <w:jc w:val="right"/>
              <w:ind w:right="429"/>
              <w:spacing w:after="0"/>
              <w:rPr>
                <w:sz w:val="20"/>
                <w:szCs w:val="20"/>
                <w:color w:val="auto"/>
              </w:rPr>
            </w:pPr>
            <w:r>
              <w:rPr>
                <w:rFonts w:ascii="Arial" w:cs="Arial" w:eastAsia="Arial" w:hAnsi="Arial"/>
                <w:sz w:val="14"/>
                <w:szCs w:val="14"/>
                <w:b w:val="1"/>
                <w:bCs w:val="1"/>
                <w:color w:val="131E29"/>
              </w:rPr>
              <w:t>December 31,</w:t>
            </w:r>
          </w:p>
        </w:tc>
      </w:tr>
      <w:tr>
        <w:trPr>
          <w:trHeight w:val="200"/>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131E29"/>
            </w:tcBorders>
          </w:tcPr>
          <w:p>
            <w:pPr>
              <w:spacing w:after="0"/>
              <w:rPr>
                <w:sz w:val="17"/>
                <w:szCs w:val="17"/>
                <w:color w:val="auto"/>
              </w:rPr>
            </w:pPr>
          </w:p>
        </w:tc>
        <w:tc>
          <w:tcPr>
            <w:tcW w:w="1620" w:type="dxa"/>
            <w:vAlign w:val="bottom"/>
            <w:tcBorders>
              <w:bottom w:val="single" w:sz="8" w:color="131E29"/>
            </w:tcBorders>
          </w:tcPr>
          <w:p>
            <w:pPr>
              <w:jc w:val="right"/>
              <w:ind w:right="72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131E29"/>
            </w:tcBorders>
          </w:tcPr>
          <w:p>
            <w:pPr>
              <w:spacing w:after="0"/>
              <w:rPr>
                <w:sz w:val="17"/>
                <w:szCs w:val="17"/>
                <w:color w:val="auto"/>
              </w:rPr>
            </w:pPr>
          </w:p>
        </w:tc>
        <w:tc>
          <w:tcPr>
            <w:tcW w:w="1620" w:type="dxa"/>
            <w:vAlign w:val="bottom"/>
            <w:tcBorders>
              <w:bottom w:val="single" w:sz="8" w:color="131E29"/>
            </w:tcBorders>
          </w:tcPr>
          <w:p>
            <w:pPr>
              <w:jc w:val="right"/>
              <w:ind w:right="729"/>
              <w:spacing w:after="0"/>
              <w:rPr>
                <w:sz w:val="20"/>
                <w:szCs w:val="20"/>
                <w:color w:val="auto"/>
              </w:rPr>
            </w:pPr>
            <w:r>
              <w:rPr>
                <w:rFonts w:ascii="Arial" w:cs="Arial" w:eastAsia="Arial" w:hAnsi="Arial"/>
                <w:sz w:val="14"/>
                <w:szCs w:val="14"/>
                <w:b w:val="1"/>
                <w:bCs w:val="1"/>
                <w:color w:val="131E29"/>
              </w:rPr>
              <w:t>2023</w:t>
            </w:r>
          </w:p>
        </w:tc>
      </w:tr>
      <w:tr>
        <w:trPr>
          <w:trHeight w:val="173"/>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Preferred stock, $0.00001 par value per share - 20,000 shares authorized; zero shares issued and outstanding</w:t>
            </w:r>
          </w:p>
        </w:tc>
        <w:tc>
          <w:tcPr>
            <w:tcW w:w="300" w:type="dxa"/>
            <w:vAlign w:val="bottom"/>
            <w:shd w:val="clear" w:color="auto" w:fill="D2DCE5"/>
          </w:tcPr>
          <w:p>
            <w:pPr>
              <w:spacing w:after="0"/>
              <w:rPr>
                <w:sz w:val="15"/>
                <w:szCs w:val="15"/>
                <w:color w:val="auto"/>
              </w:rPr>
            </w:pPr>
          </w:p>
        </w:tc>
        <w:tc>
          <w:tcPr>
            <w:tcW w:w="16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00" w:type="dxa"/>
            <w:vAlign w:val="bottom"/>
            <w:shd w:val="clear" w:color="auto" w:fill="D2DCE5"/>
          </w:tcPr>
          <w:p>
            <w:pPr>
              <w:spacing w:after="0"/>
              <w:rPr>
                <w:sz w:val="15"/>
                <w:szCs w:val="15"/>
                <w:color w:val="auto"/>
              </w:rPr>
            </w:pPr>
          </w:p>
        </w:tc>
        <w:tc>
          <w:tcPr>
            <w:tcW w:w="1620" w:type="dxa"/>
            <w:vAlign w:val="bottom"/>
            <w:shd w:val="clear" w:color="auto" w:fill="D2DCE5"/>
          </w:tcPr>
          <w:p>
            <w:pPr>
              <w:spacing w:after="0"/>
              <w:rPr>
                <w:sz w:val="15"/>
                <w:szCs w:val="15"/>
                <w:color w:val="auto"/>
              </w:rPr>
            </w:pPr>
          </w:p>
        </w:tc>
      </w:tr>
      <w:tr>
        <w:trPr>
          <w:trHeight w:val="20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as of December 31, 2024 and December 31, 2023, respectively</w:t>
            </w:r>
          </w:p>
        </w:tc>
        <w:tc>
          <w:tcPr>
            <w:tcW w:w="300" w:type="dxa"/>
            <w:vAlign w:val="bottom"/>
            <w:shd w:val="clear" w:color="auto" w:fill="D2DCE5"/>
          </w:tcPr>
          <w:p>
            <w:pPr>
              <w:spacing w:after="0"/>
              <w:rPr>
                <w:sz w:val="17"/>
                <w:szCs w:val="17"/>
                <w:color w:val="auto"/>
              </w:rPr>
            </w:pPr>
          </w:p>
        </w:tc>
        <w:tc>
          <w:tcPr>
            <w:tcW w:w="172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176"/>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Class A common stock, $0.00001 par value per share - 400,000 shares authorized; 115,432 and 69,958 shares</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6"/>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issued and outstanding as of December 31, 2024 and December 31, 2023, respectively</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w:t>
            </w:r>
          </w:p>
        </w:tc>
      </w:tr>
      <w:tr>
        <w:trPr>
          <w:trHeight w:val="18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Class B common stock, $0.00001 par value per share - 144,000 shares authorized; 35,227 and 60,629 shares</w:t>
            </w:r>
          </w:p>
        </w:tc>
        <w:tc>
          <w:tcPr>
            <w:tcW w:w="300" w:type="dxa"/>
            <w:vAlign w:val="bottom"/>
            <w:shd w:val="clear" w:color="auto" w:fill="D2DCE5"/>
          </w:tcPr>
          <w:p>
            <w:pPr>
              <w:spacing w:after="0"/>
              <w:rPr>
                <w:sz w:val="16"/>
                <w:szCs w:val="16"/>
                <w:color w:val="auto"/>
              </w:rPr>
            </w:pPr>
          </w:p>
        </w:tc>
        <w:tc>
          <w:tcPr>
            <w:tcW w:w="16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620" w:type="dxa"/>
            <w:vAlign w:val="bottom"/>
            <w:shd w:val="clear" w:color="auto" w:fill="D2DCE5"/>
          </w:tcPr>
          <w:p>
            <w:pPr>
              <w:spacing w:after="0"/>
              <w:rPr>
                <w:sz w:val="16"/>
                <w:szCs w:val="16"/>
                <w:color w:val="auto"/>
              </w:rPr>
            </w:pPr>
          </w:p>
        </w:tc>
      </w:tr>
      <w:tr>
        <w:trPr>
          <w:trHeight w:val="20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issued and outstanding as of December 31, 2024 and December 31, 2023</w:t>
            </w:r>
            <w:r>
              <w:rPr>
                <w:rFonts w:ascii="Arial" w:cs="Arial" w:eastAsia="Arial" w:hAnsi="Arial"/>
                <w:sz w:val="11"/>
                <w:szCs w:val="11"/>
                <w:color w:val="000000"/>
              </w:rPr>
              <w:t>,</w:t>
            </w:r>
            <w:r>
              <w:rPr>
                <w:rFonts w:ascii="Arial" w:cs="Arial" w:eastAsia="Arial" w:hAnsi="Arial"/>
                <w:sz w:val="14"/>
                <w:szCs w:val="14"/>
                <w:color w:val="131E29"/>
              </w:rPr>
              <w:t xml:space="preserve"> </w:t>
            </w:r>
            <w:r>
              <w:rPr>
                <w:rFonts w:ascii="Arial" w:cs="Arial" w:eastAsia="Arial" w:hAnsi="Arial"/>
                <w:sz w:val="14"/>
                <w:szCs w:val="14"/>
                <w:color w:val="000000"/>
              </w:rPr>
              <w:t>respectively</w:t>
            </w:r>
          </w:p>
        </w:tc>
        <w:tc>
          <w:tcPr>
            <w:tcW w:w="300" w:type="dxa"/>
            <w:vAlign w:val="bottom"/>
            <w:shd w:val="clear" w:color="auto" w:fill="D2DCE5"/>
          </w:tcPr>
          <w:p>
            <w:pPr>
              <w:spacing w:after="0"/>
              <w:rPr>
                <w:sz w:val="17"/>
                <w:szCs w:val="17"/>
                <w:color w:val="auto"/>
              </w:rPr>
            </w:pPr>
          </w:p>
        </w:tc>
        <w:tc>
          <w:tcPr>
            <w:tcW w:w="172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w:t>
            </w:r>
          </w:p>
        </w:tc>
      </w:tr>
      <w:tr>
        <w:trPr>
          <w:trHeight w:val="176"/>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Class C common stock, $0.00001 par value per share - 105,000 shares authorized; 3,545 and 35,864 shares</w:t>
            </w: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96"/>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issued and outstanding as of December 31, 2024 and December 31, 2023</w:t>
            </w:r>
            <w:r>
              <w:rPr>
                <w:rFonts w:ascii="Arial" w:cs="Arial" w:eastAsia="Arial" w:hAnsi="Arial"/>
                <w:sz w:val="14"/>
                <w:szCs w:val="14"/>
                <w:color w:val="000000"/>
              </w:rPr>
              <w:t>, respectively</w:t>
            </w:r>
          </w:p>
        </w:tc>
        <w:tc>
          <w:tcPr>
            <w:tcW w:w="300" w:type="dxa"/>
            <w:vAlign w:val="bottom"/>
          </w:tcPr>
          <w:p>
            <w:pPr>
              <w:spacing w:after="0"/>
              <w:rPr>
                <w:sz w:val="17"/>
                <w:szCs w:val="17"/>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18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Class D common stock, $0.00001 par value per share - 42,000 shares authorized; zero and 10,669 shares</w:t>
            </w:r>
          </w:p>
        </w:tc>
        <w:tc>
          <w:tcPr>
            <w:tcW w:w="300" w:type="dxa"/>
            <w:vAlign w:val="bottom"/>
            <w:shd w:val="clear" w:color="auto" w:fill="D2DCE5"/>
          </w:tcPr>
          <w:p>
            <w:pPr>
              <w:spacing w:after="0"/>
              <w:rPr>
                <w:sz w:val="16"/>
                <w:szCs w:val="16"/>
                <w:color w:val="auto"/>
              </w:rPr>
            </w:pPr>
          </w:p>
        </w:tc>
        <w:tc>
          <w:tcPr>
            <w:tcW w:w="162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00" w:type="dxa"/>
            <w:vAlign w:val="bottom"/>
            <w:shd w:val="clear" w:color="auto" w:fill="D2DCE5"/>
          </w:tcPr>
          <w:p>
            <w:pPr>
              <w:spacing w:after="0"/>
              <w:rPr>
                <w:sz w:val="16"/>
                <w:szCs w:val="16"/>
                <w:color w:val="auto"/>
              </w:rPr>
            </w:pPr>
          </w:p>
        </w:tc>
        <w:tc>
          <w:tcPr>
            <w:tcW w:w="1620" w:type="dxa"/>
            <w:vAlign w:val="bottom"/>
            <w:shd w:val="clear" w:color="auto" w:fill="D2DCE5"/>
          </w:tcPr>
          <w:p>
            <w:pPr>
              <w:spacing w:after="0"/>
              <w:rPr>
                <w:sz w:val="16"/>
                <w:szCs w:val="16"/>
                <w:color w:val="auto"/>
              </w:rPr>
            </w:pPr>
          </w:p>
        </w:tc>
      </w:tr>
      <w:tr>
        <w:trPr>
          <w:trHeight w:val="206"/>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issued and outstanding as of December 31, 2024 and December 31, 2023</w:t>
            </w:r>
            <w:r>
              <w:rPr>
                <w:rFonts w:ascii="Arial" w:cs="Arial" w:eastAsia="Arial" w:hAnsi="Arial"/>
                <w:sz w:val="14"/>
                <w:szCs w:val="14"/>
                <w:color w:val="000000"/>
              </w:rPr>
              <w:t>, respectivel</w:t>
            </w:r>
            <w:r>
              <w:rPr>
                <w:rFonts w:ascii="Arial" w:cs="Arial" w:eastAsia="Arial" w:hAnsi="Arial"/>
                <w:sz w:val="11"/>
                <w:szCs w:val="11"/>
                <w:color w:val="000000"/>
              </w:rPr>
              <w:t>y</w:t>
            </w:r>
          </w:p>
        </w:tc>
        <w:tc>
          <w:tcPr>
            <w:tcW w:w="300" w:type="dxa"/>
            <w:vAlign w:val="bottom"/>
            <w:shd w:val="clear" w:color="auto" w:fill="D2DCE5"/>
          </w:tcPr>
          <w:p>
            <w:pPr>
              <w:spacing w:after="0"/>
              <w:rPr>
                <w:sz w:val="17"/>
                <w:szCs w:val="17"/>
                <w:color w:val="auto"/>
              </w:rPr>
            </w:pPr>
          </w:p>
        </w:tc>
        <w:tc>
          <w:tcPr>
            <w:tcW w:w="172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7"/>
                <w:szCs w:val="17"/>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2"/>
        </w:trPr>
        <w:tc>
          <w:tcPr>
            <w:tcW w:w="7340" w:type="dxa"/>
            <w:vAlign w:val="bottom"/>
            <w:gridSpan w:val="2"/>
          </w:tcPr>
          <w:p>
            <w:pPr>
              <w:ind w:left="140"/>
              <w:spacing w:after="0"/>
              <w:rPr>
                <w:sz w:val="20"/>
                <w:szCs w:val="20"/>
                <w:color w:val="auto"/>
              </w:rPr>
            </w:pPr>
            <w:r>
              <w:rPr>
                <w:rFonts w:ascii="Arial" w:cs="Arial" w:eastAsia="Arial" w:hAnsi="Arial"/>
                <w:sz w:val="14"/>
                <w:szCs w:val="14"/>
                <w:color w:val="131E29"/>
              </w:rPr>
              <w:t>Additional paid-in capital</w:t>
            </w: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517,074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379,391</w:t>
            </w:r>
          </w:p>
        </w:tc>
      </w:tr>
      <w:tr>
        <w:trPr>
          <w:trHeight w:val="222"/>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Accumulated other comprehensive income</w:t>
            </w:r>
          </w:p>
        </w:tc>
        <w:tc>
          <w:tcPr>
            <w:tcW w:w="30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628</w:t>
            </w:r>
          </w:p>
        </w:tc>
        <w:tc>
          <w:tcPr>
            <w:tcW w:w="10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544</w:t>
            </w:r>
          </w:p>
        </w:tc>
      </w:tr>
      <w:tr>
        <w:trPr>
          <w:trHeight w:val="203"/>
        </w:trPr>
        <w:tc>
          <w:tcPr>
            <w:tcW w:w="734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Retained earnings (accumulated deficit)</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19,666</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(15,592)</w:t>
            </w:r>
          </w:p>
        </w:tc>
      </w:tr>
      <w:tr>
        <w:trPr>
          <w:trHeight w:val="212"/>
        </w:trPr>
        <w:tc>
          <w:tcPr>
            <w:tcW w:w="734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Total stockholders' equity attributable to Dutch Bros Inc.</w:t>
            </w:r>
          </w:p>
        </w:tc>
        <w:tc>
          <w:tcPr>
            <w:tcW w:w="300" w:type="dxa"/>
            <w:vAlign w:val="bottom"/>
            <w:shd w:val="clear" w:color="auto" w:fill="D2DCE5"/>
          </w:tcPr>
          <w:p>
            <w:pPr>
              <w:spacing w:after="0"/>
              <w:rPr>
                <w:sz w:val="18"/>
                <w:szCs w:val="18"/>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537,369</w:t>
            </w:r>
          </w:p>
        </w:tc>
        <w:tc>
          <w:tcPr>
            <w:tcW w:w="10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364,345</w:t>
            </w:r>
          </w:p>
        </w:tc>
      </w:tr>
      <w:tr>
        <w:trPr>
          <w:trHeight w:val="203"/>
        </w:trPr>
        <w:tc>
          <w:tcPr>
            <w:tcW w:w="73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Non-controlling interests</w:t>
            </w: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226,496</w:t>
            </w:r>
          </w:p>
        </w:tc>
        <w:tc>
          <w:tcPr>
            <w:tcW w:w="10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311,576</w:t>
            </w:r>
          </w:p>
        </w:tc>
      </w:tr>
      <w:tr>
        <w:trPr>
          <w:trHeight w:val="203"/>
        </w:trPr>
        <w:tc>
          <w:tcPr>
            <w:tcW w:w="73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Total equity</w:t>
            </w:r>
          </w:p>
        </w:tc>
        <w:tc>
          <w:tcPr>
            <w:tcW w:w="300" w:type="dxa"/>
            <w:vAlign w:val="bottom"/>
            <w:tcBorders>
              <w:bottom w:val="single" w:sz="8" w:color="auto"/>
            </w:tcBorders>
            <w:shd w:val="clear" w:color="auto" w:fill="D2DCE5"/>
          </w:tcPr>
          <w:p>
            <w:pPr>
              <w:spacing w:after="0"/>
              <w:rPr>
                <w:sz w:val="17"/>
                <w:szCs w:val="17"/>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763,865</w:t>
            </w:r>
          </w:p>
        </w:tc>
        <w:tc>
          <w:tcPr>
            <w:tcW w:w="10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675,921</w:t>
            </w:r>
          </w:p>
        </w:tc>
      </w:tr>
      <w:tr>
        <w:trPr>
          <w:trHeight w:val="212"/>
        </w:trPr>
        <w:tc>
          <w:tcPr>
            <w:tcW w:w="7340" w:type="dxa"/>
            <w:vAlign w:val="bottom"/>
            <w:gridSpan w:val="2"/>
          </w:tcPr>
          <w:p>
            <w:pPr>
              <w:ind w:left="400"/>
              <w:spacing w:after="0"/>
              <w:rPr>
                <w:sz w:val="20"/>
                <w:szCs w:val="20"/>
                <w:color w:val="auto"/>
              </w:rPr>
            </w:pPr>
            <w:r>
              <w:rPr>
                <w:rFonts w:ascii="Arial" w:cs="Arial" w:eastAsia="Arial" w:hAnsi="Arial"/>
                <w:sz w:val="14"/>
                <w:szCs w:val="14"/>
                <w:b w:val="1"/>
                <w:bCs w:val="1"/>
                <w:color w:val="131E29"/>
              </w:rPr>
              <w:t>Total liabilities and equity</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2,501,085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1,764,010</w:t>
            </w:r>
          </w:p>
        </w:tc>
      </w:tr>
      <w:tr>
        <w:trPr>
          <w:trHeight w:val="20"/>
        </w:trPr>
        <w:tc>
          <w:tcPr>
            <w:tcW w:w="7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24" w:right="319" w:bottom="1440" w:gutter="0" w:footer="0" w:header="0"/>
        </w:sectPr>
      </w:pPr>
    </w:p>
    <w:bookmarkStart w:id="98" w:name="page99"/>
    <w:bookmarkEnd w:id="9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Operations</w:t>
      </w:r>
    </w:p>
    <w:p>
      <w:pPr>
        <w:spacing w:after="0" w:line="179"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28575</wp:posOffset>
            </wp:positionV>
            <wp:extent cx="2506345"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506345" cy="6985"/>
                    </a:xfrm>
                    <a:prstGeom prst="rect">
                      <a:avLst/>
                    </a:prstGeom>
                    <a:noFill/>
                  </pic:spPr>
                </pic:pic>
              </a:graphicData>
            </a:graphic>
          </wp:anchor>
        </w:drawing>
      </w:r>
    </w:p>
    <w:p>
      <w:pPr>
        <w:spacing w:after="0" w:line="42"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9"/>
        </w:trPr>
        <w:tc>
          <w:tcPr>
            <w:tcW w:w="71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Revenues</w:t>
            </w:r>
          </w:p>
        </w:tc>
        <w:tc>
          <w:tcPr>
            <w:tcW w:w="300" w:type="dxa"/>
            <w:vAlign w:val="bottom"/>
            <w:shd w:val="clear" w:color="auto" w:fill="D2DCE5"/>
          </w:tcPr>
          <w:p>
            <w:pPr>
              <w:spacing w:after="0"/>
              <w:rPr>
                <w:sz w:val="18"/>
                <w:szCs w:val="18"/>
                <w:color w:val="auto"/>
              </w:rPr>
            </w:pPr>
          </w:p>
        </w:tc>
        <w:tc>
          <w:tcPr>
            <w:tcW w:w="10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4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60" w:type="dxa"/>
            <w:vAlign w:val="bottom"/>
          </w:tcPr>
          <w:p>
            <w:pPr>
              <w:jc w:val="right"/>
              <w:spacing w:after="0"/>
              <w:rPr>
                <w:sz w:val="20"/>
                <w:szCs w:val="20"/>
                <w:color w:val="auto"/>
              </w:rPr>
            </w:pPr>
            <w:r>
              <w:rPr>
                <w:rFonts w:ascii="Arial" w:cs="Arial" w:eastAsia="Arial" w:hAnsi="Arial"/>
                <w:sz w:val="14"/>
                <w:szCs w:val="14"/>
                <w:color w:val="131E29"/>
              </w:rPr>
              <w:t>1,165,830</w:t>
            </w:r>
          </w:p>
        </w:tc>
        <w:tc>
          <w:tcPr>
            <w:tcW w:w="80" w:type="dxa"/>
            <w:vAlign w:val="bottom"/>
          </w:tcPr>
          <w:p>
            <w:pPr>
              <w:spacing w:after="0"/>
              <w:rPr>
                <w:sz w:val="17"/>
                <w:szCs w:val="17"/>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857,939</w:t>
            </w:r>
          </w:p>
        </w:tc>
        <w:tc>
          <w:tcPr>
            <w:tcW w:w="80" w:type="dxa"/>
            <w:vAlign w:val="bottom"/>
          </w:tcPr>
          <w:p>
            <w:pPr>
              <w:spacing w:after="0"/>
              <w:rPr>
                <w:sz w:val="17"/>
                <w:szCs w:val="17"/>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639,710</w:t>
            </w:r>
          </w:p>
        </w:tc>
        <w:tc>
          <w:tcPr>
            <w:tcW w:w="0" w:type="dxa"/>
            <w:vAlign w:val="bottom"/>
          </w:tcPr>
          <w:p>
            <w:pPr>
              <w:spacing w:after="0"/>
              <w:rPr>
                <w:sz w:val="1"/>
                <w:szCs w:val="1"/>
                <w:color w:val="auto"/>
              </w:rPr>
            </w:pPr>
          </w:p>
        </w:tc>
      </w:tr>
      <w:tr>
        <w:trPr>
          <w:trHeight w:val="222"/>
        </w:trPr>
        <w:tc>
          <w:tcPr>
            <w:tcW w:w="71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00" w:type="dxa"/>
            <w:vAlign w:val="bottom"/>
            <w:tcBorders>
              <w:bottom w:val="single" w:sz="8" w:color="auto"/>
            </w:tcBorders>
            <w:shd w:val="clear" w:color="auto" w:fill="D2DCE5"/>
          </w:tcPr>
          <w:p>
            <w:pPr>
              <w:spacing w:after="0"/>
              <w:rPr>
                <w:sz w:val="19"/>
                <w:szCs w:val="19"/>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115,185</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107,837</w:t>
            </w:r>
          </w:p>
        </w:tc>
        <w:tc>
          <w:tcPr>
            <w:tcW w:w="8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99,302</w:t>
            </w:r>
          </w:p>
        </w:tc>
        <w:tc>
          <w:tcPr>
            <w:tcW w:w="0" w:type="dxa"/>
            <w:vAlign w:val="bottom"/>
          </w:tcPr>
          <w:p>
            <w:pPr>
              <w:spacing w:after="0"/>
              <w:rPr>
                <w:sz w:val="1"/>
                <w:szCs w:val="1"/>
                <w:color w:val="auto"/>
              </w:rPr>
            </w:pPr>
          </w:p>
        </w:tc>
      </w:tr>
      <w:tr>
        <w:trPr>
          <w:trHeight w:val="193"/>
        </w:trPr>
        <w:tc>
          <w:tcPr>
            <w:tcW w:w="7140" w:type="dxa"/>
            <w:vAlign w:val="bottom"/>
            <w:tcBorders>
              <w:bottom w:val="single" w:sz="8" w:color="D2DCE5"/>
            </w:tcBorders>
            <w:gridSpan w:val="2"/>
          </w:tcPr>
          <w:p>
            <w:pPr>
              <w:ind w:left="260"/>
              <w:spacing w:after="0"/>
              <w:rPr>
                <w:sz w:val="20"/>
                <w:szCs w:val="20"/>
                <w:color w:val="auto"/>
              </w:rPr>
            </w:pPr>
            <w:r>
              <w:rPr>
                <w:rFonts w:ascii="Arial" w:cs="Arial" w:eastAsia="Arial" w:hAnsi="Arial"/>
                <w:sz w:val="14"/>
                <w:szCs w:val="14"/>
                <w:color w:val="131E29"/>
              </w:rPr>
              <w:t>Total revenues</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1,281,015</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965,776</w:t>
            </w:r>
          </w:p>
        </w:tc>
        <w:tc>
          <w:tcPr>
            <w:tcW w:w="80" w:type="dxa"/>
            <w:vAlign w:val="bottom"/>
            <w:tcBorders>
              <w:bottom w:val="single" w:sz="8" w:color="D2DC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0" w:type="dxa"/>
            <w:vAlign w:val="bottom"/>
          </w:tcPr>
          <w:p>
            <w:pPr>
              <w:spacing w:after="0"/>
              <w:rPr>
                <w:sz w:val="1"/>
                <w:szCs w:val="1"/>
                <w:color w:val="auto"/>
              </w:rPr>
            </w:pPr>
          </w:p>
        </w:tc>
      </w:tr>
      <w:tr>
        <w:trPr>
          <w:trHeight w:val="202"/>
        </w:trPr>
        <w:tc>
          <w:tcPr>
            <w:tcW w:w="70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131E29"/>
              </w:rPr>
              <w:t>Costs and Expenses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Cost of sales</w:t>
            </w:r>
          </w:p>
        </w:tc>
        <w:tc>
          <w:tcPr>
            <w:tcW w:w="300" w:type="dxa"/>
            <w:vAlign w:val="bottom"/>
            <w:shd w:val="clear" w:color="auto" w:fill="D2DCE5"/>
          </w:tcPr>
          <w:p>
            <w:pPr>
              <w:spacing w:after="0"/>
              <w:rPr>
                <w:sz w:val="18"/>
                <w:szCs w:val="18"/>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940,886</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714,480</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558,096</w:t>
            </w:r>
          </w:p>
        </w:tc>
        <w:tc>
          <w:tcPr>
            <w:tcW w:w="0" w:type="dxa"/>
            <w:vAlign w:val="bottom"/>
          </w:tcPr>
          <w:p>
            <w:pPr>
              <w:spacing w:after="0"/>
              <w:rPr>
                <w:sz w:val="1"/>
                <w:szCs w:val="1"/>
                <w:color w:val="auto"/>
              </w:rPr>
            </w:pPr>
          </w:p>
        </w:tc>
      </w:tr>
      <w:tr>
        <w:trPr>
          <w:trHeight w:val="203"/>
        </w:trPr>
        <w:tc>
          <w:tcPr>
            <w:tcW w:w="714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Selling, general and administrative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234,036</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205,074</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183,528</w:t>
            </w:r>
          </w:p>
        </w:tc>
        <w:tc>
          <w:tcPr>
            <w:tcW w:w="0" w:type="dxa"/>
            <w:vAlign w:val="bottom"/>
          </w:tcPr>
          <w:p>
            <w:pPr>
              <w:spacing w:after="0"/>
              <w:rPr>
                <w:sz w:val="1"/>
                <w:szCs w:val="1"/>
                <w:color w:val="auto"/>
              </w:rPr>
            </w:pPr>
          </w:p>
        </w:tc>
      </w:tr>
      <w:tr>
        <w:trPr>
          <w:trHeight w:val="203"/>
        </w:trPr>
        <w:tc>
          <w:tcPr>
            <w:tcW w:w="7140" w:type="dxa"/>
            <w:vAlign w:val="bottom"/>
            <w:gridSpan w:val="2"/>
            <w:shd w:val="clear" w:color="auto" w:fill="D2DCE5"/>
          </w:tcPr>
          <w:p>
            <w:pPr>
              <w:ind w:left="260"/>
              <w:spacing w:after="0"/>
              <w:rPr>
                <w:sz w:val="20"/>
                <w:szCs w:val="20"/>
                <w:color w:val="auto"/>
              </w:rPr>
            </w:pPr>
            <w:r>
              <w:rPr>
                <w:rFonts w:ascii="Arial" w:cs="Arial" w:eastAsia="Arial" w:hAnsi="Arial"/>
                <w:sz w:val="14"/>
                <w:szCs w:val="14"/>
                <w:color w:val="131E29"/>
              </w:rPr>
              <w:t>Total costs and expenses</w:t>
            </w:r>
          </w:p>
        </w:tc>
        <w:tc>
          <w:tcPr>
            <w:tcW w:w="300" w:type="dxa"/>
            <w:vAlign w:val="bottom"/>
            <w:tcBorders>
              <w:bottom w:val="single" w:sz="8" w:color="auto"/>
            </w:tcBorders>
            <w:shd w:val="clear" w:color="auto" w:fill="D2DCE5"/>
          </w:tcPr>
          <w:p>
            <w:pPr>
              <w:spacing w:after="0"/>
              <w:rPr>
                <w:sz w:val="17"/>
                <w:szCs w:val="17"/>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1,174,922</w:t>
            </w:r>
          </w:p>
        </w:tc>
        <w:tc>
          <w:tcPr>
            <w:tcW w:w="80" w:type="dxa"/>
            <w:vAlign w:val="bottom"/>
            <w:shd w:val="clear" w:color="auto" w:fill="D2DCE5"/>
          </w:tcPr>
          <w:p>
            <w:pPr>
              <w:spacing w:after="0"/>
              <w:rPr>
                <w:sz w:val="17"/>
                <w:szCs w:val="17"/>
                <w:color w:val="auto"/>
              </w:rPr>
            </w:pPr>
          </w:p>
        </w:tc>
        <w:tc>
          <w:tcPr>
            <w:tcW w:w="28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919,554</w:t>
            </w:r>
          </w:p>
        </w:tc>
        <w:tc>
          <w:tcPr>
            <w:tcW w:w="80" w:type="dxa"/>
            <w:vAlign w:val="bottom"/>
            <w:shd w:val="clear" w:color="auto" w:fill="D2DCE5"/>
          </w:tcPr>
          <w:p>
            <w:pPr>
              <w:spacing w:after="0"/>
              <w:rPr>
                <w:sz w:val="17"/>
                <w:szCs w:val="17"/>
                <w:color w:val="auto"/>
              </w:rPr>
            </w:pPr>
          </w:p>
        </w:tc>
        <w:tc>
          <w:tcPr>
            <w:tcW w:w="26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741,624</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1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(loss) from operations</w:t>
            </w:r>
          </w:p>
        </w:tc>
        <w:tc>
          <w:tcPr>
            <w:tcW w:w="300" w:type="dxa"/>
            <w:vAlign w:val="bottom"/>
            <w:shd w:val="clear" w:color="auto" w:fill="D2DCE5"/>
          </w:tcPr>
          <w:p>
            <w:pPr>
              <w:spacing w:after="0"/>
              <w:rPr>
                <w:sz w:val="18"/>
                <w:szCs w:val="18"/>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106,093</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46,222</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(2,612)</w:t>
            </w:r>
          </w:p>
        </w:tc>
        <w:tc>
          <w:tcPr>
            <w:tcW w:w="0" w:type="dxa"/>
            <w:vAlign w:val="bottom"/>
          </w:tcPr>
          <w:p>
            <w:pPr>
              <w:spacing w:after="0"/>
              <w:rPr>
                <w:sz w:val="1"/>
                <w:szCs w:val="1"/>
                <w:color w:val="auto"/>
              </w:rPr>
            </w:pPr>
          </w:p>
        </w:tc>
      </w:tr>
      <w:tr>
        <w:trPr>
          <w:trHeight w:val="212"/>
        </w:trPr>
        <w:tc>
          <w:tcPr>
            <w:tcW w:w="7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Other expense</w:t>
            </w:r>
          </w:p>
        </w:tc>
        <w:tc>
          <w:tcPr>
            <w:tcW w:w="300" w:type="dxa"/>
            <w:vAlign w:val="bottom"/>
            <w:shd w:val="clear" w:color="auto" w:fill="D2DCE5"/>
          </w:tcPr>
          <w:p>
            <w:pPr>
              <w:spacing w:after="0"/>
              <w:rPr>
                <w:sz w:val="18"/>
                <w:szCs w:val="18"/>
                <w:color w:val="auto"/>
              </w:rPr>
            </w:pPr>
          </w:p>
        </w:tc>
        <w:tc>
          <w:tcPr>
            <w:tcW w:w="10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94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40" w:type="dxa"/>
            <w:vAlign w:val="bottom"/>
            <w:gridSpan w:val="2"/>
          </w:tcPr>
          <w:p>
            <w:pPr>
              <w:ind w:left="140"/>
              <w:spacing w:after="0"/>
              <w:rPr>
                <w:sz w:val="20"/>
                <w:szCs w:val="20"/>
                <w:color w:val="auto"/>
              </w:rPr>
            </w:pPr>
            <w:r>
              <w:rPr>
                <w:rFonts w:ascii="Arial" w:cs="Arial" w:eastAsia="Arial" w:hAnsi="Arial"/>
                <w:sz w:val="14"/>
                <w:szCs w:val="14"/>
                <w:color w:val="131E29"/>
              </w:rPr>
              <w:t>Interest expense, net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131E29"/>
              </w:rPr>
              <w:t>(27,020)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(32,321)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(18,018)</w:t>
            </w:r>
          </w:p>
        </w:tc>
        <w:tc>
          <w:tcPr>
            <w:tcW w:w="0" w:type="dxa"/>
            <w:vAlign w:val="bottom"/>
          </w:tcPr>
          <w:p>
            <w:pPr>
              <w:spacing w:after="0"/>
              <w:rPr>
                <w:sz w:val="1"/>
                <w:szCs w:val="1"/>
                <w:color w:val="auto"/>
              </w:rPr>
            </w:pPr>
          </w:p>
        </w:tc>
      </w:tr>
      <w:tr>
        <w:trPr>
          <w:trHeight w:val="222"/>
        </w:trPr>
        <w:tc>
          <w:tcPr>
            <w:tcW w:w="71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Other income</w:t>
            </w:r>
          </w:p>
        </w:tc>
        <w:tc>
          <w:tcPr>
            <w:tcW w:w="300" w:type="dxa"/>
            <w:vAlign w:val="bottom"/>
            <w:tcBorders>
              <w:bottom w:val="single" w:sz="8" w:color="auto"/>
            </w:tcBorders>
            <w:shd w:val="clear" w:color="auto" w:fill="D2DCE5"/>
          </w:tcPr>
          <w:p>
            <w:pPr>
              <w:spacing w:after="0"/>
              <w:rPr>
                <w:sz w:val="19"/>
                <w:szCs w:val="19"/>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5,812</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3,018</w:t>
            </w:r>
          </w:p>
        </w:tc>
        <w:tc>
          <w:tcPr>
            <w:tcW w:w="8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3,976</w:t>
            </w:r>
          </w:p>
        </w:tc>
        <w:tc>
          <w:tcPr>
            <w:tcW w:w="0" w:type="dxa"/>
            <w:vAlign w:val="bottom"/>
          </w:tcPr>
          <w:p>
            <w:pPr>
              <w:spacing w:after="0"/>
              <w:rPr>
                <w:sz w:val="1"/>
                <w:szCs w:val="1"/>
                <w:color w:val="auto"/>
              </w:rPr>
            </w:pPr>
          </w:p>
        </w:tc>
      </w:tr>
      <w:tr>
        <w:trPr>
          <w:trHeight w:val="193"/>
        </w:trPr>
        <w:tc>
          <w:tcPr>
            <w:tcW w:w="7140" w:type="dxa"/>
            <w:vAlign w:val="bottom"/>
            <w:tcBorders>
              <w:bottom w:val="single" w:sz="8" w:color="D2DCE5"/>
            </w:tcBorders>
            <w:gridSpan w:val="2"/>
          </w:tcPr>
          <w:p>
            <w:pPr>
              <w:ind w:left="260"/>
              <w:spacing w:after="0"/>
              <w:rPr>
                <w:sz w:val="20"/>
                <w:szCs w:val="20"/>
                <w:color w:val="auto"/>
              </w:rPr>
            </w:pPr>
            <w:r>
              <w:rPr>
                <w:rFonts w:ascii="Arial" w:cs="Arial" w:eastAsia="Arial" w:hAnsi="Arial"/>
                <w:sz w:val="14"/>
                <w:szCs w:val="14"/>
                <w:color w:val="131E29"/>
              </w:rPr>
              <w:t>Total other expense</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(21,208)</w:t>
            </w:r>
          </w:p>
        </w:tc>
        <w:tc>
          <w:tcPr>
            <w:tcW w:w="80" w:type="dxa"/>
            <w:vAlign w:val="bottom"/>
            <w:tcBorders>
              <w:bottom w:val="single" w:sz="8" w:color="D2DCE5"/>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(29,303)</w:t>
            </w:r>
          </w:p>
        </w:tc>
        <w:tc>
          <w:tcPr>
            <w:tcW w:w="80" w:type="dxa"/>
            <w:vAlign w:val="bottom"/>
            <w:tcBorders>
              <w:bottom w:val="single" w:sz="8" w:color="D2DCE5"/>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(14,042)</w:t>
            </w:r>
          </w:p>
        </w:tc>
        <w:tc>
          <w:tcPr>
            <w:tcW w:w="0" w:type="dxa"/>
            <w:vAlign w:val="bottom"/>
          </w:tcPr>
          <w:p>
            <w:pPr>
              <w:spacing w:after="0"/>
              <w:rPr>
                <w:sz w:val="1"/>
                <w:szCs w:val="1"/>
                <w:color w:val="auto"/>
              </w:rPr>
            </w:pPr>
          </w:p>
        </w:tc>
      </w:tr>
      <w:tr>
        <w:trPr>
          <w:trHeight w:val="202"/>
        </w:trPr>
        <w:tc>
          <w:tcPr>
            <w:tcW w:w="70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00" w:type="dxa"/>
            <w:vAlign w:val="bottom"/>
            <w:shd w:val="clear" w:color="auto" w:fill="D2DCE5"/>
          </w:tcPr>
          <w:p>
            <w:pPr>
              <w:spacing w:after="0"/>
              <w:rPr>
                <w:sz w:val="17"/>
                <w:szCs w:val="17"/>
                <w:color w:val="auto"/>
              </w:rPr>
            </w:pPr>
          </w:p>
        </w:tc>
        <w:tc>
          <w:tcPr>
            <w:tcW w:w="10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8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4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140" w:type="dxa"/>
            <w:vAlign w:val="bottom"/>
            <w:gridSpan w:val="2"/>
          </w:tcPr>
          <w:p>
            <w:pPr>
              <w:ind w:left="20"/>
              <w:spacing w:after="0"/>
              <w:rPr>
                <w:sz w:val="20"/>
                <w:szCs w:val="20"/>
                <w:color w:val="auto"/>
              </w:rPr>
            </w:pPr>
            <w:r>
              <w:rPr>
                <w:rFonts w:ascii="Arial" w:cs="Arial" w:eastAsia="Arial" w:hAnsi="Arial"/>
                <w:sz w:val="14"/>
                <w:szCs w:val="14"/>
                <w:color w:val="131E29"/>
              </w:rPr>
              <w:t>Income (loss) before income taxes</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131E29"/>
              </w:rPr>
              <w:t>84,885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16,919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(16,654)</w:t>
            </w:r>
          </w:p>
        </w:tc>
        <w:tc>
          <w:tcPr>
            <w:tcW w:w="0" w:type="dxa"/>
            <w:vAlign w:val="bottom"/>
          </w:tcPr>
          <w:p>
            <w:pPr>
              <w:spacing w:after="0"/>
              <w:rPr>
                <w:sz w:val="1"/>
                <w:szCs w:val="1"/>
                <w:color w:val="auto"/>
              </w:rPr>
            </w:pPr>
          </w:p>
        </w:tc>
      </w:tr>
      <w:tr>
        <w:trPr>
          <w:trHeight w:val="222"/>
        </w:trPr>
        <w:tc>
          <w:tcPr>
            <w:tcW w:w="71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Income tax expense</w:t>
            </w:r>
          </w:p>
        </w:tc>
        <w:tc>
          <w:tcPr>
            <w:tcW w:w="300" w:type="dxa"/>
            <w:vAlign w:val="bottom"/>
            <w:tcBorders>
              <w:bottom w:val="single" w:sz="8" w:color="auto"/>
            </w:tcBorders>
            <w:shd w:val="clear" w:color="auto" w:fill="D2DCE5"/>
          </w:tcPr>
          <w:p>
            <w:pPr>
              <w:spacing w:after="0"/>
              <w:rPr>
                <w:sz w:val="19"/>
                <w:szCs w:val="19"/>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18,435</w:t>
            </w:r>
          </w:p>
        </w:tc>
        <w:tc>
          <w:tcPr>
            <w:tcW w:w="80" w:type="dxa"/>
            <w:vAlign w:val="bottom"/>
            <w:shd w:val="clear" w:color="auto" w:fill="D2DCE5"/>
          </w:tcPr>
          <w:p>
            <w:pPr>
              <w:spacing w:after="0"/>
              <w:rPr>
                <w:sz w:val="19"/>
                <w:szCs w:val="19"/>
                <w:color w:val="auto"/>
              </w:rPr>
            </w:pPr>
          </w:p>
        </w:tc>
        <w:tc>
          <w:tcPr>
            <w:tcW w:w="28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6,967</w:t>
            </w:r>
          </w:p>
        </w:tc>
        <w:tc>
          <w:tcPr>
            <w:tcW w:w="80" w:type="dxa"/>
            <w:vAlign w:val="bottom"/>
            <w:shd w:val="clear" w:color="auto" w:fill="D2DCE5"/>
          </w:tcPr>
          <w:p>
            <w:pPr>
              <w:spacing w:after="0"/>
              <w:rPr>
                <w:sz w:val="19"/>
                <w:szCs w:val="19"/>
                <w:color w:val="auto"/>
              </w:rPr>
            </w:pPr>
          </w:p>
        </w:tc>
        <w:tc>
          <w:tcPr>
            <w:tcW w:w="260" w:type="dxa"/>
            <w:vAlign w:val="bottom"/>
            <w:tcBorders>
              <w:bottom w:val="single" w:sz="8" w:color="auto"/>
            </w:tcBorders>
            <w:shd w:val="clear" w:color="auto" w:fill="D2DCE5"/>
          </w:tcPr>
          <w:p>
            <w:pPr>
              <w:spacing w:after="0"/>
              <w:rPr>
                <w:sz w:val="19"/>
                <w:szCs w:val="19"/>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2,599</w:t>
            </w:r>
          </w:p>
        </w:tc>
        <w:tc>
          <w:tcPr>
            <w:tcW w:w="0" w:type="dxa"/>
            <w:vAlign w:val="bottom"/>
          </w:tcPr>
          <w:p>
            <w:pPr>
              <w:spacing w:after="0"/>
              <w:rPr>
                <w:sz w:val="1"/>
                <w:szCs w:val="1"/>
                <w:color w:val="auto"/>
              </w:rPr>
            </w:pPr>
          </w:p>
        </w:tc>
      </w:tr>
      <w:tr>
        <w:trPr>
          <w:trHeight w:val="193"/>
        </w:trPr>
        <w:tc>
          <w:tcPr>
            <w:tcW w:w="7140" w:type="dxa"/>
            <w:vAlign w:val="bottom"/>
            <w:gridSpan w:val="2"/>
          </w:tcPr>
          <w:p>
            <w:pPr>
              <w:ind w:left="20"/>
              <w:spacing w:after="0"/>
              <w:rPr>
                <w:sz w:val="20"/>
                <w:szCs w:val="20"/>
                <w:color w:val="auto"/>
              </w:rPr>
            </w:pPr>
            <w:r>
              <w:rPr>
                <w:rFonts w:ascii="Arial" w:cs="Arial" w:eastAsia="Arial" w:hAnsi="Arial"/>
                <w:sz w:val="14"/>
                <w:szCs w:val="14"/>
                <w:color w:val="131E29"/>
              </w:rPr>
              <w:t>Net income (loss)</w:t>
            </w:r>
          </w:p>
        </w:tc>
        <w:tc>
          <w:tcPr>
            <w:tcW w:w="300" w:type="dxa"/>
            <w:vAlign w:val="bottom"/>
          </w:tcPr>
          <w:p>
            <w:pPr>
              <w:jc w:val="right"/>
              <w:ind w:right="129"/>
              <w:spacing w:after="0"/>
              <w:rPr>
                <w:sz w:val="20"/>
                <w:szCs w:val="20"/>
                <w:color w:val="auto"/>
              </w:rPr>
            </w:pPr>
            <w:r>
              <w:rPr>
                <w:rFonts w:ascii="Arial" w:cs="Arial" w:eastAsia="Arial" w:hAnsi="Arial"/>
                <w:sz w:val="14"/>
                <w:szCs w:val="14"/>
                <w:color w:val="131E29"/>
              </w:rPr>
              <w:t>$</w:t>
            </w:r>
          </w:p>
        </w:tc>
        <w:tc>
          <w:tcPr>
            <w:tcW w:w="1060" w:type="dxa"/>
            <w:vAlign w:val="bottom"/>
          </w:tcPr>
          <w:p>
            <w:pPr>
              <w:jc w:val="right"/>
              <w:spacing w:after="0"/>
              <w:rPr>
                <w:sz w:val="20"/>
                <w:szCs w:val="20"/>
                <w:color w:val="auto"/>
              </w:rPr>
            </w:pPr>
            <w:r>
              <w:rPr>
                <w:rFonts w:ascii="Arial" w:cs="Arial" w:eastAsia="Arial" w:hAnsi="Arial"/>
                <w:sz w:val="14"/>
                <w:szCs w:val="14"/>
                <w:color w:val="131E29"/>
              </w:rPr>
              <w:t>66,450</w:t>
            </w:r>
          </w:p>
        </w:tc>
        <w:tc>
          <w:tcPr>
            <w:tcW w:w="80" w:type="dxa"/>
            <w:vAlign w:val="bottom"/>
          </w:tcPr>
          <w:p>
            <w:pPr>
              <w:spacing w:after="0"/>
              <w:rPr>
                <w:sz w:val="16"/>
                <w:szCs w:val="16"/>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9,952</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131E29"/>
              </w:rPr>
              <w:t>$</w:t>
            </w:r>
          </w:p>
        </w:tc>
        <w:tc>
          <w:tcPr>
            <w:tcW w:w="940" w:type="dxa"/>
            <w:vAlign w:val="bottom"/>
          </w:tcPr>
          <w:p>
            <w:pPr>
              <w:jc w:val="right"/>
              <w:spacing w:after="0"/>
              <w:rPr>
                <w:sz w:val="20"/>
                <w:szCs w:val="20"/>
                <w:color w:val="auto"/>
              </w:rPr>
            </w:pPr>
            <w:r>
              <w:rPr>
                <w:rFonts w:ascii="Arial" w:cs="Arial" w:eastAsia="Arial" w:hAnsi="Arial"/>
                <w:sz w:val="14"/>
                <w:szCs w:val="14"/>
                <w:color w:val="131E29"/>
              </w:rPr>
              <w:t>(19,253)</w:t>
            </w:r>
          </w:p>
        </w:tc>
        <w:tc>
          <w:tcPr>
            <w:tcW w:w="0" w:type="dxa"/>
            <w:vAlign w:val="bottom"/>
          </w:tcPr>
          <w:p>
            <w:pPr>
              <w:spacing w:after="0"/>
              <w:rPr>
                <w:sz w:val="1"/>
                <w:szCs w:val="1"/>
                <w:color w:val="auto"/>
              </w:rPr>
            </w:pPr>
          </w:p>
        </w:tc>
      </w:tr>
      <w:tr>
        <w:trPr>
          <w:trHeight w:val="213"/>
        </w:trPr>
        <w:tc>
          <w:tcPr>
            <w:tcW w:w="71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Net income (loss) attributable to non-controlling interests</w:t>
            </w:r>
          </w:p>
        </w:tc>
        <w:tc>
          <w:tcPr>
            <w:tcW w:w="300" w:type="dxa"/>
            <w:vAlign w:val="bottom"/>
            <w:tcBorders>
              <w:bottom w:val="single" w:sz="8" w:color="auto"/>
            </w:tcBorders>
            <w:shd w:val="clear" w:color="auto" w:fill="D2DCE5"/>
          </w:tcPr>
          <w:p>
            <w:pPr>
              <w:spacing w:after="0"/>
              <w:rPr>
                <w:sz w:val="18"/>
                <w:szCs w:val="18"/>
                <w:color w:val="auto"/>
              </w:rPr>
            </w:pP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31,192</w:t>
            </w:r>
          </w:p>
        </w:tc>
        <w:tc>
          <w:tcPr>
            <w:tcW w:w="8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8,234</w:t>
            </w:r>
          </w:p>
        </w:tc>
        <w:tc>
          <w:tcPr>
            <w:tcW w:w="80" w:type="dxa"/>
            <w:vAlign w:val="bottom"/>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(14,500)</w:t>
            </w:r>
          </w:p>
        </w:tc>
        <w:tc>
          <w:tcPr>
            <w:tcW w:w="0" w:type="dxa"/>
            <w:vAlign w:val="bottom"/>
          </w:tcPr>
          <w:p>
            <w:pPr>
              <w:spacing w:after="0"/>
              <w:rPr>
                <w:sz w:val="1"/>
                <w:szCs w:val="1"/>
                <w:color w:val="auto"/>
              </w:rPr>
            </w:pPr>
          </w:p>
        </w:tc>
      </w:tr>
      <w:tr>
        <w:trPr>
          <w:trHeight w:val="212"/>
        </w:trPr>
        <w:tc>
          <w:tcPr>
            <w:tcW w:w="7140" w:type="dxa"/>
            <w:vAlign w:val="bottom"/>
            <w:gridSpan w:val="2"/>
          </w:tcPr>
          <w:p>
            <w:pPr>
              <w:ind w:left="20"/>
              <w:spacing w:after="0"/>
              <w:rPr>
                <w:sz w:val="20"/>
                <w:szCs w:val="20"/>
                <w:color w:val="auto"/>
              </w:rPr>
            </w:pPr>
            <w:r>
              <w:rPr>
                <w:rFonts w:ascii="Arial" w:cs="Arial" w:eastAsia="Arial" w:hAnsi="Arial"/>
                <w:sz w:val="14"/>
                <w:szCs w:val="14"/>
                <w:b w:val="1"/>
                <w:bCs w:val="1"/>
                <w:color w:val="131E29"/>
              </w:rPr>
              <w:t>Net income (loss) attributable to Dutch Bros Inc.</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131E2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35,258</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1,718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(4,753)</w:t>
            </w:r>
          </w:p>
        </w:tc>
        <w:tc>
          <w:tcPr>
            <w:tcW w:w="0" w:type="dxa"/>
            <w:vAlign w:val="bottom"/>
          </w:tcPr>
          <w:p>
            <w:pPr>
              <w:spacing w:after="0"/>
              <w:rPr>
                <w:sz w:val="1"/>
                <w:szCs w:val="1"/>
                <w:color w:val="auto"/>
              </w:rPr>
            </w:pPr>
          </w:p>
        </w:tc>
      </w:tr>
      <w:tr>
        <w:trPr>
          <w:trHeight w:val="20"/>
        </w:trPr>
        <w:tc>
          <w:tcPr>
            <w:tcW w:w="70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1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income (loss) per share of Class A and Class D common stock:</w:t>
            </w:r>
          </w:p>
        </w:tc>
        <w:tc>
          <w:tcPr>
            <w:tcW w:w="300" w:type="dxa"/>
            <w:vAlign w:val="bottom"/>
            <w:shd w:val="clear" w:color="auto" w:fill="D2DCE5"/>
          </w:tcPr>
          <w:p>
            <w:pPr>
              <w:spacing w:after="0"/>
              <w:rPr>
                <w:sz w:val="15"/>
                <w:szCs w:val="15"/>
                <w:color w:val="auto"/>
              </w:rPr>
            </w:pPr>
          </w:p>
        </w:tc>
        <w:tc>
          <w:tcPr>
            <w:tcW w:w="10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8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60" w:type="dxa"/>
            <w:vAlign w:val="bottom"/>
            <w:shd w:val="clear" w:color="auto" w:fill="D2DCE5"/>
          </w:tcPr>
          <w:p>
            <w:pPr>
              <w:spacing w:after="0"/>
              <w:rPr>
                <w:sz w:val="15"/>
                <w:szCs w:val="15"/>
                <w:color w:val="auto"/>
              </w:rPr>
            </w:pPr>
          </w:p>
        </w:tc>
        <w:tc>
          <w:tcPr>
            <w:tcW w:w="940" w:type="dxa"/>
            <w:vAlign w:val="bottom"/>
            <w:shd w:val="clear" w:color="auto" w:fill="D2DCE5"/>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140" w:type="dxa"/>
            <w:vAlign w:val="bottom"/>
            <w:gridSpan w:val="2"/>
          </w:tcPr>
          <w:p>
            <w:pPr>
              <w:ind w:left="140"/>
              <w:spacing w:after="0"/>
              <w:rPr>
                <w:sz w:val="20"/>
                <w:szCs w:val="20"/>
                <w:color w:val="auto"/>
              </w:rPr>
            </w:pPr>
            <w:r>
              <w:rPr>
                <w:rFonts w:ascii="Arial" w:cs="Arial" w:eastAsia="Arial" w:hAnsi="Arial"/>
                <w:sz w:val="14"/>
                <w:szCs w:val="14"/>
                <w:color w:val="131E29"/>
              </w:rPr>
              <w:t>Basic</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131E2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0.34</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0.03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(0.09)</w:t>
            </w:r>
          </w:p>
        </w:tc>
        <w:tc>
          <w:tcPr>
            <w:tcW w:w="0" w:type="dxa"/>
            <w:vAlign w:val="bottom"/>
          </w:tcPr>
          <w:p>
            <w:pPr>
              <w:spacing w:after="0"/>
              <w:rPr>
                <w:sz w:val="1"/>
                <w:szCs w:val="1"/>
                <w:color w:val="auto"/>
              </w:rPr>
            </w:pPr>
          </w:p>
        </w:tc>
      </w:tr>
      <w:tr>
        <w:trPr>
          <w:trHeight w:val="20"/>
        </w:trPr>
        <w:tc>
          <w:tcPr>
            <w:tcW w:w="706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14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color w:val="131E29"/>
              </w:rPr>
              <w:t>Diluted</w:t>
            </w:r>
          </w:p>
        </w:tc>
        <w:tc>
          <w:tcPr>
            <w:tcW w:w="300" w:type="dxa"/>
            <w:vAlign w:val="bottom"/>
            <w:tcBorders>
              <w:bottom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0.34</w:t>
            </w:r>
          </w:p>
        </w:tc>
        <w:tc>
          <w:tcPr>
            <w:tcW w:w="80" w:type="dxa"/>
            <w:vAlign w:val="bottom"/>
            <w:tcBorders>
              <w:bottom w:val="single" w:sz="8" w:color="D2DCE5"/>
            </w:tcBorders>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0.03</w:t>
            </w:r>
          </w:p>
        </w:tc>
        <w:tc>
          <w:tcPr>
            <w:tcW w:w="80" w:type="dxa"/>
            <w:vAlign w:val="bottom"/>
            <w:tcBorders>
              <w:bottom w:val="single" w:sz="8" w:color="D2DCE5"/>
            </w:tcBorders>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jc w:val="right"/>
              <w:ind w:right="89"/>
              <w:spacing w:after="0"/>
              <w:rPr>
                <w:sz w:val="20"/>
                <w:szCs w:val="20"/>
                <w:color w:val="auto"/>
              </w:rPr>
            </w:pPr>
            <w:r>
              <w:rPr>
                <w:rFonts w:ascii="Arial" w:cs="Arial" w:eastAsia="Arial" w:hAnsi="Arial"/>
                <w:sz w:val="14"/>
                <w:szCs w:val="14"/>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(0.09)</w:t>
            </w:r>
          </w:p>
        </w:tc>
        <w:tc>
          <w:tcPr>
            <w:tcW w:w="0" w:type="dxa"/>
            <w:vAlign w:val="bottom"/>
          </w:tcPr>
          <w:p>
            <w:pPr>
              <w:spacing w:after="0"/>
              <w:rPr>
                <w:sz w:val="1"/>
                <w:szCs w:val="1"/>
                <w:color w:val="auto"/>
              </w:rPr>
            </w:pPr>
          </w:p>
        </w:tc>
      </w:tr>
      <w:tr>
        <w:trPr>
          <w:trHeight w:val="20"/>
        </w:trPr>
        <w:tc>
          <w:tcPr>
            <w:tcW w:w="714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4"/>
                <w:szCs w:val="14"/>
                <w:color w:val="131E29"/>
              </w:rPr>
              <w:t>Weighted-average shares of Class A and Class D common stock outstanding:</w:t>
            </w:r>
          </w:p>
        </w:tc>
        <w:tc>
          <w:tcPr>
            <w:tcW w:w="300" w:type="dxa"/>
            <w:vAlign w:val="bottom"/>
            <w:tcBorders>
              <w:top w:val="single" w:sz="8" w:color="D2DCE5"/>
              <w:bottom w:val="single" w:sz="8" w:color="auto"/>
            </w:tcBorders>
          </w:tcPr>
          <w:p>
            <w:pPr>
              <w:spacing w:after="0" w:line="20" w:lineRule="exact"/>
              <w:rPr>
                <w:sz w:val="1"/>
                <w:szCs w:val="1"/>
                <w:color w:val="auto"/>
              </w:rPr>
            </w:pPr>
          </w:p>
        </w:tc>
        <w:tc>
          <w:tcPr>
            <w:tcW w:w="10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1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714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Basic</w:t>
            </w:r>
          </w:p>
        </w:tc>
        <w:tc>
          <w:tcPr>
            <w:tcW w:w="300" w:type="dxa"/>
            <w:vAlign w:val="bottom"/>
            <w:shd w:val="clear" w:color="auto" w:fill="D2DCE5"/>
          </w:tcPr>
          <w:p>
            <w:pPr>
              <w:spacing w:after="0"/>
              <w:rPr>
                <w:sz w:val="19"/>
                <w:szCs w:val="19"/>
                <w:color w:val="auto"/>
              </w:rPr>
            </w:pPr>
          </w:p>
        </w:tc>
        <w:tc>
          <w:tcPr>
            <w:tcW w:w="10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103,504</w:t>
            </w:r>
          </w:p>
        </w:tc>
        <w:tc>
          <w:tcPr>
            <w:tcW w:w="80" w:type="dxa"/>
            <w:vAlign w:val="bottom"/>
            <w:shd w:val="clear" w:color="auto" w:fill="D2DCE5"/>
          </w:tcPr>
          <w:p>
            <w:pPr>
              <w:spacing w:after="0"/>
              <w:rPr>
                <w:sz w:val="19"/>
                <w:szCs w:val="19"/>
                <w:color w:val="auto"/>
              </w:rPr>
            </w:pPr>
          </w:p>
        </w:tc>
        <w:tc>
          <w:tcPr>
            <w:tcW w:w="28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62,074</w:t>
            </w:r>
          </w:p>
        </w:tc>
        <w:tc>
          <w:tcPr>
            <w:tcW w:w="8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51,871</w:t>
            </w:r>
          </w:p>
        </w:tc>
        <w:tc>
          <w:tcPr>
            <w:tcW w:w="0" w:type="dxa"/>
            <w:vAlign w:val="bottom"/>
          </w:tcPr>
          <w:p>
            <w:pPr>
              <w:spacing w:after="0"/>
              <w:rPr>
                <w:sz w:val="1"/>
                <w:szCs w:val="1"/>
                <w:color w:val="auto"/>
              </w:rPr>
            </w:pPr>
          </w:p>
        </w:tc>
      </w:tr>
      <w:tr>
        <w:trPr>
          <w:trHeight w:val="193"/>
        </w:trPr>
        <w:tc>
          <w:tcPr>
            <w:tcW w:w="7140" w:type="dxa"/>
            <w:vAlign w:val="bottom"/>
            <w:gridSpan w:val="2"/>
          </w:tcPr>
          <w:p>
            <w:pPr>
              <w:ind w:left="140"/>
              <w:spacing w:after="0"/>
              <w:rPr>
                <w:sz w:val="20"/>
                <w:szCs w:val="20"/>
                <w:color w:val="auto"/>
              </w:rPr>
            </w:pPr>
            <w:r>
              <w:rPr>
                <w:rFonts w:ascii="Arial" w:cs="Arial" w:eastAsia="Arial" w:hAnsi="Arial"/>
                <w:sz w:val="14"/>
                <w:szCs w:val="14"/>
                <w:color w:val="131E29"/>
              </w:rPr>
              <w:t>Diluted</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131E29"/>
              </w:rPr>
              <w:t>104,129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62,074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51,871</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99" w:name="page100"/>
    <w:bookmarkEnd w:id="9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Comprehensive Income (Loss)</w:t>
      </w:r>
    </w:p>
    <w:p>
      <w:pPr>
        <w:spacing w:after="0" w:line="327"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28575</wp:posOffset>
            </wp:positionV>
            <wp:extent cx="241173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2022</w:t>
            </w:r>
          </w:p>
        </w:tc>
      </w:tr>
      <w:tr>
        <w:trPr>
          <w:trHeight w:val="209"/>
        </w:trPr>
        <w:tc>
          <w:tcPr>
            <w:tcW w:w="74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income (loss)</w:t>
            </w:r>
          </w:p>
        </w:tc>
        <w:tc>
          <w:tcPr>
            <w:tcW w:w="2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66,450</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89"/>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9,952</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(19,253)</w:t>
            </w:r>
          </w:p>
        </w:tc>
      </w:tr>
      <w:tr>
        <w:trPr>
          <w:trHeight w:val="202"/>
        </w:trPr>
        <w:tc>
          <w:tcPr>
            <w:tcW w:w="7480" w:type="dxa"/>
            <w:vAlign w:val="bottom"/>
            <w:gridSpan w:val="2"/>
          </w:tcPr>
          <w:p>
            <w:pPr>
              <w:ind w:left="20"/>
              <w:spacing w:after="0"/>
              <w:rPr>
                <w:sz w:val="20"/>
                <w:szCs w:val="20"/>
                <w:color w:val="auto"/>
              </w:rPr>
            </w:pPr>
            <w:r>
              <w:rPr>
                <w:rFonts w:ascii="Arial" w:cs="Arial" w:eastAsia="Arial" w:hAnsi="Arial"/>
                <w:sz w:val="14"/>
                <w:szCs w:val="14"/>
                <w:color w:val="131E29"/>
              </w:rPr>
              <w:t>Other comprehensive income (loss):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6"/>
        </w:trPr>
        <w:tc>
          <w:tcPr>
            <w:tcW w:w="74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Unrealized gain (loss) on derivative securities, effective portion, net of income tax expense (benefit) of $(83), $10, and</w:t>
            </w:r>
          </w:p>
        </w:tc>
        <w:tc>
          <w:tcPr>
            <w:tcW w:w="28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60" w:type="dxa"/>
            <w:vAlign w:val="bottom"/>
            <w:shd w:val="clear" w:color="auto" w:fill="D2DCE5"/>
          </w:tcPr>
          <w:p>
            <w:pPr>
              <w:spacing w:after="0"/>
              <w:rPr>
                <w:sz w:val="16"/>
                <w:szCs w:val="16"/>
                <w:color w:val="auto"/>
              </w:rPr>
            </w:pPr>
          </w:p>
        </w:tc>
        <w:tc>
          <w:tcPr>
            <w:tcW w:w="940" w:type="dxa"/>
            <w:vAlign w:val="bottom"/>
            <w:shd w:val="clear" w:color="auto" w:fill="D2DCE5"/>
          </w:tcPr>
          <w:p>
            <w:pPr>
              <w:spacing w:after="0"/>
              <w:rPr>
                <w:sz w:val="16"/>
                <w:szCs w:val="16"/>
                <w:color w:val="auto"/>
              </w:rPr>
            </w:pPr>
          </w:p>
        </w:tc>
      </w:tr>
      <w:tr>
        <w:trPr>
          <w:trHeight w:val="206"/>
        </w:trPr>
        <w:tc>
          <w:tcPr>
            <w:tcW w:w="74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$273, respectively</w:t>
            </w:r>
          </w:p>
        </w:tc>
        <w:tc>
          <w:tcPr>
            <w:tcW w:w="28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7"/>
                <w:szCs w:val="17"/>
                <w:color w:val="auto"/>
              </w:rPr>
            </w:pPr>
          </w:p>
        </w:tc>
        <w:tc>
          <w:tcPr>
            <w:tcW w:w="26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(748)</w:t>
            </w:r>
          </w:p>
        </w:tc>
        <w:tc>
          <w:tcPr>
            <w:tcW w:w="100" w:type="dxa"/>
            <w:vAlign w:val="bottom"/>
            <w:shd w:val="clear" w:color="auto" w:fill="D2DCE5"/>
          </w:tcPr>
          <w:p>
            <w:pPr>
              <w:spacing w:after="0"/>
              <w:rPr>
                <w:sz w:val="17"/>
                <w:szCs w:val="17"/>
                <w:color w:val="auto"/>
              </w:rPr>
            </w:pPr>
          </w:p>
        </w:tc>
        <w:tc>
          <w:tcPr>
            <w:tcW w:w="260" w:type="dxa"/>
            <w:vAlign w:val="bottom"/>
            <w:tcBorders>
              <w:bottom w:val="single" w:sz="8" w:color="auto"/>
            </w:tcBorders>
            <w:shd w:val="clear" w:color="auto" w:fill="D2DCE5"/>
          </w:tcPr>
          <w:p>
            <w:pPr>
              <w:spacing w:after="0"/>
              <w:rPr>
                <w:sz w:val="17"/>
                <w:szCs w:val="17"/>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2,908</w:t>
            </w:r>
          </w:p>
        </w:tc>
      </w:tr>
      <w:tr>
        <w:trPr>
          <w:trHeight w:val="193"/>
        </w:trPr>
        <w:tc>
          <w:tcPr>
            <w:tcW w:w="7480" w:type="dxa"/>
            <w:vAlign w:val="bottom"/>
            <w:gridSpan w:val="2"/>
          </w:tcPr>
          <w:p>
            <w:pPr>
              <w:ind w:left="20"/>
              <w:spacing w:after="0"/>
              <w:rPr>
                <w:sz w:val="20"/>
                <w:szCs w:val="20"/>
                <w:color w:val="auto"/>
              </w:rPr>
            </w:pPr>
            <w:r>
              <w:rPr>
                <w:rFonts w:ascii="Arial" w:cs="Arial" w:eastAsia="Arial" w:hAnsi="Arial"/>
                <w:sz w:val="14"/>
                <w:szCs w:val="14"/>
                <w:color w:val="131E29"/>
              </w:rPr>
              <w:t>Comprehensive income (loss)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66,449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9,204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(16,345)</w:t>
            </w:r>
          </w:p>
        </w:tc>
      </w:tr>
      <w:tr>
        <w:trPr>
          <w:trHeight w:val="213"/>
        </w:trPr>
        <w:tc>
          <w:tcPr>
            <w:tcW w:w="74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comprehensive income (loss) attributable to non-controlling interests</w:t>
            </w:r>
          </w:p>
        </w:tc>
        <w:tc>
          <w:tcPr>
            <w:tcW w:w="28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31,107</w:t>
            </w:r>
          </w:p>
        </w:tc>
        <w:tc>
          <w:tcPr>
            <w:tcW w:w="80" w:type="dxa"/>
            <w:vAlign w:val="bottom"/>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7,755</w:t>
            </w:r>
          </w:p>
        </w:tc>
        <w:tc>
          <w:tcPr>
            <w:tcW w:w="100" w:type="dxa"/>
            <w:vAlign w:val="bottom"/>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spacing w:after="0"/>
              <w:rPr>
                <w:sz w:val="18"/>
                <w:szCs w:val="18"/>
                <w:color w:val="auto"/>
              </w:rPr>
            </w:pP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(12,405)</w:t>
            </w:r>
          </w:p>
        </w:tc>
      </w:tr>
      <w:tr>
        <w:trPr>
          <w:trHeight w:val="212"/>
        </w:trPr>
        <w:tc>
          <w:tcPr>
            <w:tcW w:w="7480" w:type="dxa"/>
            <w:vAlign w:val="bottom"/>
            <w:gridSpan w:val="2"/>
          </w:tcPr>
          <w:p>
            <w:pPr>
              <w:ind w:left="20"/>
              <w:spacing w:after="0"/>
              <w:rPr>
                <w:sz w:val="20"/>
                <w:szCs w:val="20"/>
                <w:color w:val="auto"/>
              </w:rPr>
            </w:pPr>
            <w:r>
              <w:rPr>
                <w:rFonts w:ascii="Arial" w:cs="Arial" w:eastAsia="Arial" w:hAnsi="Arial"/>
                <w:sz w:val="14"/>
                <w:szCs w:val="14"/>
                <w:b w:val="1"/>
                <w:bCs w:val="1"/>
                <w:color w:val="131E29"/>
              </w:rPr>
              <w:t>Comprehensive income (loss) attributable to Dutch Bros Inc.</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35,342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131E2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1,449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131E29"/>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(3,940)</w:t>
            </w:r>
          </w:p>
        </w:tc>
      </w:tr>
      <w:tr>
        <w:trPr>
          <w:trHeight w:val="20"/>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0" w:name="page101"/>
    <w:bookmarkEnd w:id="100"/>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Stockholders’ Equity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10"/>
          </w:tcPr>
          <w:p>
            <w:pPr>
              <w:ind w:left="260"/>
              <w:spacing w:after="0"/>
              <w:rPr>
                <w:sz w:val="20"/>
                <w:szCs w:val="20"/>
                <w:color w:val="auto"/>
              </w:rPr>
            </w:pPr>
            <w:r>
              <w:rPr>
                <w:rFonts w:ascii="Arial" w:cs="Arial" w:eastAsia="Arial" w:hAnsi="Arial"/>
                <w:sz w:val="11"/>
                <w:szCs w:val="11"/>
                <w:b w:val="1"/>
                <w:bCs w:val="1"/>
                <w:color w:val="131E29"/>
              </w:rPr>
              <w:t>Dutch Bros Inc. Stockholders’ Equity</w:t>
            </w: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A</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w w:val="99"/>
              </w:rPr>
              <w:t>Class B</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C</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color w:val="131E29"/>
              </w:rPr>
              <w:t>Accumulated</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color w:val="131E29"/>
              </w:rPr>
              <w:t>Retained</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131E29"/>
              </w:rPr>
              <w:t>Additional</w:t>
            </w:r>
          </w:p>
        </w:tc>
        <w:tc>
          <w:tcPr>
            <w:tcW w:w="100" w:type="dxa"/>
            <w:vAlign w:val="bottom"/>
          </w:tcPr>
          <w:p>
            <w:pPr>
              <w:spacing w:after="0"/>
              <w:rPr>
                <w:sz w:val="11"/>
                <w:szCs w:val="11"/>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1"/>
                <w:szCs w:val="11"/>
                <w:color w:val="131E29"/>
              </w:rPr>
              <w:t>Other</w:t>
            </w:r>
          </w:p>
        </w:tc>
        <w:tc>
          <w:tcPr>
            <w:tcW w:w="80" w:type="dxa"/>
            <w:vAlign w:val="bottom"/>
          </w:tcPr>
          <w:p>
            <w:pPr>
              <w:spacing w:after="0"/>
              <w:rPr>
                <w:sz w:val="11"/>
                <w:szCs w:val="11"/>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color w:val="131E29"/>
              </w:rPr>
              <w:t>Earnings</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color w:val="131E29"/>
              </w:rPr>
              <w:t>Non-</w:t>
            </w:r>
          </w:p>
        </w:tc>
        <w:tc>
          <w:tcPr>
            <w:tcW w:w="600" w:type="dxa"/>
            <w:vAlign w:val="bottom"/>
            <w:vMerge w:val="restart"/>
          </w:tcPr>
          <w:p>
            <w:pPr>
              <w:jc w:val="right"/>
              <w:ind w:right="123"/>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7"/>
        </w:trPr>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1"/>
                <w:szCs w:val="11"/>
                <w:color w:val="131E29"/>
              </w:rPr>
              <w:t>Paid-in-</w:t>
            </w:r>
          </w:p>
        </w:tc>
        <w:tc>
          <w:tcPr>
            <w:tcW w:w="980" w:type="dxa"/>
            <w:vAlign w:val="bottom"/>
            <w:gridSpan w:val="3"/>
          </w:tcPr>
          <w:p>
            <w:pPr>
              <w:jc w:val="center"/>
              <w:ind w:right="60"/>
              <w:spacing w:after="0"/>
              <w:rPr>
                <w:sz w:val="20"/>
                <w:szCs w:val="20"/>
                <w:color w:val="auto"/>
              </w:rPr>
            </w:pPr>
            <w:r>
              <w:rPr>
                <w:rFonts w:ascii="Arial" w:cs="Arial" w:eastAsia="Arial" w:hAnsi="Arial"/>
                <w:sz w:val="11"/>
                <w:szCs w:val="11"/>
                <w:color w:val="131E29"/>
              </w:rPr>
              <w:t>Comprehensive</w:t>
            </w:r>
          </w:p>
        </w:tc>
        <w:tc>
          <w:tcPr>
            <w:tcW w:w="8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color w:val="131E29"/>
              </w:rPr>
              <w:t>(Accumulated</w:t>
            </w:r>
          </w:p>
        </w:tc>
        <w:tc>
          <w:tcPr>
            <w:tcW w:w="720" w:type="dxa"/>
            <w:vAlign w:val="bottom"/>
            <w:gridSpan w:val="3"/>
          </w:tcPr>
          <w:p>
            <w:pPr>
              <w:jc w:val="center"/>
              <w:ind w:right="60"/>
              <w:spacing w:after="0"/>
              <w:rPr>
                <w:sz w:val="20"/>
                <w:szCs w:val="20"/>
                <w:color w:val="auto"/>
              </w:rPr>
            </w:pPr>
            <w:r>
              <w:rPr>
                <w:rFonts w:ascii="Arial" w:cs="Arial" w:eastAsia="Arial" w:hAnsi="Arial"/>
                <w:sz w:val="11"/>
                <w:szCs w:val="11"/>
                <w:color w:val="131E29"/>
              </w:rPr>
              <w:t>Controlling</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131E29"/>
              </w:rPr>
              <w:t>Capital</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3"/>
              <w:spacing w:after="0"/>
              <w:rPr>
                <w:sz w:val="20"/>
                <w:szCs w:val="20"/>
                <w:color w:val="auto"/>
              </w:rPr>
            </w:pPr>
            <w:r>
              <w:rPr>
                <w:rFonts w:ascii="Arial" w:cs="Arial" w:eastAsia="Arial" w:hAnsi="Arial"/>
                <w:sz w:val="11"/>
                <w:szCs w:val="11"/>
                <w:color w:val="131E29"/>
                <w:w w:val="99"/>
              </w:rPr>
              <w:t>Income</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
              <w:spacing w:after="0"/>
              <w:rPr>
                <w:sz w:val="20"/>
                <w:szCs w:val="20"/>
                <w:color w:val="auto"/>
              </w:rPr>
            </w:pPr>
            <w:r>
              <w:rPr>
                <w:rFonts w:ascii="Arial" w:cs="Arial" w:eastAsia="Arial" w:hAnsi="Arial"/>
                <w:sz w:val="11"/>
                <w:szCs w:val="11"/>
                <w:color w:val="131E29"/>
              </w:rPr>
              <w:t>Deficit)</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rPr>
              <w:t>Interests</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174"/>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2023</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69,958</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60,629</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35,864</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b w:val="1"/>
                <w:bCs w:val="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10,669</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b w:val="1"/>
                <w:bCs w:val="1"/>
                <w:color w:val="131E29"/>
                <w:w w:val="71"/>
              </w:rPr>
              <w:t>$</w:t>
            </w: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b w:val="1"/>
                <w:bCs w:val="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$ 379,391</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82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544</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7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(15,592)</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311,576</w:t>
            </w:r>
          </w:p>
        </w:tc>
        <w:tc>
          <w:tcPr>
            <w:tcW w:w="60" w:type="dxa"/>
            <w:vAlign w:val="bottom"/>
            <w:shd w:val="clear" w:color="auto" w:fill="D2DCE5"/>
          </w:tcPr>
          <w:p>
            <w:pPr>
              <w:spacing w:after="0"/>
              <w:rPr>
                <w:sz w:val="15"/>
                <w:szCs w:val="15"/>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$ 675,921</w:t>
            </w:r>
          </w:p>
        </w:tc>
        <w:tc>
          <w:tcPr>
            <w:tcW w:w="0" w:type="dxa"/>
            <w:vAlign w:val="bottom"/>
          </w:tcPr>
          <w:p>
            <w:pPr>
              <w:spacing w:after="0"/>
              <w:rPr>
                <w:sz w:val="1"/>
                <w:szCs w:val="1"/>
                <w:color w:val="auto"/>
              </w:rPr>
            </w:pPr>
          </w:p>
        </w:tc>
      </w:tr>
      <w:tr>
        <w:trPr>
          <w:trHeight w:val="172"/>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Net income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131E29"/>
              </w:rPr>
              <w:t>35,258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31,192</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66,450</w:t>
            </w:r>
          </w:p>
        </w:tc>
        <w:tc>
          <w:tcPr>
            <w:tcW w:w="0" w:type="dxa"/>
            <w:vAlign w:val="bottom"/>
          </w:tcPr>
          <w:p>
            <w:pPr>
              <w:spacing w:after="0"/>
              <w:rPr>
                <w:sz w:val="1"/>
                <w:szCs w:val="1"/>
                <w:color w:val="auto"/>
              </w:rPr>
            </w:pPr>
          </w:p>
        </w:tc>
      </w:tr>
      <w:tr>
        <w:trPr>
          <w:trHeight w:val="161"/>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Unrealized gain (loss) on derivative</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securities, effective portion, net of income</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(338)</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2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84</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(85)</w:t>
            </w:r>
          </w:p>
        </w:tc>
        <w:tc>
          <w:tcPr>
            <w:tcW w:w="6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(339)</w:t>
            </w:r>
          </w:p>
        </w:tc>
        <w:tc>
          <w:tcPr>
            <w:tcW w:w="0" w:type="dxa"/>
            <w:vAlign w:val="bottom"/>
          </w:tcPr>
          <w:p>
            <w:pPr>
              <w:spacing w:after="0"/>
              <w:rPr>
                <w:sz w:val="1"/>
                <w:szCs w:val="1"/>
                <w:color w:val="auto"/>
              </w:rPr>
            </w:pPr>
          </w:p>
        </w:tc>
      </w:tr>
      <w:tr>
        <w:trPr>
          <w:trHeight w:val="155"/>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tax benefit of $83</w:t>
            </w: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2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Equity-based compensation expense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6,980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4,502</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11,482</w:t>
            </w:r>
          </w:p>
        </w:tc>
        <w:tc>
          <w:tcPr>
            <w:tcW w:w="0" w:type="dxa"/>
            <w:vAlign w:val="bottom"/>
          </w:tcPr>
          <w:p>
            <w:pPr>
              <w:spacing w:after="0"/>
              <w:rPr>
                <w:sz w:val="1"/>
                <w:szCs w:val="1"/>
                <w:color w:val="auto"/>
              </w:rPr>
            </w:pPr>
          </w:p>
        </w:tc>
      </w:tr>
      <w:tr>
        <w:trPr>
          <w:trHeight w:val="161"/>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pursuant to vesting of equity awards, net</w:t>
            </w:r>
          </w:p>
        </w:tc>
        <w:tc>
          <w:tcPr>
            <w:tcW w:w="58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83</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1,743</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8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(2,812)</w:t>
            </w:r>
          </w:p>
        </w:tc>
        <w:tc>
          <w:tcPr>
            <w:tcW w:w="6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(1,069)</w:t>
            </w:r>
          </w:p>
        </w:tc>
        <w:tc>
          <w:tcPr>
            <w:tcW w:w="0" w:type="dxa"/>
            <w:vAlign w:val="bottom"/>
          </w:tcPr>
          <w:p>
            <w:pPr>
              <w:spacing w:after="0"/>
              <w:rPr>
                <w:sz w:val="1"/>
                <w:szCs w:val="1"/>
                <w:color w:val="auto"/>
              </w:rPr>
            </w:pPr>
          </w:p>
        </w:tc>
      </w:tr>
      <w:tr>
        <w:trPr>
          <w:trHeight w:val="155"/>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of stock withheld for tax and forfeitures</w:t>
            </w: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8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Issuance of Class A common stock in</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exchange for surrender and cancellation</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of Class D common stock, and conversion</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of Dutch Bros OpCo Class A common</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units for surrender and cancellation of</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Class B and C common stock, pursuant to</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exchange transactions</w:t>
            </w:r>
          </w:p>
        </w:tc>
        <w:tc>
          <w:tcPr>
            <w:tcW w:w="580" w:type="dxa"/>
            <w:vAlign w:val="bottom"/>
          </w:tcPr>
          <w:p>
            <w:pPr>
              <w:jc w:val="right"/>
              <w:ind w:right="3"/>
              <w:spacing w:after="0"/>
              <w:rPr>
                <w:sz w:val="20"/>
                <w:szCs w:val="20"/>
                <w:color w:val="auto"/>
              </w:rPr>
            </w:pPr>
            <w:r>
              <w:rPr>
                <w:rFonts w:ascii="Arial" w:cs="Arial" w:eastAsia="Arial" w:hAnsi="Arial"/>
                <w:sz w:val="11"/>
                <w:szCs w:val="11"/>
                <w:color w:val="131E29"/>
              </w:rPr>
              <w:t>45,391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(2,402)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(32,319)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(10,669)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61"/>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 of equity transactions of Dutch Bros</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OpCo Class A common units</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115,989</w:t>
            </w: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8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(115,989)</w:t>
            </w: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72"/>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Impacts of Tax Receivable Agreements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ind w:left="340"/>
              <w:spacing w:after="0"/>
              <w:rPr>
                <w:sz w:val="20"/>
                <w:szCs w:val="20"/>
                <w:color w:val="auto"/>
              </w:rPr>
            </w:pPr>
            <w:r>
              <w:rPr>
                <w:rFonts w:ascii="Arial" w:cs="Arial" w:eastAsia="Arial" w:hAnsi="Arial"/>
                <w:sz w:val="11"/>
                <w:szCs w:val="1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color w:val="131E29"/>
              </w:rPr>
              <w:t>12,921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12,921</w:t>
            </w:r>
          </w:p>
        </w:tc>
        <w:tc>
          <w:tcPr>
            <w:tcW w:w="0" w:type="dxa"/>
            <w:vAlign w:val="bottom"/>
          </w:tcPr>
          <w:p>
            <w:pPr>
              <w:spacing w:after="0"/>
              <w:rPr>
                <w:sz w:val="1"/>
                <w:szCs w:val="1"/>
                <w:color w:val="auto"/>
              </w:rPr>
            </w:pPr>
          </w:p>
        </w:tc>
      </w:tr>
      <w:tr>
        <w:trPr>
          <w:trHeight w:val="161"/>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Tax impacts of other equity-related</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7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transactions</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388</w:t>
            </w: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8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8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62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388</w:t>
            </w:r>
          </w:p>
        </w:tc>
        <w:tc>
          <w:tcPr>
            <w:tcW w:w="0" w:type="dxa"/>
            <w:vAlign w:val="bottom"/>
          </w:tcPr>
          <w:p>
            <w:pPr>
              <w:spacing w:after="0"/>
              <w:rPr>
                <w:sz w:val="1"/>
                <w:szCs w:val="1"/>
                <w:color w:val="auto"/>
              </w:rPr>
            </w:pPr>
          </w:p>
        </w:tc>
      </w:tr>
      <w:tr>
        <w:trPr>
          <w:trHeight w:val="153"/>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Class B common stock decoupled from</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Dutch Bros OpCo Class A common units,</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(23,000)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1"/>
                <w:szCs w:val="11"/>
                <w:color w:val="131E29"/>
              </w:rPr>
              <w:t>(1)</w:t>
            </w:r>
          </w:p>
        </w:tc>
        <w:tc>
          <w:tcPr>
            <w:tcW w:w="60" w:type="dxa"/>
            <w:vAlign w:val="bottom"/>
          </w:tcPr>
          <w:p>
            <w:pPr>
              <w:spacing w:after="0"/>
              <w:rPr>
                <w:sz w:val="11"/>
                <w:szCs w:val="11"/>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4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(1)</w:t>
            </w:r>
          </w:p>
        </w:tc>
        <w:tc>
          <w:tcPr>
            <w:tcW w:w="0" w:type="dxa"/>
            <w:vAlign w:val="bottom"/>
          </w:tcPr>
          <w:p>
            <w:pPr>
              <w:spacing w:after="0"/>
              <w:rPr>
                <w:sz w:val="1"/>
                <w:szCs w:val="1"/>
                <w:color w:val="auto"/>
              </w:rPr>
            </w:pPr>
          </w:p>
        </w:tc>
      </w:tr>
      <w:tr>
        <w:trPr>
          <w:trHeight w:val="152"/>
        </w:trPr>
        <w:tc>
          <w:tcPr>
            <w:tcW w:w="2220" w:type="dxa"/>
            <w:vAlign w:val="bottom"/>
            <w:gridSpan w:val="2"/>
          </w:tcPr>
          <w:p>
            <w:pPr>
              <w:ind w:left="20"/>
              <w:spacing w:after="0"/>
              <w:rPr>
                <w:sz w:val="20"/>
                <w:szCs w:val="20"/>
                <w:color w:val="auto"/>
              </w:rPr>
            </w:pPr>
            <w:r>
              <w:rPr>
                <w:rFonts w:ascii="Arial" w:cs="Arial" w:eastAsia="Arial" w:hAnsi="Arial"/>
                <w:sz w:val="11"/>
                <w:szCs w:val="11"/>
                <w:color w:val="131E29"/>
              </w:rPr>
              <w:t>surrendered and cancelled</w:t>
            </w: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Distributions paid to non-controlling</w:t>
            </w: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2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7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2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interest holders</w:t>
            </w: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ind w:left="34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82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7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(1,888)</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(1,888)</w:t>
            </w:r>
          </w:p>
        </w:tc>
        <w:tc>
          <w:tcPr>
            <w:tcW w:w="0" w:type="dxa"/>
            <w:vAlign w:val="bottom"/>
          </w:tcPr>
          <w:p>
            <w:pPr>
              <w:spacing w:after="0"/>
              <w:rPr>
                <w:sz w:val="1"/>
                <w:szCs w:val="1"/>
                <w:color w:val="auto"/>
              </w:rPr>
            </w:pPr>
          </w:p>
        </w:tc>
      </w:tr>
      <w:tr>
        <w:trPr>
          <w:trHeight w:val="180"/>
        </w:trPr>
        <w:tc>
          <w:tcPr>
            <w:tcW w:w="2220" w:type="dxa"/>
            <w:vAlign w:val="bottom"/>
            <w:gridSpan w:val="2"/>
          </w:tcPr>
          <w:p>
            <w:pPr>
              <w:ind w:left="20"/>
              <w:spacing w:after="0"/>
              <w:rPr>
                <w:sz w:val="20"/>
                <w:szCs w:val="20"/>
                <w:color w:val="auto"/>
              </w:rPr>
            </w:pPr>
            <w:r>
              <w:rPr>
                <w:rFonts w:ascii="Arial" w:cs="Arial" w:eastAsia="Arial" w:hAnsi="Arial"/>
                <w:sz w:val="11"/>
                <w:szCs w:val="11"/>
                <w:b w:val="1"/>
                <w:bCs w:val="1"/>
                <w:color w:val="131E29"/>
              </w:rPr>
              <w:t>Balance, December 31, 2024</w:t>
            </w:r>
          </w:p>
        </w:tc>
        <w:tc>
          <w:tcPr>
            <w:tcW w:w="580" w:type="dxa"/>
            <w:vAlign w:val="bottom"/>
          </w:tcPr>
          <w:p>
            <w:pPr>
              <w:jc w:val="right"/>
              <w:ind w:right="3"/>
              <w:spacing w:after="0"/>
              <w:rPr>
                <w:sz w:val="20"/>
                <w:szCs w:val="20"/>
                <w:color w:val="auto"/>
              </w:rPr>
            </w:pPr>
            <w:r>
              <w:rPr>
                <w:rFonts w:ascii="Arial" w:cs="Arial" w:eastAsia="Arial" w:hAnsi="Arial"/>
                <w:sz w:val="11"/>
                <w:szCs w:val="11"/>
                <w:b w:val="1"/>
                <w:bCs w:val="1"/>
                <w:color w:val="131E29"/>
              </w:rPr>
              <w:t>115,432</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131E29"/>
              </w:rPr>
              <w:t>1</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131E29"/>
              </w:rPr>
              <w:t>35,227</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131E29"/>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131E29"/>
              </w:rPr>
              <w:t>3,545</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b w:val="1"/>
                <w:bCs w:val="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131E29"/>
              </w:rPr>
              <w:t>—</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131E29"/>
                <w:w w:val="71"/>
              </w:rPr>
              <w:t>$</w:t>
            </w:r>
          </w:p>
        </w:tc>
        <w:tc>
          <w:tcPr>
            <w:tcW w:w="560" w:type="dxa"/>
            <w:vAlign w:val="bottom"/>
            <w:gridSpan w:val="2"/>
          </w:tcPr>
          <w:p>
            <w:pPr>
              <w:ind w:left="340"/>
              <w:spacing w:after="0"/>
              <w:rPr>
                <w:sz w:val="20"/>
                <w:szCs w:val="20"/>
                <w:color w:val="auto"/>
              </w:rPr>
            </w:pPr>
            <w:r>
              <w:rPr>
                <w:rFonts w:ascii="Arial" w:cs="Arial" w:eastAsia="Arial" w:hAnsi="Arial"/>
                <w:sz w:val="11"/>
                <w:szCs w:val="11"/>
                <w:b w:val="1"/>
                <w:bCs w:val="1"/>
                <w:color w:val="131E29"/>
              </w:rPr>
              <w:t>—</w:t>
            </w:r>
          </w:p>
        </w:tc>
        <w:tc>
          <w:tcPr>
            <w:tcW w:w="600" w:type="dxa"/>
            <w:vAlign w:val="bottom"/>
          </w:tcPr>
          <w:p>
            <w:pPr>
              <w:jc w:val="right"/>
              <w:ind w:right="3"/>
              <w:spacing w:after="0"/>
              <w:rPr>
                <w:sz w:val="20"/>
                <w:szCs w:val="20"/>
                <w:color w:val="auto"/>
              </w:rPr>
            </w:pPr>
            <w:r>
              <w:rPr>
                <w:rFonts w:ascii="Arial" w:cs="Arial" w:eastAsia="Arial" w:hAnsi="Arial"/>
                <w:sz w:val="11"/>
                <w:szCs w:val="11"/>
                <w:b w:val="1"/>
                <w:bCs w:val="1"/>
                <w:color w:val="131E29"/>
              </w:rPr>
              <w:t>$ 517,074</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820" w:type="dxa"/>
            <w:vAlign w:val="bottom"/>
          </w:tcPr>
          <w:p>
            <w:pPr>
              <w:jc w:val="right"/>
              <w:ind w:right="3"/>
              <w:spacing w:after="0"/>
              <w:rPr>
                <w:sz w:val="20"/>
                <w:szCs w:val="20"/>
                <w:color w:val="auto"/>
              </w:rPr>
            </w:pPr>
            <w:r>
              <w:rPr>
                <w:rFonts w:ascii="Arial" w:cs="Arial" w:eastAsia="Arial" w:hAnsi="Arial"/>
                <w:sz w:val="11"/>
                <w:szCs w:val="11"/>
                <w:b w:val="1"/>
                <w:bCs w:val="1"/>
                <w:color w:val="131E29"/>
              </w:rPr>
              <w:t>628</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780" w:type="dxa"/>
            <w:vAlign w:val="bottom"/>
          </w:tcPr>
          <w:p>
            <w:pPr>
              <w:jc w:val="right"/>
              <w:spacing w:after="0"/>
              <w:rPr>
                <w:sz w:val="20"/>
                <w:szCs w:val="20"/>
                <w:color w:val="auto"/>
              </w:rPr>
            </w:pPr>
            <w:r>
              <w:rPr>
                <w:rFonts w:ascii="Arial" w:cs="Arial" w:eastAsia="Arial" w:hAnsi="Arial"/>
                <w:sz w:val="11"/>
                <w:szCs w:val="11"/>
                <w:b w:val="1"/>
                <w:bCs w:val="1"/>
                <w:color w:val="131E29"/>
              </w:rPr>
              <w:t>19,666</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131E29"/>
              </w:rPr>
              <w:t>226,496</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131E29"/>
              </w:rPr>
              <w:t>$ 763,865</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1" w:name="page102"/>
    <w:bookmarkEnd w:id="101"/>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10"/>
          </w:tcPr>
          <w:p>
            <w:pPr>
              <w:ind w:left="220"/>
              <w:spacing w:after="0"/>
              <w:rPr>
                <w:sz w:val="20"/>
                <w:szCs w:val="20"/>
                <w:color w:val="auto"/>
              </w:rPr>
            </w:pPr>
            <w:r>
              <w:rPr>
                <w:rFonts w:ascii="Arial" w:cs="Arial" w:eastAsia="Arial" w:hAnsi="Arial"/>
                <w:sz w:val="11"/>
                <w:szCs w:val="11"/>
                <w:b w:val="1"/>
                <w:bCs w:val="1"/>
                <w:color w:val="131E29"/>
              </w:rPr>
              <w:t>Dutch Bros. Inc. Stockholders’ Equity</w:t>
            </w: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A</w:t>
            </w:r>
          </w:p>
        </w:tc>
        <w:tc>
          <w:tcPr>
            <w:tcW w:w="130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131E29"/>
              </w:rPr>
              <w:t>Class B</w:t>
            </w:r>
          </w:p>
        </w:tc>
        <w:tc>
          <w:tcPr>
            <w:tcW w:w="1300" w:type="dxa"/>
            <w:vAlign w:val="bottom"/>
            <w:gridSpan w:val="5"/>
          </w:tcPr>
          <w:p>
            <w:pPr>
              <w:ind w:left="420"/>
              <w:spacing w:after="0"/>
              <w:rPr>
                <w:sz w:val="20"/>
                <w:szCs w:val="20"/>
                <w:color w:val="auto"/>
              </w:rPr>
            </w:pPr>
            <w:r>
              <w:rPr>
                <w:rFonts w:ascii="Arial" w:cs="Arial" w:eastAsia="Arial" w:hAnsi="Arial"/>
                <w:sz w:val="11"/>
                <w:szCs w:val="11"/>
                <w:b w:val="1"/>
                <w:bCs w:val="1"/>
                <w:color w:val="131E29"/>
              </w:rPr>
              <w:t>Class C</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4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ind w:left="24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color w:val="131E29"/>
              </w:rPr>
              <w:t>Additional</w:t>
            </w:r>
          </w:p>
        </w:tc>
        <w:tc>
          <w:tcPr>
            <w:tcW w:w="10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Other</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color w:val="131E29"/>
              </w:rPr>
              <w:t>Accumulated</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color w:val="131E29"/>
              </w:rPr>
              <w:t>Non-</w:t>
            </w:r>
          </w:p>
        </w:tc>
        <w:tc>
          <w:tcPr>
            <w:tcW w:w="600" w:type="dxa"/>
            <w:vAlign w:val="bottom"/>
            <w:vMerge w:val="restart"/>
          </w:tcPr>
          <w:p>
            <w:pPr>
              <w:jc w:val="right"/>
              <w:ind w:right="123"/>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color w:val="131E29"/>
              </w:rPr>
              <w:t>Paid-in-</w:t>
            </w:r>
          </w:p>
        </w:tc>
        <w:tc>
          <w:tcPr>
            <w:tcW w:w="10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Comprehensive</w:t>
            </w:r>
          </w:p>
        </w:tc>
        <w:tc>
          <w:tcPr>
            <w:tcW w:w="840" w:type="dxa"/>
            <w:vAlign w:val="bottom"/>
            <w:gridSpan w:val="3"/>
            <w:vMerge w:val="continue"/>
          </w:tcPr>
          <w:p>
            <w:pPr>
              <w:spacing w:after="0"/>
              <w:rPr>
                <w:sz w:val="11"/>
                <w:szCs w:val="11"/>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1"/>
                <w:szCs w:val="11"/>
                <w:color w:val="131E29"/>
              </w:rPr>
              <w:t>Controlling</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131E29"/>
                <w:w w:val="99"/>
              </w:rPr>
              <w:t>Capital</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w w:val="99"/>
              </w:rPr>
              <w:t>Income</w:t>
            </w:r>
          </w:p>
        </w:tc>
        <w:tc>
          <w:tcPr>
            <w:tcW w:w="60" w:type="dxa"/>
            <w:vAlign w:val="bottom"/>
            <w:tcBorders>
              <w:bottom w:val="single" w:sz="8" w:color="D2DCE5"/>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131E29"/>
              </w:rPr>
              <w:t>Deficit</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rPr>
              <w:t>Interests</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174"/>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2022</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45,544</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1</w:t>
            </w:r>
          </w:p>
        </w:tc>
        <w:tc>
          <w:tcPr>
            <w:tcW w:w="60" w:type="dxa"/>
            <w:vAlign w:val="bottom"/>
            <w:shd w:val="clear" w:color="auto" w:fill="D2DCE5"/>
          </w:tcPr>
          <w:p>
            <w:pPr>
              <w:spacing w:after="0"/>
              <w:rPr>
                <w:sz w:val="15"/>
                <w:szCs w:val="15"/>
                <w:color w:val="auto"/>
              </w:rPr>
            </w:pP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64,699</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41,056</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b w:val="1"/>
                <w:bCs w:val="1"/>
                <w:color w:val="131E29"/>
                <w:w w:val="71"/>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b w:val="1"/>
                <w:bCs w:val="1"/>
                <w:color w:val="131E29"/>
              </w:rPr>
              <w:t>—</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12,411</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b w:val="1"/>
                <w:bCs w:val="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$ 145,613</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813</w:t>
            </w:r>
          </w:p>
        </w:tc>
        <w:tc>
          <w:tcPr>
            <w:tcW w:w="60" w:type="dxa"/>
            <w:vAlign w:val="bottom"/>
            <w:shd w:val="clear" w:color="auto" w:fill="D2DCE5"/>
          </w:tcPr>
          <w:p>
            <w:pPr>
              <w:spacing w:after="0"/>
              <w:rPr>
                <w:sz w:val="15"/>
                <w:szCs w:val="15"/>
                <w:color w:val="auto"/>
              </w:rPr>
            </w:pPr>
          </w:p>
        </w:tc>
        <w:tc>
          <w:tcPr>
            <w:tcW w:w="160" w:type="dxa"/>
            <w:vAlign w:val="bottom"/>
            <w:shd w:val="clear" w:color="auto" w:fill="D2DCE5"/>
          </w:tcPr>
          <w:p>
            <w:pPr>
              <w:jc w:val="right"/>
              <w:ind w:right="23"/>
              <w:spacing w:after="0"/>
              <w:rPr>
                <w:sz w:val="20"/>
                <w:szCs w:val="20"/>
                <w:color w:val="auto"/>
              </w:rPr>
            </w:pPr>
            <w:r>
              <w:rPr>
                <w:rFonts w:ascii="Arial" w:cs="Arial" w:eastAsia="Arial" w:hAnsi="Arial"/>
                <w:sz w:val="11"/>
                <w:szCs w:val="11"/>
                <w:b w:val="1"/>
                <w:bCs w:val="1"/>
                <w:color w:val="131E29"/>
                <w:w w:val="97"/>
              </w:rPr>
              <w:t>$</w:t>
            </w:r>
          </w:p>
        </w:tc>
        <w:tc>
          <w:tcPr>
            <w:tcW w:w="62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(17,310)</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122,858</w:t>
            </w:r>
          </w:p>
        </w:tc>
        <w:tc>
          <w:tcPr>
            <w:tcW w:w="60" w:type="dxa"/>
            <w:vAlign w:val="bottom"/>
            <w:shd w:val="clear" w:color="auto" w:fill="D2DCE5"/>
          </w:tcPr>
          <w:p>
            <w:pPr>
              <w:spacing w:after="0"/>
              <w:rPr>
                <w:sz w:val="15"/>
                <w:szCs w:val="15"/>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$ 251,976</w:t>
            </w:r>
          </w:p>
        </w:tc>
        <w:tc>
          <w:tcPr>
            <w:tcW w:w="0" w:type="dxa"/>
            <w:vAlign w:val="bottom"/>
          </w:tcPr>
          <w:p>
            <w:pPr>
              <w:spacing w:after="0"/>
              <w:rPr>
                <w:sz w:val="1"/>
                <w:szCs w:val="1"/>
                <w:color w:val="auto"/>
              </w:rPr>
            </w:pPr>
          </w:p>
        </w:tc>
      </w:tr>
      <w:tr>
        <w:trPr>
          <w:trHeight w:val="204"/>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Net income</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ind w:left="30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131E29"/>
              </w:rPr>
              <w:t>1,718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8,234</w:t>
            </w: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9,952</w:t>
            </w:r>
          </w:p>
        </w:tc>
        <w:tc>
          <w:tcPr>
            <w:tcW w:w="0" w:type="dxa"/>
            <w:vAlign w:val="bottom"/>
          </w:tcPr>
          <w:p>
            <w:pPr>
              <w:spacing w:after="0"/>
              <w:rPr>
                <w:sz w:val="1"/>
                <w:szCs w:val="1"/>
                <w:color w:val="auto"/>
              </w:rPr>
            </w:pPr>
          </w:p>
        </w:tc>
      </w:tr>
      <w:tr>
        <w:trPr>
          <w:trHeight w:val="161"/>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Unrealized loss on derivative securities,</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4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effective portion, net of income tax</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0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(217)</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(269)</w:t>
            </w: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8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(479)</w:t>
            </w:r>
          </w:p>
        </w:tc>
        <w:tc>
          <w:tcPr>
            <w:tcW w:w="6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(965)</w:t>
            </w: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expense of $10</w:t>
            </w:r>
          </w:p>
        </w:tc>
        <w:tc>
          <w:tcPr>
            <w:tcW w:w="64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8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Equity-based compensation</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ind w:left="300"/>
              <w:spacing w:after="0"/>
              <w:rPr>
                <w:sz w:val="20"/>
                <w:szCs w:val="20"/>
                <w:color w:val="auto"/>
              </w:rPr>
            </w:pPr>
            <w:r>
              <w:rPr>
                <w:rFonts w:ascii="Arial" w:cs="Arial" w:eastAsia="Arial" w:hAnsi="Arial"/>
                <w:sz w:val="14"/>
                <w:szCs w:val="14"/>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15,177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24,045</w:t>
            </w:r>
          </w:p>
        </w:tc>
        <w:tc>
          <w:tcPr>
            <w:tcW w:w="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39,222</w:t>
            </w:r>
          </w:p>
        </w:tc>
        <w:tc>
          <w:tcPr>
            <w:tcW w:w="0" w:type="dxa"/>
            <w:vAlign w:val="bottom"/>
          </w:tcPr>
          <w:p>
            <w:pPr>
              <w:spacing w:after="0"/>
              <w:rPr>
                <w:sz w:val="1"/>
                <w:szCs w:val="1"/>
                <w:color w:val="auto"/>
              </w:rPr>
            </w:pPr>
          </w:p>
        </w:tc>
      </w:tr>
      <w:tr>
        <w:trPr>
          <w:trHeight w:val="161"/>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4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pursuant to vesting of equity awards, net of</w:t>
            </w:r>
          </w:p>
        </w:tc>
        <w:tc>
          <w:tcPr>
            <w:tcW w:w="580" w:type="dxa"/>
            <w:vAlign w:val="bottom"/>
            <w:vMerge w:val="restart"/>
            <w:shd w:val="clear" w:color="auto" w:fill="D2DCE5"/>
          </w:tcPr>
          <w:p>
            <w:pPr>
              <w:jc w:val="right"/>
              <w:ind w:right="3"/>
              <w:spacing w:after="0"/>
              <w:rPr>
                <w:sz w:val="20"/>
                <w:szCs w:val="20"/>
                <w:color w:val="auto"/>
              </w:rPr>
            </w:pPr>
            <w:r>
              <w:rPr>
                <w:rFonts w:ascii="Arial" w:cs="Arial" w:eastAsia="Arial" w:hAnsi="Arial"/>
                <w:sz w:val="11"/>
                <w:szCs w:val="11"/>
                <w:color w:val="131E29"/>
              </w:rPr>
              <w:t>140</w:t>
            </w: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00"/>
              <w:spacing w:after="0"/>
              <w:rPr>
                <w:sz w:val="20"/>
                <w:szCs w:val="20"/>
                <w:color w:val="auto"/>
              </w:rPr>
            </w:pPr>
            <w:r>
              <w:rPr>
                <w:rFonts w:ascii="Arial" w:cs="Arial" w:eastAsia="Arial" w:hAnsi="Arial"/>
                <w:sz w:val="14"/>
                <w:szCs w:val="14"/>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(661)</w:t>
            </w: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94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1"/>
                <w:szCs w:val="11"/>
                <w:color w:val="auto"/>
              </w:rPr>
            </w:pPr>
          </w:p>
        </w:tc>
        <w:tc>
          <w:tcPr>
            <w:tcW w:w="680" w:type="dxa"/>
            <w:vAlign w:val="bottom"/>
            <w:gridSpan w:val="2"/>
            <w:vMerge w:val="restart"/>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1"/>
                <w:szCs w:val="11"/>
                <w:color w:val="auto"/>
              </w:rPr>
            </w:pPr>
          </w:p>
        </w:tc>
        <w:tc>
          <w:tcPr>
            <w:tcW w:w="56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(1,234)</w:t>
            </w:r>
          </w:p>
        </w:tc>
        <w:tc>
          <w:tcPr>
            <w:tcW w:w="60" w:type="dxa"/>
            <w:vAlign w:val="bottom"/>
            <w:shd w:val="clear" w:color="auto" w:fill="D2DCE5"/>
          </w:tcPr>
          <w:p>
            <w:pPr>
              <w:spacing w:after="0"/>
              <w:rPr>
                <w:sz w:val="11"/>
                <w:szCs w:val="11"/>
                <w:color w:val="auto"/>
              </w:rPr>
            </w:pPr>
          </w:p>
        </w:tc>
        <w:tc>
          <w:tcPr>
            <w:tcW w:w="600" w:type="dxa"/>
            <w:vAlign w:val="bottom"/>
            <w:vMerge w:val="restart"/>
            <w:shd w:val="clear" w:color="auto" w:fill="D2DCE5"/>
          </w:tcPr>
          <w:p>
            <w:pPr>
              <w:jc w:val="right"/>
              <w:spacing w:after="0"/>
              <w:rPr>
                <w:sz w:val="20"/>
                <w:szCs w:val="20"/>
                <w:color w:val="auto"/>
              </w:rPr>
            </w:pPr>
            <w:r>
              <w:rPr>
                <w:rFonts w:ascii="Arial" w:cs="Arial" w:eastAsia="Arial" w:hAnsi="Arial"/>
                <w:sz w:val="11"/>
                <w:szCs w:val="11"/>
                <w:color w:val="131E29"/>
              </w:rPr>
              <w:t>(1,895)</w:t>
            </w:r>
          </w:p>
        </w:tc>
        <w:tc>
          <w:tcPr>
            <w:tcW w:w="0" w:type="dxa"/>
            <w:vAlign w:val="bottom"/>
          </w:tcPr>
          <w:p>
            <w:pPr>
              <w:spacing w:after="0"/>
              <w:rPr>
                <w:sz w:val="1"/>
                <w:szCs w:val="1"/>
                <w:color w:val="auto"/>
              </w:rPr>
            </w:pPr>
          </w:p>
        </w:tc>
      </w:tr>
      <w:tr>
        <w:trPr>
          <w:trHeight w:val="155"/>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stock withheld for tax and forfeitures</w:t>
            </w: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60" w:type="dxa"/>
            <w:vAlign w:val="bottom"/>
            <w:gridSpan w:val="2"/>
            <w:vMerge w:val="continue"/>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64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gridSpan w:val="2"/>
            <w:vMerge w:val="continue"/>
            <w:shd w:val="clear" w:color="auto" w:fill="D2DCE5"/>
          </w:tcPr>
          <w:p>
            <w:pPr>
              <w:spacing w:after="0"/>
              <w:rPr>
                <w:sz w:val="13"/>
                <w:szCs w:val="13"/>
                <w:color w:val="auto"/>
              </w:rPr>
            </w:pPr>
          </w:p>
        </w:tc>
        <w:tc>
          <w:tcPr>
            <w:tcW w:w="58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940" w:type="dxa"/>
            <w:vAlign w:val="bottom"/>
            <w:gridSpan w:val="2"/>
            <w:vMerge w:val="continue"/>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80" w:type="dxa"/>
            <w:vAlign w:val="bottom"/>
            <w:gridSpan w:val="2"/>
            <w:vMerge w:val="continue"/>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vMerge w:val="continue"/>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vMerge w:val="continue"/>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Issuance of Class A common stock sold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pursuant to follow-on offering, net of</w:t>
            </w: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color w:val="131E29"/>
              </w:rPr>
              <w:t>13,269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330,081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330,081</w:t>
            </w:r>
          </w:p>
        </w:tc>
        <w:tc>
          <w:tcPr>
            <w:tcW w:w="0" w:type="dxa"/>
            <w:vAlign w:val="bottom"/>
          </w:tcPr>
          <w:p>
            <w:pPr>
              <w:spacing w:after="0"/>
              <w:rPr>
                <w:sz w:val="1"/>
                <w:szCs w:val="1"/>
                <w:color w:val="auto"/>
              </w:rPr>
            </w:pPr>
          </w:p>
        </w:tc>
      </w:tr>
      <w:tr>
        <w:trPr>
          <w:trHeight w:val="152"/>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offering costs</w:t>
            </w: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 in</w:t>
            </w: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4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2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exchange for surrender and cancellation of</w:t>
            </w: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4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Class D common stock, and conversion of</w:t>
            </w: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4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Dutch Bros OpCo Class A common units</w:t>
            </w: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4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for surrender and cancellation of Class B</w:t>
            </w: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4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and C common stock, pursuant to</w:t>
            </w: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60" w:type="dxa"/>
            <w:vAlign w:val="bottom"/>
            <w:gridSpan w:val="2"/>
            <w:vMerge w:val="restart"/>
            <w:shd w:val="clear" w:color="auto" w:fill="D2DCE5"/>
          </w:tcPr>
          <w:p>
            <w:pPr>
              <w:ind w:left="300"/>
              <w:spacing w:after="0"/>
              <w:rPr>
                <w:sz w:val="20"/>
                <w:szCs w:val="20"/>
                <w:color w:val="auto"/>
              </w:rPr>
            </w:pPr>
            <w:r>
              <w:rPr>
                <w:rFonts w:ascii="Arial" w:cs="Arial" w:eastAsia="Arial" w:hAnsi="Arial"/>
                <w:sz w:val="14"/>
                <w:szCs w:val="14"/>
                <w:color w:val="131E29"/>
              </w:rPr>
              <w:t>—</w:t>
            </w:r>
          </w:p>
        </w:tc>
        <w:tc>
          <w:tcPr>
            <w:tcW w:w="6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4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exchange transactions</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11,005</w:t>
            </w: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gridSpan w:val="2"/>
            <w:vMerge w:val="continue"/>
            <w:shd w:val="clear" w:color="auto" w:fill="D2DCE5"/>
          </w:tcPr>
          <w:p>
            <w:pPr>
              <w:spacing w:after="0"/>
              <w:rPr>
                <w:sz w:val="14"/>
                <w:szCs w:val="14"/>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(4,070)</w:t>
            </w: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(5,192)</w:t>
            </w: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(1,742)</w:t>
            </w: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9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4"/>
                <w:szCs w:val="14"/>
                <w:color w:val="auto"/>
              </w:rPr>
            </w:pP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62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53"/>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Effect of equity transactions of Dutch Bros</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restart"/>
          </w:tcPr>
          <w:p>
            <w:pPr>
              <w:ind w:left="300"/>
              <w:spacing w:after="0"/>
              <w:rPr>
                <w:sz w:val="20"/>
                <w:szCs w:val="20"/>
                <w:color w:val="auto"/>
              </w:rPr>
            </w:pPr>
            <w:r>
              <w:rPr>
                <w:rFonts w:ascii="Arial" w:cs="Arial" w:eastAsia="Arial" w:hAnsi="Arial"/>
                <w:sz w:val="14"/>
                <w:szCs w:val="14"/>
                <w:color w:val="131E29"/>
              </w:rPr>
              <w:t>—</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OpCo Class A common units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(158,152)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158,152</w:t>
            </w:r>
          </w:p>
        </w:tc>
        <w:tc>
          <w:tcPr>
            <w:tcW w:w="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89"/>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Tax impacts of follow-on offering</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46,594</w:t>
            </w:r>
          </w:p>
        </w:tc>
        <w:tc>
          <w:tcPr>
            <w:tcW w:w="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9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6"/>
                <w:szCs w:val="16"/>
                <w:color w:val="auto"/>
              </w:rPr>
            </w:pP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62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46,594</w:t>
            </w:r>
          </w:p>
        </w:tc>
        <w:tc>
          <w:tcPr>
            <w:tcW w:w="0" w:type="dxa"/>
            <w:vAlign w:val="bottom"/>
          </w:tcPr>
          <w:p>
            <w:pPr>
              <w:spacing w:after="0"/>
              <w:rPr>
                <w:sz w:val="1"/>
                <w:szCs w:val="1"/>
                <w:color w:val="auto"/>
              </w:rPr>
            </w:pPr>
          </w:p>
        </w:tc>
      </w:tr>
      <w:tr>
        <w:trPr>
          <w:trHeight w:val="153"/>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Tax impacts of other equity-related</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transactions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655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3"/>
                <w:szCs w:val="13"/>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655</w:t>
            </w:r>
          </w:p>
        </w:tc>
        <w:tc>
          <w:tcPr>
            <w:tcW w:w="0" w:type="dxa"/>
            <w:vAlign w:val="bottom"/>
          </w:tcPr>
          <w:p>
            <w:pPr>
              <w:spacing w:after="0"/>
              <w:rPr>
                <w:sz w:val="1"/>
                <w:szCs w:val="1"/>
                <w:color w:val="auto"/>
              </w:rPr>
            </w:pPr>
          </w:p>
        </w:tc>
      </w:tr>
      <w:tr>
        <w:trPr>
          <w:trHeight w:val="212"/>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Impacts of Tax Receivable Agreements</w:t>
            </w: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8"/>
                <w:szCs w:val="18"/>
                <w:color w:val="auto"/>
              </w:rPr>
            </w:pPr>
          </w:p>
        </w:tc>
        <w:tc>
          <w:tcPr>
            <w:tcW w:w="80" w:type="dxa"/>
            <w:vAlign w:val="bottom"/>
            <w:tcBorders>
              <w:bottom w:val="single" w:sz="8" w:color="auto"/>
            </w:tcBorders>
            <w:shd w:val="clear" w:color="auto" w:fill="D2DCE5"/>
          </w:tcPr>
          <w:p>
            <w:pPr>
              <w:spacing w:after="0"/>
              <w:rPr>
                <w:sz w:val="18"/>
                <w:szCs w:val="18"/>
                <w:color w:val="auto"/>
              </w:rPr>
            </w:pPr>
          </w:p>
        </w:tc>
        <w:tc>
          <w:tcPr>
            <w:tcW w:w="500" w:type="dxa"/>
            <w:vAlign w:val="bottom"/>
            <w:tcBorders>
              <w:bottom w:val="single" w:sz="8" w:color="auto"/>
            </w:tcBorders>
            <w:shd w:val="clear" w:color="auto" w:fill="D2DCE5"/>
          </w:tcPr>
          <w:p>
            <w:pPr>
              <w:ind w:left="300"/>
              <w:spacing w:after="0"/>
              <w:rPr>
                <w:sz w:val="20"/>
                <w:szCs w:val="20"/>
                <w:color w:val="auto"/>
              </w:rPr>
            </w:pPr>
            <w:r>
              <w:rPr>
                <w:rFonts w:ascii="Arial" w:cs="Arial" w:eastAsia="Arial" w:hAnsi="Arial"/>
                <w:sz w:val="14"/>
                <w:szCs w:val="14"/>
                <w:color w:val="131E29"/>
              </w:rPr>
              <w:t>—</w:t>
            </w:r>
          </w:p>
        </w:tc>
        <w:tc>
          <w:tcPr>
            <w:tcW w:w="60" w:type="dxa"/>
            <w:vAlign w:val="bottom"/>
            <w:shd w:val="clear" w:color="auto" w:fill="D2DCE5"/>
          </w:tcPr>
          <w:p>
            <w:pPr>
              <w:spacing w:after="0"/>
              <w:rPr>
                <w:sz w:val="18"/>
                <w:szCs w:val="18"/>
                <w:color w:val="auto"/>
              </w:rPr>
            </w:pPr>
          </w:p>
        </w:tc>
        <w:tc>
          <w:tcPr>
            <w:tcW w:w="6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8"/>
                <w:szCs w:val="18"/>
                <w:color w:val="auto"/>
              </w:rPr>
            </w:pPr>
          </w:p>
        </w:tc>
        <w:tc>
          <w:tcPr>
            <w:tcW w:w="80" w:type="dxa"/>
            <w:vAlign w:val="bottom"/>
            <w:tcBorders>
              <w:bottom w:val="single" w:sz="8" w:color="auto"/>
            </w:tcBorders>
            <w:shd w:val="clear" w:color="auto" w:fill="D2DCE5"/>
          </w:tcPr>
          <w:p>
            <w:pPr>
              <w:spacing w:after="0"/>
              <w:rPr>
                <w:sz w:val="18"/>
                <w:szCs w:val="18"/>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8"/>
                <w:szCs w:val="18"/>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8"/>
                <w:szCs w:val="18"/>
                <w:color w:val="auto"/>
              </w:rPr>
            </w:pPr>
          </w:p>
        </w:tc>
        <w:tc>
          <w:tcPr>
            <w:tcW w:w="80" w:type="dxa"/>
            <w:vAlign w:val="bottom"/>
            <w:tcBorders>
              <w:bottom w:val="single" w:sz="8" w:color="auto"/>
            </w:tcBorders>
            <w:shd w:val="clear" w:color="auto" w:fill="D2DCE5"/>
          </w:tcPr>
          <w:p>
            <w:pPr>
              <w:spacing w:after="0"/>
              <w:rPr>
                <w:sz w:val="18"/>
                <w:szCs w:val="18"/>
                <w:color w:val="auto"/>
              </w:rPr>
            </w:pPr>
          </w:p>
        </w:tc>
        <w:tc>
          <w:tcPr>
            <w:tcW w:w="500" w:type="dxa"/>
            <w:vAlign w:val="bottom"/>
            <w:tcBorders>
              <w:bottom w:val="single" w:sz="8" w:color="auto"/>
            </w:tcBorders>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8"/>
                <w:szCs w:val="18"/>
                <w:color w:val="auto"/>
              </w:rPr>
            </w:pP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480" w:type="dxa"/>
            <w:vAlign w:val="bottom"/>
            <w:tcBorders>
              <w:bottom w:val="single" w:sz="8" w:color="auto"/>
            </w:tcBorders>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8"/>
                <w:szCs w:val="18"/>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301</w:t>
            </w:r>
          </w:p>
        </w:tc>
        <w:tc>
          <w:tcPr>
            <w:tcW w:w="6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8"/>
                <w:szCs w:val="18"/>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301</w:t>
            </w:r>
          </w:p>
        </w:tc>
        <w:tc>
          <w:tcPr>
            <w:tcW w:w="0" w:type="dxa"/>
            <w:vAlign w:val="bottom"/>
          </w:tcPr>
          <w:p>
            <w:pPr>
              <w:spacing w:after="0"/>
              <w:rPr>
                <w:sz w:val="1"/>
                <w:szCs w:val="1"/>
                <w:color w:val="auto"/>
              </w:rPr>
            </w:pPr>
          </w:p>
        </w:tc>
      </w:tr>
      <w:tr>
        <w:trPr>
          <w:trHeight w:val="180"/>
        </w:trPr>
        <w:tc>
          <w:tcPr>
            <w:tcW w:w="2260" w:type="dxa"/>
            <w:vAlign w:val="bottom"/>
            <w:gridSpan w:val="2"/>
          </w:tcPr>
          <w:p>
            <w:pPr>
              <w:ind w:left="20"/>
              <w:spacing w:after="0"/>
              <w:rPr>
                <w:sz w:val="20"/>
                <w:szCs w:val="20"/>
                <w:color w:val="auto"/>
              </w:rPr>
            </w:pPr>
            <w:r>
              <w:rPr>
                <w:rFonts w:ascii="Arial" w:cs="Arial" w:eastAsia="Arial" w:hAnsi="Arial"/>
                <w:sz w:val="11"/>
                <w:szCs w:val="11"/>
                <w:b w:val="1"/>
                <w:bCs w:val="1"/>
                <w:color w:val="131E29"/>
              </w:rPr>
              <w:t>Balance, December 31, 2023</w:t>
            </w:r>
          </w:p>
        </w:tc>
        <w:tc>
          <w:tcPr>
            <w:tcW w:w="580" w:type="dxa"/>
            <w:vAlign w:val="bottom"/>
          </w:tcPr>
          <w:p>
            <w:pPr>
              <w:jc w:val="right"/>
              <w:ind w:right="3"/>
              <w:spacing w:after="0"/>
              <w:rPr>
                <w:sz w:val="20"/>
                <w:szCs w:val="20"/>
                <w:color w:val="auto"/>
              </w:rPr>
            </w:pPr>
            <w:r>
              <w:rPr>
                <w:rFonts w:ascii="Arial" w:cs="Arial" w:eastAsia="Arial" w:hAnsi="Arial"/>
                <w:sz w:val="11"/>
                <w:szCs w:val="11"/>
                <w:b w:val="1"/>
                <w:bCs w:val="1"/>
                <w:color w:val="131E29"/>
              </w:rPr>
              <w:t>69,958</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131E29"/>
              </w:rPr>
              <w:t>1</w:t>
            </w:r>
          </w:p>
        </w:tc>
        <w:tc>
          <w:tcPr>
            <w:tcW w:w="60" w:type="dxa"/>
            <w:vAlign w:val="bottom"/>
          </w:tcPr>
          <w:p>
            <w:pPr>
              <w:spacing w:after="0"/>
              <w:rPr>
                <w:sz w:val="15"/>
                <w:szCs w:val="15"/>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b w:val="1"/>
                <w:bCs w:val="1"/>
                <w:color w:val="131E29"/>
              </w:rPr>
              <w:t>60,629</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b w:val="1"/>
                <w:bCs w:val="1"/>
                <w:color w:val="131E29"/>
              </w:rPr>
              <w:t>1</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131E29"/>
              </w:rPr>
              <w:t>35,864</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131E29"/>
                <w:w w:val="71"/>
              </w:rPr>
              <w:t>$</w:t>
            </w:r>
          </w:p>
        </w:tc>
        <w:tc>
          <w:tcPr>
            <w:tcW w:w="560" w:type="dxa"/>
            <w:vAlign w:val="bottom"/>
            <w:gridSpan w:val="2"/>
          </w:tcPr>
          <w:p>
            <w:pPr>
              <w:ind w:left="320"/>
              <w:spacing w:after="0"/>
              <w:rPr>
                <w:sz w:val="20"/>
                <w:szCs w:val="20"/>
                <w:color w:val="auto"/>
              </w:rPr>
            </w:pPr>
            <w:r>
              <w:rPr>
                <w:rFonts w:ascii="Arial" w:cs="Arial" w:eastAsia="Arial" w:hAnsi="Arial"/>
                <w:sz w:val="11"/>
                <w:szCs w:val="11"/>
                <w:b w:val="1"/>
                <w:bCs w:val="1"/>
                <w:color w:val="131E29"/>
              </w:rPr>
              <w:t>—</w:t>
            </w:r>
          </w:p>
        </w:tc>
        <w:tc>
          <w:tcPr>
            <w:tcW w:w="580" w:type="dxa"/>
            <w:vAlign w:val="bottom"/>
          </w:tcPr>
          <w:p>
            <w:pPr>
              <w:jc w:val="right"/>
              <w:ind w:right="3"/>
              <w:spacing w:after="0"/>
              <w:rPr>
                <w:sz w:val="20"/>
                <w:szCs w:val="20"/>
                <w:color w:val="auto"/>
              </w:rPr>
            </w:pPr>
            <w:r>
              <w:rPr>
                <w:rFonts w:ascii="Arial" w:cs="Arial" w:eastAsia="Arial" w:hAnsi="Arial"/>
                <w:sz w:val="11"/>
                <w:szCs w:val="11"/>
                <w:b w:val="1"/>
                <w:bCs w:val="1"/>
                <w:color w:val="131E29"/>
              </w:rPr>
              <w:t>10,669</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b w:val="1"/>
                <w:bCs w:val="1"/>
                <w:color w:val="131E29"/>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131E29"/>
              </w:rPr>
              <w:t>$ 379,391</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880" w:type="dxa"/>
            <w:vAlign w:val="bottom"/>
          </w:tcPr>
          <w:p>
            <w:pPr>
              <w:jc w:val="right"/>
              <w:spacing w:after="0"/>
              <w:rPr>
                <w:sz w:val="20"/>
                <w:szCs w:val="20"/>
                <w:color w:val="auto"/>
              </w:rPr>
            </w:pPr>
            <w:r>
              <w:rPr>
                <w:rFonts w:ascii="Arial" w:cs="Arial" w:eastAsia="Arial" w:hAnsi="Arial"/>
                <w:sz w:val="11"/>
                <w:szCs w:val="11"/>
                <w:b w:val="1"/>
                <w:bCs w:val="1"/>
                <w:color w:val="131E29"/>
              </w:rPr>
              <w:t>544</w:t>
            </w:r>
          </w:p>
        </w:tc>
        <w:tc>
          <w:tcPr>
            <w:tcW w:w="60" w:type="dxa"/>
            <w:vAlign w:val="bottom"/>
          </w:tcPr>
          <w:p>
            <w:pPr>
              <w:spacing w:after="0"/>
              <w:rPr>
                <w:sz w:val="15"/>
                <w:szCs w:val="15"/>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b w:val="1"/>
                <w:bCs w:val="1"/>
                <w:color w:val="131E29"/>
                <w:w w:val="97"/>
              </w:rPr>
              <w: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131E29"/>
              </w:rPr>
              <w:t>(15,592)</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131E29"/>
              </w:rPr>
              <w:t>311,576</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131E29"/>
              </w:rPr>
              <w:t>$ 675,921</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2" w:name="page103"/>
    <w:bookmarkEnd w:id="102"/>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Consolidated Statements of Stockholders’ Equity (continued)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10"/>
          </w:tcPr>
          <w:p>
            <w:pPr>
              <w:ind w:left="220"/>
              <w:spacing w:after="0"/>
              <w:rPr>
                <w:sz w:val="20"/>
                <w:szCs w:val="20"/>
                <w:color w:val="auto"/>
              </w:rPr>
            </w:pPr>
            <w:r>
              <w:rPr>
                <w:rFonts w:ascii="Arial" w:cs="Arial" w:eastAsia="Arial" w:hAnsi="Arial"/>
                <w:sz w:val="11"/>
                <w:szCs w:val="11"/>
                <w:b w:val="1"/>
                <w:bCs w:val="1"/>
                <w:color w:val="131E29"/>
              </w:rPr>
              <w:t>Dutch Bros. Inc. Stockholders’ Equity</w:t>
            </w: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b w:val="1"/>
                <w:bCs w:val="1"/>
                <w:color w:val="131E29"/>
              </w:rPr>
              <w:t>Class A</w:t>
            </w:r>
          </w:p>
        </w:tc>
        <w:tc>
          <w:tcPr>
            <w:tcW w:w="1300" w:type="dxa"/>
            <w:vAlign w:val="bottom"/>
            <w:gridSpan w:val="5"/>
          </w:tcPr>
          <w:p>
            <w:pPr>
              <w:jc w:val="center"/>
              <w:ind w:right="40"/>
              <w:spacing w:after="0"/>
              <w:rPr>
                <w:sz w:val="20"/>
                <w:szCs w:val="20"/>
                <w:color w:val="auto"/>
              </w:rPr>
            </w:pPr>
            <w:r>
              <w:rPr>
                <w:rFonts w:ascii="Arial" w:cs="Arial" w:eastAsia="Arial" w:hAnsi="Arial"/>
                <w:sz w:val="11"/>
                <w:szCs w:val="11"/>
                <w:b w:val="1"/>
                <w:bCs w:val="1"/>
                <w:color w:val="131E29"/>
              </w:rPr>
              <w:t>Class B</w:t>
            </w:r>
          </w:p>
        </w:tc>
        <w:tc>
          <w:tcPr>
            <w:tcW w:w="1300" w:type="dxa"/>
            <w:vAlign w:val="bottom"/>
            <w:gridSpan w:val="5"/>
          </w:tcPr>
          <w:p>
            <w:pPr>
              <w:ind w:left="420"/>
              <w:spacing w:after="0"/>
              <w:rPr>
                <w:sz w:val="20"/>
                <w:szCs w:val="20"/>
                <w:color w:val="auto"/>
              </w:rPr>
            </w:pPr>
            <w:r>
              <w:rPr>
                <w:rFonts w:ascii="Arial" w:cs="Arial" w:eastAsia="Arial" w:hAnsi="Arial"/>
                <w:sz w:val="11"/>
                <w:szCs w:val="11"/>
                <w:b w:val="1"/>
                <w:bCs w:val="1"/>
                <w:color w:val="131E29"/>
              </w:rPr>
              <w:t>Class C</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131E29"/>
              </w:rPr>
              <w:t>Class 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5"/>
          </w:tcPr>
          <w:p>
            <w:pPr>
              <w:jc w:val="center"/>
              <w:ind w:right="6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4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ind w:left="240"/>
              <w:spacing w:after="0"/>
              <w:rPr>
                <w:sz w:val="20"/>
                <w:szCs w:val="20"/>
                <w:color w:val="auto"/>
              </w:rPr>
            </w:pPr>
            <w:r>
              <w:rPr>
                <w:rFonts w:ascii="Arial" w:cs="Arial" w:eastAsia="Arial" w:hAnsi="Arial"/>
                <w:sz w:val="11"/>
                <w:szCs w:val="11"/>
                <w:color w:val="131E29"/>
              </w:rPr>
              <w:t>Common Stock</w:t>
            </w:r>
          </w:p>
        </w:tc>
        <w:tc>
          <w:tcPr>
            <w:tcW w:w="1300" w:type="dxa"/>
            <w:vAlign w:val="bottom"/>
            <w:gridSpan w:val="5"/>
          </w:tcPr>
          <w:p>
            <w:pPr>
              <w:jc w:val="center"/>
              <w:ind w:right="80"/>
              <w:spacing w:after="0"/>
              <w:rPr>
                <w:sz w:val="20"/>
                <w:szCs w:val="20"/>
                <w:color w:val="auto"/>
              </w:rPr>
            </w:pPr>
            <w:r>
              <w:rPr>
                <w:rFonts w:ascii="Arial" w:cs="Arial" w:eastAsia="Arial" w:hAnsi="Arial"/>
                <w:sz w:val="11"/>
                <w:szCs w:val="11"/>
                <w:color w:val="131E29"/>
              </w:rPr>
              <w:t>Common Stock</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Accumulated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color w:val="131E29"/>
              </w:rPr>
              <w:t>Additional</w:t>
            </w:r>
          </w:p>
        </w:tc>
        <w:tc>
          <w:tcPr>
            <w:tcW w:w="10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Other</w:t>
            </w:r>
          </w:p>
        </w:tc>
        <w:tc>
          <w:tcPr>
            <w:tcW w:w="840" w:type="dxa"/>
            <w:vAlign w:val="bottom"/>
            <w:gridSpan w:val="3"/>
            <w:vMerge w:val="restart"/>
          </w:tcPr>
          <w:p>
            <w:pPr>
              <w:ind w:left="60"/>
              <w:spacing w:after="0"/>
              <w:rPr>
                <w:sz w:val="20"/>
                <w:szCs w:val="20"/>
                <w:color w:val="auto"/>
              </w:rPr>
            </w:pPr>
            <w:r>
              <w:rPr>
                <w:rFonts w:ascii="Arial" w:cs="Arial" w:eastAsia="Arial" w:hAnsi="Arial"/>
                <w:sz w:val="11"/>
                <w:szCs w:val="11"/>
                <w:color w:val="131E29"/>
              </w:rPr>
              <w:t>Accumulated</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1"/>
                <w:szCs w:val="11"/>
                <w:color w:val="131E29"/>
              </w:rPr>
              <w:t>Non-</w:t>
            </w:r>
          </w:p>
        </w:tc>
        <w:tc>
          <w:tcPr>
            <w:tcW w:w="600" w:type="dxa"/>
            <w:vAlign w:val="bottom"/>
            <w:vMerge w:val="restart"/>
          </w:tcPr>
          <w:p>
            <w:pPr>
              <w:jc w:val="right"/>
              <w:ind w:right="123"/>
              <w:spacing w:after="0"/>
              <w:rPr>
                <w:sz w:val="20"/>
                <w:szCs w:val="20"/>
                <w:color w:val="auto"/>
              </w:rPr>
            </w:pPr>
            <w:r>
              <w:rPr>
                <w:rFonts w:ascii="Arial" w:cs="Arial" w:eastAsia="Arial" w:hAnsi="Arial"/>
                <w:sz w:val="11"/>
                <w:szCs w:val="11"/>
                <w:color w:val="131E29"/>
              </w:rPr>
              <w:t>Total</w:t>
            </w:r>
          </w:p>
        </w:tc>
        <w:tc>
          <w:tcPr>
            <w:tcW w:w="0" w:type="dxa"/>
            <w:vAlign w:val="bottom"/>
          </w:tcPr>
          <w:p>
            <w:pPr>
              <w:spacing w:after="0"/>
              <w:rPr>
                <w:sz w:val="1"/>
                <w:szCs w:val="1"/>
                <w:color w:val="auto"/>
              </w:rPr>
            </w:pPr>
          </w:p>
        </w:tc>
      </w:tr>
      <w:tr>
        <w:trPr>
          <w:trHeight w:val="127"/>
        </w:trPr>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color w:val="131E29"/>
              </w:rPr>
              <w:t>Paid-in-</w:t>
            </w:r>
          </w:p>
        </w:tc>
        <w:tc>
          <w:tcPr>
            <w:tcW w:w="100" w:type="dxa"/>
            <w:vAlign w:val="bottom"/>
          </w:tcPr>
          <w:p>
            <w:pPr>
              <w:spacing w:after="0"/>
              <w:rPr>
                <w:sz w:val="11"/>
                <w:szCs w:val="11"/>
                <w:color w:val="auto"/>
              </w:rPr>
            </w:pPr>
          </w:p>
        </w:tc>
        <w:tc>
          <w:tcPr>
            <w:tcW w:w="940" w:type="dxa"/>
            <w:vAlign w:val="bottom"/>
            <w:gridSpan w:val="2"/>
          </w:tcPr>
          <w:p>
            <w:pPr>
              <w:jc w:val="center"/>
              <w:ind w:right="140"/>
              <w:spacing w:after="0"/>
              <w:rPr>
                <w:sz w:val="20"/>
                <w:szCs w:val="20"/>
                <w:color w:val="auto"/>
              </w:rPr>
            </w:pPr>
            <w:r>
              <w:rPr>
                <w:rFonts w:ascii="Arial" w:cs="Arial" w:eastAsia="Arial" w:hAnsi="Arial"/>
                <w:sz w:val="11"/>
                <w:szCs w:val="11"/>
                <w:color w:val="131E29"/>
              </w:rPr>
              <w:t>Comprehensive</w:t>
            </w:r>
          </w:p>
        </w:tc>
        <w:tc>
          <w:tcPr>
            <w:tcW w:w="840" w:type="dxa"/>
            <w:vAlign w:val="bottom"/>
            <w:gridSpan w:val="3"/>
            <w:vMerge w:val="continue"/>
          </w:tcPr>
          <w:p>
            <w:pPr>
              <w:spacing w:after="0"/>
              <w:rPr>
                <w:sz w:val="11"/>
                <w:szCs w:val="11"/>
                <w:color w:val="auto"/>
              </w:rPr>
            </w:pPr>
          </w:p>
        </w:tc>
        <w:tc>
          <w:tcPr>
            <w:tcW w:w="720" w:type="dxa"/>
            <w:vAlign w:val="bottom"/>
            <w:gridSpan w:val="3"/>
          </w:tcPr>
          <w:p>
            <w:pPr>
              <w:jc w:val="center"/>
              <w:ind w:right="60"/>
              <w:spacing w:after="0"/>
              <w:rPr>
                <w:sz w:val="20"/>
                <w:szCs w:val="20"/>
                <w:color w:val="auto"/>
              </w:rPr>
            </w:pPr>
            <w:r>
              <w:rPr>
                <w:rFonts w:ascii="Arial" w:cs="Arial" w:eastAsia="Arial" w:hAnsi="Arial"/>
                <w:sz w:val="11"/>
                <w:szCs w:val="11"/>
                <w:color w:val="131E29"/>
              </w:rPr>
              <w:t>Controlling</w:t>
            </w: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Shares</w:t>
            </w:r>
          </w:p>
        </w:tc>
        <w:tc>
          <w:tcPr>
            <w:tcW w:w="80" w:type="dxa"/>
            <w:vAlign w:val="bottom"/>
            <w:tcBorders>
              <w:bottom w:val="single" w:sz="8" w:color="D2DCE5"/>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131E29"/>
              </w:rPr>
              <w:t>Amount</w:t>
            </w:r>
          </w:p>
        </w:tc>
        <w:tc>
          <w:tcPr>
            <w:tcW w:w="6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131E29"/>
              </w:rPr>
              <w:t>Shares</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1"/>
                <w:szCs w:val="11"/>
                <w:color w:val="131E29"/>
              </w:rPr>
              <w:t>Amount</w:t>
            </w:r>
          </w:p>
        </w:tc>
        <w:tc>
          <w:tcPr>
            <w:tcW w:w="80" w:type="dxa"/>
            <w:vAlign w:val="bottom"/>
            <w:tcBorders>
              <w:bottom w:val="single" w:sz="8" w:color="D2DCE5"/>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131E29"/>
                <w:w w:val="99"/>
              </w:rPr>
              <w:t>Capital</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w w:val="99"/>
              </w:rPr>
              <w:t>Income</w:t>
            </w:r>
          </w:p>
        </w:tc>
        <w:tc>
          <w:tcPr>
            <w:tcW w:w="60" w:type="dxa"/>
            <w:vAlign w:val="bottom"/>
            <w:tcBorders>
              <w:bottom w:val="single" w:sz="8" w:color="D2DCE5"/>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131E29"/>
              </w:rPr>
              <w:t>Deficit</w:t>
            </w:r>
          </w:p>
        </w:tc>
        <w:tc>
          <w:tcPr>
            <w:tcW w:w="60" w:type="dxa"/>
            <w:vAlign w:val="bottom"/>
            <w:tcBorders>
              <w:bottom w:val="single" w:sz="8" w:color="D2DCE5"/>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color w:val="131E29"/>
              </w:rPr>
              <w:t>Interests</w:t>
            </w:r>
          </w:p>
        </w:tc>
        <w:tc>
          <w:tcPr>
            <w:tcW w:w="60" w:type="dxa"/>
            <w:vAlign w:val="bottom"/>
            <w:tcBorders>
              <w:bottom w:val="single" w:sz="8" w:color="D2DCE5"/>
            </w:tcBorders>
          </w:tcPr>
          <w:p>
            <w:pPr>
              <w:spacing w:after="0"/>
              <w:rPr>
                <w:sz w:val="14"/>
                <w:szCs w:val="14"/>
                <w:color w:val="auto"/>
              </w:rPr>
            </w:pPr>
          </w:p>
        </w:tc>
        <w:tc>
          <w:tcPr>
            <w:tcW w:w="6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131E29"/>
              </w:rPr>
              <w:t>Equity</w:t>
            </w:r>
          </w:p>
        </w:tc>
        <w:tc>
          <w:tcPr>
            <w:tcW w:w="0" w:type="dxa"/>
            <w:vAlign w:val="bottom"/>
          </w:tcPr>
          <w:p>
            <w:pPr>
              <w:spacing w:after="0"/>
              <w:rPr>
                <w:sz w:val="1"/>
                <w:szCs w:val="1"/>
                <w:color w:val="auto"/>
              </w:rPr>
            </w:pPr>
          </w:p>
        </w:tc>
      </w:tr>
      <w:tr>
        <w:trPr>
          <w:trHeight w:val="174"/>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b w:val="1"/>
                <w:bCs w:val="1"/>
                <w:color w:val="131E29"/>
              </w:rPr>
              <w:t>Balance, December 31, 2021</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34,433</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b w:val="1"/>
                <w:bCs w:val="1"/>
                <w:color w:val="131E29"/>
              </w:rPr>
              <w:t>—</w:t>
            </w:r>
          </w:p>
        </w:tc>
        <w:tc>
          <w:tcPr>
            <w:tcW w:w="60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64,699</w:t>
            </w:r>
          </w:p>
        </w:tc>
        <w:tc>
          <w:tcPr>
            <w:tcW w:w="6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49,006</w:t>
            </w:r>
          </w:p>
        </w:tc>
        <w:tc>
          <w:tcPr>
            <w:tcW w:w="80" w:type="dxa"/>
            <w:vAlign w:val="bottom"/>
            <w:shd w:val="clear" w:color="auto" w:fill="D2DCE5"/>
          </w:tcPr>
          <w:p>
            <w:pPr>
              <w:spacing w:after="0"/>
              <w:rPr>
                <w:sz w:val="15"/>
                <w:szCs w:val="15"/>
                <w:color w:val="auto"/>
              </w:rPr>
            </w:pPr>
          </w:p>
        </w:tc>
        <w:tc>
          <w:tcPr>
            <w:tcW w:w="80" w:type="dxa"/>
            <w:vAlign w:val="bottom"/>
            <w:shd w:val="clear" w:color="auto" w:fill="D2DCE5"/>
          </w:tcPr>
          <w:p>
            <w:pPr>
              <w:jc w:val="right"/>
              <w:spacing w:after="0"/>
              <w:rPr>
                <w:sz w:val="20"/>
                <w:szCs w:val="20"/>
                <w:color w:val="auto"/>
              </w:rPr>
            </w:pPr>
            <w:r>
              <w:rPr>
                <w:rFonts w:ascii="Arial" w:cs="Arial" w:eastAsia="Arial" w:hAnsi="Arial"/>
                <w:sz w:val="10"/>
                <w:szCs w:val="10"/>
                <w:b w:val="1"/>
                <w:bCs w:val="1"/>
                <w:color w:val="131E29"/>
                <w:w w:val="71"/>
              </w:rPr>
              <w:t>$</w:t>
            </w:r>
          </w:p>
        </w:tc>
        <w:tc>
          <w:tcPr>
            <w:tcW w:w="50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1</w:t>
            </w:r>
          </w:p>
        </w:tc>
        <w:tc>
          <w:tcPr>
            <w:tcW w:w="60" w:type="dxa"/>
            <w:vAlign w:val="bottom"/>
            <w:shd w:val="clear" w:color="auto" w:fill="D2DCE5"/>
          </w:tcPr>
          <w:p>
            <w:pPr>
              <w:spacing w:after="0"/>
              <w:rPr>
                <w:sz w:val="15"/>
                <w:szCs w:val="15"/>
                <w:color w:val="auto"/>
              </w:rPr>
            </w:pP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b w:val="1"/>
                <w:bCs w:val="1"/>
                <w:color w:val="131E29"/>
              </w:rPr>
              <w:t>15,441</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b w:val="1"/>
                <w:bCs w:val="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$ 107,193</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9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b w:val="1"/>
                <w:bCs w:val="1"/>
                <w:color w:val="131E29"/>
              </w:rPr>
              <w:t>—</w:t>
            </w:r>
          </w:p>
        </w:tc>
        <w:tc>
          <w:tcPr>
            <w:tcW w:w="160" w:type="dxa"/>
            <w:vAlign w:val="bottom"/>
            <w:shd w:val="clear" w:color="auto" w:fill="D2DCE5"/>
          </w:tcPr>
          <w:p>
            <w:pPr>
              <w:jc w:val="right"/>
              <w:ind w:right="23"/>
              <w:spacing w:after="0"/>
              <w:rPr>
                <w:sz w:val="20"/>
                <w:szCs w:val="20"/>
                <w:color w:val="auto"/>
              </w:rPr>
            </w:pPr>
            <w:r>
              <w:rPr>
                <w:rFonts w:ascii="Arial" w:cs="Arial" w:eastAsia="Arial" w:hAnsi="Arial"/>
                <w:sz w:val="11"/>
                <w:szCs w:val="11"/>
                <w:b w:val="1"/>
                <w:bCs w:val="1"/>
                <w:color w:val="131E29"/>
                <w:w w:val="97"/>
              </w:rPr>
              <w:t>$</w:t>
            </w:r>
          </w:p>
        </w:tc>
        <w:tc>
          <w:tcPr>
            <w:tcW w:w="62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(12,679)</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119,213</w:t>
            </w:r>
          </w:p>
        </w:tc>
        <w:tc>
          <w:tcPr>
            <w:tcW w:w="60" w:type="dxa"/>
            <w:vAlign w:val="bottom"/>
            <w:shd w:val="clear" w:color="auto" w:fill="D2DCE5"/>
          </w:tcPr>
          <w:p>
            <w:pPr>
              <w:spacing w:after="0"/>
              <w:rPr>
                <w:sz w:val="15"/>
                <w:szCs w:val="15"/>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b w:val="1"/>
                <w:bCs w:val="1"/>
                <w:color w:val="131E29"/>
              </w:rPr>
              <w:t>$ 213,729</w:t>
            </w:r>
          </w:p>
        </w:tc>
        <w:tc>
          <w:tcPr>
            <w:tcW w:w="0" w:type="dxa"/>
            <w:vAlign w:val="bottom"/>
          </w:tcPr>
          <w:p>
            <w:pPr>
              <w:spacing w:after="0"/>
              <w:rPr>
                <w:sz w:val="1"/>
                <w:szCs w:val="1"/>
                <w:color w:val="auto"/>
              </w:rPr>
            </w:pPr>
          </w:p>
        </w:tc>
      </w:tr>
      <w:tr>
        <w:trPr>
          <w:trHeight w:val="172"/>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Adoption of ASU 2016-02, as amended</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131E29"/>
              </w:rPr>
              <w:t>122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131E29"/>
              </w:rPr>
              <w:t>301</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131E29"/>
              </w:rPr>
              <w:t>423</w:t>
            </w:r>
          </w:p>
        </w:tc>
        <w:tc>
          <w:tcPr>
            <w:tcW w:w="0" w:type="dxa"/>
            <w:vAlign w:val="bottom"/>
          </w:tcPr>
          <w:p>
            <w:pPr>
              <w:spacing w:after="0"/>
              <w:rPr>
                <w:sz w:val="1"/>
                <w:szCs w:val="1"/>
                <w:color w:val="auto"/>
              </w:rPr>
            </w:pPr>
          </w:p>
        </w:tc>
      </w:tr>
      <w:tr>
        <w:trPr>
          <w:trHeight w:val="189"/>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Net loss</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6"/>
                <w:szCs w:val="16"/>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6"/>
                <w:szCs w:val="16"/>
                <w:color w:val="auto"/>
              </w:rPr>
            </w:pPr>
          </w:p>
        </w:tc>
        <w:tc>
          <w:tcPr>
            <w:tcW w:w="9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6"/>
                <w:szCs w:val="16"/>
                <w:color w:val="auto"/>
              </w:rPr>
            </w:pPr>
          </w:p>
        </w:tc>
        <w:tc>
          <w:tcPr>
            <w:tcW w:w="62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(4,753)</w:t>
            </w:r>
          </w:p>
        </w:tc>
        <w:tc>
          <w:tcPr>
            <w:tcW w:w="6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(14,500)</w:t>
            </w:r>
          </w:p>
        </w:tc>
        <w:tc>
          <w:tcPr>
            <w:tcW w:w="60" w:type="dxa"/>
            <w:vAlign w:val="bottom"/>
            <w:shd w:val="clear" w:color="auto" w:fill="D2DCE5"/>
          </w:tcPr>
          <w:p>
            <w:pPr>
              <w:spacing w:after="0"/>
              <w:rPr>
                <w:sz w:val="16"/>
                <w:szCs w:val="16"/>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(19,253)</w:t>
            </w:r>
          </w:p>
        </w:tc>
        <w:tc>
          <w:tcPr>
            <w:tcW w:w="0" w:type="dxa"/>
            <w:vAlign w:val="bottom"/>
          </w:tcPr>
          <w:p>
            <w:pPr>
              <w:spacing w:after="0"/>
              <w:rPr>
                <w:sz w:val="1"/>
                <w:szCs w:val="1"/>
                <w:color w:val="auto"/>
              </w:rPr>
            </w:pPr>
          </w:p>
        </w:tc>
      </w:tr>
      <w:tr>
        <w:trPr>
          <w:trHeight w:val="153"/>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Unrealized gain on derivative securities,</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effective portion, net of income tax</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(17)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1"/>
                <w:szCs w:val="11"/>
                <w:color w:val="131E29"/>
              </w:rPr>
              <w:t>813</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131E29"/>
              </w:rPr>
              <w:t>2,095</w:t>
            </w:r>
          </w:p>
        </w:tc>
        <w:tc>
          <w:tcPr>
            <w:tcW w:w="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2,891</w:t>
            </w:r>
          </w:p>
        </w:tc>
        <w:tc>
          <w:tcPr>
            <w:tcW w:w="0" w:type="dxa"/>
            <w:vAlign w:val="bottom"/>
          </w:tcPr>
          <w:p>
            <w:pPr>
              <w:spacing w:after="0"/>
              <w:rPr>
                <w:sz w:val="1"/>
                <w:szCs w:val="1"/>
                <w:color w:val="auto"/>
              </w:rPr>
            </w:pPr>
          </w:p>
        </w:tc>
      </w:tr>
      <w:tr>
        <w:trPr>
          <w:trHeight w:val="152"/>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expense of $273</w:t>
            </w: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Equity-based compensation</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5"/>
                <w:szCs w:val="15"/>
                <w:color w:val="auto"/>
              </w:rPr>
            </w:pPr>
          </w:p>
        </w:tc>
        <w:tc>
          <w:tcPr>
            <w:tcW w:w="56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5"/>
                <w:szCs w:val="15"/>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5"/>
                <w:szCs w:val="15"/>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5"/>
                <w:szCs w:val="15"/>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13,743</w:t>
            </w:r>
          </w:p>
        </w:tc>
        <w:tc>
          <w:tcPr>
            <w:tcW w:w="6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9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5"/>
                <w:szCs w:val="15"/>
                <w:color w:val="auto"/>
              </w:rPr>
            </w:pP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5"/>
                <w:szCs w:val="15"/>
                <w:color w:val="auto"/>
              </w:rPr>
            </w:pPr>
          </w:p>
        </w:tc>
        <w:tc>
          <w:tcPr>
            <w:tcW w:w="56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27,914</w:t>
            </w:r>
          </w:p>
        </w:tc>
        <w:tc>
          <w:tcPr>
            <w:tcW w:w="60" w:type="dxa"/>
            <w:vAlign w:val="bottom"/>
            <w:shd w:val="clear" w:color="auto" w:fill="D2DCE5"/>
          </w:tcPr>
          <w:p>
            <w:pPr>
              <w:spacing w:after="0"/>
              <w:rPr>
                <w:sz w:val="15"/>
                <w:szCs w:val="15"/>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41,657</w:t>
            </w:r>
          </w:p>
        </w:tc>
        <w:tc>
          <w:tcPr>
            <w:tcW w:w="0" w:type="dxa"/>
            <w:vAlign w:val="bottom"/>
          </w:tcPr>
          <w:p>
            <w:pPr>
              <w:spacing w:after="0"/>
              <w:rPr>
                <w:sz w:val="1"/>
                <w:szCs w:val="1"/>
                <w:color w:val="auto"/>
              </w:rPr>
            </w:pPr>
          </w:p>
        </w:tc>
      </w:tr>
      <w:tr>
        <w:trPr>
          <w:trHeight w:val="153"/>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Issuance of Class A common stock</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pursuant to vesting of equity awards, net of</w:t>
            </w:r>
          </w:p>
        </w:tc>
        <w:tc>
          <w:tcPr>
            <w:tcW w:w="580" w:type="dxa"/>
            <w:vAlign w:val="bottom"/>
            <w:vMerge w:val="restart"/>
          </w:tcPr>
          <w:p>
            <w:pPr>
              <w:jc w:val="right"/>
              <w:ind w:right="3"/>
              <w:spacing w:after="0"/>
              <w:rPr>
                <w:sz w:val="20"/>
                <w:szCs w:val="20"/>
                <w:color w:val="auto"/>
              </w:rPr>
            </w:pPr>
            <w:r>
              <w:rPr>
                <w:rFonts w:ascii="Arial" w:cs="Arial" w:eastAsia="Arial" w:hAnsi="Arial"/>
                <w:sz w:val="11"/>
                <w:szCs w:val="11"/>
                <w:color w:val="131E29"/>
              </w:rPr>
              <w:t>131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1"/>
                <w:szCs w:val="11"/>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gridSpan w:val="2"/>
            <w:vMerge w:val="restart"/>
          </w:tcPr>
          <w:p>
            <w:pPr>
              <w:ind w:left="320"/>
              <w:spacing w:after="0"/>
              <w:rPr>
                <w:sz w:val="20"/>
                <w:szCs w:val="20"/>
                <w:color w:val="auto"/>
              </w:rPr>
            </w:pPr>
            <w:r>
              <w:rPr>
                <w:rFonts w:ascii="Arial" w:cs="Arial" w:eastAsia="Arial" w:hAnsi="Arial"/>
                <w:sz w:val="11"/>
                <w:szCs w:val="11"/>
                <w:color w:val="131E29"/>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131E29"/>
              </w:rPr>
              <w:t>(1,145)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1"/>
                <w:szCs w:val="11"/>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131E29"/>
              </w:rPr>
              <w:t>(2,755)</w:t>
            </w:r>
          </w:p>
        </w:tc>
        <w:tc>
          <w:tcPr>
            <w:tcW w:w="6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131E29"/>
              </w:rPr>
              <w:t>(3,900)</w:t>
            </w:r>
          </w:p>
        </w:tc>
        <w:tc>
          <w:tcPr>
            <w:tcW w:w="0" w:type="dxa"/>
            <w:vAlign w:val="bottom"/>
          </w:tcPr>
          <w:p>
            <w:pPr>
              <w:spacing w:after="0"/>
              <w:rPr>
                <w:sz w:val="1"/>
                <w:szCs w:val="1"/>
                <w:color w:val="auto"/>
              </w:rPr>
            </w:pPr>
          </w:p>
        </w:tc>
      </w:tr>
      <w:tr>
        <w:trPr>
          <w:trHeight w:val="152"/>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stock withheld for tax</w:t>
            </w: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Issuance of Class A common stock, in</w:t>
            </w: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0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4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5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88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60" w:type="dxa"/>
            <w:vAlign w:val="bottom"/>
            <w:shd w:val="clear" w:color="auto" w:fill="D2DCE5"/>
          </w:tcPr>
          <w:p>
            <w:pPr>
              <w:spacing w:after="0"/>
              <w:rPr>
                <w:sz w:val="13"/>
                <w:szCs w:val="13"/>
                <w:color w:val="auto"/>
              </w:rPr>
            </w:pPr>
          </w:p>
        </w:tc>
        <w:tc>
          <w:tcPr>
            <w:tcW w:w="62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560" w:type="dxa"/>
            <w:vAlign w:val="bottom"/>
            <w:shd w:val="clear" w:color="auto" w:fill="D2DCE5"/>
          </w:tcPr>
          <w:p>
            <w:pPr>
              <w:spacing w:after="0"/>
              <w:rPr>
                <w:sz w:val="13"/>
                <w:szCs w:val="13"/>
                <w:color w:val="auto"/>
              </w:rPr>
            </w:pPr>
          </w:p>
        </w:tc>
        <w:tc>
          <w:tcPr>
            <w:tcW w:w="60" w:type="dxa"/>
            <w:vAlign w:val="bottom"/>
            <w:shd w:val="clear" w:color="auto" w:fill="D2DCE5"/>
          </w:tcPr>
          <w:p>
            <w:pPr>
              <w:spacing w:after="0"/>
              <w:rPr>
                <w:sz w:val="13"/>
                <w:szCs w:val="13"/>
                <w:color w:val="auto"/>
              </w:rPr>
            </w:pPr>
          </w:p>
        </w:tc>
        <w:tc>
          <w:tcPr>
            <w:tcW w:w="600" w:type="dxa"/>
            <w:vAlign w:val="bottom"/>
            <w:shd w:val="clear" w:color="auto" w:fill="D2DCE5"/>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exchange for surrender and cancellation of</w:t>
            </w: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4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Class D common stock, and conversion of</w:t>
            </w: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4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Dutch Bros OpCo Class A common units</w:t>
            </w: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4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for surrender and cancellation of Class C</w:t>
            </w: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4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common stock, pursuant to exchange</w:t>
            </w: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0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4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5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88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60" w:type="dxa"/>
            <w:vAlign w:val="bottom"/>
            <w:shd w:val="clear" w:color="auto" w:fill="D2DCE5"/>
          </w:tcPr>
          <w:p>
            <w:pPr>
              <w:spacing w:after="0"/>
              <w:rPr>
                <w:sz w:val="11"/>
                <w:szCs w:val="11"/>
                <w:color w:val="auto"/>
              </w:rPr>
            </w:pPr>
          </w:p>
        </w:tc>
        <w:tc>
          <w:tcPr>
            <w:tcW w:w="62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560" w:type="dxa"/>
            <w:vAlign w:val="bottom"/>
            <w:shd w:val="clear" w:color="auto" w:fill="D2DCE5"/>
          </w:tcPr>
          <w:p>
            <w:pPr>
              <w:spacing w:after="0"/>
              <w:rPr>
                <w:sz w:val="11"/>
                <w:szCs w:val="11"/>
                <w:color w:val="auto"/>
              </w:rPr>
            </w:pPr>
          </w:p>
        </w:tc>
        <w:tc>
          <w:tcPr>
            <w:tcW w:w="60" w:type="dxa"/>
            <w:vAlign w:val="bottom"/>
            <w:shd w:val="clear" w:color="auto" w:fill="D2DCE5"/>
          </w:tcPr>
          <w:p>
            <w:pPr>
              <w:spacing w:after="0"/>
              <w:rPr>
                <w:sz w:val="11"/>
                <w:szCs w:val="11"/>
                <w:color w:val="auto"/>
              </w:rPr>
            </w:pPr>
          </w:p>
        </w:tc>
        <w:tc>
          <w:tcPr>
            <w:tcW w:w="600" w:type="dxa"/>
            <w:vAlign w:val="bottom"/>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transactions</w:t>
            </w:r>
          </w:p>
        </w:tc>
        <w:tc>
          <w:tcPr>
            <w:tcW w:w="580" w:type="dxa"/>
            <w:vAlign w:val="bottom"/>
            <w:shd w:val="clear" w:color="auto" w:fill="D2DCE5"/>
          </w:tcPr>
          <w:p>
            <w:pPr>
              <w:jc w:val="right"/>
              <w:ind w:right="3"/>
              <w:spacing w:after="0"/>
              <w:rPr>
                <w:sz w:val="20"/>
                <w:szCs w:val="20"/>
                <w:color w:val="auto"/>
              </w:rPr>
            </w:pPr>
            <w:r>
              <w:rPr>
                <w:rFonts w:ascii="Arial" w:cs="Arial" w:eastAsia="Arial" w:hAnsi="Arial"/>
                <w:sz w:val="11"/>
                <w:szCs w:val="11"/>
                <w:color w:val="131E29"/>
              </w:rPr>
              <w:t>10,980</w:t>
            </w: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4"/>
                <w:szCs w:val="14"/>
                <w:color w:val="auto"/>
              </w:rPr>
            </w:pPr>
          </w:p>
        </w:tc>
        <w:tc>
          <w:tcPr>
            <w:tcW w:w="6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4"/>
                <w:szCs w:val="14"/>
                <w:color w:val="auto"/>
              </w:rPr>
            </w:pPr>
          </w:p>
        </w:tc>
        <w:tc>
          <w:tcPr>
            <w:tcW w:w="560" w:type="dxa"/>
            <w:vAlign w:val="bottom"/>
            <w:gridSpan w:val="2"/>
            <w:shd w:val="clear" w:color="auto" w:fill="D2DCE5"/>
          </w:tcPr>
          <w:p>
            <w:pPr>
              <w:jc w:val="right"/>
              <w:ind w:right="120"/>
              <w:spacing w:after="0"/>
              <w:rPr>
                <w:sz w:val="20"/>
                <w:szCs w:val="20"/>
                <w:color w:val="auto"/>
              </w:rPr>
            </w:pPr>
            <w:r>
              <w:rPr>
                <w:rFonts w:ascii="Arial" w:cs="Arial" w:eastAsia="Arial" w:hAnsi="Arial"/>
                <w:sz w:val="11"/>
                <w:szCs w:val="11"/>
                <w:color w:val="131E29"/>
              </w:rPr>
              <w:t>—</w:t>
            </w: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(7,950)</w:t>
            </w: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(1)</w:t>
            </w: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(3,030)</w:t>
            </w: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gridSpan w:val="2"/>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6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94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shd w:val="clear" w:color="auto" w:fill="D2DCE5"/>
          </w:tcPr>
          <w:p>
            <w:pPr>
              <w:spacing w:after="0"/>
              <w:rPr>
                <w:sz w:val="14"/>
                <w:szCs w:val="14"/>
                <w:color w:val="auto"/>
              </w:rPr>
            </w:pPr>
          </w:p>
        </w:tc>
        <w:tc>
          <w:tcPr>
            <w:tcW w:w="68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shd w:val="clear" w:color="auto" w:fill="D2DCE5"/>
          </w:tcPr>
          <w:p>
            <w:pPr>
              <w:spacing w:after="0"/>
              <w:rPr>
                <w:sz w:val="14"/>
                <w:szCs w:val="14"/>
                <w:color w:val="auto"/>
              </w:rPr>
            </w:pPr>
          </w:p>
        </w:tc>
        <w:tc>
          <w:tcPr>
            <w:tcW w:w="620" w:type="dxa"/>
            <w:vAlign w:val="bottom"/>
            <w:gridSpan w:val="2"/>
            <w:shd w:val="clear" w:color="auto" w:fill="D2DCE5"/>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72"/>
        </w:trPr>
        <w:tc>
          <w:tcPr>
            <w:tcW w:w="2260" w:type="dxa"/>
            <w:vAlign w:val="bottom"/>
            <w:gridSpan w:val="2"/>
          </w:tcPr>
          <w:p>
            <w:pPr>
              <w:ind w:left="20"/>
              <w:spacing w:after="0"/>
              <w:rPr>
                <w:sz w:val="20"/>
                <w:szCs w:val="20"/>
                <w:color w:val="auto"/>
              </w:rPr>
            </w:pPr>
            <w:r>
              <w:rPr>
                <w:rFonts w:ascii="Arial" w:cs="Arial" w:eastAsia="Arial" w:hAnsi="Arial"/>
                <w:sz w:val="11"/>
                <w:szCs w:val="11"/>
                <w:color w:val="131E29"/>
              </w:rPr>
              <w:t>Impact of Tax Receivable Agreements</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8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560" w:type="dxa"/>
            <w:vAlign w:val="bottom"/>
            <w:gridSpan w:val="2"/>
          </w:tcPr>
          <w:p>
            <w:pPr>
              <w:ind w:left="320"/>
              <w:spacing w:after="0"/>
              <w:rPr>
                <w:sz w:val="20"/>
                <w:szCs w:val="20"/>
                <w:color w:val="auto"/>
              </w:rPr>
            </w:pPr>
            <w:r>
              <w:rPr>
                <w:rFonts w:ascii="Arial" w:cs="Arial" w:eastAsia="Arial" w:hAnsi="Arial"/>
                <w:sz w:val="11"/>
                <w:szCs w:val="11"/>
                <w:color w:val="131E29"/>
              </w:rPr>
              <w:t>—</w:t>
            </w:r>
          </w:p>
        </w:tc>
        <w:tc>
          <w:tcPr>
            <w:tcW w:w="580" w:type="dxa"/>
            <w:vAlign w:val="bottom"/>
          </w:tcPr>
          <w:p>
            <w:pPr>
              <w:jc w:val="right"/>
              <w:spacing w:after="0"/>
              <w:rPr>
                <w:sz w:val="20"/>
                <w:szCs w:val="20"/>
                <w:color w:val="auto"/>
              </w:rPr>
            </w:pPr>
            <w:r>
              <w:rPr>
                <w:rFonts w:ascii="Arial" w:cs="Arial" w:eastAsia="Arial" w:hAnsi="Arial"/>
                <w:sz w:val="11"/>
                <w:szCs w:val="11"/>
                <w:color w:val="131E29"/>
              </w:rPr>
              <w:t>16,429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131E29"/>
              </w:rPr>
              <w:t>—</w:t>
            </w:r>
          </w:p>
        </w:tc>
        <w:tc>
          <w:tcPr>
            <w:tcW w:w="600" w:type="dxa"/>
            <w:vAlign w:val="bottom"/>
          </w:tcPr>
          <w:p>
            <w:pPr>
              <w:jc w:val="right"/>
              <w:spacing w:after="0"/>
              <w:rPr>
                <w:sz w:val="20"/>
                <w:szCs w:val="20"/>
                <w:color w:val="auto"/>
              </w:rPr>
            </w:pPr>
            <w:r>
              <w:rPr>
                <w:rFonts w:ascii="Arial" w:cs="Arial" w:eastAsia="Arial" w:hAnsi="Arial"/>
                <w:sz w:val="11"/>
                <w:szCs w:val="11"/>
                <w:color w:val="131E29"/>
              </w:rPr>
              <w:t>16,429</w:t>
            </w:r>
          </w:p>
        </w:tc>
        <w:tc>
          <w:tcPr>
            <w:tcW w:w="0" w:type="dxa"/>
            <w:vAlign w:val="bottom"/>
          </w:tcPr>
          <w:p>
            <w:pPr>
              <w:spacing w:after="0"/>
              <w:rPr>
                <w:sz w:val="1"/>
                <w:szCs w:val="1"/>
                <w:color w:val="auto"/>
              </w:rPr>
            </w:pPr>
          </w:p>
        </w:tc>
      </w:tr>
      <w:tr>
        <w:trPr>
          <w:trHeight w:val="161"/>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Effect of equity transactions of Dutch Bros</w:t>
            </w: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0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4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5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88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60" w:type="dxa"/>
            <w:vAlign w:val="bottom"/>
            <w:shd w:val="clear" w:color="auto" w:fill="D2DCE5"/>
          </w:tcPr>
          <w:p>
            <w:pPr>
              <w:spacing w:after="0"/>
              <w:rPr>
                <w:sz w:val="14"/>
                <w:szCs w:val="14"/>
                <w:color w:val="auto"/>
              </w:rPr>
            </w:pPr>
          </w:p>
        </w:tc>
        <w:tc>
          <w:tcPr>
            <w:tcW w:w="62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560" w:type="dxa"/>
            <w:vAlign w:val="bottom"/>
            <w:shd w:val="clear" w:color="auto" w:fill="D2DCE5"/>
          </w:tcPr>
          <w:p>
            <w:pPr>
              <w:spacing w:after="0"/>
              <w:rPr>
                <w:sz w:val="14"/>
                <w:szCs w:val="14"/>
                <w:color w:val="auto"/>
              </w:rPr>
            </w:pPr>
          </w:p>
        </w:tc>
        <w:tc>
          <w:tcPr>
            <w:tcW w:w="60" w:type="dxa"/>
            <w:vAlign w:val="bottom"/>
            <w:shd w:val="clear" w:color="auto" w:fill="D2DCE5"/>
          </w:tcPr>
          <w:p>
            <w:pPr>
              <w:spacing w:after="0"/>
              <w:rPr>
                <w:sz w:val="14"/>
                <w:szCs w:val="14"/>
                <w:color w:val="auto"/>
              </w:rPr>
            </w:pPr>
          </w:p>
        </w:tc>
        <w:tc>
          <w:tcPr>
            <w:tcW w:w="6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60" w:type="dxa"/>
            <w:vAlign w:val="bottom"/>
            <w:gridSpan w:val="2"/>
            <w:shd w:val="clear" w:color="auto" w:fill="D2DCE5"/>
          </w:tcPr>
          <w:p>
            <w:pPr>
              <w:ind w:left="20"/>
              <w:spacing w:after="0"/>
              <w:rPr>
                <w:sz w:val="20"/>
                <w:szCs w:val="20"/>
                <w:color w:val="auto"/>
              </w:rPr>
            </w:pPr>
            <w:r>
              <w:rPr>
                <w:rFonts w:ascii="Arial" w:cs="Arial" w:eastAsia="Arial" w:hAnsi="Arial"/>
                <w:sz w:val="11"/>
                <w:szCs w:val="11"/>
                <w:color w:val="131E29"/>
              </w:rPr>
              <w:t>OpCo Class A common units</w:t>
            </w: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80" w:type="dxa"/>
            <w:vAlign w:val="bottom"/>
            <w:tcBorders>
              <w:bottom w:val="single" w:sz="8" w:color="auto"/>
            </w:tcBorders>
            <w:shd w:val="clear" w:color="auto" w:fill="D2DCE5"/>
          </w:tcPr>
          <w:p>
            <w:pPr>
              <w:spacing w:after="0"/>
              <w:rPr>
                <w:sz w:val="13"/>
                <w:szCs w:val="13"/>
                <w:color w:val="auto"/>
              </w:rPr>
            </w:pPr>
          </w:p>
        </w:tc>
        <w:tc>
          <w:tcPr>
            <w:tcW w:w="50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ind w:right="3"/>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480" w:type="dxa"/>
            <w:vAlign w:val="bottom"/>
            <w:tcBorders>
              <w:bottom w:val="single" w:sz="8" w:color="auto"/>
            </w:tcBorders>
            <w:shd w:val="clear" w:color="auto" w:fill="D2DCE5"/>
          </w:tcPr>
          <w:p>
            <w:pPr>
              <w:ind w:left="320"/>
              <w:spacing w:after="0"/>
              <w:rPr>
                <w:sz w:val="20"/>
                <w:szCs w:val="20"/>
                <w:color w:val="auto"/>
              </w:rPr>
            </w:pPr>
            <w:r>
              <w:rPr>
                <w:rFonts w:ascii="Arial" w:cs="Arial" w:eastAsia="Arial" w:hAnsi="Arial"/>
                <w:sz w:val="11"/>
                <w:szCs w:val="11"/>
                <w:color w:val="131E29"/>
              </w:rPr>
              <w:t>—</w:t>
            </w:r>
          </w:p>
        </w:tc>
        <w:tc>
          <w:tcPr>
            <w:tcW w:w="80" w:type="dxa"/>
            <w:vAlign w:val="bottom"/>
            <w:shd w:val="clear" w:color="auto" w:fill="D2DCE5"/>
          </w:tcPr>
          <w:p>
            <w:pPr>
              <w:spacing w:after="0"/>
              <w:rPr>
                <w:sz w:val="13"/>
                <w:szCs w:val="13"/>
                <w:color w:val="auto"/>
              </w:rPr>
            </w:pPr>
          </w:p>
        </w:tc>
        <w:tc>
          <w:tcPr>
            <w:tcW w:w="5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9,410</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8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60" w:type="dxa"/>
            <w:vAlign w:val="bottom"/>
            <w:tcBorders>
              <w:bottom w:val="single" w:sz="8" w:color="auto"/>
            </w:tcBorders>
            <w:shd w:val="clear" w:color="auto" w:fill="D2DCE5"/>
          </w:tcPr>
          <w:p>
            <w:pPr>
              <w:spacing w:after="0"/>
              <w:rPr>
                <w:sz w:val="13"/>
                <w:szCs w:val="13"/>
                <w:color w:val="auto"/>
              </w:rPr>
            </w:pPr>
          </w:p>
        </w:tc>
        <w:tc>
          <w:tcPr>
            <w:tcW w:w="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60" w:type="dxa"/>
            <w:vAlign w:val="bottom"/>
            <w:shd w:val="clear" w:color="auto" w:fill="D2DCE5"/>
          </w:tcPr>
          <w:p>
            <w:pPr>
              <w:spacing w:after="0"/>
              <w:rPr>
                <w:sz w:val="13"/>
                <w:szCs w:val="13"/>
                <w:color w:val="auto"/>
              </w:rPr>
            </w:pPr>
          </w:p>
        </w:tc>
        <w:tc>
          <w:tcPr>
            <w:tcW w:w="100" w:type="dxa"/>
            <w:vAlign w:val="bottom"/>
            <w:tcBorders>
              <w:bottom w:val="single" w:sz="8" w:color="auto"/>
            </w:tcBorders>
            <w:shd w:val="clear" w:color="auto" w:fill="D2DCE5"/>
          </w:tcPr>
          <w:p>
            <w:pPr>
              <w:spacing w:after="0"/>
              <w:rPr>
                <w:sz w:val="13"/>
                <w:szCs w:val="13"/>
                <w:color w:val="auto"/>
              </w:rPr>
            </w:pPr>
          </w:p>
        </w:tc>
        <w:tc>
          <w:tcPr>
            <w:tcW w:w="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(9,410)</w:t>
            </w:r>
          </w:p>
        </w:tc>
        <w:tc>
          <w:tcPr>
            <w:tcW w:w="60" w:type="dxa"/>
            <w:vAlign w:val="bottom"/>
            <w:shd w:val="clear" w:color="auto" w:fill="D2DCE5"/>
          </w:tcPr>
          <w:p>
            <w:pPr>
              <w:spacing w:after="0"/>
              <w:rPr>
                <w:sz w:val="13"/>
                <w:szCs w:val="13"/>
                <w:color w:val="auto"/>
              </w:rPr>
            </w:pPr>
          </w:p>
        </w:tc>
        <w:tc>
          <w:tcPr>
            <w:tcW w:w="6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1"/>
                <w:szCs w:val="11"/>
                <w:color w:val="131E29"/>
              </w:rPr>
              <w:t>—</w:t>
            </w:r>
          </w:p>
        </w:tc>
        <w:tc>
          <w:tcPr>
            <w:tcW w:w="0" w:type="dxa"/>
            <w:vAlign w:val="bottom"/>
          </w:tcPr>
          <w:p>
            <w:pPr>
              <w:spacing w:after="0"/>
              <w:rPr>
                <w:sz w:val="1"/>
                <w:szCs w:val="1"/>
                <w:color w:val="auto"/>
              </w:rPr>
            </w:pPr>
          </w:p>
        </w:tc>
      </w:tr>
      <w:tr>
        <w:trPr>
          <w:trHeight w:val="180"/>
        </w:trPr>
        <w:tc>
          <w:tcPr>
            <w:tcW w:w="2260" w:type="dxa"/>
            <w:vAlign w:val="bottom"/>
            <w:gridSpan w:val="2"/>
          </w:tcPr>
          <w:p>
            <w:pPr>
              <w:ind w:left="20"/>
              <w:spacing w:after="0"/>
              <w:rPr>
                <w:sz w:val="20"/>
                <w:szCs w:val="20"/>
                <w:color w:val="auto"/>
              </w:rPr>
            </w:pPr>
            <w:r>
              <w:rPr>
                <w:rFonts w:ascii="Arial" w:cs="Arial" w:eastAsia="Arial" w:hAnsi="Arial"/>
                <w:sz w:val="11"/>
                <w:szCs w:val="11"/>
                <w:b w:val="1"/>
                <w:bCs w:val="1"/>
                <w:color w:val="131E29"/>
              </w:rPr>
              <w:t>Balance, December 31, 2022</w:t>
            </w:r>
          </w:p>
        </w:tc>
        <w:tc>
          <w:tcPr>
            <w:tcW w:w="580" w:type="dxa"/>
            <w:vAlign w:val="bottom"/>
          </w:tcPr>
          <w:p>
            <w:pPr>
              <w:jc w:val="right"/>
              <w:ind w:right="3"/>
              <w:spacing w:after="0"/>
              <w:rPr>
                <w:sz w:val="20"/>
                <w:szCs w:val="20"/>
                <w:color w:val="auto"/>
              </w:rPr>
            </w:pPr>
            <w:r>
              <w:rPr>
                <w:rFonts w:ascii="Arial" w:cs="Arial" w:eastAsia="Arial" w:hAnsi="Arial"/>
                <w:sz w:val="11"/>
                <w:szCs w:val="11"/>
                <w:b w:val="1"/>
                <w:bCs w:val="1"/>
                <w:color w:val="131E29"/>
              </w:rPr>
              <w:t>45,544</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00" w:type="dxa"/>
            <w:vAlign w:val="bottom"/>
          </w:tcPr>
          <w:p>
            <w:pPr>
              <w:jc w:val="right"/>
              <w:spacing w:after="0"/>
              <w:rPr>
                <w:sz w:val="20"/>
                <w:szCs w:val="20"/>
                <w:color w:val="auto"/>
              </w:rPr>
            </w:pPr>
            <w:r>
              <w:rPr>
                <w:rFonts w:ascii="Arial" w:cs="Arial" w:eastAsia="Arial" w:hAnsi="Arial"/>
                <w:sz w:val="11"/>
                <w:szCs w:val="11"/>
                <w:b w:val="1"/>
                <w:bCs w:val="1"/>
                <w:color w:val="131E29"/>
              </w:rPr>
              <w:t>1</w:t>
            </w:r>
          </w:p>
        </w:tc>
        <w:tc>
          <w:tcPr>
            <w:tcW w:w="60" w:type="dxa"/>
            <w:vAlign w:val="bottom"/>
          </w:tcPr>
          <w:p>
            <w:pPr>
              <w:spacing w:after="0"/>
              <w:rPr>
                <w:sz w:val="15"/>
                <w:szCs w:val="15"/>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b w:val="1"/>
                <w:bCs w:val="1"/>
                <w:color w:val="131E29"/>
              </w:rPr>
              <w:t>64,699</w:t>
            </w:r>
          </w:p>
        </w:tc>
        <w:tc>
          <w:tcPr>
            <w:tcW w:w="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00" w:type="dxa"/>
            <w:vAlign w:val="bottom"/>
          </w:tcPr>
          <w:p>
            <w:pPr>
              <w:jc w:val="right"/>
              <w:ind w:right="3"/>
              <w:spacing w:after="0"/>
              <w:rPr>
                <w:sz w:val="20"/>
                <w:szCs w:val="20"/>
                <w:color w:val="auto"/>
              </w:rPr>
            </w:pPr>
            <w:r>
              <w:rPr>
                <w:rFonts w:ascii="Arial" w:cs="Arial" w:eastAsia="Arial" w:hAnsi="Arial"/>
                <w:sz w:val="11"/>
                <w:szCs w:val="11"/>
                <w:b w:val="1"/>
                <w:bCs w:val="1"/>
                <w:color w:val="131E29"/>
              </w:rPr>
              <w:t>1</w:t>
            </w: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b w:val="1"/>
                <w:bCs w:val="1"/>
                <w:color w:val="131E29"/>
              </w:rPr>
              <w:t>41,056</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131E29"/>
                <w:w w:val="71"/>
              </w:rPr>
              <w:t>$</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131E29"/>
              </w:rPr>
              <w:t>—</w:t>
            </w:r>
          </w:p>
        </w:tc>
        <w:tc>
          <w:tcPr>
            <w:tcW w:w="580" w:type="dxa"/>
            <w:vAlign w:val="bottom"/>
          </w:tcPr>
          <w:p>
            <w:pPr>
              <w:jc w:val="right"/>
              <w:ind w:right="3"/>
              <w:spacing w:after="0"/>
              <w:rPr>
                <w:sz w:val="20"/>
                <w:szCs w:val="20"/>
                <w:color w:val="auto"/>
              </w:rPr>
            </w:pPr>
            <w:r>
              <w:rPr>
                <w:rFonts w:ascii="Arial" w:cs="Arial" w:eastAsia="Arial" w:hAnsi="Arial"/>
                <w:sz w:val="11"/>
                <w:szCs w:val="11"/>
                <w:b w:val="1"/>
                <w:bCs w:val="1"/>
                <w:color w:val="131E29"/>
              </w:rPr>
              <w:t>12,411</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gridSpan w:val="2"/>
          </w:tcPr>
          <w:p>
            <w:pPr>
              <w:ind w:left="320"/>
              <w:spacing w:after="0"/>
              <w:rPr>
                <w:sz w:val="20"/>
                <w:szCs w:val="20"/>
                <w:color w:val="auto"/>
              </w:rPr>
            </w:pPr>
            <w:r>
              <w:rPr>
                <w:rFonts w:ascii="Arial" w:cs="Arial" w:eastAsia="Arial" w:hAnsi="Arial"/>
                <w:sz w:val="11"/>
                <w:szCs w:val="11"/>
                <w:b w:val="1"/>
                <w:bCs w:val="1"/>
                <w:color w:val="131E29"/>
              </w:rPr>
              <w:t>—</w:t>
            </w:r>
          </w:p>
        </w:tc>
        <w:tc>
          <w:tcPr>
            <w:tcW w:w="580" w:type="dxa"/>
            <w:vAlign w:val="bottom"/>
          </w:tcPr>
          <w:p>
            <w:pPr>
              <w:jc w:val="right"/>
              <w:spacing w:after="0"/>
              <w:rPr>
                <w:sz w:val="20"/>
                <w:szCs w:val="20"/>
                <w:color w:val="auto"/>
              </w:rPr>
            </w:pPr>
            <w:r>
              <w:rPr>
                <w:rFonts w:ascii="Arial" w:cs="Arial" w:eastAsia="Arial" w:hAnsi="Arial"/>
                <w:sz w:val="11"/>
                <w:szCs w:val="11"/>
                <w:b w:val="1"/>
                <w:bCs w:val="1"/>
                <w:color w:val="131E29"/>
              </w:rPr>
              <w:t>$ 145,613</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880" w:type="dxa"/>
            <w:vAlign w:val="bottom"/>
          </w:tcPr>
          <w:p>
            <w:pPr>
              <w:jc w:val="right"/>
              <w:spacing w:after="0"/>
              <w:rPr>
                <w:sz w:val="20"/>
                <w:szCs w:val="20"/>
                <w:color w:val="auto"/>
              </w:rPr>
            </w:pPr>
            <w:r>
              <w:rPr>
                <w:rFonts w:ascii="Arial" w:cs="Arial" w:eastAsia="Arial" w:hAnsi="Arial"/>
                <w:sz w:val="11"/>
                <w:szCs w:val="11"/>
                <w:b w:val="1"/>
                <w:bCs w:val="1"/>
                <w:color w:val="131E29"/>
              </w:rPr>
              <w:t>813</w:t>
            </w:r>
          </w:p>
        </w:tc>
        <w:tc>
          <w:tcPr>
            <w:tcW w:w="60" w:type="dxa"/>
            <w:vAlign w:val="bottom"/>
          </w:tcPr>
          <w:p>
            <w:pPr>
              <w:spacing w:after="0"/>
              <w:rPr>
                <w:sz w:val="15"/>
                <w:szCs w:val="15"/>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b w:val="1"/>
                <w:bCs w:val="1"/>
                <w:color w:val="131E29"/>
                <w:w w:val="97"/>
              </w:rPr>
              <w:t>$</w:t>
            </w:r>
          </w:p>
        </w:tc>
        <w:tc>
          <w:tcPr>
            <w:tcW w:w="620" w:type="dxa"/>
            <w:vAlign w:val="bottom"/>
          </w:tcPr>
          <w:p>
            <w:pPr>
              <w:jc w:val="right"/>
              <w:spacing w:after="0"/>
              <w:rPr>
                <w:sz w:val="20"/>
                <w:szCs w:val="20"/>
                <w:color w:val="auto"/>
              </w:rPr>
            </w:pPr>
            <w:r>
              <w:rPr>
                <w:rFonts w:ascii="Arial" w:cs="Arial" w:eastAsia="Arial" w:hAnsi="Arial"/>
                <w:sz w:val="11"/>
                <w:szCs w:val="11"/>
                <w:b w:val="1"/>
                <w:bCs w:val="1"/>
                <w:color w:val="131E29"/>
              </w:rPr>
              <w:t>(17,310)</w:t>
            </w:r>
          </w:p>
        </w:tc>
        <w:tc>
          <w:tcPr>
            <w:tcW w:w="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1"/>
                <w:szCs w:val="11"/>
                <w:b w:val="1"/>
                <w:bCs w:val="1"/>
                <w:color w:val="131E29"/>
                <w:w w:val="97"/>
              </w:rPr>
              <w:t>$</w:t>
            </w:r>
          </w:p>
        </w:tc>
        <w:tc>
          <w:tcPr>
            <w:tcW w:w="560" w:type="dxa"/>
            <w:vAlign w:val="bottom"/>
          </w:tcPr>
          <w:p>
            <w:pPr>
              <w:jc w:val="right"/>
              <w:spacing w:after="0"/>
              <w:rPr>
                <w:sz w:val="20"/>
                <w:szCs w:val="20"/>
                <w:color w:val="auto"/>
              </w:rPr>
            </w:pPr>
            <w:r>
              <w:rPr>
                <w:rFonts w:ascii="Arial" w:cs="Arial" w:eastAsia="Arial" w:hAnsi="Arial"/>
                <w:sz w:val="11"/>
                <w:szCs w:val="11"/>
                <w:b w:val="1"/>
                <w:bCs w:val="1"/>
                <w:color w:val="131E29"/>
              </w:rPr>
              <w:t>122,858</w:t>
            </w:r>
          </w:p>
        </w:tc>
        <w:tc>
          <w:tcPr>
            <w:tcW w:w="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1"/>
                <w:szCs w:val="11"/>
                <w:b w:val="1"/>
                <w:bCs w:val="1"/>
                <w:color w:val="131E29"/>
              </w:rPr>
              <w:t>$ 251,976</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3" w:name="page104"/>
    <w:bookmarkEnd w:id="103"/>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131E29"/>
        </w:rPr>
        <w:t>Consolidated Statements of Cash Flows</w:t>
      </w:r>
    </w:p>
    <w:p>
      <w:pPr>
        <w:spacing w:after="0" w:line="328" w:lineRule="exact"/>
        <w:rPr>
          <w:sz w:val="20"/>
          <w:szCs w:val="20"/>
          <w:color w:val="auto"/>
        </w:rPr>
      </w:pPr>
    </w:p>
    <w:p>
      <w:pPr>
        <w:ind w:left="8760"/>
        <w:spacing w:after="0"/>
        <w:rPr>
          <w:sz w:val="20"/>
          <w:szCs w:val="20"/>
          <w:color w:val="auto"/>
        </w:rPr>
      </w:pPr>
      <w:r>
        <w:rPr>
          <w:rFonts w:ascii="Arial" w:cs="Arial" w:eastAsia="Arial" w:hAnsi="Arial"/>
          <w:sz w:val="13"/>
          <w:szCs w:val="13"/>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4954905</wp:posOffset>
            </wp:positionH>
            <wp:positionV relativeFrom="paragraph">
              <wp:posOffset>19685</wp:posOffset>
            </wp:positionV>
            <wp:extent cx="220980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209800" cy="698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131E29"/>
              </w:rPr>
              <w:t>2024</w:t>
            </w:r>
          </w:p>
        </w:tc>
        <w:tc>
          <w:tcPr>
            <w:tcW w:w="10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131E29"/>
              </w:rPr>
              <w:t>2023</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131E29"/>
              </w:rPr>
              <w:t>2022</w:t>
            </w:r>
          </w:p>
        </w:tc>
      </w:tr>
      <w:tr>
        <w:trPr>
          <w:trHeight w:val="185"/>
        </w:trPr>
        <w:tc>
          <w:tcPr>
            <w:tcW w:w="780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Cash flows from operating activities:</w:t>
            </w:r>
          </w:p>
        </w:tc>
        <w:tc>
          <w:tcPr>
            <w:tcW w:w="260" w:type="dxa"/>
            <w:vAlign w:val="bottom"/>
            <w:shd w:val="clear" w:color="auto" w:fill="D2DCE5"/>
          </w:tcPr>
          <w:p>
            <w:pPr>
              <w:spacing w:after="0"/>
              <w:rPr>
                <w:sz w:val="16"/>
                <w:szCs w:val="16"/>
                <w:color w:val="auto"/>
              </w:rPr>
            </w:pPr>
          </w:p>
        </w:tc>
        <w:tc>
          <w:tcPr>
            <w:tcW w:w="84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60" w:type="dxa"/>
            <w:vAlign w:val="bottom"/>
            <w:shd w:val="clear" w:color="auto" w:fill="D2DCE5"/>
          </w:tcPr>
          <w:p>
            <w:pPr>
              <w:spacing w:after="0"/>
              <w:rPr>
                <w:sz w:val="16"/>
                <w:szCs w:val="16"/>
                <w:color w:val="auto"/>
              </w:rPr>
            </w:pPr>
          </w:p>
        </w:tc>
      </w:tr>
      <w:tr>
        <w:trPr>
          <w:trHeight w:val="184"/>
        </w:trPr>
        <w:tc>
          <w:tcPr>
            <w:tcW w:w="7800" w:type="dxa"/>
            <w:vAlign w:val="bottom"/>
            <w:gridSpan w:val="2"/>
          </w:tcPr>
          <w:p>
            <w:pPr>
              <w:ind w:left="140"/>
              <w:spacing w:after="0"/>
              <w:rPr>
                <w:sz w:val="20"/>
                <w:szCs w:val="20"/>
                <w:color w:val="auto"/>
              </w:rPr>
            </w:pPr>
            <w:r>
              <w:rPr>
                <w:rFonts w:ascii="Arial" w:cs="Arial" w:eastAsia="Arial" w:hAnsi="Arial"/>
                <w:sz w:val="13"/>
                <w:szCs w:val="13"/>
                <w:color w:val="131E29"/>
              </w:rPr>
              <w:t>Net income (loss)</w:t>
            </w:r>
          </w:p>
        </w:tc>
        <w:tc>
          <w:tcPr>
            <w:tcW w:w="260" w:type="dxa"/>
            <w:vAlign w:val="bottom"/>
          </w:tcPr>
          <w:p>
            <w:pPr>
              <w:jc w:val="right"/>
              <w:ind w:right="116"/>
              <w:spacing w:after="0"/>
              <w:rPr>
                <w:sz w:val="20"/>
                <w:szCs w:val="20"/>
                <w:color w:val="auto"/>
              </w:rPr>
            </w:pPr>
            <w:r>
              <w:rPr>
                <w:rFonts w:ascii="Arial" w:cs="Arial" w:eastAsia="Arial" w:hAnsi="Arial"/>
                <w:sz w:val="13"/>
                <w:szCs w:val="13"/>
                <w:color w:val="131E29"/>
                <w:w w:val="82"/>
              </w:rPr>
              <w:t>$</w:t>
            </w:r>
          </w:p>
        </w:tc>
        <w:tc>
          <w:tcPr>
            <w:tcW w:w="840" w:type="dxa"/>
            <w:vAlign w:val="bottom"/>
          </w:tcPr>
          <w:p>
            <w:pPr>
              <w:jc w:val="right"/>
              <w:spacing w:after="0"/>
              <w:rPr>
                <w:sz w:val="20"/>
                <w:szCs w:val="20"/>
                <w:color w:val="auto"/>
              </w:rPr>
            </w:pPr>
            <w:r>
              <w:rPr>
                <w:rFonts w:ascii="Arial" w:cs="Arial" w:eastAsia="Arial" w:hAnsi="Arial"/>
                <w:sz w:val="13"/>
                <w:szCs w:val="13"/>
                <w:color w:val="131E29"/>
              </w:rPr>
              <w:t>66,450</w:t>
            </w:r>
          </w:p>
        </w:tc>
        <w:tc>
          <w:tcPr>
            <w:tcW w:w="100" w:type="dxa"/>
            <w:vAlign w:val="bottom"/>
          </w:tcPr>
          <w:p>
            <w:pPr>
              <w:spacing w:after="0"/>
              <w:rPr>
                <w:sz w:val="16"/>
                <w:szCs w:val="16"/>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131E29"/>
                <w:w w:val="82"/>
              </w:rPr>
              <w:t>$</w:t>
            </w:r>
          </w:p>
        </w:tc>
        <w:tc>
          <w:tcPr>
            <w:tcW w:w="860" w:type="dxa"/>
            <w:vAlign w:val="bottom"/>
          </w:tcPr>
          <w:p>
            <w:pPr>
              <w:jc w:val="right"/>
              <w:spacing w:after="0"/>
              <w:rPr>
                <w:sz w:val="20"/>
                <w:szCs w:val="20"/>
                <w:color w:val="auto"/>
              </w:rPr>
            </w:pPr>
            <w:r>
              <w:rPr>
                <w:rFonts w:ascii="Arial" w:cs="Arial" w:eastAsia="Arial" w:hAnsi="Arial"/>
                <w:sz w:val="13"/>
                <w:szCs w:val="13"/>
                <w:color w:val="131E29"/>
              </w:rPr>
              <w:t>9,952</w:t>
            </w:r>
          </w:p>
        </w:tc>
        <w:tc>
          <w:tcPr>
            <w:tcW w:w="80" w:type="dxa"/>
            <w:vAlign w:val="bottom"/>
          </w:tcPr>
          <w:p>
            <w:pPr>
              <w:spacing w:after="0"/>
              <w:rPr>
                <w:sz w:val="16"/>
                <w:szCs w:val="16"/>
                <w:color w:val="auto"/>
              </w:rPr>
            </w:pPr>
          </w:p>
        </w:tc>
        <w:tc>
          <w:tcPr>
            <w:tcW w:w="240" w:type="dxa"/>
            <w:vAlign w:val="bottom"/>
          </w:tcPr>
          <w:p>
            <w:pPr>
              <w:jc w:val="right"/>
              <w:ind w:right="96"/>
              <w:spacing w:after="0"/>
              <w:rPr>
                <w:sz w:val="20"/>
                <w:szCs w:val="20"/>
                <w:color w:val="auto"/>
              </w:rPr>
            </w:pPr>
            <w:r>
              <w:rPr>
                <w:rFonts w:ascii="Arial" w:cs="Arial" w:eastAsia="Arial" w:hAnsi="Arial"/>
                <w:sz w:val="13"/>
                <w:szCs w:val="13"/>
                <w:color w:val="131E29"/>
                <w:w w:val="82"/>
              </w:rPr>
              <w:t>$</w:t>
            </w:r>
          </w:p>
        </w:tc>
        <w:tc>
          <w:tcPr>
            <w:tcW w:w="860" w:type="dxa"/>
            <w:vAlign w:val="bottom"/>
          </w:tcPr>
          <w:p>
            <w:pPr>
              <w:jc w:val="right"/>
              <w:spacing w:after="0"/>
              <w:rPr>
                <w:sz w:val="20"/>
                <w:szCs w:val="20"/>
                <w:color w:val="auto"/>
              </w:rPr>
            </w:pPr>
            <w:r>
              <w:rPr>
                <w:rFonts w:ascii="Arial" w:cs="Arial" w:eastAsia="Arial" w:hAnsi="Arial"/>
                <w:sz w:val="13"/>
                <w:szCs w:val="13"/>
                <w:color w:val="131E29"/>
              </w:rPr>
              <w:t>(19,253)</w:t>
            </w:r>
          </w:p>
        </w:tc>
      </w:tr>
      <w:tr>
        <w:trPr>
          <w:trHeight w:val="198"/>
        </w:trPr>
        <w:tc>
          <w:tcPr>
            <w:tcW w:w="78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Adjustments to reconcile net income (loss) to net cash provided by operating activities:</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spacing w:after="0"/>
              <w:rPr>
                <w:sz w:val="17"/>
                <w:szCs w:val="17"/>
                <w:color w:val="auto"/>
              </w:rPr>
            </w:pPr>
          </w:p>
        </w:tc>
      </w:tr>
      <w:tr>
        <w:trPr>
          <w:trHeight w:val="184"/>
        </w:trPr>
        <w:tc>
          <w:tcPr>
            <w:tcW w:w="7800" w:type="dxa"/>
            <w:vAlign w:val="bottom"/>
            <w:gridSpan w:val="2"/>
          </w:tcPr>
          <w:p>
            <w:pPr>
              <w:ind w:left="280"/>
              <w:spacing w:after="0"/>
              <w:rPr>
                <w:sz w:val="20"/>
                <w:szCs w:val="20"/>
                <w:color w:val="auto"/>
              </w:rPr>
            </w:pPr>
            <w:r>
              <w:rPr>
                <w:rFonts w:ascii="Arial" w:cs="Arial" w:eastAsia="Arial" w:hAnsi="Arial"/>
                <w:sz w:val="13"/>
                <w:szCs w:val="13"/>
                <w:color w:val="131E29"/>
              </w:rPr>
              <w:t>Depreciation and amortization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93,005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69,135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44,728</w:t>
            </w:r>
          </w:p>
        </w:tc>
      </w:tr>
      <w:tr>
        <w:trPr>
          <w:trHeight w:val="198"/>
        </w:trPr>
        <w:tc>
          <w:tcPr>
            <w:tcW w:w="78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Non-cash interest expense</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1,113</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887</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691</w:t>
            </w:r>
          </w:p>
        </w:tc>
      </w:tr>
      <w:tr>
        <w:trPr>
          <w:trHeight w:val="184"/>
        </w:trPr>
        <w:tc>
          <w:tcPr>
            <w:tcW w:w="7800" w:type="dxa"/>
            <w:vAlign w:val="bottom"/>
            <w:gridSpan w:val="2"/>
          </w:tcPr>
          <w:p>
            <w:pPr>
              <w:ind w:left="280"/>
              <w:spacing w:after="0"/>
              <w:rPr>
                <w:sz w:val="20"/>
                <w:szCs w:val="20"/>
                <w:color w:val="auto"/>
              </w:rPr>
            </w:pPr>
            <w:r>
              <w:rPr>
                <w:rFonts w:ascii="Arial" w:cs="Arial" w:eastAsia="Arial" w:hAnsi="Arial"/>
                <w:sz w:val="13"/>
                <w:szCs w:val="13"/>
                <w:color w:val="131E29"/>
              </w:rPr>
              <w:t>Non-cash donation expense</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1,811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98"/>
        </w:trPr>
        <w:tc>
          <w:tcPr>
            <w:tcW w:w="78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Gain on disposal of assets</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(1,277)</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(23)</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(340)</w:t>
            </w:r>
          </w:p>
        </w:tc>
      </w:tr>
      <w:tr>
        <w:trPr>
          <w:trHeight w:val="184"/>
        </w:trPr>
        <w:tc>
          <w:tcPr>
            <w:tcW w:w="7800" w:type="dxa"/>
            <w:vAlign w:val="bottom"/>
            <w:gridSpan w:val="2"/>
          </w:tcPr>
          <w:p>
            <w:pPr>
              <w:ind w:left="280"/>
              <w:spacing w:after="0"/>
              <w:rPr>
                <w:sz w:val="20"/>
                <w:szCs w:val="20"/>
                <w:color w:val="auto"/>
              </w:rPr>
            </w:pPr>
            <w:r>
              <w:rPr>
                <w:rFonts w:ascii="Arial" w:cs="Arial" w:eastAsia="Arial" w:hAnsi="Arial"/>
                <w:sz w:val="13"/>
                <w:szCs w:val="13"/>
                <w:color w:val="131E29"/>
              </w:rPr>
              <w:t>Equity-based compensation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11,482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39,222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41,657</w:t>
            </w:r>
          </w:p>
        </w:tc>
      </w:tr>
      <w:tr>
        <w:trPr>
          <w:trHeight w:val="198"/>
        </w:trPr>
        <w:tc>
          <w:tcPr>
            <w:tcW w:w="78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Deferred income taxes</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15,421</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5,946</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1,078</w:t>
            </w:r>
          </w:p>
        </w:tc>
      </w:tr>
      <w:tr>
        <w:trPr>
          <w:trHeight w:val="184"/>
        </w:trPr>
        <w:tc>
          <w:tcPr>
            <w:tcW w:w="7800" w:type="dxa"/>
            <w:vAlign w:val="bottom"/>
            <w:gridSpan w:val="2"/>
          </w:tcPr>
          <w:p>
            <w:pPr>
              <w:ind w:left="280"/>
              <w:spacing w:after="0"/>
              <w:rPr>
                <w:sz w:val="20"/>
                <w:szCs w:val="20"/>
                <w:color w:val="auto"/>
              </w:rPr>
            </w:pPr>
            <w:r>
              <w:rPr>
                <w:rFonts w:ascii="Arial" w:cs="Arial" w:eastAsia="Arial" w:hAnsi="Arial"/>
                <w:sz w:val="13"/>
                <w:szCs w:val="13"/>
                <w:color w:val="131E29"/>
              </w:rPr>
              <w:t>Remeasurement gain on TRAs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(4,247)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(2,638)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(3,466)</w:t>
            </w:r>
          </w:p>
        </w:tc>
      </w:tr>
      <w:tr>
        <w:trPr>
          <w:trHeight w:val="198"/>
        </w:trPr>
        <w:tc>
          <w:tcPr>
            <w:tcW w:w="7800" w:type="dxa"/>
            <w:vAlign w:val="bottom"/>
            <w:gridSpan w:val="2"/>
            <w:shd w:val="clear" w:color="auto" w:fill="D2DCE5"/>
          </w:tcPr>
          <w:p>
            <w:pPr>
              <w:ind w:left="280"/>
              <w:spacing w:after="0"/>
              <w:rPr>
                <w:sz w:val="20"/>
                <w:szCs w:val="20"/>
                <w:color w:val="auto"/>
              </w:rPr>
            </w:pPr>
            <w:r>
              <w:rPr>
                <w:rFonts w:ascii="Arial" w:cs="Arial" w:eastAsia="Arial" w:hAnsi="Arial"/>
                <w:sz w:val="13"/>
                <w:szCs w:val="13"/>
                <w:color w:val="131E29"/>
              </w:rPr>
              <w:t>Non-cash operating lease cost</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15,765</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11,413</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9,919</w:t>
            </w:r>
          </w:p>
        </w:tc>
      </w:tr>
      <w:tr>
        <w:trPr>
          <w:trHeight w:val="184"/>
        </w:trPr>
        <w:tc>
          <w:tcPr>
            <w:tcW w:w="7800" w:type="dxa"/>
            <w:vAlign w:val="bottom"/>
            <w:gridSpan w:val="2"/>
          </w:tcPr>
          <w:p>
            <w:pPr>
              <w:ind w:left="280"/>
              <w:spacing w:after="0"/>
              <w:rPr>
                <w:sz w:val="20"/>
                <w:szCs w:val="20"/>
                <w:color w:val="auto"/>
              </w:rPr>
            </w:pPr>
            <w:r>
              <w:rPr>
                <w:rFonts w:ascii="Arial" w:cs="Arial" w:eastAsia="Arial" w:hAnsi="Arial"/>
                <w:sz w:val="13"/>
                <w:szCs w:val="13"/>
                <w:color w:val="131E29"/>
              </w:rPr>
              <w:t>Changes in operating assets and liabilities, net of acquisitions:</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8"/>
        </w:trPr>
        <w:tc>
          <w:tcPr>
            <w:tcW w:w="78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Accounts receivable, net</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(1,474)</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2,842</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(1,322)</w:t>
            </w:r>
          </w:p>
        </w:tc>
      </w:tr>
      <w:tr>
        <w:trPr>
          <w:trHeight w:val="184"/>
        </w:trPr>
        <w:tc>
          <w:tcPr>
            <w:tcW w:w="7800" w:type="dxa"/>
            <w:vAlign w:val="bottom"/>
            <w:gridSpan w:val="2"/>
          </w:tcPr>
          <w:p>
            <w:pPr>
              <w:ind w:left="400"/>
              <w:spacing w:after="0"/>
              <w:rPr>
                <w:sz w:val="20"/>
                <w:szCs w:val="20"/>
                <w:color w:val="auto"/>
              </w:rPr>
            </w:pPr>
            <w:r>
              <w:rPr>
                <w:rFonts w:ascii="Arial" w:cs="Arial" w:eastAsia="Arial" w:hAnsi="Arial"/>
                <w:sz w:val="13"/>
                <w:szCs w:val="13"/>
                <w:color w:val="131E29"/>
              </w:rPr>
              <w:t>Inventories, net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10,465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(7,724)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(15,817)</w:t>
            </w:r>
          </w:p>
        </w:tc>
      </w:tr>
      <w:tr>
        <w:trPr>
          <w:trHeight w:val="198"/>
        </w:trPr>
        <w:tc>
          <w:tcPr>
            <w:tcW w:w="78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Prepaid expenses and other current assets</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(2,282)</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(4,775)</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(695)</w:t>
            </w:r>
          </w:p>
        </w:tc>
      </w:tr>
      <w:tr>
        <w:trPr>
          <w:trHeight w:val="184"/>
        </w:trPr>
        <w:tc>
          <w:tcPr>
            <w:tcW w:w="7800" w:type="dxa"/>
            <w:vAlign w:val="bottom"/>
            <w:gridSpan w:val="2"/>
          </w:tcPr>
          <w:p>
            <w:pPr>
              <w:ind w:left="400"/>
              <w:spacing w:after="0"/>
              <w:rPr>
                <w:sz w:val="20"/>
                <w:szCs w:val="20"/>
                <w:color w:val="auto"/>
              </w:rPr>
            </w:pPr>
            <w:r>
              <w:rPr>
                <w:rFonts w:ascii="Arial" w:cs="Arial" w:eastAsia="Arial" w:hAnsi="Arial"/>
                <w:sz w:val="13"/>
                <w:szCs w:val="13"/>
                <w:color w:val="131E29"/>
              </w:rPr>
              <w:t>Other long-term assets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611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(578)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1,147</w:t>
            </w:r>
          </w:p>
        </w:tc>
      </w:tr>
      <w:tr>
        <w:trPr>
          <w:trHeight w:val="198"/>
        </w:trPr>
        <w:tc>
          <w:tcPr>
            <w:tcW w:w="78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Accounts payable</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3,658</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3,903</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1,606</w:t>
            </w:r>
          </w:p>
        </w:tc>
      </w:tr>
      <w:tr>
        <w:trPr>
          <w:trHeight w:val="184"/>
        </w:trPr>
        <w:tc>
          <w:tcPr>
            <w:tcW w:w="7800" w:type="dxa"/>
            <w:vAlign w:val="bottom"/>
            <w:gridSpan w:val="2"/>
          </w:tcPr>
          <w:p>
            <w:pPr>
              <w:ind w:left="400"/>
              <w:spacing w:after="0"/>
              <w:rPr>
                <w:sz w:val="20"/>
                <w:szCs w:val="20"/>
                <w:color w:val="auto"/>
              </w:rPr>
            </w:pPr>
            <w:r>
              <w:rPr>
                <w:rFonts w:ascii="Arial" w:cs="Arial" w:eastAsia="Arial" w:hAnsi="Arial"/>
                <w:sz w:val="13"/>
                <w:szCs w:val="13"/>
                <w:color w:val="131E29"/>
              </w:rPr>
              <w:t>Accrued compensation and benefits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18,373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11,699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5,333</w:t>
            </w:r>
          </w:p>
        </w:tc>
      </w:tr>
      <w:tr>
        <w:trPr>
          <w:trHeight w:val="198"/>
        </w:trPr>
        <w:tc>
          <w:tcPr>
            <w:tcW w:w="78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Other accrued liabilities</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10,601</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3,738</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643</w:t>
            </w:r>
          </w:p>
        </w:tc>
      </w:tr>
      <w:tr>
        <w:trPr>
          <w:trHeight w:val="184"/>
        </w:trPr>
        <w:tc>
          <w:tcPr>
            <w:tcW w:w="7800" w:type="dxa"/>
            <w:vAlign w:val="bottom"/>
            <w:gridSpan w:val="2"/>
          </w:tcPr>
          <w:p>
            <w:pPr>
              <w:ind w:left="400"/>
              <w:spacing w:after="0"/>
              <w:rPr>
                <w:sz w:val="20"/>
                <w:szCs w:val="20"/>
                <w:color w:val="auto"/>
              </w:rPr>
            </w:pPr>
            <w:r>
              <w:rPr>
                <w:rFonts w:ascii="Arial" w:cs="Arial" w:eastAsia="Arial" w:hAnsi="Arial"/>
                <w:sz w:val="13"/>
                <w:szCs w:val="13"/>
                <w:color w:val="131E29"/>
              </w:rPr>
              <w:t>Other current liabilities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644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484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1,001</w:t>
            </w:r>
          </w:p>
        </w:tc>
      </w:tr>
      <w:tr>
        <w:trPr>
          <w:trHeight w:val="198"/>
        </w:trPr>
        <w:tc>
          <w:tcPr>
            <w:tcW w:w="78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Deferred revenue</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13,858</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5,571</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3,367</w:t>
            </w:r>
          </w:p>
        </w:tc>
      </w:tr>
      <w:tr>
        <w:trPr>
          <w:trHeight w:val="184"/>
        </w:trPr>
        <w:tc>
          <w:tcPr>
            <w:tcW w:w="7800" w:type="dxa"/>
            <w:vAlign w:val="bottom"/>
            <w:gridSpan w:val="2"/>
          </w:tcPr>
          <w:p>
            <w:pPr>
              <w:ind w:left="400"/>
              <w:spacing w:after="0"/>
              <w:rPr>
                <w:sz w:val="20"/>
                <w:szCs w:val="20"/>
                <w:color w:val="auto"/>
              </w:rPr>
            </w:pPr>
            <w:r>
              <w:rPr>
                <w:rFonts w:ascii="Arial" w:cs="Arial" w:eastAsia="Arial" w:hAnsi="Arial"/>
                <w:sz w:val="13"/>
                <w:szCs w:val="13"/>
                <w:color w:val="131E29"/>
              </w:rPr>
              <w:t>Other long-term liabilities</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(672)</w:t>
            </w:r>
          </w:p>
        </w:tc>
      </w:tr>
      <w:tr>
        <w:trPr>
          <w:trHeight w:val="191"/>
        </w:trPr>
        <w:tc>
          <w:tcPr>
            <w:tcW w:w="7800" w:type="dxa"/>
            <w:vAlign w:val="bottom"/>
            <w:gridSpan w:val="2"/>
            <w:shd w:val="clear" w:color="auto" w:fill="D2DCE5"/>
          </w:tcPr>
          <w:p>
            <w:pPr>
              <w:ind w:left="400"/>
              <w:spacing w:after="0"/>
              <w:rPr>
                <w:sz w:val="20"/>
                <w:szCs w:val="20"/>
                <w:color w:val="auto"/>
              </w:rPr>
            </w:pPr>
            <w:r>
              <w:rPr>
                <w:rFonts w:ascii="Arial" w:cs="Arial" w:eastAsia="Arial" w:hAnsi="Arial"/>
                <w:sz w:val="13"/>
                <w:szCs w:val="13"/>
                <w:color w:val="131E29"/>
              </w:rPr>
              <w:t>Operating lease liabilities</w:t>
            </w:r>
          </w:p>
        </w:tc>
        <w:tc>
          <w:tcPr>
            <w:tcW w:w="260" w:type="dxa"/>
            <w:vAlign w:val="bottom"/>
            <w:tcBorders>
              <w:bottom w:val="single" w:sz="8" w:color="auto"/>
            </w:tcBorders>
            <w:shd w:val="clear" w:color="auto" w:fill="D2DCE5"/>
          </w:tcPr>
          <w:p>
            <w:pPr>
              <w:spacing w:after="0"/>
              <w:rPr>
                <w:sz w:val="16"/>
                <w:szCs w:val="16"/>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(7,545)</w:t>
            </w:r>
          </w:p>
        </w:tc>
        <w:tc>
          <w:tcPr>
            <w:tcW w:w="100" w:type="dxa"/>
            <w:vAlign w:val="bottom"/>
            <w:shd w:val="clear" w:color="auto" w:fill="D2DCE5"/>
          </w:tcPr>
          <w:p>
            <w:pPr>
              <w:spacing w:after="0"/>
              <w:rPr>
                <w:sz w:val="16"/>
                <w:szCs w:val="16"/>
                <w:color w:val="auto"/>
              </w:rPr>
            </w:pPr>
          </w:p>
        </w:tc>
        <w:tc>
          <w:tcPr>
            <w:tcW w:w="240" w:type="dxa"/>
            <w:vAlign w:val="bottom"/>
            <w:tcBorders>
              <w:bottom w:val="single" w:sz="8" w:color="auto"/>
            </w:tcBorders>
            <w:shd w:val="clear" w:color="auto" w:fill="D2DCE5"/>
          </w:tcPr>
          <w:p>
            <w:pPr>
              <w:spacing w:after="0"/>
              <w:rPr>
                <w:sz w:val="16"/>
                <w:szCs w:val="16"/>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(9,139)</w:t>
            </w:r>
          </w:p>
        </w:tc>
        <w:tc>
          <w:tcPr>
            <w:tcW w:w="80" w:type="dxa"/>
            <w:vAlign w:val="bottom"/>
            <w:shd w:val="clear" w:color="auto" w:fill="D2DCE5"/>
          </w:tcPr>
          <w:p>
            <w:pPr>
              <w:spacing w:after="0"/>
              <w:rPr>
                <w:sz w:val="16"/>
                <w:szCs w:val="16"/>
                <w:color w:val="auto"/>
              </w:rPr>
            </w:pPr>
          </w:p>
        </w:tc>
        <w:tc>
          <w:tcPr>
            <w:tcW w:w="240" w:type="dxa"/>
            <w:vAlign w:val="bottom"/>
            <w:tcBorders>
              <w:bottom w:val="single" w:sz="8" w:color="auto"/>
            </w:tcBorders>
            <w:shd w:val="clear" w:color="auto" w:fill="D2DCE5"/>
          </w:tcPr>
          <w:p>
            <w:pPr>
              <w:spacing w:after="0"/>
              <w:rPr>
                <w:sz w:val="16"/>
                <w:szCs w:val="16"/>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(9,722)</w:t>
            </w:r>
          </w:p>
        </w:tc>
      </w:tr>
      <w:tr>
        <w:trPr>
          <w:trHeight w:val="182"/>
        </w:trPr>
        <w:tc>
          <w:tcPr>
            <w:tcW w:w="7800" w:type="dxa"/>
            <w:vAlign w:val="bottom"/>
            <w:tcBorders>
              <w:bottom w:val="single" w:sz="8" w:color="D2DCE5"/>
            </w:tcBorders>
            <w:gridSpan w:val="2"/>
          </w:tcPr>
          <w:p>
            <w:pPr>
              <w:ind w:left="520"/>
              <w:spacing w:after="0"/>
              <w:rPr>
                <w:sz w:val="20"/>
                <w:szCs w:val="20"/>
                <w:color w:val="auto"/>
              </w:rPr>
            </w:pPr>
            <w:r>
              <w:rPr>
                <w:rFonts w:ascii="Arial" w:cs="Arial" w:eastAsia="Arial" w:hAnsi="Arial"/>
                <w:sz w:val="13"/>
                <w:szCs w:val="13"/>
                <w:color w:val="131E29"/>
              </w:rPr>
              <w:t>Net cash provided by operating activities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246,432</w:t>
            </w:r>
          </w:p>
        </w:tc>
        <w:tc>
          <w:tcPr>
            <w:tcW w:w="10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139,915</w:t>
            </w:r>
          </w:p>
        </w:tc>
        <w:tc>
          <w:tcPr>
            <w:tcW w:w="80" w:type="dxa"/>
            <w:vAlign w:val="bottom"/>
            <w:tcBorders>
              <w:bottom w:val="single" w:sz="8" w:color="D2DCE5"/>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59,883</w:t>
            </w:r>
          </w:p>
        </w:tc>
      </w:tr>
      <w:tr>
        <w:trPr>
          <w:trHeight w:val="178"/>
        </w:trPr>
        <w:tc>
          <w:tcPr>
            <w:tcW w:w="780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Cash flows from investing activities:</w:t>
            </w:r>
          </w:p>
        </w:tc>
        <w:tc>
          <w:tcPr>
            <w:tcW w:w="260" w:type="dxa"/>
            <w:vAlign w:val="bottom"/>
            <w:shd w:val="clear" w:color="auto" w:fill="D2DCE5"/>
          </w:tcPr>
          <w:p>
            <w:pPr>
              <w:spacing w:after="0"/>
              <w:rPr>
                <w:sz w:val="15"/>
                <w:szCs w:val="15"/>
                <w:color w:val="auto"/>
              </w:rPr>
            </w:pPr>
          </w:p>
        </w:tc>
        <w:tc>
          <w:tcPr>
            <w:tcW w:w="84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8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40" w:type="dxa"/>
            <w:vAlign w:val="bottom"/>
            <w:shd w:val="clear" w:color="auto" w:fill="D2DCE5"/>
          </w:tcPr>
          <w:p>
            <w:pPr>
              <w:spacing w:after="0"/>
              <w:rPr>
                <w:sz w:val="15"/>
                <w:szCs w:val="15"/>
                <w:color w:val="auto"/>
              </w:rPr>
            </w:pPr>
          </w:p>
        </w:tc>
        <w:tc>
          <w:tcPr>
            <w:tcW w:w="860" w:type="dxa"/>
            <w:vAlign w:val="bottom"/>
            <w:shd w:val="clear" w:color="auto" w:fill="D2DCE5"/>
          </w:tcPr>
          <w:p>
            <w:pPr>
              <w:spacing w:after="0"/>
              <w:rPr>
                <w:sz w:val="15"/>
                <w:szCs w:val="15"/>
                <w:color w:val="auto"/>
              </w:rPr>
            </w:pPr>
          </w:p>
        </w:tc>
      </w:tr>
      <w:tr>
        <w:trPr>
          <w:trHeight w:val="184"/>
        </w:trPr>
        <w:tc>
          <w:tcPr>
            <w:tcW w:w="7800" w:type="dxa"/>
            <w:vAlign w:val="bottom"/>
            <w:gridSpan w:val="2"/>
          </w:tcPr>
          <w:p>
            <w:pPr>
              <w:ind w:left="140"/>
              <w:spacing w:after="0"/>
              <w:rPr>
                <w:sz w:val="20"/>
                <w:szCs w:val="20"/>
                <w:color w:val="auto"/>
              </w:rPr>
            </w:pPr>
            <w:r>
              <w:rPr>
                <w:rFonts w:ascii="Arial" w:cs="Arial" w:eastAsia="Arial" w:hAnsi="Arial"/>
                <w:sz w:val="13"/>
                <w:szCs w:val="13"/>
                <w:color w:val="131E29"/>
              </w:rPr>
              <w:t>Purchases of property and equipment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(221,738)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(228,457)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(187,880)</w:t>
            </w:r>
          </w:p>
        </w:tc>
      </w:tr>
      <w:tr>
        <w:trPr>
          <w:trHeight w:val="198"/>
        </w:trPr>
        <w:tc>
          <w:tcPr>
            <w:tcW w:w="78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Proceeds from disposal of fixed assets</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9,666</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1,177</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1,359</w:t>
            </w:r>
          </w:p>
        </w:tc>
      </w:tr>
      <w:tr>
        <w:trPr>
          <w:trHeight w:val="184"/>
        </w:trPr>
        <w:tc>
          <w:tcPr>
            <w:tcW w:w="7800" w:type="dxa"/>
            <w:vAlign w:val="bottom"/>
            <w:gridSpan w:val="2"/>
          </w:tcPr>
          <w:p>
            <w:pPr>
              <w:ind w:left="140"/>
              <w:spacing w:after="0"/>
              <w:rPr>
                <w:sz w:val="20"/>
                <w:szCs w:val="20"/>
                <w:color w:val="auto"/>
              </w:rPr>
            </w:pPr>
            <w:r>
              <w:rPr>
                <w:rFonts w:ascii="Arial" w:cs="Arial" w:eastAsia="Arial" w:hAnsi="Arial"/>
                <w:sz w:val="13"/>
                <w:szCs w:val="13"/>
                <w:color w:val="131E29"/>
              </w:rPr>
              <w:t>Acquisition of shops from franchisees</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(6,051)</w:t>
            </w:r>
          </w:p>
        </w:tc>
      </w:tr>
      <w:tr>
        <w:trPr>
          <w:trHeight w:val="188"/>
        </w:trPr>
        <w:tc>
          <w:tcPr>
            <w:tcW w:w="7800" w:type="dxa"/>
            <w:vAlign w:val="bottom"/>
            <w:tcBorders>
              <w:top w:val="single" w:sz="8" w:color="D2DCE5"/>
            </w:tcBorders>
            <w:gridSpan w:val="2"/>
            <w:shd w:val="clear" w:color="auto" w:fill="D2DCE5"/>
          </w:tcPr>
          <w:p>
            <w:pPr>
              <w:ind w:left="520"/>
              <w:spacing w:after="0"/>
              <w:rPr>
                <w:sz w:val="20"/>
                <w:szCs w:val="20"/>
                <w:color w:val="auto"/>
              </w:rPr>
            </w:pPr>
            <w:r>
              <w:rPr>
                <w:rFonts w:ascii="Arial" w:cs="Arial" w:eastAsia="Arial" w:hAnsi="Arial"/>
                <w:sz w:val="13"/>
                <w:szCs w:val="13"/>
                <w:color w:val="131E29"/>
              </w:rPr>
              <w:t>Net cash used in investing activities</w:t>
            </w:r>
          </w:p>
        </w:tc>
        <w:tc>
          <w:tcPr>
            <w:tcW w:w="260" w:type="dxa"/>
            <w:vAlign w:val="bottom"/>
            <w:tcBorders>
              <w:top w:val="single" w:sz="8" w:color="auto"/>
              <w:bottom w:val="single" w:sz="8" w:color="auto"/>
            </w:tcBorders>
            <w:shd w:val="clear" w:color="auto" w:fill="D2DCE5"/>
          </w:tcPr>
          <w:p>
            <w:pPr>
              <w:spacing w:after="0"/>
              <w:rPr>
                <w:sz w:val="16"/>
                <w:szCs w:val="16"/>
                <w:color w:val="auto"/>
              </w:rPr>
            </w:pPr>
          </w:p>
        </w:tc>
        <w:tc>
          <w:tcPr>
            <w:tcW w:w="84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(212,072)</w:t>
            </w:r>
          </w:p>
        </w:tc>
        <w:tc>
          <w:tcPr>
            <w:tcW w:w="100" w:type="dxa"/>
            <w:vAlign w:val="bottom"/>
            <w:tcBorders>
              <w:top w:val="single" w:sz="8" w:color="D2DCE5"/>
            </w:tcBorders>
            <w:shd w:val="clear" w:color="auto" w:fill="D2DCE5"/>
          </w:tcPr>
          <w:p>
            <w:pPr>
              <w:spacing w:after="0"/>
              <w:rPr>
                <w:sz w:val="16"/>
                <w:szCs w:val="16"/>
                <w:color w:val="auto"/>
              </w:rPr>
            </w:pPr>
          </w:p>
        </w:tc>
        <w:tc>
          <w:tcPr>
            <w:tcW w:w="240" w:type="dxa"/>
            <w:vAlign w:val="bottom"/>
            <w:tcBorders>
              <w:top w:val="single" w:sz="8" w:color="auto"/>
              <w:bottom w:val="single" w:sz="8" w:color="auto"/>
            </w:tcBorders>
            <w:shd w:val="clear" w:color="auto" w:fill="D2DCE5"/>
          </w:tcPr>
          <w:p>
            <w:pPr>
              <w:spacing w:after="0"/>
              <w:rPr>
                <w:sz w:val="16"/>
                <w:szCs w:val="16"/>
                <w:color w:val="auto"/>
              </w:rPr>
            </w:pPr>
          </w:p>
        </w:tc>
        <w:tc>
          <w:tcPr>
            <w:tcW w:w="8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(227,280)</w:t>
            </w:r>
          </w:p>
        </w:tc>
        <w:tc>
          <w:tcPr>
            <w:tcW w:w="80" w:type="dxa"/>
            <w:vAlign w:val="bottom"/>
            <w:tcBorders>
              <w:top w:val="single" w:sz="8" w:color="D2DCE5"/>
            </w:tcBorders>
            <w:shd w:val="clear" w:color="auto" w:fill="D2DCE5"/>
          </w:tcPr>
          <w:p>
            <w:pPr>
              <w:spacing w:after="0"/>
              <w:rPr>
                <w:sz w:val="16"/>
                <w:szCs w:val="16"/>
                <w:color w:val="auto"/>
              </w:rPr>
            </w:pPr>
          </w:p>
        </w:tc>
        <w:tc>
          <w:tcPr>
            <w:tcW w:w="240" w:type="dxa"/>
            <w:vAlign w:val="bottom"/>
            <w:tcBorders>
              <w:top w:val="single" w:sz="8" w:color="auto"/>
              <w:bottom w:val="single" w:sz="8" w:color="auto"/>
            </w:tcBorders>
            <w:shd w:val="clear" w:color="auto" w:fill="D2DCE5"/>
          </w:tcPr>
          <w:p>
            <w:pPr>
              <w:spacing w:after="0"/>
              <w:rPr>
                <w:sz w:val="16"/>
                <w:szCs w:val="16"/>
                <w:color w:val="auto"/>
              </w:rPr>
            </w:pPr>
          </w:p>
        </w:tc>
        <w:tc>
          <w:tcPr>
            <w:tcW w:w="8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(192,572)</w:t>
            </w:r>
          </w:p>
        </w:tc>
      </w:tr>
      <w:tr>
        <w:trPr>
          <w:trHeight w:val="167"/>
        </w:trPr>
        <w:tc>
          <w:tcPr>
            <w:tcW w:w="7800" w:type="dxa"/>
            <w:vAlign w:val="bottom"/>
            <w:gridSpan w:val="2"/>
          </w:tcPr>
          <w:p>
            <w:pPr>
              <w:ind w:left="20"/>
              <w:spacing w:after="0"/>
              <w:rPr>
                <w:sz w:val="20"/>
                <w:szCs w:val="20"/>
                <w:color w:val="auto"/>
              </w:rPr>
            </w:pPr>
            <w:r>
              <w:rPr>
                <w:rFonts w:ascii="Arial" w:cs="Arial" w:eastAsia="Arial" w:hAnsi="Arial"/>
                <w:sz w:val="13"/>
                <w:szCs w:val="13"/>
                <w:b w:val="1"/>
                <w:bCs w:val="1"/>
                <w:color w:val="131E29"/>
              </w:rPr>
              <w:t>Cash flows from financing activities:</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5"/>
        </w:trPr>
        <w:tc>
          <w:tcPr>
            <w:tcW w:w="78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Proceeds from line of credit</w:t>
            </w:r>
          </w:p>
        </w:tc>
        <w:tc>
          <w:tcPr>
            <w:tcW w:w="260" w:type="dxa"/>
            <w:vAlign w:val="bottom"/>
            <w:shd w:val="clear" w:color="auto" w:fill="D2DCE5"/>
          </w:tcPr>
          <w:p>
            <w:pPr>
              <w:spacing w:after="0"/>
              <w:rPr>
                <w:sz w:val="16"/>
                <w:szCs w:val="16"/>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2,449</w:t>
            </w:r>
          </w:p>
        </w:tc>
        <w:tc>
          <w:tcPr>
            <w:tcW w:w="10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90,000</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157,705</w:t>
            </w:r>
          </w:p>
        </w:tc>
      </w:tr>
      <w:tr>
        <w:trPr>
          <w:trHeight w:val="184"/>
        </w:trPr>
        <w:tc>
          <w:tcPr>
            <w:tcW w:w="7800" w:type="dxa"/>
            <w:vAlign w:val="bottom"/>
            <w:gridSpan w:val="2"/>
          </w:tcPr>
          <w:p>
            <w:pPr>
              <w:ind w:left="140"/>
              <w:spacing w:after="0"/>
              <w:rPr>
                <w:sz w:val="20"/>
                <w:szCs w:val="20"/>
                <w:color w:val="auto"/>
              </w:rPr>
            </w:pPr>
            <w:r>
              <w:rPr>
                <w:rFonts w:ascii="Arial" w:cs="Arial" w:eastAsia="Arial" w:hAnsi="Arial"/>
                <w:sz w:val="13"/>
                <w:szCs w:val="13"/>
                <w:color w:val="131E29"/>
              </w:rPr>
              <w:t>Payments on line of credit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(2,449)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(202,705)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(10,000)</w:t>
            </w:r>
          </w:p>
        </w:tc>
      </w:tr>
      <w:tr>
        <w:trPr>
          <w:trHeight w:val="198"/>
        </w:trPr>
        <w:tc>
          <w:tcPr>
            <w:tcW w:w="78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on finance lease liabilities</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(10,541)</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(12,432)</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(5,838)</w:t>
            </w:r>
          </w:p>
        </w:tc>
      </w:tr>
      <w:tr>
        <w:trPr>
          <w:trHeight w:val="184"/>
        </w:trPr>
        <w:tc>
          <w:tcPr>
            <w:tcW w:w="7800" w:type="dxa"/>
            <w:vAlign w:val="bottom"/>
            <w:gridSpan w:val="2"/>
          </w:tcPr>
          <w:p>
            <w:pPr>
              <w:ind w:left="140"/>
              <w:spacing w:after="0"/>
              <w:rPr>
                <w:sz w:val="20"/>
                <w:szCs w:val="20"/>
                <w:color w:val="auto"/>
              </w:rPr>
            </w:pPr>
            <w:r>
              <w:rPr>
                <w:rFonts w:ascii="Arial" w:cs="Arial" w:eastAsia="Arial" w:hAnsi="Arial"/>
                <w:sz w:val="13"/>
                <w:szCs w:val="13"/>
                <w:color w:val="131E29"/>
              </w:rPr>
              <w:t>Proceeds from long-term debt</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150,000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1,647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1,375</w:t>
            </w:r>
          </w:p>
        </w:tc>
      </w:tr>
      <w:tr>
        <w:trPr>
          <w:trHeight w:val="198"/>
        </w:trPr>
        <w:tc>
          <w:tcPr>
            <w:tcW w:w="78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Payments on long-term debt</w:t>
            </w:r>
          </w:p>
        </w:tc>
        <w:tc>
          <w:tcPr>
            <w:tcW w:w="260" w:type="dxa"/>
            <w:vAlign w:val="bottom"/>
            <w:shd w:val="clear" w:color="auto" w:fill="D2DCE5"/>
          </w:tcPr>
          <w:p>
            <w:pPr>
              <w:spacing w:after="0"/>
              <w:rPr>
                <w:sz w:val="17"/>
                <w:szCs w:val="17"/>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(11,053)</w:t>
            </w:r>
          </w:p>
        </w:tc>
        <w:tc>
          <w:tcPr>
            <w:tcW w:w="10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(2,613)</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(1,982)</w:t>
            </w:r>
          </w:p>
        </w:tc>
      </w:tr>
      <w:tr>
        <w:trPr>
          <w:trHeight w:val="184"/>
        </w:trPr>
        <w:tc>
          <w:tcPr>
            <w:tcW w:w="7800" w:type="dxa"/>
            <w:vAlign w:val="bottom"/>
            <w:gridSpan w:val="2"/>
          </w:tcPr>
          <w:p>
            <w:pPr>
              <w:ind w:left="140"/>
              <w:spacing w:after="0"/>
              <w:rPr>
                <w:sz w:val="20"/>
                <w:szCs w:val="20"/>
                <w:color w:val="auto"/>
              </w:rPr>
            </w:pPr>
            <w:r>
              <w:rPr>
                <w:rFonts w:ascii="Arial" w:cs="Arial" w:eastAsia="Arial" w:hAnsi="Arial"/>
                <w:sz w:val="13"/>
                <w:szCs w:val="13"/>
                <w:color w:val="131E29"/>
              </w:rPr>
              <w:t>Payments of debt issuance costs</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(1,350)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(2,749)</w:t>
            </w:r>
          </w:p>
        </w:tc>
      </w:tr>
      <w:tr>
        <w:trPr>
          <w:trHeight w:val="198"/>
        </w:trPr>
        <w:tc>
          <w:tcPr>
            <w:tcW w:w="78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Proceeds from equity offering, net of underwriting discounts and commissions</w:t>
            </w:r>
          </w:p>
        </w:tc>
        <w:tc>
          <w:tcPr>
            <w:tcW w:w="260" w:type="dxa"/>
            <w:vAlign w:val="bottom"/>
            <w:shd w:val="clear" w:color="auto" w:fill="D2DCE5"/>
          </w:tcPr>
          <w:p>
            <w:pPr>
              <w:spacing w:after="0"/>
              <w:rPr>
                <w:sz w:val="17"/>
                <w:szCs w:val="17"/>
                <w:color w:val="auto"/>
              </w:rPr>
            </w:pPr>
          </w:p>
        </w:tc>
        <w:tc>
          <w:tcPr>
            <w:tcW w:w="94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331,200</w:t>
            </w:r>
          </w:p>
        </w:tc>
        <w:tc>
          <w:tcPr>
            <w:tcW w:w="80" w:type="dxa"/>
            <w:vAlign w:val="bottom"/>
            <w:shd w:val="clear" w:color="auto" w:fill="D2DCE5"/>
          </w:tcPr>
          <w:p>
            <w:pPr>
              <w:spacing w:after="0"/>
              <w:rPr>
                <w:sz w:val="17"/>
                <w:szCs w:val="17"/>
                <w:color w:val="auto"/>
              </w:rPr>
            </w:pPr>
          </w:p>
        </w:tc>
        <w:tc>
          <w:tcPr>
            <w:tcW w:w="240" w:type="dxa"/>
            <w:vAlign w:val="bottom"/>
            <w:shd w:val="clear" w:color="auto" w:fill="D2DCE5"/>
          </w:tcPr>
          <w:p>
            <w:pPr>
              <w:spacing w:after="0"/>
              <w:rPr>
                <w:sz w:val="17"/>
                <w:szCs w:val="17"/>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90"/>
        </w:trPr>
        <w:tc>
          <w:tcPr>
            <w:tcW w:w="7800" w:type="dxa"/>
            <w:vAlign w:val="bottom"/>
            <w:gridSpan w:val="2"/>
          </w:tcPr>
          <w:p>
            <w:pPr>
              <w:ind w:left="140"/>
              <w:spacing w:after="0"/>
              <w:rPr>
                <w:sz w:val="20"/>
                <w:szCs w:val="20"/>
                <w:color w:val="auto"/>
              </w:rPr>
            </w:pPr>
            <w:r>
              <w:rPr>
                <w:rFonts w:ascii="Arial" w:cs="Arial" w:eastAsia="Arial" w:hAnsi="Arial"/>
                <w:sz w:val="13"/>
                <w:szCs w:val="13"/>
                <w:color w:val="131E29"/>
              </w:rPr>
              <w:t>Payment of deferred offering costs</w:t>
            </w:r>
          </w:p>
        </w:tc>
        <w:tc>
          <w:tcPr>
            <w:tcW w:w="26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(1,119)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(250)</w:t>
            </w:r>
          </w:p>
        </w:tc>
      </w:tr>
      <w:tr>
        <w:trPr>
          <w:trHeight w:val="192"/>
        </w:trPr>
        <w:tc>
          <w:tcPr>
            <w:tcW w:w="780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Tax withholding payments upon vesting of equity awards</w:t>
            </w:r>
          </w:p>
        </w:tc>
        <w:tc>
          <w:tcPr>
            <w:tcW w:w="260" w:type="dxa"/>
            <w:vAlign w:val="bottom"/>
            <w:shd w:val="clear" w:color="auto" w:fill="D2DCE5"/>
          </w:tcPr>
          <w:p>
            <w:pPr>
              <w:spacing w:after="0"/>
              <w:rPr>
                <w:sz w:val="16"/>
                <w:szCs w:val="16"/>
                <w:color w:val="auto"/>
              </w:rPr>
            </w:pPr>
          </w:p>
        </w:tc>
        <w:tc>
          <w:tcPr>
            <w:tcW w:w="8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(1,069)</w:t>
            </w:r>
          </w:p>
        </w:tc>
        <w:tc>
          <w:tcPr>
            <w:tcW w:w="10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(1,896)</w:t>
            </w:r>
          </w:p>
        </w:tc>
        <w:tc>
          <w:tcPr>
            <w:tcW w:w="80" w:type="dxa"/>
            <w:vAlign w:val="bottom"/>
            <w:shd w:val="clear" w:color="auto" w:fill="D2DCE5"/>
          </w:tcPr>
          <w:p>
            <w:pPr>
              <w:spacing w:after="0"/>
              <w:rPr>
                <w:sz w:val="16"/>
                <w:szCs w:val="16"/>
                <w:color w:val="auto"/>
              </w:rPr>
            </w:pPr>
          </w:p>
        </w:tc>
        <w:tc>
          <w:tcPr>
            <w:tcW w:w="240" w:type="dxa"/>
            <w:vAlign w:val="bottom"/>
            <w:shd w:val="clear" w:color="auto" w:fill="D2DCE5"/>
          </w:tcPr>
          <w:p>
            <w:pPr>
              <w:spacing w:after="0"/>
              <w:rPr>
                <w:sz w:val="16"/>
                <w:szCs w:val="16"/>
                <w:color w:val="auto"/>
              </w:rPr>
            </w:pPr>
          </w:p>
        </w:tc>
        <w:tc>
          <w:tcPr>
            <w:tcW w:w="86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(3,900)</w:t>
            </w:r>
          </w:p>
        </w:tc>
      </w:tr>
      <w:tr>
        <w:trPr>
          <w:trHeight w:val="190"/>
        </w:trPr>
        <w:tc>
          <w:tcPr>
            <w:tcW w:w="7800" w:type="dxa"/>
            <w:vAlign w:val="bottom"/>
            <w:gridSpan w:val="2"/>
          </w:tcPr>
          <w:p>
            <w:pPr>
              <w:ind w:left="140"/>
              <w:spacing w:after="0"/>
              <w:rPr>
                <w:sz w:val="20"/>
                <w:szCs w:val="20"/>
                <w:color w:val="auto"/>
              </w:rPr>
            </w:pPr>
            <w:r>
              <w:rPr>
                <w:rFonts w:ascii="Arial" w:cs="Arial" w:eastAsia="Arial" w:hAnsi="Arial"/>
                <w:sz w:val="13"/>
                <w:szCs w:val="13"/>
                <w:color w:val="131E29"/>
              </w:rPr>
              <w:t>Distributions to non-controlling interest holders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(1,888)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176"/>
        </w:trPr>
        <w:tc>
          <w:tcPr>
            <w:tcW w:w="7800" w:type="dxa"/>
            <w:vAlign w:val="bottom"/>
            <w:tcBorders>
              <w:top w:val="single" w:sz="8" w:color="D2DCE5"/>
            </w:tcBorders>
            <w:gridSpan w:val="2"/>
            <w:shd w:val="clear" w:color="auto" w:fill="D2DCE5"/>
          </w:tcPr>
          <w:p>
            <w:pPr>
              <w:ind w:left="440"/>
              <w:spacing w:after="0"/>
              <w:rPr>
                <w:sz w:val="20"/>
                <w:szCs w:val="20"/>
                <w:color w:val="auto"/>
              </w:rPr>
            </w:pPr>
            <w:r>
              <w:rPr>
                <w:rFonts w:ascii="Arial" w:cs="Arial" w:eastAsia="Arial" w:hAnsi="Arial"/>
                <w:sz w:val="13"/>
                <w:szCs w:val="13"/>
                <w:color w:val="131E29"/>
              </w:rPr>
              <w:t>Net cash provided by financing activities</w:t>
            </w:r>
          </w:p>
        </w:tc>
        <w:tc>
          <w:tcPr>
            <w:tcW w:w="260" w:type="dxa"/>
            <w:vAlign w:val="bottom"/>
            <w:tcBorders>
              <w:top w:val="single" w:sz="8" w:color="auto"/>
              <w:bottom w:val="single" w:sz="8" w:color="auto"/>
            </w:tcBorders>
            <w:shd w:val="clear" w:color="auto" w:fill="D2DCE5"/>
          </w:tcPr>
          <w:p>
            <w:pPr>
              <w:spacing w:after="0"/>
              <w:rPr>
                <w:sz w:val="15"/>
                <w:szCs w:val="15"/>
                <w:color w:val="auto"/>
              </w:rPr>
            </w:pPr>
          </w:p>
        </w:tc>
        <w:tc>
          <w:tcPr>
            <w:tcW w:w="84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125,449</w:t>
            </w:r>
          </w:p>
        </w:tc>
        <w:tc>
          <w:tcPr>
            <w:tcW w:w="100" w:type="dxa"/>
            <w:vAlign w:val="bottom"/>
            <w:tcBorders>
              <w:top w:val="single" w:sz="8" w:color="D2DCE5"/>
            </w:tcBorders>
            <w:shd w:val="clear" w:color="auto" w:fill="D2DCE5"/>
          </w:tcPr>
          <w:p>
            <w:pPr>
              <w:spacing w:after="0"/>
              <w:rPr>
                <w:sz w:val="15"/>
                <w:szCs w:val="15"/>
                <w:color w:val="auto"/>
              </w:rPr>
            </w:pPr>
          </w:p>
        </w:tc>
        <w:tc>
          <w:tcPr>
            <w:tcW w:w="240" w:type="dxa"/>
            <w:vAlign w:val="bottom"/>
            <w:tcBorders>
              <w:top w:val="single" w:sz="8" w:color="auto"/>
              <w:bottom w:val="single" w:sz="8" w:color="auto"/>
            </w:tcBorders>
            <w:shd w:val="clear" w:color="auto" w:fill="D2DCE5"/>
          </w:tcPr>
          <w:p>
            <w:pPr>
              <w:spacing w:after="0"/>
              <w:rPr>
                <w:sz w:val="15"/>
                <w:szCs w:val="15"/>
                <w:color w:val="auto"/>
              </w:rPr>
            </w:pPr>
          </w:p>
        </w:tc>
        <w:tc>
          <w:tcPr>
            <w:tcW w:w="8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200,732</w:t>
            </w:r>
          </w:p>
        </w:tc>
        <w:tc>
          <w:tcPr>
            <w:tcW w:w="80" w:type="dxa"/>
            <w:vAlign w:val="bottom"/>
            <w:tcBorders>
              <w:top w:val="single" w:sz="8" w:color="D2DCE5"/>
            </w:tcBorders>
            <w:shd w:val="clear" w:color="auto" w:fill="D2DCE5"/>
          </w:tcPr>
          <w:p>
            <w:pPr>
              <w:spacing w:after="0"/>
              <w:rPr>
                <w:sz w:val="15"/>
                <w:szCs w:val="15"/>
                <w:color w:val="auto"/>
              </w:rPr>
            </w:pPr>
          </w:p>
        </w:tc>
        <w:tc>
          <w:tcPr>
            <w:tcW w:w="240" w:type="dxa"/>
            <w:vAlign w:val="bottom"/>
            <w:tcBorders>
              <w:top w:val="single" w:sz="8" w:color="auto"/>
              <w:bottom w:val="single" w:sz="8" w:color="auto"/>
            </w:tcBorders>
            <w:shd w:val="clear" w:color="auto" w:fill="D2DCE5"/>
          </w:tcPr>
          <w:p>
            <w:pPr>
              <w:spacing w:after="0"/>
              <w:rPr>
                <w:sz w:val="15"/>
                <w:szCs w:val="15"/>
                <w:color w:val="auto"/>
              </w:rPr>
            </w:pPr>
          </w:p>
        </w:tc>
        <w:tc>
          <w:tcPr>
            <w:tcW w:w="860" w:type="dxa"/>
            <w:vAlign w:val="bottom"/>
            <w:tcBorders>
              <w:top w:val="single" w:sz="8" w:color="auto"/>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134,361</w:t>
            </w:r>
          </w:p>
        </w:tc>
      </w:tr>
      <w:tr>
        <w:trPr>
          <w:trHeight w:val="182"/>
        </w:trPr>
        <w:tc>
          <w:tcPr>
            <w:tcW w:w="7800" w:type="dxa"/>
            <w:vAlign w:val="bottom"/>
            <w:gridSpan w:val="2"/>
          </w:tcPr>
          <w:p>
            <w:pPr>
              <w:ind w:left="440"/>
              <w:spacing w:after="0"/>
              <w:rPr>
                <w:sz w:val="20"/>
                <w:szCs w:val="20"/>
                <w:color w:val="auto"/>
              </w:rPr>
            </w:pPr>
            <w:r>
              <w:rPr>
                <w:rFonts w:ascii="Arial" w:cs="Arial" w:eastAsia="Arial" w:hAnsi="Arial"/>
                <w:sz w:val="13"/>
                <w:szCs w:val="13"/>
                <w:color w:val="131E29"/>
              </w:rPr>
              <w:t>Net increase in cash and cash equivalents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131E29"/>
              </w:rPr>
              <w:t>159,809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113,367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131E29"/>
              </w:rPr>
              <w:t>1,672</w:t>
            </w:r>
          </w:p>
        </w:tc>
      </w:tr>
      <w:tr>
        <w:trPr>
          <w:trHeight w:val="191"/>
        </w:trPr>
        <w:tc>
          <w:tcPr>
            <w:tcW w:w="78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Cash and cash equivalents, beginning of period</w:t>
            </w:r>
          </w:p>
        </w:tc>
        <w:tc>
          <w:tcPr>
            <w:tcW w:w="260" w:type="dxa"/>
            <w:vAlign w:val="bottom"/>
            <w:tcBorders>
              <w:bottom w:val="single" w:sz="8" w:color="auto"/>
            </w:tcBorders>
            <w:shd w:val="clear" w:color="auto" w:fill="D2DCE5"/>
          </w:tcPr>
          <w:p>
            <w:pPr>
              <w:spacing w:after="0"/>
              <w:rPr>
                <w:sz w:val="16"/>
                <w:szCs w:val="16"/>
                <w:color w:val="auto"/>
              </w:rPr>
            </w:pPr>
          </w:p>
        </w:tc>
        <w:tc>
          <w:tcPr>
            <w:tcW w:w="8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133,545</w:t>
            </w:r>
          </w:p>
        </w:tc>
        <w:tc>
          <w:tcPr>
            <w:tcW w:w="100" w:type="dxa"/>
            <w:vAlign w:val="bottom"/>
            <w:shd w:val="clear" w:color="auto" w:fill="D2DCE5"/>
          </w:tcPr>
          <w:p>
            <w:pPr>
              <w:spacing w:after="0"/>
              <w:rPr>
                <w:sz w:val="16"/>
                <w:szCs w:val="16"/>
                <w:color w:val="auto"/>
              </w:rPr>
            </w:pPr>
          </w:p>
        </w:tc>
        <w:tc>
          <w:tcPr>
            <w:tcW w:w="240" w:type="dxa"/>
            <w:vAlign w:val="bottom"/>
            <w:tcBorders>
              <w:bottom w:val="single" w:sz="8" w:color="auto"/>
            </w:tcBorders>
            <w:shd w:val="clear" w:color="auto" w:fill="D2DCE5"/>
          </w:tcPr>
          <w:p>
            <w:pPr>
              <w:spacing w:after="0"/>
              <w:rPr>
                <w:sz w:val="16"/>
                <w:szCs w:val="16"/>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20,178</w:t>
            </w:r>
          </w:p>
        </w:tc>
        <w:tc>
          <w:tcPr>
            <w:tcW w:w="80" w:type="dxa"/>
            <w:vAlign w:val="bottom"/>
            <w:shd w:val="clear" w:color="auto" w:fill="D2DCE5"/>
          </w:tcPr>
          <w:p>
            <w:pPr>
              <w:spacing w:after="0"/>
              <w:rPr>
                <w:sz w:val="16"/>
                <w:szCs w:val="16"/>
                <w:color w:val="auto"/>
              </w:rPr>
            </w:pPr>
          </w:p>
        </w:tc>
        <w:tc>
          <w:tcPr>
            <w:tcW w:w="240" w:type="dxa"/>
            <w:vAlign w:val="bottom"/>
            <w:tcBorders>
              <w:bottom w:val="single" w:sz="8" w:color="auto"/>
            </w:tcBorders>
            <w:shd w:val="clear" w:color="auto" w:fill="D2DCE5"/>
          </w:tcPr>
          <w:p>
            <w:pPr>
              <w:spacing w:after="0"/>
              <w:rPr>
                <w:sz w:val="16"/>
                <w:szCs w:val="16"/>
                <w:color w:val="auto"/>
              </w:rPr>
            </w:pPr>
          </w:p>
        </w:tc>
        <w:tc>
          <w:tcPr>
            <w:tcW w:w="8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3"/>
                <w:szCs w:val="13"/>
                <w:color w:val="131E29"/>
              </w:rPr>
              <w:t>18,506</w:t>
            </w:r>
          </w:p>
        </w:tc>
      </w:tr>
      <w:tr>
        <w:trPr>
          <w:trHeight w:val="188"/>
        </w:trPr>
        <w:tc>
          <w:tcPr>
            <w:tcW w:w="7800" w:type="dxa"/>
            <w:vAlign w:val="bottom"/>
            <w:gridSpan w:val="2"/>
          </w:tcPr>
          <w:p>
            <w:pPr>
              <w:ind w:left="20"/>
              <w:spacing w:after="0"/>
              <w:rPr>
                <w:sz w:val="20"/>
                <w:szCs w:val="20"/>
                <w:color w:val="auto"/>
              </w:rPr>
            </w:pPr>
            <w:r>
              <w:rPr>
                <w:rFonts w:ascii="Arial" w:cs="Arial" w:eastAsia="Arial" w:hAnsi="Arial"/>
                <w:sz w:val="13"/>
                <w:szCs w:val="13"/>
                <w:b w:val="1"/>
                <w:bCs w:val="1"/>
                <w:color w:val="131E29"/>
              </w:rPr>
              <w:t>Cash and cash equivalents, end of period</w:t>
            </w:r>
          </w:p>
        </w:tc>
        <w:tc>
          <w:tcPr>
            <w:tcW w:w="26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131E29"/>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293,354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131E29"/>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133,545</w:t>
            </w:r>
          </w:p>
        </w:tc>
        <w:tc>
          <w:tcPr>
            <w:tcW w:w="80" w:type="dxa"/>
            <w:vAlign w:val="bottom"/>
          </w:tcPr>
          <w:p>
            <w:pPr>
              <w:spacing w:after="0"/>
              <w:rPr>
                <w:sz w:val="16"/>
                <w:szCs w:val="16"/>
                <w:color w:val="auto"/>
              </w:rPr>
            </w:pP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b w:val="1"/>
                <w:bCs w:val="1"/>
                <w:color w:val="131E29"/>
                <w:w w:val="82"/>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20,178</w:t>
            </w:r>
          </w:p>
        </w:tc>
      </w:tr>
      <w:tr>
        <w:trPr>
          <w:trHeight w:val="20"/>
        </w:trPr>
        <w:tc>
          <w:tcPr>
            <w:tcW w:w="7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4" w:name="page105"/>
    <w:bookmarkEnd w:id="104"/>
    <w:p>
      <w:pPr>
        <w:spacing w:after="0"/>
        <w:rPr>
          <w:sz w:val="20"/>
          <w:szCs w:val="20"/>
          <w:color w:val="auto"/>
        </w:rPr>
      </w:pPr>
      <w:r>
        <w:rPr>
          <w:rFonts w:ascii="Arial" w:cs="Arial" w:eastAsia="Arial" w:hAnsi="Arial"/>
          <w:sz w:val="11"/>
          <w:szCs w:val="11"/>
          <w:u w:val="single" w:color="auto"/>
          <w:color w:val="006098"/>
        </w:rPr>
        <w:t>Table of Contents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3"/>
          <w:szCs w:val="13"/>
          <w:color w:val="131E29"/>
        </w:rPr>
        <w:t>Consolidated Statements of Cash Flows (continued)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8700"/>
        <w:spacing w:after="0"/>
        <w:rPr>
          <w:sz w:val="20"/>
          <w:szCs w:val="20"/>
          <w:color w:val="auto"/>
        </w:rPr>
      </w:pPr>
      <w:r>
        <w:rPr>
          <w:rFonts w:ascii="Arial" w:cs="Arial" w:eastAsia="Arial" w:hAnsi="Arial"/>
          <w:sz w:val="13"/>
          <w:szCs w:val="13"/>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19685</wp:posOffset>
            </wp:positionV>
            <wp:extent cx="2290445"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290445" cy="6985"/>
                    </a:xfrm>
                    <a:prstGeom prst="rect">
                      <a:avLst/>
                    </a:prstGeom>
                    <a:noFill/>
                  </pic:spPr>
                </pic:pic>
              </a:graphicData>
            </a:graphic>
          </wp:anchor>
        </w:drawing>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131E29"/>
              </w:rPr>
              <w:t>2024</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131E29"/>
              </w:rPr>
              <w:t>2023</w:t>
            </w: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131E29"/>
              </w:rPr>
              <w:t>2022</w:t>
            </w:r>
          </w:p>
        </w:tc>
      </w:tr>
      <w:tr>
        <w:trPr>
          <w:trHeight w:val="182"/>
        </w:trPr>
        <w:tc>
          <w:tcPr>
            <w:tcW w:w="7680" w:type="dxa"/>
            <w:vAlign w:val="bottom"/>
            <w:gridSpan w:val="2"/>
          </w:tcPr>
          <w:p>
            <w:pPr>
              <w:ind w:left="20"/>
              <w:spacing w:after="0"/>
              <w:rPr>
                <w:sz w:val="20"/>
                <w:szCs w:val="20"/>
                <w:color w:val="auto"/>
              </w:rPr>
            </w:pPr>
            <w:r>
              <w:rPr>
                <w:rFonts w:ascii="Arial" w:cs="Arial" w:eastAsia="Arial" w:hAnsi="Arial"/>
                <w:sz w:val="13"/>
                <w:szCs w:val="13"/>
                <w:b w:val="1"/>
                <w:bCs w:val="1"/>
                <w:color w:val="131E29"/>
              </w:rPr>
              <w:t>Supplemental disclosure of cash flow information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95"/>
        </w:trPr>
        <w:tc>
          <w:tcPr>
            <w:tcW w:w="768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Interest paid</w:t>
            </w:r>
          </w:p>
        </w:tc>
        <w:tc>
          <w:tcPr>
            <w:tcW w:w="260" w:type="dxa"/>
            <w:vAlign w:val="bottom"/>
            <w:shd w:val="clear" w:color="auto" w:fill="D2DCE5"/>
          </w:tcPr>
          <w:p>
            <w:pPr>
              <w:jc w:val="right"/>
              <w:ind w:right="116"/>
              <w:spacing w:after="0"/>
              <w:rPr>
                <w:sz w:val="20"/>
                <w:szCs w:val="20"/>
                <w:color w:val="auto"/>
              </w:rPr>
            </w:pPr>
            <w:r>
              <w:rPr>
                <w:rFonts w:ascii="Arial" w:cs="Arial" w:eastAsia="Arial" w:hAnsi="Arial"/>
                <w:sz w:val="13"/>
                <w:szCs w:val="13"/>
                <w:color w:val="131E29"/>
                <w:w w:val="82"/>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39,103</w:t>
            </w: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jc w:val="right"/>
              <w:ind w:right="96"/>
              <w:spacing w:after="0"/>
              <w:rPr>
                <w:sz w:val="20"/>
                <w:szCs w:val="20"/>
                <w:color w:val="auto"/>
              </w:rPr>
            </w:pPr>
            <w:r>
              <w:rPr>
                <w:rFonts w:ascii="Arial" w:cs="Arial" w:eastAsia="Arial" w:hAnsi="Arial"/>
                <w:sz w:val="13"/>
                <w:szCs w:val="13"/>
                <w:color w:val="131E29"/>
              </w:rPr>
              <w:t>$</w:t>
            </w:r>
          </w:p>
        </w:tc>
        <w:tc>
          <w:tcPr>
            <w:tcW w:w="9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34,969</w:t>
            </w:r>
          </w:p>
        </w:tc>
        <w:tc>
          <w:tcPr>
            <w:tcW w:w="80" w:type="dxa"/>
            <w:vAlign w:val="bottom"/>
            <w:shd w:val="clear" w:color="auto" w:fill="D2DCE5"/>
          </w:tcPr>
          <w:p>
            <w:pPr>
              <w:spacing w:after="0"/>
              <w:rPr>
                <w:sz w:val="16"/>
                <w:szCs w:val="16"/>
                <w:color w:val="auto"/>
              </w:rPr>
            </w:pPr>
          </w:p>
        </w:tc>
        <w:tc>
          <w:tcPr>
            <w:tcW w:w="260" w:type="dxa"/>
            <w:vAlign w:val="bottom"/>
            <w:shd w:val="clear" w:color="auto" w:fill="D2DCE5"/>
          </w:tcPr>
          <w:p>
            <w:pPr>
              <w:jc w:val="right"/>
              <w:ind w:right="116"/>
              <w:spacing w:after="0"/>
              <w:rPr>
                <w:sz w:val="20"/>
                <w:szCs w:val="20"/>
                <w:color w:val="auto"/>
              </w:rPr>
            </w:pPr>
            <w:r>
              <w:rPr>
                <w:rFonts w:ascii="Arial" w:cs="Arial" w:eastAsia="Arial" w:hAnsi="Arial"/>
                <w:sz w:val="13"/>
                <w:szCs w:val="13"/>
                <w:color w:val="131E29"/>
                <w:w w:val="82"/>
              </w:rPr>
              <w:t>$</w:t>
            </w: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17,613</w:t>
            </w:r>
          </w:p>
        </w:tc>
      </w:tr>
      <w:tr>
        <w:trPr>
          <w:trHeight w:val="184"/>
        </w:trPr>
        <w:tc>
          <w:tcPr>
            <w:tcW w:w="7680" w:type="dxa"/>
            <w:vAlign w:val="bottom"/>
            <w:gridSpan w:val="2"/>
          </w:tcPr>
          <w:p>
            <w:pPr>
              <w:ind w:left="140"/>
              <w:spacing w:after="0"/>
              <w:rPr>
                <w:sz w:val="20"/>
                <w:szCs w:val="20"/>
                <w:color w:val="auto"/>
              </w:rPr>
            </w:pPr>
            <w:r>
              <w:rPr>
                <w:rFonts w:ascii="Arial" w:cs="Arial" w:eastAsia="Arial" w:hAnsi="Arial"/>
                <w:sz w:val="13"/>
                <w:szCs w:val="13"/>
                <w:color w:val="131E29"/>
              </w:rPr>
              <w:t>Income taxes paid, net of refunds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2,253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131E29"/>
              </w:rPr>
              <w:t>1,731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1,316</w:t>
            </w:r>
          </w:p>
        </w:tc>
      </w:tr>
      <w:tr>
        <w:trPr>
          <w:trHeight w:val="198"/>
        </w:trPr>
        <w:tc>
          <w:tcPr>
            <w:tcW w:w="7680" w:type="dxa"/>
            <w:vAlign w:val="bottom"/>
            <w:gridSpan w:val="2"/>
            <w:shd w:val="clear" w:color="auto" w:fill="D2DCE5"/>
          </w:tcPr>
          <w:p>
            <w:pPr>
              <w:ind w:left="20"/>
              <w:spacing w:after="0"/>
              <w:rPr>
                <w:sz w:val="20"/>
                <w:szCs w:val="20"/>
                <w:color w:val="auto"/>
              </w:rPr>
            </w:pPr>
            <w:r>
              <w:rPr>
                <w:rFonts w:ascii="Arial" w:cs="Arial" w:eastAsia="Arial" w:hAnsi="Arial"/>
                <w:sz w:val="13"/>
                <w:szCs w:val="13"/>
                <w:b w:val="1"/>
                <w:bCs w:val="1"/>
                <w:color w:val="131E29"/>
              </w:rPr>
              <w:t>Supplemental disclosure of noncash investing and financing activities</w:t>
            </w:r>
          </w:p>
        </w:tc>
        <w:tc>
          <w:tcPr>
            <w:tcW w:w="260" w:type="dxa"/>
            <w:vAlign w:val="bottom"/>
            <w:shd w:val="clear" w:color="auto" w:fill="D2DCE5"/>
          </w:tcPr>
          <w:p>
            <w:pPr>
              <w:spacing w:after="0"/>
              <w:rPr>
                <w:sz w:val="17"/>
                <w:szCs w:val="17"/>
                <w:color w:val="auto"/>
              </w:rPr>
            </w:pPr>
          </w:p>
        </w:tc>
        <w:tc>
          <w:tcPr>
            <w:tcW w:w="8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90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880" w:type="dxa"/>
            <w:vAlign w:val="bottom"/>
            <w:shd w:val="clear" w:color="auto" w:fill="D2DCE5"/>
          </w:tcPr>
          <w:p>
            <w:pPr>
              <w:spacing w:after="0"/>
              <w:rPr>
                <w:sz w:val="17"/>
                <w:szCs w:val="17"/>
                <w:color w:val="auto"/>
              </w:rPr>
            </w:pPr>
          </w:p>
        </w:tc>
      </w:tr>
      <w:tr>
        <w:trPr>
          <w:trHeight w:val="184"/>
        </w:trPr>
        <w:tc>
          <w:tcPr>
            <w:tcW w:w="7680" w:type="dxa"/>
            <w:vAlign w:val="bottom"/>
            <w:gridSpan w:val="2"/>
          </w:tcPr>
          <w:p>
            <w:pPr>
              <w:ind w:left="140"/>
              <w:spacing w:after="0"/>
              <w:rPr>
                <w:sz w:val="20"/>
                <w:szCs w:val="20"/>
                <w:color w:val="auto"/>
              </w:rPr>
            </w:pPr>
            <w:r>
              <w:rPr>
                <w:rFonts w:ascii="Arial" w:cs="Arial" w:eastAsia="Arial" w:hAnsi="Arial"/>
                <w:sz w:val="13"/>
                <w:szCs w:val="13"/>
                <w:color w:val="131E29"/>
              </w:rPr>
              <w:t>Additions of property and equipment accrued as of end of period</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12,635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131E29"/>
              </w:rPr>
              <w:t>13,880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131E29"/>
              </w:rPr>
              <w:t>6,731</w:t>
            </w:r>
          </w:p>
        </w:tc>
      </w:tr>
      <w:tr>
        <w:trPr>
          <w:trHeight w:val="198"/>
        </w:trPr>
        <w:tc>
          <w:tcPr>
            <w:tcW w:w="7680" w:type="dxa"/>
            <w:vAlign w:val="bottom"/>
            <w:gridSpan w:val="2"/>
            <w:shd w:val="clear" w:color="auto" w:fill="D2DCE5"/>
          </w:tcPr>
          <w:p>
            <w:pPr>
              <w:ind w:left="140"/>
              <w:spacing w:after="0"/>
              <w:rPr>
                <w:sz w:val="20"/>
                <w:szCs w:val="20"/>
                <w:color w:val="auto"/>
              </w:rPr>
            </w:pPr>
            <w:r>
              <w:rPr>
                <w:rFonts w:ascii="Arial" w:cs="Arial" w:eastAsia="Arial" w:hAnsi="Arial"/>
                <w:sz w:val="13"/>
                <w:szCs w:val="13"/>
                <w:color w:val="131E29"/>
              </w:rPr>
              <w:t>Transfer between line of credit and term loan facility</w:t>
            </w:r>
          </w:p>
        </w:tc>
        <w:tc>
          <w:tcPr>
            <w:tcW w:w="260" w:type="dxa"/>
            <w:vAlign w:val="bottom"/>
            <w:shd w:val="clear" w:color="auto" w:fill="D2DCE5"/>
          </w:tcPr>
          <w:p>
            <w:pPr>
              <w:spacing w:after="0"/>
              <w:rPr>
                <w:sz w:val="17"/>
                <w:szCs w:val="17"/>
                <w:color w:val="auto"/>
              </w:rPr>
            </w:pPr>
          </w:p>
        </w:tc>
        <w:tc>
          <w:tcPr>
            <w:tcW w:w="96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60" w:type="dxa"/>
            <w:vAlign w:val="bottom"/>
            <w:shd w:val="clear" w:color="auto" w:fill="D2DCE5"/>
          </w:tcPr>
          <w:p>
            <w:pPr>
              <w:spacing w:after="0"/>
              <w:rPr>
                <w:sz w:val="17"/>
                <w:szCs w:val="17"/>
                <w:color w:val="auto"/>
              </w:rPr>
            </w:pPr>
          </w:p>
        </w:tc>
        <w:tc>
          <w:tcPr>
            <w:tcW w:w="980" w:type="dxa"/>
            <w:vAlign w:val="bottom"/>
            <w:gridSpan w:val="2"/>
            <w:shd w:val="clear" w:color="auto" w:fill="D2DCE5"/>
          </w:tcPr>
          <w:p>
            <w:pPr>
              <w:jc w:val="right"/>
              <w:ind w:right="140"/>
              <w:spacing w:after="0"/>
              <w:rPr>
                <w:sz w:val="20"/>
                <w:szCs w:val="20"/>
                <w:color w:val="auto"/>
              </w:rPr>
            </w:pPr>
            <w:r>
              <w:rPr>
                <w:rFonts w:ascii="Arial" w:cs="Arial" w:eastAsia="Arial" w:hAnsi="Arial"/>
                <w:sz w:val="13"/>
                <w:szCs w:val="13"/>
                <w:color w:val="131E29"/>
              </w:rPr>
              <w:t>—</w:t>
            </w:r>
          </w:p>
        </w:tc>
        <w:tc>
          <w:tcPr>
            <w:tcW w:w="260" w:type="dxa"/>
            <w:vAlign w:val="bottom"/>
            <w:shd w:val="clear" w:color="auto" w:fill="D2DCE5"/>
          </w:tcPr>
          <w:p>
            <w:pPr>
              <w:spacing w:after="0"/>
              <w:rPr>
                <w:sz w:val="17"/>
                <w:szCs w:val="17"/>
                <w:color w:val="auto"/>
              </w:rPr>
            </w:pPr>
          </w:p>
        </w:tc>
        <w:tc>
          <w:tcPr>
            <w:tcW w:w="8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100,000</w:t>
            </w:r>
          </w:p>
        </w:tc>
      </w:tr>
    </w:tbl>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5" w:name="page106"/>
    <w:bookmarkEnd w:id="10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580" w:type="dxa"/>
            <w:vAlign w:val="bottom"/>
            <w:gridSpan w:val="2"/>
          </w:tcPr>
          <w:p>
            <w:pPr>
              <w:ind w:left="3980"/>
              <w:spacing w:after="0"/>
              <w:rPr>
                <w:sz w:val="20"/>
                <w:szCs w:val="20"/>
                <w:color w:val="auto"/>
              </w:rPr>
            </w:pPr>
            <w:r>
              <w:rPr>
                <w:rFonts w:ascii="Arial" w:cs="Arial" w:eastAsia="Arial" w:hAnsi="Arial"/>
                <w:sz w:val="14"/>
                <w:szCs w:val="14"/>
                <w:color w:val="131E29"/>
              </w:rPr>
              <w:t>Index for Notes to Consolidated Financial Statements</w:t>
            </w:r>
          </w:p>
        </w:tc>
        <w:tc>
          <w:tcPr>
            <w:tcW w:w="700" w:type="dxa"/>
            <w:vAlign w:val="bottom"/>
          </w:tcPr>
          <w:p>
            <w:pPr>
              <w:spacing w:after="0"/>
              <w:rPr>
                <w:sz w:val="16"/>
                <w:szCs w:val="16"/>
                <w:color w:val="auto"/>
              </w:rPr>
            </w:pPr>
          </w:p>
        </w:tc>
      </w:tr>
      <w:tr>
        <w:trPr>
          <w:trHeight w:val="226"/>
        </w:trPr>
        <w:tc>
          <w:tcPr>
            <w:tcW w:w="10500" w:type="dxa"/>
            <w:vAlign w:val="bottom"/>
            <w:tcBorders>
              <w:bottom w:val="single" w:sz="8" w:color="131E29"/>
            </w:tcBorders>
          </w:tcPr>
          <w:p>
            <w:pPr>
              <w:ind w:left="20"/>
              <w:spacing w:after="0"/>
              <w:rPr>
                <w:sz w:val="20"/>
                <w:szCs w:val="20"/>
                <w:color w:val="auto"/>
              </w:rPr>
            </w:pPr>
            <w:r>
              <w:rPr>
                <w:rFonts w:ascii="Arial" w:cs="Arial" w:eastAsia="Arial" w:hAnsi="Arial"/>
                <w:sz w:val="14"/>
                <w:szCs w:val="14"/>
                <w:b w:val="1"/>
                <w:bCs w:val="1"/>
                <w:color w:val="131E29"/>
              </w:rPr>
              <w:t>Note</w:t>
            </w:r>
          </w:p>
        </w:tc>
        <w:tc>
          <w:tcPr>
            <w:tcW w:w="80" w:type="dxa"/>
            <w:vAlign w:val="bottom"/>
            <w:tcBorders>
              <w:bottom w:val="single" w:sz="8" w:color="D2DCE5"/>
            </w:tcBorders>
          </w:tcPr>
          <w:p>
            <w:pPr>
              <w:spacing w:after="0"/>
              <w:rPr>
                <w:sz w:val="19"/>
                <w:szCs w:val="19"/>
                <w:color w:val="auto"/>
              </w:rPr>
            </w:pPr>
          </w:p>
        </w:tc>
        <w:tc>
          <w:tcPr>
            <w:tcW w:w="700" w:type="dxa"/>
            <w:vAlign w:val="bottom"/>
            <w:tcBorders>
              <w:bottom w:val="single" w:sz="8" w:color="131E29"/>
            </w:tcBorders>
          </w:tcPr>
          <w:p>
            <w:pPr>
              <w:ind w:left="180"/>
              <w:spacing w:after="0"/>
              <w:rPr>
                <w:sz w:val="20"/>
                <w:szCs w:val="20"/>
                <w:color w:val="auto"/>
              </w:rPr>
            </w:pPr>
            <w:r>
              <w:rPr>
                <w:rFonts w:ascii="Arial" w:cs="Arial" w:eastAsia="Arial" w:hAnsi="Arial"/>
                <w:sz w:val="14"/>
                <w:szCs w:val="14"/>
                <w:b w:val="1"/>
                <w:bCs w:val="1"/>
                <w:color w:val="131E29"/>
              </w:rPr>
              <w:t>Page</w:t>
            </w:r>
          </w:p>
        </w:tc>
      </w:tr>
      <w:tr>
        <w:trPr>
          <w:trHeight w:val="209"/>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 — Organization and Background</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103</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2 — Basis of Presentation and Summary of Significant Accounting Policies</w:t>
            </w:r>
          </w:p>
        </w:tc>
        <w:tc>
          <w:tcPr>
            <w:tcW w:w="700" w:type="dxa"/>
            <w:vAlign w:val="bottom"/>
          </w:tcPr>
          <w:p>
            <w:pPr>
              <w:jc w:val="center"/>
              <w:spacing w:after="0"/>
              <w:rPr>
                <w:sz w:val="20"/>
                <w:szCs w:val="20"/>
                <w:color w:val="auto"/>
              </w:rPr>
            </w:pPr>
            <w:r>
              <w:rPr>
                <w:rFonts w:ascii="Arial" w:cs="Arial" w:eastAsia="Arial" w:hAnsi="Arial"/>
                <w:sz w:val="14"/>
                <w:szCs w:val="14"/>
                <w:color w:val="131E29"/>
              </w:rPr>
              <w:t>103</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3 — Revenue Recognition</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4"/>
              </w:rPr>
              <w:t>111</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4 — Organization Realignment and Restructuring</w:t>
            </w:r>
          </w:p>
        </w:tc>
        <w:tc>
          <w:tcPr>
            <w:tcW w:w="700" w:type="dxa"/>
            <w:vAlign w:val="bottom"/>
          </w:tcPr>
          <w:p>
            <w:pPr>
              <w:jc w:val="center"/>
              <w:spacing w:after="0"/>
              <w:rPr>
                <w:sz w:val="20"/>
                <w:szCs w:val="20"/>
                <w:color w:val="auto"/>
              </w:rPr>
            </w:pPr>
            <w:r>
              <w:rPr>
                <w:rFonts w:ascii="Arial" w:cs="Arial" w:eastAsia="Arial" w:hAnsi="Arial"/>
                <w:sz w:val="14"/>
                <w:szCs w:val="14"/>
                <w:color w:val="131E29"/>
                <w:w w:val="94"/>
              </w:rPr>
              <w:t>113</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5 — Inventories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4"/>
              </w:rPr>
              <w:t>114</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6 — Property and Equipment</w:t>
            </w:r>
          </w:p>
        </w:tc>
        <w:tc>
          <w:tcPr>
            <w:tcW w:w="700" w:type="dxa"/>
            <w:vAlign w:val="bottom"/>
          </w:tcPr>
          <w:p>
            <w:pPr>
              <w:jc w:val="center"/>
              <w:spacing w:after="0"/>
              <w:rPr>
                <w:sz w:val="20"/>
                <w:szCs w:val="20"/>
                <w:color w:val="auto"/>
              </w:rPr>
            </w:pPr>
            <w:r>
              <w:rPr>
                <w:rFonts w:ascii="Arial" w:cs="Arial" w:eastAsia="Arial" w:hAnsi="Arial"/>
                <w:sz w:val="14"/>
                <w:szCs w:val="14"/>
                <w:color w:val="131E29"/>
                <w:w w:val="94"/>
              </w:rPr>
              <w:t>114</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7 — Intangible Assets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4"/>
              </w:rPr>
              <w:t>115</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8 — Leases</w:t>
            </w:r>
          </w:p>
        </w:tc>
        <w:tc>
          <w:tcPr>
            <w:tcW w:w="700" w:type="dxa"/>
            <w:vAlign w:val="bottom"/>
          </w:tcPr>
          <w:p>
            <w:pPr>
              <w:jc w:val="center"/>
              <w:spacing w:after="0"/>
              <w:rPr>
                <w:sz w:val="20"/>
                <w:szCs w:val="20"/>
                <w:color w:val="auto"/>
              </w:rPr>
            </w:pPr>
            <w:r>
              <w:rPr>
                <w:rFonts w:ascii="Arial" w:cs="Arial" w:eastAsia="Arial" w:hAnsi="Arial"/>
                <w:sz w:val="14"/>
                <w:szCs w:val="14"/>
                <w:color w:val="131E29"/>
                <w:w w:val="94"/>
              </w:rPr>
              <w:t>116</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9 — Debt</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w w:val="94"/>
              </w:rPr>
              <w:t>118</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10 — Derivative Financial Instruments</w:t>
            </w:r>
          </w:p>
        </w:tc>
        <w:tc>
          <w:tcPr>
            <w:tcW w:w="700" w:type="dxa"/>
            <w:vAlign w:val="bottom"/>
          </w:tcPr>
          <w:p>
            <w:pPr>
              <w:jc w:val="center"/>
              <w:spacing w:after="0"/>
              <w:rPr>
                <w:sz w:val="20"/>
                <w:szCs w:val="20"/>
                <w:color w:val="auto"/>
              </w:rPr>
            </w:pPr>
            <w:r>
              <w:rPr>
                <w:rFonts w:ascii="Arial" w:cs="Arial" w:eastAsia="Arial" w:hAnsi="Arial"/>
                <w:sz w:val="14"/>
                <w:szCs w:val="14"/>
                <w:color w:val="131E29"/>
                <w:w w:val="94"/>
              </w:rPr>
              <w:t>119</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11 — Tax Receivable Agreements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120</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12 — Income Taxes</w:t>
            </w:r>
          </w:p>
        </w:tc>
        <w:tc>
          <w:tcPr>
            <w:tcW w:w="700" w:type="dxa"/>
            <w:vAlign w:val="bottom"/>
          </w:tcPr>
          <w:p>
            <w:pPr>
              <w:jc w:val="center"/>
              <w:spacing w:after="0"/>
              <w:rPr>
                <w:sz w:val="20"/>
                <w:szCs w:val="20"/>
                <w:color w:val="auto"/>
              </w:rPr>
            </w:pPr>
            <w:r>
              <w:rPr>
                <w:rFonts w:ascii="Arial" w:cs="Arial" w:eastAsia="Arial" w:hAnsi="Arial"/>
                <w:sz w:val="14"/>
                <w:szCs w:val="14"/>
                <w:color w:val="131E29"/>
              </w:rPr>
              <w:t>121</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13 — Equity-Based Compensation</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123</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14 — Employee Benefit Plans</w:t>
            </w:r>
          </w:p>
        </w:tc>
        <w:tc>
          <w:tcPr>
            <w:tcW w:w="700" w:type="dxa"/>
            <w:vAlign w:val="bottom"/>
          </w:tcPr>
          <w:p>
            <w:pPr>
              <w:jc w:val="center"/>
              <w:spacing w:after="0"/>
              <w:rPr>
                <w:sz w:val="20"/>
                <w:szCs w:val="20"/>
                <w:color w:val="auto"/>
              </w:rPr>
            </w:pPr>
            <w:r>
              <w:rPr>
                <w:rFonts w:ascii="Arial" w:cs="Arial" w:eastAsia="Arial" w:hAnsi="Arial"/>
                <w:sz w:val="14"/>
                <w:szCs w:val="14"/>
                <w:color w:val="131E29"/>
              </w:rPr>
              <w:t>124</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15 — Non-Controlling Interests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124</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16 — Income (Loss) Per Share</w:t>
            </w:r>
          </w:p>
        </w:tc>
        <w:tc>
          <w:tcPr>
            <w:tcW w:w="700" w:type="dxa"/>
            <w:vAlign w:val="bottom"/>
          </w:tcPr>
          <w:p>
            <w:pPr>
              <w:jc w:val="center"/>
              <w:spacing w:after="0"/>
              <w:rPr>
                <w:sz w:val="20"/>
                <w:szCs w:val="20"/>
                <w:color w:val="auto"/>
              </w:rPr>
            </w:pPr>
            <w:r>
              <w:rPr>
                <w:rFonts w:ascii="Arial" w:cs="Arial" w:eastAsia="Arial" w:hAnsi="Arial"/>
                <w:sz w:val="14"/>
                <w:szCs w:val="14"/>
                <w:color w:val="131E29"/>
              </w:rPr>
              <w:t>126</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17 — Commitments and Contingencies</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127</w:t>
            </w:r>
          </w:p>
        </w:tc>
      </w:tr>
      <w:tr>
        <w:trPr>
          <w:trHeight w:val="202"/>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18 — Related Party Transactions</w:t>
            </w:r>
          </w:p>
        </w:tc>
        <w:tc>
          <w:tcPr>
            <w:tcW w:w="700" w:type="dxa"/>
            <w:vAlign w:val="bottom"/>
          </w:tcPr>
          <w:p>
            <w:pPr>
              <w:jc w:val="center"/>
              <w:spacing w:after="0"/>
              <w:rPr>
                <w:sz w:val="20"/>
                <w:szCs w:val="20"/>
                <w:color w:val="auto"/>
              </w:rPr>
            </w:pPr>
            <w:r>
              <w:rPr>
                <w:rFonts w:ascii="Arial" w:cs="Arial" w:eastAsia="Arial" w:hAnsi="Arial"/>
                <w:sz w:val="14"/>
                <w:szCs w:val="14"/>
                <w:color w:val="131E29"/>
              </w:rPr>
              <w:t>128</w:t>
            </w:r>
          </w:p>
        </w:tc>
      </w:tr>
      <w:tr>
        <w:trPr>
          <w:trHeight w:val="222"/>
        </w:trPr>
        <w:tc>
          <w:tcPr>
            <w:tcW w:w="105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NOTE 19 — Segment Reporting</w:t>
            </w:r>
          </w:p>
        </w:tc>
        <w:tc>
          <w:tcPr>
            <w:tcW w:w="70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129</w:t>
            </w:r>
          </w:p>
        </w:tc>
      </w:tr>
      <w:tr>
        <w:trPr>
          <w:trHeight w:val="193"/>
        </w:trPr>
        <w:tc>
          <w:tcPr>
            <w:tcW w:w="10580" w:type="dxa"/>
            <w:vAlign w:val="bottom"/>
            <w:gridSpan w:val="2"/>
          </w:tcPr>
          <w:p>
            <w:pPr>
              <w:ind w:left="20"/>
              <w:spacing w:after="0"/>
              <w:rPr>
                <w:sz w:val="20"/>
                <w:szCs w:val="20"/>
                <w:color w:val="auto"/>
              </w:rPr>
            </w:pPr>
            <w:r>
              <w:rPr>
                <w:rFonts w:ascii="Arial" w:cs="Arial" w:eastAsia="Arial" w:hAnsi="Arial"/>
                <w:sz w:val="14"/>
                <w:szCs w:val="14"/>
                <w:color w:val="131E29"/>
              </w:rPr>
              <w:t>NOTE 20 — Subsequent Events</w:t>
            </w:r>
          </w:p>
        </w:tc>
        <w:tc>
          <w:tcPr>
            <w:tcW w:w="700" w:type="dxa"/>
            <w:vAlign w:val="bottom"/>
          </w:tcPr>
          <w:p>
            <w:pPr>
              <w:jc w:val="center"/>
              <w:spacing w:after="0"/>
              <w:rPr>
                <w:sz w:val="20"/>
                <w:szCs w:val="20"/>
                <w:color w:val="auto"/>
              </w:rPr>
            </w:pPr>
            <w:r>
              <w:rPr>
                <w:rFonts w:ascii="Arial" w:cs="Arial" w:eastAsia="Arial" w:hAnsi="Arial"/>
                <w:sz w:val="14"/>
                <w:szCs w:val="14"/>
                <w:color w:val="131E29"/>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6" w:name="page107"/>
    <w:bookmarkEnd w:id="10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Notes to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 — Organization and Background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Business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Dutch Bros Inc., a Delaware corporation, together with its subsidiaries (the Company, we, us, or our, collectively) is in the business of operating and franchising drive-thru coffee shops as well as the wholesale and distribution of coffee, coffee-related products, and accessories. As of December 31, 2024, there were 982 shops in operation in 18 U.S. states, of which 670 were company-operated and 312 were franchised.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Organization</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As of December 31, 2024, Dutch Bros Inc. held 100.0% of the voting interest and 65.1% of the economic interest of Dutch Bros OpCo. The Continuing Members held none of the voting interest and the remaining 34.9% of the economic interest of Dutch Bros OpCo.</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During 2024, in connection with various equity-related transactions by the Company’s Sponsor and Co-Founder, Dutch Bros Inc. issued approximately 45.4 million shares of Class A common stock in exchange for approximately 10.7 million shares of Class D common stock and conversion of approximately 34.7 million Dutch Bros OpCo Class A common units on a one-for-one basis. These transactions in total increased the Company’s interest in Dutch Bros OpCo to 65.1% as of December 31, 2024 from 45.5% as of the prior year-end.</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Further, in May 2024, pursuant to a share surrender agreement, among the Company, Dutch Bros OpCo, and our Co-Founder, our Co-Founder surrendered 23 million shares of Class B common stock, and the shares were cancelled by the Company. The surrender and cancellation of these shares had no impact on the economic interest in Dutch Bros OpCo held by our Co-Founder.</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 2023, we completed a follow-on offering of approximately 13.3 million shares of Class A common stock at a public offering price of $26.00 per share, which resulted in net proceeds of approximately $331.2 million. The proceeds were used to purchase an equal number of Class A common units of Dutch Bros OpCo. Dutch Bros OpCo used the proceeds for working capital and general corporate purposes, including principal repayment of the Company’s revolving credit facility and for payment of offering costs.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2 — Basis of Presentation and Summary of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Financial Statements Presentation</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Our consolidated financial statements as of December 31, 2024 and for the three years then ended have been prepared in accordance with GAAP and pursuant to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7" w:name="page108"/>
    <w:bookmarkEnd w:id="10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Significant Accounting Policies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Principles of Consolidation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consolidated financial statements include the accounts of our Company and subsidiaries that we control due to ownership of a majority voting interest or pursuant to accounting guidance for non-controlling interests. All intercompany transactions and balances have been eliminated in consolidation.</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Use of Estimates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presentation of consolidated financial statements in conformity with GAAP requires that we make estimates and assumptions, primarily related to long-lived asset valuation, leases, deferred revenue, tax receivable agreements, income taxes, and equity-based compensation that affect the reported amounts of assets and liabilities and disclosure of contingent assets and liabilities at the date of the consolidated financial statements and the reported amounts of revenues and expenses during the reporting periods. Although we base our estimates on historical experience and assumptions that are believed to be reasonable under the circumstances, actual results could differ from those estimates.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Cash and Cash Equivalents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Cash and cash equivalents include all short-term highly liquid instruments with original maturities of three months or less at the time of purchase, as well as credit card receivables for sales to customers in company-operated shops that generally settle within two to five business days. Our cash accounts are maintained at various high credit quality financial institutions and may exceed federally insured limits. We have not experienced any losses in such accounts.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Fair Value Measurements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apply fair value accounting for all financial assets and liabilities and non-financial assets and liabilities that are recognized or disclosed at fair value in our consolidated financial statements. We categorize assets and liabilities, based on the priority of the inputs to the valuation technique, into a three-level fair value hierarchy as set forth below. The three levels of the hierarchy are defined as follows:</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4"/>
          <w:szCs w:val="14"/>
          <w:i w:val="1"/>
          <w:iCs w:val="1"/>
          <w:color w:val="006098"/>
        </w:rPr>
        <w:t xml:space="preserve">Level 1 </w:t>
      </w:r>
      <w:r>
        <w:rPr>
          <w:rFonts w:ascii="Arial" w:cs="Arial" w:eastAsia="Arial" w:hAnsi="Arial"/>
          <w:sz w:val="14"/>
          <w:szCs w:val="14"/>
          <w:color w:val="131E29"/>
        </w:rPr>
        <w:t>– Unadjusted quoted prices in active markets for identical assets or liabilities.</w:t>
      </w:r>
    </w:p>
    <w:p>
      <w:pPr>
        <w:spacing w:after="0" w:line="51" w:lineRule="exact"/>
        <w:rPr>
          <w:sz w:val="20"/>
          <w:szCs w:val="20"/>
          <w:color w:val="auto"/>
        </w:rPr>
      </w:pPr>
    </w:p>
    <w:p>
      <w:pPr>
        <w:ind w:left="520"/>
        <w:spacing w:after="0" w:line="284" w:lineRule="auto"/>
        <w:rPr>
          <w:sz w:val="20"/>
          <w:szCs w:val="20"/>
          <w:color w:val="auto"/>
        </w:rPr>
      </w:pPr>
      <w:r>
        <w:rPr>
          <w:rFonts w:ascii="Arial" w:cs="Arial" w:eastAsia="Arial" w:hAnsi="Arial"/>
          <w:sz w:val="14"/>
          <w:szCs w:val="14"/>
          <w:i w:val="1"/>
          <w:iCs w:val="1"/>
          <w:color w:val="006098"/>
        </w:rPr>
        <w:t xml:space="preserve">Level 2 </w:t>
      </w:r>
      <w:r>
        <w:rPr>
          <w:rFonts w:ascii="Arial" w:cs="Arial" w:eastAsia="Arial" w:hAnsi="Arial"/>
          <w:sz w:val="14"/>
          <w:szCs w:val="14"/>
          <w:color w:val="131E29"/>
        </w:rPr>
        <w:t>– Observable inputs other than quoted prices in active markets for identical assets or liabilities, quoted prices for identical assets or liabilities in inactive markets, or</w:t>
      </w:r>
      <w:r>
        <w:rPr>
          <w:rFonts w:ascii="Arial" w:cs="Arial" w:eastAsia="Arial" w:hAnsi="Arial"/>
          <w:sz w:val="14"/>
          <w:szCs w:val="14"/>
          <w:i w:val="1"/>
          <w:iCs w:val="1"/>
          <w:color w:val="006098"/>
        </w:rPr>
        <w:t xml:space="preserve"> </w:t>
      </w:r>
      <w:r>
        <w:rPr>
          <w:rFonts w:ascii="Arial" w:cs="Arial" w:eastAsia="Arial" w:hAnsi="Arial"/>
          <w:sz w:val="14"/>
          <w:szCs w:val="14"/>
          <w:color w:val="131E29"/>
        </w:rPr>
        <w:t>other inputs that are observable or can be corroborated by observable market data for substantially the full term of the assets or liabilities.</w:t>
      </w:r>
    </w:p>
    <w:p>
      <w:pPr>
        <w:spacing w:after="0" w:line="1"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i w:val="1"/>
          <w:iCs w:val="1"/>
          <w:color w:val="006098"/>
        </w:rPr>
        <w:t xml:space="preserve">Level 3 </w:t>
      </w:r>
      <w:r>
        <w:rPr>
          <w:rFonts w:ascii="Arial" w:cs="Arial" w:eastAsia="Arial" w:hAnsi="Arial"/>
          <w:sz w:val="14"/>
          <w:szCs w:val="14"/>
          <w:color w:val="131E29"/>
        </w:rPr>
        <w:t>– Inputs that are both unobservable and significant to the overall fair value measurements reflecting an entity's estimates of assumptions that market participants</w:t>
      </w:r>
      <w:r>
        <w:rPr>
          <w:rFonts w:ascii="Arial" w:cs="Arial" w:eastAsia="Arial" w:hAnsi="Arial"/>
          <w:sz w:val="14"/>
          <w:szCs w:val="14"/>
          <w:i w:val="1"/>
          <w:iCs w:val="1"/>
          <w:color w:val="006098"/>
        </w:rPr>
        <w:t xml:space="preserve"> </w:t>
      </w:r>
      <w:r>
        <w:rPr>
          <w:rFonts w:ascii="Arial" w:cs="Arial" w:eastAsia="Arial" w:hAnsi="Arial"/>
          <w:sz w:val="14"/>
          <w:szCs w:val="14"/>
          <w:color w:val="131E29"/>
        </w:rPr>
        <w:t>would use in pricing the asset or liability.</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consolidated balance sheets include cash and cash equivalents, accounts receivable, prepaid expenses and other current assets, accounts payable, accrued expenses and other current liabilities, for which the carrying amounts approximate fair value due to their short-term maturity. The fair value of our variable-rate credit facilities approximate their carrying amounts as the cost of borrowing is variable and approximates current market prices, which is considered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8" w:name="page109"/>
    <w:bookmarkEnd w:id="10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Derivative Instruments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manage exposure to fluctuations in interest rates within our consolidated financial statements according to a hedging policy. Under this policy, we may from time to time enter into interest rate swap agreements to fix a portion of interest expense and hedge interest rate risk. A swap agreement is a contract between two parties to exchange cash flows based on specified underlying notional amounts, assets and/or indices. We do not enter into derivative instruments for speculative purposes or for any other purpose other than to manage its risks related to fluctuations in interest rates.</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By using swap instruments, we are exposed to potential credit risk. Credit risk is the failure of the counterparty to perform under the terms of the derivative contract. We minimize this credit risk by entering into transactions with carefully selected, credit-worthy counterparties.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Cash Flow Hedges</w:t>
      </w:r>
    </w:p>
    <w:p>
      <w:pPr>
        <w:spacing w:after="0" w:line="2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131E29"/>
        </w:rPr>
        <w:t>Cash flow hedges related to anticipated transactions are designated and documented at the inception of each hedge. Cash flows from hedging transactions are classified in the same categories as the cash flows from the respective hedged items.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For derivative instruments that are designated and qualify as a cash flow hedge, the derivative's gain or loss is reported as a component of other comprehensive income and recorded in accumulated other comprehensive income on the Company’s consolidated balance sheets. The gain or loss is subsequently reclassified into net earnings when the hedged exposure affects net earnings, in the same line item as the underlying hedged item on our consolidated statements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131E29"/>
        </w:rPr>
        <w:t>We may discontinue hedge accounting when:</w:t>
      </w:r>
    </w:p>
    <w:p>
      <w:pPr>
        <w:spacing w:after="0" w:line="94" w:lineRule="exact"/>
        <w:rPr>
          <w:sz w:val="20"/>
          <w:szCs w:val="20"/>
          <w:color w:val="auto"/>
        </w:rPr>
      </w:pPr>
    </w:p>
    <w:p>
      <w:pPr>
        <w:ind w:left="260" w:hanging="255"/>
        <w:spacing w:after="0"/>
        <w:tabs>
          <w:tab w:leader="none" w:pos="260"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it is determined that the cash flow derivative is no longer effective in offsetting changes in the cash flows of a hedged item;</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the derivative expires or is sold, terminated or exercised;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it is no longer probable that the forecasted transaction will occur; or</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48"/>
        </w:numPr>
        <w:rPr>
          <w:rFonts w:ascii="Arial" w:cs="Arial" w:eastAsia="Arial" w:hAnsi="Arial"/>
          <w:sz w:val="14"/>
          <w:szCs w:val="14"/>
          <w:color w:val="131E29"/>
        </w:rPr>
      </w:pPr>
      <w:r>
        <w:rPr>
          <w:rFonts w:ascii="Arial" w:cs="Arial" w:eastAsia="Arial" w:hAnsi="Arial"/>
          <w:sz w:val="14"/>
          <w:szCs w:val="14"/>
          <w:color w:val="131E29"/>
        </w:rPr>
        <w:t>management determines that designation of the derivatives as a hedge instrument is no longer appropriate.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Refer to NOTE 10 — Derivative Financial Instruments for further discussion of the Company’s derivative instruments.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Accounts Receivable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131E29"/>
        </w:rPr>
        <w:t>Accounts receivable, net of allowance for credit losses, consist primarily of royalty revenues, outstanding balances for sales of roasted coffee beans, Dutch Bros Rebel, other retail-related supplies to franchisees, and vendor rebates. The allowance for credit losses is estimated based on our historical losses adjusted for current, reasonable and supportable forecasts of economic conditions and other pertinent factors affecting our customers, including review of specific accounts, financial stability and credit worthiness. Accounts receivable are charged off against the allowance for credit losses when the financial condition of our customers is adversely affected and they are unable to meet their financial obligations. We had no allowance for credit losses at December 31, 2024 and 2023.</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Inventories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Inventories, net consist primarily of roasted and unroasted coffee beans, Dutch Bros Rebel, and other retail related supplies. Inventories are stated at the lower of cost or net realizable value, with cost being determined on a first-in, first-out basis. We record product returns as they are received, and obsolete and slow-moving inventory when identified, as these types of transactions have generally been immaterial to our historical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09" w:name="page110"/>
    <w:bookmarkEnd w:id="10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Property and Equipment</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Property and equipment, net are stated at historical cost less accumulated depreciation. Expenditures for maintenance, repairs, and routine replacements are charged to expense as incurred. Expenditures for major repairs and improvements that extend the useful lives of property and equipment are capitalized. When property or equipment is sold or otherwise disposed of, the asset and related accumulated depreciation are removed from the balance sheet and any gain or loss is included in income (loss) from operations in the accompanying consolidated statements of operations. Depreciation is computed on a straight-line basis over the following useful lives: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years)</w:t>
            </w:r>
          </w:p>
        </w:tc>
        <w:tc>
          <w:tcPr>
            <w:tcW w:w="80" w:type="dxa"/>
            <w:vAlign w:val="bottom"/>
            <w:tcBorders>
              <w:bottom w:val="single" w:sz="8" w:color="D2DCE5"/>
            </w:tcBorders>
          </w:tcPr>
          <w:p>
            <w:pPr>
              <w:spacing w:after="0"/>
              <w:rPr>
                <w:sz w:val="17"/>
                <w:szCs w:val="17"/>
                <w:color w:val="auto"/>
              </w:rPr>
            </w:pPr>
          </w:p>
        </w:tc>
        <w:tc>
          <w:tcPr>
            <w:tcW w:w="2580" w:type="dxa"/>
            <w:vAlign w:val="bottom"/>
            <w:tcBorders>
              <w:bottom w:val="single" w:sz="8" w:color="auto"/>
            </w:tcBorders>
            <w:gridSpan w:val="2"/>
          </w:tcPr>
          <w:p>
            <w:pPr>
              <w:jc w:val="right"/>
              <w:ind w:right="489"/>
              <w:spacing w:after="0"/>
              <w:rPr>
                <w:sz w:val="20"/>
                <w:szCs w:val="20"/>
                <w:color w:val="auto"/>
              </w:rPr>
            </w:pPr>
            <w:r>
              <w:rPr>
                <w:rFonts w:ascii="Arial" w:cs="Arial" w:eastAsia="Arial" w:hAnsi="Arial"/>
                <w:sz w:val="14"/>
                <w:szCs w:val="14"/>
                <w:b w:val="1"/>
                <w:bCs w:val="1"/>
                <w:color w:val="131E29"/>
              </w:rPr>
              <w:t>Estimated Useful Life</w:t>
            </w:r>
          </w:p>
        </w:tc>
      </w:tr>
      <w:tr>
        <w:trPr>
          <w:trHeight w:val="209"/>
        </w:trPr>
        <w:tc>
          <w:tcPr>
            <w:tcW w:w="87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Software</w:t>
            </w:r>
          </w:p>
        </w:tc>
        <w:tc>
          <w:tcPr>
            <w:tcW w:w="1240" w:type="dxa"/>
            <w:vAlign w:val="bottom"/>
            <w:shd w:val="clear" w:color="auto" w:fill="D2DCE5"/>
          </w:tcPr>
          <w:p>
            <w:pPr>
              <w:spacing w:after="0"/>
              <w:rPr>
                <w:sz w:val="18"/>
                <w:szCs w:val="18"/>
                <w:color w:val="auto"/>
              </w:rPr>
            </w:pPr>
          </w:p>
        </w:tc>
        <w:tc>
          <w:tcPr>
            <w:tcW w:w="1340" w:type="dxa"/>
            <w:vAlign w:val="bottom"/>
            <w:shd w:val="clear" w:color="auto" w:fill="D2DCE5"/>
          </w:tcPr>
          <w:p>
            <w:pPr>
              <w:jc w:val="right"/>
              <w:ind w:right="1169"/>
              <w:spacing w:after="0"/>
              <w:rPr>
                <w:sz w:val="20"/>
                <w:szCs w:val="20"/>
                <w:color w:val="auto"/>
              </w:rPr>
            </w:pPr>
            <w:r>
              <w:rPr>
                <w:rFonts w:ascii="Arial" w:cs="Arial" w:eastAsia="Arial" w:hAnsi="Arial"/>
                <w:sz w:val="14"/>
                <w:szCs w:val="14"/>
                <w:color w:val="131E29"/>
              </w:rPr>
              <w:t>3</w:t>
            </w:r>
          </w:p>
        </w:tc>
      </w:tr>
      <w:tr>
        <w:trPr>
          <w:trHeight w:val="202"/>
        </w:trPr>
        <w:tc>
          <w:tcPr>
            <w:tcW w:w="8700" w:type="dxa"/>
            <w:vAlign w:val="bottom"/>
            <w:gridSpan w:val="2"/>
          </w:tcPr>
          <w:p>
            <w:pPr>
              <w:ind w:left="20"/>
              <w:spacing w:after="0"/>
              <w:rPr>
                <w:sz w:val="20"/>
                <w:szCs w:val="20"/>
                <w:color w:val="auto"/>
              </w:rPr>
            </w:pPr>
            <w:r>
              <w:rPr>
                <w:rFonts w:ascii="Arial" w:cs="Arial" w:eastAsia="Arial" w:hAnsi="Arial"/>
                <w:sz w:val="14"/>
                <w:szCs w:val="14"/>
                <w:color w:val="131E29"/>
              </w:rPr>
              <w:t>Equipment and fixtures</w:t>
            </w:r>
          </w:p>
        </w:tc>
        <w:tc>
          <w:tcPr>
            <w:tcW w:w="1240" w:type="dxa"/>
            <w:vAlign w:val="bottom"/>
          </w:tcPr>
          <w:p>
            <w:pPr>
              <w:jc w:val="right"/>
              <w:spacing w:after="0"/>
              <w:rPr>
                <w:sz w:val="20"/>
                <w:szCs w:val="20"/>
                <w:color w:val="auto"/>
              </w:rPr>
            </w:pPr>
            <w:r>
              <w:rPr>
                <w:rFonts w:ascii="Arial" w:cs="Arial" w:eastAsia="Arial" w:hAnsi="Arial"/>
                <w:sz w:val="14"/>
                <w:szCs w:val="14"/>
                <w:color w:val="131E29"/>
              </w:rPr>
              <w:t>3</w:t>
            </w:r>
          </w:p>
        </w:tc>
        <w:tc>
          <w:tcPr>
            <w:tcW w:w="1340" w:type="dxa"/>
            <w:vAlign w:val="bottom"/>
          </w:tcPr>
          <w:p>
            <w:pPr>
              <w:jc w:val="right"/>
              <w:ind w:right="1069"/>
              <w:spacing w:after="0"/>
              <w:rPr>
                <w:sz w:val="20"/>
                <w:szCs w:val="20"/>
                <w:color w:val="auto"/>
              </w:rPr>
            </w:pPr>
            <w:r>
              <w:rPr>
                <w:rFonts w:ascii="Arial" w:cs="Arial" w:eastAsia="Arial" w:hAnsi="Arial"/>
                <w:sz w:val="14"/>
                <w:szCs w:val="14"/>
                <w:color w:val="131E29"/>
              </w:rPr>
              <w:t>- 7</w:t>
            </w:r>
          </w:p>
        </w:tc>
      </w:tr>
      <w:tr>
        <w:trPr>
          <w:trHeight w:val="222"/>
        </w:trPr>
        <w:tc>
          <w:tcPr>
            <w:tcW w:w="87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Leasehold improvements</w:t>
            </w:r>
          </w:p>
        </w:tc>
        <w:tc>
          <w:tcPr>
            <w:tcW w:w="2580" w:type="dxa"/>
            <w:vAlign w:val="bottom"/>
            <w:gridSpan w:val="2"/>
            <w:shd w:val="clear" w:color="auto" w:fill="D2DCE5"/>
          </w:tcPr>
          <w:p>
            <w:pPr>
              <w:jc w:val="right"/>
              <w:ind w:right="989"/>
              <w:spacing w:after="0"/>
              <w:rPr>
                <w:sz w:val="20"/>
                <w:szCs w:val="20"/>
                <w:color w:val="auto"/>
              </w:rPr>
            </w:pPr>
            <w:r>
              <w:rPr>
                <w:rFonts w:ascii="Arial" w:cs="Arial" w:eastAsia="Arial" w:hAnsi="Arial"/>
                <w:sz w:val="14"/>
                <w:szCs w:val="14"/>
                <w:color w:val="131E29"/>
              </w:rPr>
              <w:t xml:space="preserve">5 - 15 </w:t>
            </w:r>
            <w:r>
              <w:rPr>
                <w:rFonts w:ascii="Arial" w:cs="Arial" w:eastAsia="Arial" w:hAnsi="Arial"/>
                <w:sz w:val="18"/>
                <w:szCs w:val="18"/>
                <w:color w:val="131E29"/>
                <w:vertAlign w:val="superscript"/>
              </w:rPr>
              <w:t>1</w:t>
            </w:r>
          </w:p>
        </w:tc>
      </w:tr>
      <w:tr>
        <w:trPr>
          <w:trHeight w:val="193"/>
        </w:trPr>
        <w:tc>
          <w:tcPr>
            <w:tcW w:w="8700" w:type="dxa"/>
            <w:vAlign w:val="bottom"/>
            <w:gridSpan w:val="2"/>
          </w:tcPr>
          <w:p>
            <w:pPr>
              <w:ind w:left="20"/>
              <w:spacing w:after="0"/>
              <w:rPr>
                <w:sz w:val="20"/>
                <w:szCs w:val="20"/>
                <w:color w:val="auto"/>
              </w:rPr>
            </w:pPr>
            <w:r>
              <w:rPr>
                <w:rFonts w:ascii="Arial" w:cs="Arial" w:eastAsia="Arial" w:hAnsi="Arial"/>
                <w:sz w:val="14"/>
                <w:szCs w:val="14"/>
                <w:color w:val="131E29"/>
              </w:rPr>
              <w:t>Buildings</w:t>
            </w:r>
          </w:p>
        </w:tc>
        <w:tc>
          <w:tcPr>
            <w:tcW w:w="1240" w:type="dxa"/>
            <w:vAlign w:val="bottom"/>
          </w:tcPr>
          <w:p>
            <w:pPr>
              <w:jc w:val="right"/>
              <w:spacing w:after="0"/>
              <w:rPr>
                <w:sz w:val="20"/>
                <w:szCs w:val="20"/>
                <w:color w:val="auto"/>
              </w:rPr>
            </w:pPr>
            <w:r>
              <w:rPr>
                <w:rFonts w:ascii="Arial" w:cs="Arial" w:eastAsia="Arial" w:hAnsi="Arial"/>
                <w:sz w:val="14"/>
                <w:szCs w:val="14"/>
                <w:color w:val="131E29"/>
              </w:rPr>
              <w:t>10</w:t>
            </w:r>
          </w:p>
        </w:tc>
        <w:tc>
          <w:tcPr>
            <w:tcW w:w="1340" w:type="dxa"/>
            <w:vAlign w:val="bottom"/>
          </w:tcPr>
          <w:p>
            <w:pPr>
              <w:jc w:val="right"/>
              <w:ind w:right="989"/>
              <w:spacing w:after="0"/>
              <w:rPr>
                <w:sz w:val="20"/>
                <w:szCs w:val="20"/>
                <w:color w:val="auto"/>
              </w:rPr>
            </w:pPr>
            <w:r>
              <w:rPr>
                <w:rFonts w:ascii="Arial" w:cs="Arial" w:eastAsia="Arial" w:hAnsi="Arial"/>
                <w:sz w:val="14"/>
                <w:szCs w:val="14"/>
                <w:color w:val="131E29"/>
              </w:rPr>
              <w:t>- 39</w:t>
            </w:r>
          </w:p>
        </w:tc>
      </w:tr>
      <w:tr>
        <w:trPr>
          <w:trHeight w:val="265"/>
        </w:trPr>
        <w:tc>
          <w:tcPr>
            <w:tcW w:w="8620" w:type="dxa"/>
            <w:vAlign w:val="bottom"/>
          </w:tcPr>
          <w:p>
            <w:pPr>
              <w:spacing w:after="0"/>
              <w:rPr>
                <w:sz w:val="20"/>
                <w:szCs w:val="20"/>
                <w:color w:val="auto"/>
              </w:rPr>
            </w:pPr>
            <w:r>
              <w:rPr>
                <w:rFonts w:ascii="Arial" w:cs="Arial" w:eastAsia="Arial" w:hAnsi="Arial"/>
                <w:sz w:val="14"/>
                <w:szCs w:val="14"/>
                <w:color w:val="131E29"/>
              </w:rPr>
              <w:t>_________________</w:t>
            </w:r>
          </w:p>
        </w:tc>
        <w:tc>
          <w:tcPr>
            <w:tcW w:w="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10" w:lineRule="exact"/>
        <w:rPr>
          <w:sz w:val="20"/>
          <w:szCs w:val="20"/>
          <w:color w:val="auto"/>
        </w:rPr>
      </w:pPr>
    </w:p>
    <w:p>
      <w:pPr>
        <w:ind w:left="180" w:hanging="175"/>
        <w:spacing w:after="0"/>
        <w:tabs>
          <w:tab w:leader="none" w:pos="180" w:val="left"/>
        </w:tabs>
        <w:numPr>
          <w:ilvl w:val="0"/>
          <w:numId w:val="49"/>
        </w:numPr>
        <w:rPr>
          <w:rFonts w:ascii="Arial" w:cs="Arial" w:eastAsia="Arial" w:hAnsi="Arial"/>
          <w:sz w:val="15"/>
          <w:szCs w:val="15"/>
          <w:color w:val="131E29"/>
          <w:vertAlign w:val="superscript"/>
        </w:rPr>
      </w:pPr>
      <w:r>
        <w:rPr>
          <w:rFonts w:ascii="Arial" w:cs="Arial" w:eastAsia="Arial" w:hAnsi="Arial"/>
          <w:sz w:val="11"/>
          <w:szCs w:val="11"/>
          <w:color w:val="131E29"/>
        </w:rPr>
        <w:t>Lesser of lease term or useful life</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capitalize costs associated with the acquisition or development of major software for internal use and amortize the assets over the expected life of the software, generally 3 years. We only capitalize subsequent additions, modifications, or upgrades to internal-use software to the extent that such changes allow the software to perform a task it previously did not perform. Software maintenance and training costs are expensed as incurred.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Leases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lease our company-operated shops, warehouse facilities, headquarters buildings, and certain equipment under non-cancelable lease agreements that expire on various dates through 2048. Our real estate leases consist of build-to-suit and commercial ground leases with typical initial terms of 15 or 20 years, respectively and include one to three renewal periods of five-years each. Renewals are included in the lease term when it is reasonably certain that the renewal period will be exercised. We recognize a right-of-use asset and lease liability for each lease with a contractual term of greater than 12 months at lease inception, and have elected not to recognize leases with terms of 12 months or less.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calculate right-of-use assets and lease liabilities based on the present value of the fixed minimum lease payments, including any estimated lease incentives, at lease commencement using an estimated incremental borrowing rate corresponding to the lease term and applied on a portfolio basis. We’ve elected not to separate lease and non-lease components on real estate leases.</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Lease classification is determined as operating or finance at lease commencement, and expense recognition occurs over the lease term from the date we take possession of the property. For operating leases, expense is recognized on a straight-line basis; for finance leases, expense is recognized on an accelerated basis. We record lease expense in cost of sales on our consolidated statements of operations. Variable lease costs are expensed as incurred and recognized in cost of sales on the consolidated statements of operations.</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From time to time we may have sale and leaseback transactions that do not qualify for sale-leaseback accounting because of our deemed continuing involvement, which results in the transaction being recorded under the financing method. These financing obligations are included in long-term debt on our consolidated balance sheets.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131E29"/>
        </w:rPr>
        <w:t>For additional information, see NOTE 8 — Leases and NOTE 9 — Debt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0" w:name="page111"/>
    <w:bookmarkEnd w:id="11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Business Combinations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Historically, our business combination activity has been related to reacquiring franchises. We account for the acquisition of reacquired franchises using the acquisition method of accounting for business combinations. We allocate the purchase price paid for acquired assets and liabilities in connection with an acquisition based on the estimated fair value at the time of acquisition. This allocation involves a number of assumptions, estimates, and judgments in determining the fair value of the following:</w:t>
      </w:r>
    </w:p>
    <w:p>
      <w:pPr>
        <w:spacing w:after="0" w:line="49" w:lineRule="exact"/>
        <w:rPr>
          <w:sz w:val="20"/>
          <w:szCs w:val="20"/>
          <w:color w:val="auto"/>
        </w:rPr>
      </w:pPr>
    </w:p>
    <w:p>
      <w:pPr>
        <w:ind w:left="260" w:hanging="255"/>
        <w:spacing w:after="0" w:line="284" w:lineRule="auto"/>
        <w:tabs>
          <w:tab w:leader="none" w:pos="256" w:val="left"/>
        </w:tabs>
        <w:numPr>
          <w:ilvl w:val="0"/>
          <w:numId w:val="50"/>
        </w:numPr>
        <w:rPr>
          <w:rFonts w:ascii="Arial" w:cs="Arial" w:eastAsia="Arial" w:hAnsi="Arial"/>
          <w:sz w:val="14"/>
          <w:szCs w:val="14"/>
          <w:color w:val="131E29"/>
        </w:rPr>
      </w:pPr>
      <w:r>
        <w:rPr>
          <w:rFonts w:ascii="Arial" w:cs="Arial" w:eastAsia="Arial" w:hAnsi="Arial"/>
          <w:sz w:val="14"/>
          <w:szCs w:val="14"/>
          <w:color w:val="131E29"/>
        </w:rPr>
        <w:t>Intangible assets, including valuation methodology, estimations of future cash flows, discount rates, market segment growth rates, assumed market share, and estimated useful life;</w:t>
      </w:r>
    </w:p>
    <w:p>
      <w:pPr>
        <w:ind w:left="260" w:hanging="255"/>
        <w:spacing w:after="0"/>
        <w:tabs>
          <w:tab w:leader="none" w:pos="260" w:val="left"/>
        </w:tabs>
        <w:numPr>
          <w:ilvl w:val="0"/>
          <w:numId w:val="50"/>
        </w:numPr>
        <w:rPr>
          <w:rFonts w:ascii="Arial" w:cs="Arial" w:eastAsia="Arial" w:hAnsi="Arial"/>
          <w:sz w:val="14"/>
          <w:szCs w:val="14"/>
          <w:color w:val="131E29"/>
        </w:rPr>
      </w:pPr>
      <w:r>
        <w:rPr>
          <w:rFonts w:ascii="Arial" w:cs="Arial" w:eastAsia="Arial" w:hAnsi="Arial"/>
          <w:sz w:val="14"/>
          <w:szCs w:val="14"/>
          <w:color w:val="131E29"/>
        </w:rPr>
        <w:t>Deferred tax assets and liabilities, uncertain tax positions, and tax-related valuation allowances estimate; and</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50"/>
        </w:numPr>
        <w:rPr>
          <w:rFonts w:ascii="Arial" w:cs="Arial" w:eastAsia="Arial" w:hAnsi="Arial"/>
          <w:sz w:val="14"/>
          <w:szCs w:val="14"/>
          <w:color w:val="131E29"/>
        </w:rPr>
      </w:pPr>
      <w:r>
        <w:rPr>
          <w:rFonts w:ascii="Arial" w:cs="Arial" w:eastAsia="Arial" w:hAnsi="Arial"/>
          <w:sz w:val="14"/>
          <w:szCs w:val="14"/>
          <w:color w:val="131E29"/>
        </w:rPr>
        <w:t>Other assets and liabilities, and contingent consideration, as applicable.</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Fair value measurements for reacquired franchise rights and property and equipment were determined using the income approach and cost approach, respectively. The fair value measurement of acquired assets and liabilities as of the acquisition date is based on significant inputs not observed in the market, and as such, represents a Level 3 fair value measurement.</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Goodwill is measured as the excess of the purchase price paid over the net of the acquisition date fair values of assets acquired and liabilities assumed. Goodwill associated with the acquisition of reacquired franchises is allocated to the company-operated shops reportable segment and is expected to be fully deductible for tax purposes.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Goodwill</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Recoverability of goodwill is reviewed by reporting unit at least annually, as of the beginning of our fourth fiscal quarter, and whenever events or changes in circumstances indicate that the carrying amount may not be recoverable. The annual impairment test includes an option to perform a qualitative assessment of whether it is more likely than not that a reporting unit’s fair value is less than its carrying value; the qualitative test may be performed prior to, or as an alternative to, performing a quantitative goodwill impairment test. If, after assessing the totality of events or circumstances, it is determined that it is more-likely-than-not that the fair value of a reporting unit is less than its carrying value, we are required to perform the quantitative goodwill impairment test. Otherwise, no further analysis is required. We performed the annual qualitative impairment assessments for each of the three years in the period ended December 31, 2024, and no impairment charges were recognized, nor were there any accumulated impairment losses.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Impairment of Long-Lived Assets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Long-lived assets are reviewed for impairment at least annually or whenever events or changes in circumstances indicate that the carrying amount of an asset or asset group may not be recoverable. The assessment of recoverability of property and equipment and finite-lived intangible assets is performed at the component level, which is generally an individual shop, and requires judgment and an estimate of future undiscounted shop-generated cash flows. Estimates of fair values are based on the best information available and require the use of estimates, judgments, and projections. We test for recoverability by comparing the carrying value of the asset to the undiscounted cash flows. If the carrying value is not recoverable, we would recognize an impairment loss if the carrying value of the asset exceeds the fair value. We performed an annual assessment in the fourth quarter of 2024, which indicated no changes in circumstances or triggering events for impairment.</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Revenue Recognition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Consolidated revenues are recognized net of any discounts, returns, allowances and sales incentives.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1" w:name="page112"/>
    <w:bookmarkEnd w:id="11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Company-operated Shops Revenue</w:t>
      </w:r>
    </w:p>
    <w:p>
      <w:pPr>
        <w:spacing w:after="0" w:line="21" w:lineRule="exact"/>
        <w:rPr>
          <w:sz w:val="20"/>
          <w:szCs w:val="20"/>
          <w:color w:val="auto"/>
        </w:rPr>
      </w:pPr>
    </w:p>
    <w:p>
      <w:pPr>
        <w:spacing w:after="0" w:line="269" w:lineRule="auto"/>
        <w:rPr>
          <w:sz w:val="20"/>
          <w:szCs w:val="20"/>
          <w:color w:val="auto"/>
        </w:rPr>
      </w:pPr>
      <w:r>
        <w:rPr>
          <w:rFonts w:ascii="Arial" w:cs="Arial" w:eastAsia="Arial" w:hAnsi="Arial"/>
          <w:sz w:val="14"/>
          <w:szCs w:val="14"/>
          <w:color w:val="131E29"/>
        </w:rPr>
        <w:t>Retail sales from company-operated shops are recognized at the point in time when the products are sold to the customers. We report revenues net of sales taxes collected from customers and remitted to government taxing authorities.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Loyalty Program</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131E29"/>
        </w:rPr>
        <w:t>Dutch Pass, our digital loyalty program accessible via mobile app, provides the following key opportunities for customers:</w:t>
      </w:r>
    </w:p>
    <w:p>
      <w:pPr>
        <w:spacing w:after="0" w:line="80" w:lineRule="exact"/>
        <w:rPr>
          <w:sz w:val="20"/>
          <w:szCs w:val="20"/>
          <w:color w:val="auto"/>
        </w:rPr>
      </w:pPr>
    </w:p>
    <w:p>
      <w:pPr>
        <w:ind w:left="260" w:hanging="255"/>
        <w:spacing w:after="0"/>
        <w:tabs>
          <w:tab w:leader="none" w:pos="260" w:val="left"/>
        </w:tabs>
        <w:numPr>
          <w:ilvl w:val="0"/>
          <w:numId w:val="51"/>
        </w:numPr>
        <w:rPr>
          <w:rFonts w:ascii="Arial" w:cs="Arial" w:eastAsia="Arial" w:hAnsi="Arial"/>
          <w:sz w:val="14"/>
          <w:szCs w:val="14"/>
          <w:color w:val="131E29"/>
        </w:rPr>
      </w:pPr>
      <w:r>
        <w:rPr>
          <w:rFonts w:ascii="Arial" w:cs="Arial" w:eastAsia="Arial" w:hAnsi="Arial"/>
          <w:sz w:val="14"/>
          <w:szCs w:val="14"/>
          <w:color w:val="131E29"/>
        </w:rPr>
        <w:t>Collect points based on purchases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51"/>
        </w:numPr>
        <w:rPr>
          <w:rFonts w:ascii="Arial" w:cs="Arial" w:eastAsia="Arial" w:hAnsi="Arial"/>
          <w:sz w:val="14"/>
          <w:szCs w:val="14"/>
          <w:color w:val="131E29"/>
        </w:rPr>
      </w:pPr>
      <w:r>
        <w:rPr>
          <w:rFonts w:ascii="Arial" w:cs="Arial" w:eastAsia="Arial" w:hAnsi="Arial"/>
          <w:sz w:val="14"/>
          <w:szCs w:val="14"/>
          <w:color w:val="131E29"/>
        </w:rPr>
        <w:t>Convert points to rewards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51"/>
        </w:numPr>
        <w:rPr>
          <w:rFonts w:ascii="Arial" w:cs="Arial" w:eastAsia="Arial" w:hAnsi="Arial"/>
          <w:sz w:val="14"/>
          <w:szCs w:val="14"/>
          <w:color w:val="131E29"/>
        </w:rPr>
      </w:pPr>
      <w:r>
        <w:rPr>
          <w:rFonts w:ascii="Arial" w:cs="Arial" w:eastAsia="Arial" w:hAnsi="Arial"/>
          <w:sz w:val="14"/>
          <w:szCs w:val="14"/>
          <w:color w:val="131E29"/>
        </w:rPr>
        <w:t>Redeem rewards for free drinks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51"/>
        </w:numPr>
        <w:rPr>
          <w:rFonts w:ascii="Arial" w:cs="Arial" w:eastAsia="Arial" w:hAnsi="Arial"/>
          <w:sz w:val="14"/>
          <w:szCs w:val="14"/>
          <w:color w:val="131E29"/>
        </w:rPr>
      </w:pPr>
      <w:r>
        <w:rPr>
          <w:rFonts w:ascii="Arial" w:cs="Arial" w:eastAsia="Arial" w:hAnsi="Arial"/>
          <w:sz w:val="14"/>
          <w:szCs w:val="14"/>
          <w:color w:val="131E29"/>
        </w:rPr>
        <w:t>Share free drink rewards with other app users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51"/>
        </w:numPr>
        <w:rPr>
          <w:rFonts w:ascii="Arial" w:cs="Arial" w:eastAsia="Arial" w:hAnsi="Arial"/>
          <w:sz w:val="14"/>
          <w:szCs w:val="14"/>
          <w:color w:val="131E29"/>
        </w:rPr>
      </w:pPr>
      <w:r>
        <w:rPr>
          <w:rFonts w:ascii="Arial" w:cs="Arial" w:eastAsia="Arial" w:hAnsi="Arial"/>
          <w:sz w:val="14"/>
          <w:szCs w:val="14"/>
          <w:color w:val="131E29"/>
        </w:rPr>
        <w:t>Receive birthday and other promotional awards</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51"/>
        </w:numPr>
        <w:rPr>
          <w:rFonts w:ascii="Arial" w:cs="Arial" w:eastAsia="Arial" w:hAnsi="Arial"/>
          <w:sz w:val="14"/>
          <w:szCs w:val="14"/>
          <w:color w:val="131E29"/>
        </w:rPr>
      </w:pPr>
      <w:r>
        <w:rPr>
          <w:rFonts w:ascii="Arial" w:cs="Arial" w:eastAsia="Arial" w:hAnsi="Arial"/>
          <w:sz w:val="14"/>
          <w:szCs w:val="14"/>
          <w:color w:val="131E29"/>
        </w:rPr>
        <w:t>Mobile ordering</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51"/>
        </w:numPr>
        <w:rPr>
          <w:rFonts w:ascii="Arial" w:cs="Arial" w:eastAsia="Arial" w:hAnsi="Arial"/>
          <w:sz w:val="14"/>
          <w:szCs w:val="14"/>
          <w:color w:val="131E29"/>
        </w:rPr>
      </w:pPr>
      <w:r>
        <w:rPr>
          <w:rFonts w:ascii="Arial" w:cs="Arial" w:eastAsia="Arial" w:hAnsi="Arial"/>
          <w:sz w:val="14"/>
          <w:szCs w:val="14"/>
          <w:color w:val="131E29"/>
        </w:rPr>
        <w:t>Digital gift cards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Points earned and not redeemed for rewards within 180 days automatically expire, and rewards that are not used within 180 days of issuance automatically expire. Separately, birthday and other promotional awards generally automatically expire after 30 days, depending on the specific award.</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defer revenue based on the estimated value of beverages for which the points, rewards, and awards are expected to be redeemed. Based on historical expiration rates, a portion of points, rewards, and awards are not expected to be redeemed and are recognized as breakage.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Gift Card Program</w:t>
      </w:r>
    </w:p>
    <w:p>
      <w:pPr>
        <w:spacing w:after="0" w:line="2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131E29"/>
        </w:rPr>
        <w:t>We maintain a contract liability for physical and digital gift cards sold, recognizing revenue when a gift card is redeemed. Gift cards do not have an expiration date or a service fee causing a decrement to the customer balance. Based on historical redemptions rates, a portion of gift cards are not expected to be redeemed and are recognized as breakage. The Company’s breakage income is not material.</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Franchising Revenue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131E29"/>
        </w:rPr>
        <w:t>Franchise royalty fees are generally computed as a percentage of net franchise sales and are charged for continuing support of franchisees for various services provided by us.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131E29"/>
        </w:rPr>
        <w:t>These services are highly interrelated, and as such are accounted for as a single performance obligation.</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Separately, we receive marketing fees from franchisees for promotion of the Dutch Bros brand. Contributions are based on a percentage of shop sales and marketing expenditures include payments to third parties and other costs. We determined our advertising and promotion management services do not represent individually distinct performance obligations and are included in the franchise performance obligation.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131E29"/>
        </w:rPr>
        <w:t>Initial and other deferred franchise fees are recorded as a contract liability, and revenue is recognized ratably over the term of the franchise agreement, which is generally ten years.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131E29"/>
        </w:rPr>
        <w:t>Other franchising revenue, including coffee bean sales, Dutch Bros Rebel energy drink sales, and other sales, are recognized when shipped.</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Other Revenue</w:t>
      </w:r>
    </w:p>
    <w:p>
      <w:pPr>
        <w:spacing w:after="0" w:line="21" w:lineRule="exact"/>
        <w:rPr>
          <w:sz w:val="20"/>
          <w:szCs w:val="20"/>
          <w:color w:val="auto"/>
        </w:rPr>
      </w:pPr>
    </w:p>
    <w:p>
      <w:pPr>
        <w:spacing w:after="0" w:line="269" w:lineRule="auto"/>
        <w:rPr>
          <w:sz w:val="20"/>
          <w:szCs w:val="20"/>
          <w:color w:val="auto"/>
        </w:rPr>
      </w:pPr>
      <w:r>
        <w:rPr>
          <w:rFonts w:ascii="Arial" w:cs="Arial" w:eastAsia="Arial" w:hAnsi="Arial"/>
          <w:sz w:val="14"/>
          <w:szCs w:val="14"/>
          <w:color w:val="131E29"/>
        </w:rPr>
        <w:t>Other revenue includes retail coffee and other food and beverage sales, recognized at the date of sale, as well as sales of products through our website, recognized at the point in time of shipment to customers.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i w:val="1"/>
          <w:iCs w:val="1"/>
          <w:color w:val="006098"/>
        </w:rPr>
        <w:t>Deferred Revenue</w:t>
      </w:r>
    </w:p>
    <w:p>
      <w:pPr>
        <w:spacing w:after="0" w:line="21" w:lineRule="exact"/>
        <w:rPr>
          <w:sz w:val="20"/>
          <w:szCs w:val="20"/>
          <w:color w:val="auto"/>
        </w:rPr>
      </w:pPr>
    </w:p>
    <w:p>
      <w:pPr>
        <w:spacing w:after="0" w:line="269" w:lineRule="auto"/>
        <w:rPr>
          <w:sz w:val="20"/>
          <w:szCs w:val="20"/>
          <w:color w:val="auto"/>
        </w:rPr>
      </w:pPr>
      <w:r>
        <w:rPr>
          <w:rFonts w:ascii="Arial" w:cs="Arial" w:eastAsia="Arial" w:hAnsi="Arial"/>
          <w:sz w:val="14"/>
          <w:szCs w:val="14"/>
          <w:color w:val="131E29"/>
        </w:rPr>
        <w:t>Deferred revenue primarily consists of the unredeemed gift card liability and unredeemed points/rewards from our Dutch Rewards loyalty program. Deferred revenue also includes bean and beverage sales to distributors where the performance obligation has not yet been satisfied as control has not transferred to the customer.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2" w:name="page113"/>
    <w:bookmarkEnd w:id="11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Shop Pre-opening Expenses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Pre-opening expenses incurred with the opening of new company-operated shops are expensed as incurred. These costs include rent expense, wages, benefits, travel and lodging for the training and opening management teams, and beverage and other operating expenses incurred prior to a shop opening for business and are included in cost of sales.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Vendor Rebates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We have food and beverage supply agreements with certain major vendors. Per the terms of these arrangements, vendor rebates are provided to us based on the dollar value of purchases for systemwide shops. These rebates are recognized as earned throughout the year and are recorded as accounts receivable and a reduction to cost of sales.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Advertising Expense</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Advertising costs are expensed as incurred. Franchise shops contribute to an advertising fund that we manage on behalf of the shops. Under our standard franchise agreement, the contributions received must be spent on specific marketing-related activities. The expenditures are primarily amounts paid to third parties and other costs. If receipts exceed expenditures, the excess is recorded as an accrued liability. As of December 31, 2024 and 2023, no excess marketing fees were accrued in our consolidated financial statements.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Advertising expense is recorded in cost of sales and selling, general and administrative on our consolidated statements of operations, and was as follows for the periods presented:</w:t>
      </w:r>
    </w:p>
    <w:p>
      <w:pPr>
        <w:spacing w:after="0" w:line="179"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4752975</wp:posOffset>
            </wp:positionH>
            <wp:positionV relativeFrom="paragraph">
              <wp:posOffset>28575</wp:posOffset>
            </wp:positionV>
            <wp:extent cx="2411730" cy="69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41173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2022</w:t>
            </w:r>
          </w:p>
        </w:tc>
      </w:tr>
      <w:tr>
        <w:trPr>
          <w:trHeight w:val="209"/>
        </w:trPr>
        <w:tc>
          <w:tcPr>
            <w:tcW w:w="74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2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21,897</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89"/>
              <w:spacing w:after="0"/>
              <w:rPr>
                <w:sz w:val="20"/>
                <w:szCs w:val="20"/>
                <w:color w:val="auto"/>
              </w:rPr>
            </w:pPr>
            <w:r>
              <w:rPr>
                <w:rFonts w:ascii="Arial" w:cs="Arial" w:eastAsia="Arial" w:hAnsi="Arial"/>
                <w:sz w:val="14"/>
                <w:szCs w:val="14"/>
                <w:color w:val="131E29"/>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18,946</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w w:val="76"/>
              </w:rPr>
              <w:t>$</w:t>
            </w: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19,150</w:t>
            </w:r>
          </w:p>
        </w:tc>
      </w:tr>
      <w:tr>
        <w:trPr>
          <w:trHeight w:val="203"/>
        </w:trPr>
        <w:tc>
          <w:tcPr>
            <w:tcW w:w="74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Selling, general and administrative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17,313</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10,953</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13,177</w:t>
            </w:r>
          </w:p>
        </w:tc>
      </w:tr>
      <w:tr>
        <w:trPr>
          <w:trHeight w:val="237"/>
        </w:trPr>
        <w:tc>
          <w:tcPr>
            <w:tcW w:w="748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Total advertising expense</w:t>
            </w:r>
          </w:p>
        </w:tc>
        <w:tc>
          <w:tcPr>
            <w:tcW w:w="28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b w:val="1"/>
                <w:bCs w:val="1"/>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39,210</w:t>
            </w:r>
          </w:p>
        </w:tc>
        <w:tc>
          <w:tcPr>
            <w:tcW w:w="8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jc w:val="right"/>
              <w:ind w:right="89"/>
              <w:spacing w:after="0"/>
              <w:rPr>
                <w:sz w:val="20"/>
                <w:szCs w:val="20"/>
                <w:color w:val="auto"/>
              </w:rPr>
            </w:pPr>
            <w:r>
              <w:rPr>
                <w:rFonts w:ascii="Arial" w:cs="Arial" w:eastAsia="Arial" w:hAnsi="Arial"/>
                <w:sz w:val="14"/>
                <w:szCs w:val="14"/>
                <w:b w:val="1"/>
                <w:bCs w:val="1"/>
                <w:color w:val="131E29"/>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29,899</w:t>
            </w:r>
          </w:p>
        </w:tc>
        <w:tc>
          <w:tcPr>
            <w:tcW w:w="10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b w:val="1"/>
                <w:bCs w:val="1"/>
                <w:color w:val="131E29"/>
                <w:w w:val="76"/>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32,327</w:t>
            </w:r>
          </w:p>
        </w:tc>
      </w:tr>
      <w:tr>
        <w:trPr>
          <w:trHeight w:val="20"/>
        </w:trPr>
        <w:tc>
          <w:tcPr>
            <w:tcW w:w="74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Equity-based Compensation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Company granted time-based RSAs to certain officers and employees in connection with the IPO, and RSUs to directors and certain employees. The RSAs and RSUs are accounted for as equity-classified awards, and are granted at the fair value of the underlying Class A common stock of Dutch Bros Inc. as of the grant date and vest over the requisite service period.</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131E29"/>
        </w:rPr>
        <w:t>Vesting of all awards granted are subject to the grantee’s continued service at Dutch Bros through the applicable vesting date.</w:t>
      </w:r>
    </w:p>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cost of the RSAs and RSUs is recognized as expense over the grantee’s requisite service period, and forfeitures are accounted for as they occur. To date, the Company has not granted any performance-based awards.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131E29"/>
        </w:rPr>
        <w:t>During the year ended December 31, 2024, the RSAs were fully expensed and fully vested.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Tax Receivables Agreements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In connection with the IPO, the Company executed two TRAs which provide for payment by the Company to certain Dutch Bros OpCo owners of 85% of the benefits, if any, that the Company would be deemed to realize (calculated using certain assumptions) as a result of certain tax attributes and benefits covered by the TRAs.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3" w:name="page114"/>
    <w:bookmarkEnd w:id="11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Company expects to obtain an increase in its share of the tax basis in the net assets of Dutch Bros OpCo when OpCo Units are exchanged by Pre-IPO Dutch Bros OpCo Unitholders. The Company treats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TRA-related liabilities are classified on the Company’s consolidated balance sheets as current or non-current assets based on the expected date of payment under the captions “Current portion of tax receivable agreements liability” and “Tax receivable agreements liability, net of current portion,”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 Company is a corporation and sole managing member of Dutch Bros OpCo which is treated as a partnership for tax purposes.</w:t>
      </w:r>
    </w:p>
    <w:p>
      <w:pPr>
        <w:spacing w:after="0" w:line="2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Company records income tax provision, deferred tax assets, deferred tax liabilities, uncertain tax positions, and valuation allowance, as applicable, only for the items for which the Company is responsible to the relevant tax authority.</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Deferred income taxes result from temporary differences between the financial reporting and tax basis of assets and liabilities, and are measured using the enacted tax rates and laws expected to be in effect when such differences are expected to reverse. These temporary differences are reflected as deferred income tax assets, net on the consolidated balance sheets. A deferred tax asset is recognized if it is more likely than not that a tax benefit will be realized.</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Company recognizes tax benefits from entity-level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Income (Loss) Per Share</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Basic income (loss) per share of Class A and Class D common stock is computed by dividing net income (loss) attributable to Dutch Bros Inc. by the weighted-average number of shares of Class A and Class D common stock outstanding during the period. Diluted income (loss) per share of Class A and Class D common stock is computed by dividing net income (loss) attributable to Dutch Bros Inc., adjusted for the assumed exchange of all potentially dilutive instruments for Class A common stock, by the weighted-average number of shares of Class A and Class D common stock outstanding, adjusted to give effect to potentially dilutive elements. Share counts used in the diluted income (loss) per share calculations are adjusted for the deemed repurchases provided for in the treasury stock method for RSAs and RSUs, and under the if-converted method for the outstanding convertible Class B and Class C common stock, if dilutive.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131E29"/>
        </w:rPr>
        <w:t>As of June 2024, all Class D common shares were converted to Class A common shares.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Shares of the Company’s Class B and Class C common stock do not participate in the earnings or losses of the Company and are therefore not participating securities. As such, separate presentation of basic and diluted income (loss) per share of Class B and Class C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4" w:name="page115"/>
    <w:bookmarkEnd w:id="11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Recently Issued Accounting Standards</w:t>
      </w:r>
    </w:p>
    <w:p>
      <w:pPr>
        <w:spacing w:after="0" w:line="9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In December 2023, the FASB issued ASU No. 2023-09, Income Taxes (Topic 740): Improvements to Income Tax Disclosures. The amendments in this update are intended to enhance the transparency and 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disaggregation by jurisdiction. These amendments are effective for public business entities' annual periods beginning after December 15, 2024 and interim periods within fiscal years beginning after December 15, 2025, and should be applied on a prospective basis. Early adoption is permitted for annual financial statements that have not yet been issued. The Company is currently assessing the potential impacts of this standard on its income tax disclosures, and expects to provide additional detail and disclosures under the new guidance.</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 xml:space="preserve">In November 2024, the FASB issued ASU No. 2024-03, </w:t>
      </w:r>
      <w:r>
        <w:rPr>
          <w:rFonts w:ascii="Arial" w:cs="Arial" w:eastAsia="Arial" w:hAnsi="Arial"/>
          <w:sz w:val="14"/>
          <w:szCs w:val="14"/>
          <w:i w:val="1"/>
          <w:iCs w:val="1"/>
          <w:color w:val="131E29"/>
        </w:rPr>
        <w:t>Income Statement - Reporting Comprehensive Income - Expense Disaggregation Disclosures (Subtopic 220-40).</w:t>
      </w:r>
      <w:r>
        <w:rPr>
          <w:rFonts w:ascii="Arial" w:cs="Arial" w:eastAsia="Arial" w:hAnsi="Arial"/>
          <w:sz w:val="14"/>
          <w:szCs w:val="14"/>
          <w:color w:val="131E29"/>
        </w:rPr>
        <w:t xml:space="preserve"> The intent of this ASU is to improve public entity financial footnote disclosures around types of expenses in commonly presented expense categories (i.e. cost of sales, SG&amp;A, and research and development). 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our consolidated statements of operations. ASU 2024-03, as amended, is effective for annual reporting periods beginning after December 15, 2026 and interim reporting periods beginning after December 15, 2027. Early adoption is permitted. We will assess potential impacts of this standard on our disclosures in future periods.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Recently Adopted Accounting Standards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 xml:space="preserve">In November 2023, the FASB issued ASU No. 2023-07, </w:t>
      </w:r>
      <w:r>
        <w:rPr>
          <w:rFonts w:ascii="Arial" w:cs="Arial" w:eastAsia="Arial" w:hAnsi="Arial"/>
          <w:sz w:val="14"/>
          <w:szCs w:val="14"/>
          <w:i w:val="1"/>
          <w:iCs w:val="1"/>
          <w:color w:val="131E29"/>
        </w:rPr>
        <w:t>Segment Reporting (Topic 280): Improvements to Reportable Segment Disclosures.</w:t>
      </w:r>
      <w:r>
        <w:rPr>
          <w:rFonts w:ascii="Arial" w:cs="Arial" w:eastAsia="Arial" w:hAnsi="Arial"/>
          <w:sz w:val="14"/>
          <w:szCs w:val="14"/>
          <w:color w:val="131E29"/>
        </w:rPr>
        <w:t xml:space="preserve"> The amendments in this update are intended to improve reportable segment disclosure requirements, primarily through enhanced disclosures about significant segment expenses. Effective for annual periods beginning after December 15, 2023, and interim periods within fiscal years beginning after December 15, 2024, with early adoption permitted. Public entities should apply the amendments in this update retrospectively to all prior periods presented in the financial statements. Upon transition, the segment expense categories and amounts disclosed in the prior periods should be based on the significant segment expense categories identified and disclosed in the period of adoption. We have completed our analysis and identified significant segment expenses primarily related to segment cost of sales for disclosure in this 2024 Form 10-K. The new standard has not had a material impact on our consolidated financial statements; however, we have provided additional detail and disclosures under the new guidance in NOTE 19 — Segment Reporting.</w:t>
      </w:r>
    </w:p>
    <w:p>
      <w:pPr>
        <w:sectPr>
          <w:pgSz w:w="11900" w:h="16838" w:orient="portrait"/>
          <w:cols w:equalWidth="0" w:num="1">
            <w:col w:w="11280"/>
          </w:cols>
          <w:pgMar w:left="300" w:top="133" w:right="31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3 — Revenue Recognition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Revenue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disaggregates revenue by major component:</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Company-operated shops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Franchising</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Other</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131E29"/>
        </w:rPr>
        <w:t>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58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wp:posOffset>
            </wp:positionV>
            <wp:extent cx="3099435"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131E29"/>
              </w:rPr>
              <w:t>2024</w:t>
            </w: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r>
      <w:tr>
        <w:trPr>
          <w:trHeight w:val="189"/>
        </w:trPr>
        <w:tc>
          <w:tcPr>
            <w:tcW w:w="360" w:type="dxa"/>
            <w:vAlign w:val="bottom"/>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tcPr>
          <w:p>
            <w:pPr>
              <w:jc w:val="right"/>
              <w:spacing w:after="0"/>
              <w:rPr>
                <w:sz w:val="20"/>
                <w:szCs w:val="20"/>
                <w:color w:val="auto"/>
              </w:rPr>
            </w:pPr>
            <w:r>
              <w:rPr>
                <w:rFonts w:ascii="Arial" w:cs="Arial" w:eastAsia="Arial" w:hAnsi="Arial"/>
                <w:sz w:val="14"/>
                <w:szCs w:val="14"/>
                <w:color w:val="131E29"/>
              </w:rPr>
              <w:t>1,165,830</w:t>
            </w:r>
          </w:p>
        </w:tc>
        <w:tc>
          <w:tcPr>
            <w:tcW w:w="80" w:type="dxa"/>
            <w:vAlign w:val="bottom"/>
          </w:tcPr>
          <w:p>
            <w:pPr>
              <w:spacing w:after="0"/>
              <w:rPr>
                <w:sz w:val="16"/>
                <w:szCs w:val="16"/>
                <w:color w:val="auto"/>
              </w:rPr>
            </w:pPr>
          </w:p>
        </w:tc>
        <w:tc>
          <w:tcPr>
            <w:tcW w:w="360" w:type="dxa"/>
            <w:vAlign w:val="bottom"/>
          </w:tcPr>
          <w:p>
            <w:pPr>
              <w:jc w:val="right"/>
              <w:ind w:right="189"/>
              <w:spacing w:after="0"/>
              <w:rPr>
                <w:sz w:val="20"/>
                <w:szCs w:val="20"/>
                <w:color w:val="auto"/>
              </w:rPr>
            </w:pPr>
            <w:r>
              <w:rPr>
                <w:rFonts w:ascii="Arial" w:cs="Arial" w:eastAsia="Arial" w:hAnsi="Arial"/>
                <w:sz w:val="14"/>
                <w:szCs w:val="14"/>
                <w:color w:val="131E29"/>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857,939</w:t>
            </w:r>
          </w:p>
        </w:tc>
        <w:tc>
          <w:tcPr>
            <w:tcW w:w="100" w:type="dxa"/>
            <w:vAlign w:val="bottom"/>
          </w:tcPr>
          <w:p>
            <w:pPr>
              <w:spacing w:after="0"/>
              <w:rPr>
                <w:sz w:val="16"/>
                <w:szCs w:val="16"/>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639,710</w:t>
            </w:r>
          </w:p>
        </w:tc>
      </w:tr>
      <w:tr>
        <w:trPr>
          <w:trHeight w:val="212"/>
        </w:trPr>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109,610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101,907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93,756</w:t>
            </w:r>
          </w:p>
        </w:tc>
      </w:tr>
      <w:tr>
        <w:trPr>
          <w:trHeight w:val="222"/>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5,575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5,930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5,546</w:t>
            </w:r>
          </w:p>
        </w:tc>
      </w:tr>
      <w:tr>
        <w:trPr>
          <w:trHeight w:val="206"/>
        </w:trPr>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1,281,015</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965,776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739,012</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-302260</wp:posOffset>
            </wp:positionV>
            <wp:extent cx="7161530" cy="134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-578485</wp:posOffset>
            </wp:positionV>
            <wp:extent cx="7161530" cy="1416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80"/>
          </w:cols>
          <w:pgMar w:left="300" w:top="13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420"/>
        <w:spacing w:after="0"/>
        <w:rPr>
          <w:sz w:val="20"/>
          <w:szCs w:val="20"/>
          <w:color w:val="auto"/>
        </w:rPr>
      </w:pPr>
      <w:r>
        <w:rPr>
          <w:sz w:val="1"/>
          <w:szCs w:val="1"/>
          <w:color w:val="auto"/>
        </w:rPr>
        <w:drawing>
          <wp:inline distT="0" distB="0" distL="0" distR="0">
            <wp:extent cx="134620" cy="18859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86930"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Deferred Revenue</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131E29"/>
        </w:rPr>
        <w:t>Components of our deferred revenue liability are as follows:</w:t>
      </w:r>
    </w:p>
    <w:p>
      <w:pPr>
        <w:spacing w:after="0" w:line="179"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131E29"/>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5184140</wp:posOffset>
            </wp:positionH>
            <wp:positionV relativeFrom="paragraph">
              <wp:posOffset>28575</wp:posOffset>
            </wp:positionV>
            <wp:extent cx="1980565"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980565"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0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0" w:type="dxa"/>
            <w:vAlign w:val="bottom"/>
          </w:tcPr>
          <w:p>
            <w:pPr>
              <w:spacing w:after="0"/>
              <w:rPr>
                <w:sz w:val="1"/>
                <w:szCs w:val="1"/>
                <w:color w:val="auto"/>
              </w:rPr>
            </w:pPr>
          </w:p>
        </w:tc>
      </w:tr>
      <w:tr>
        <w:trPr>
          <w:trHeight w:val="209"/>
        </w:trPr>
        <w:tc>
          <w:tcPr>
            <w:tcW w:w="80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Gift card and loyalty programs</w:t>
            </w:r>
          </w:p>
        </w:tc>
        <w:tc>
          <w:tcPr>
            <w:tcW w:w="420" w:type="dxa"/>
            <w:vAlign w:val="bottom"/>
            <w:gridSpan w:val="3"/>
            <w:shd w:val="clear" w:color="auto" w:fill="D2DCE5"/>
          </w:tcPr>
          <w:p>
            <w:pPr>
              <w:jc w:val="right"/>
              <w:ind w:right="220"/>
              <w:spacing w:after="0"/>
              <w:rPr>
                <w:sz w:val="20"/>
                <w:szCs w:val="20"/>
                <w:color w:val="auto"/>
              </w:rPr>
            </w:pPr>
            <w:r>
              <w:rPr>
                <w:rFonts w:ascii="Arial" w:cs="Arial" w:eastAsia="Arial" w:hAnsi="Arial"/>
                <w:sz w:val="14"/>
                <w:szCs w:val="14"/>
                <w:color w:val="131E29"/>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48,265</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34,616</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Initial unearned franchise fees</w:t>
            </w:r>
          </w:p>
        </w:tc>
        <w:tc>
          <w:tcPr>
            <w:tcW w:w="2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2,618</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2,409</w:t>
            </w:r>
          </w:p>
        </w:tc>
        <w:tc>
          <w:tcPr>
            <w:tcW w:w="0" w:type="dxa"/>
            <w:vAlign w:val="bottom"/>
          </w:tcPr>
          <w:p>
            <w:pPr>
              <w:spacing w:after="0"/>
              <w:rPr>
                <w:sz w:val="1"/>
                <w:szCs w:val="1"/>
                <w:color w:val="auto"/>
              </w:rPr>
            </w:pPr>
          </w:p>
        </w:tc>
      </w:tr>
      <w:tr>
        <w:trPr>
          <w:trHeight w:val="232"/>
        </w:trPr>
        <w:tc>
          <w:tcPr>
            <w:tcW w:w="8060" w:type="dxa"/>
            <w:vAlign w:val="bottom"/>
            <w:gridSpan w:val="2"/>
            <w:shd w:val="clear" w:color="auto" w:fill="D2DCE5"/>
          </w:tcPr>
          <w:p>
            <w:pPr>
              <w:ind w:left="160"/>
              <w:spacing w:after="0"/>
              <w:rPr>
                <w:sz w:val="20"/>
                <w:szCs w:val="20"/>
                <w:color w:val="auto"/>
              </w:rPr>
            </w:pPr>
            <w:r>
              <w:rPr>
                <w:rFonts w:ascii="Arial" w:cs="Arial" w:eastAsia="Arial" w:hAnsi="Arial"/>
                <w:sz w:val="14"/>
                <w:szCs w:val="14"/>
                <w:b w:val="1"/>
                <w:bCs w:val="1"/>
                <w:color w:val="131E29"/>
              </w:rPr>
              <w:t>Total deferred revenue</w:t>
            </w:r>
          </w:p>
        </w:tc>
        <w:tc>
          <w:tcPr>
            <w:tcW w:w="420" w:type="dxa"/>
            <w:vAlign w:val="bottom"/>
            <w:gridSpan w:val="3"/>
            <w:shd w:val="clear" w:color="auto" w:fill="D2DCE5"/>
          </w:tcPr>
          <w:p>
            <w:pPr>
              <w:jc w:val="right"/>
              <w:ind w:right="220"/>
              <w:spacing w:after="0"/>
              <w:rPr>
                <w:sz w:val="20"/>
                <w:szCs w:val="20"/>
                <w:color w:val="auto"/>
              </w:rPr>
            </w:pPr>
            <w:r>
              <w:rPr>
                <w:rFonts w:ascii="Arial" w:cs="Arial" w:eastAsia="Arial" w:hAnsi="Arial"/>
                <w:sz w:val="14"/>
                <w:szCs w:val="14"/>
                <w:b w:val="1"/>
                <w:bCs w:val="1"/>
                <w:color w:val="131E29"/>
              </w:rPr>
              <w:t>$</w:t>
            </w: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50,883</w:t>
            </w:r>
          </w:p>
        </w:tc>
        <w:tc>
          <w:tcPr>
            <w:tcW w:w="100" w:type="dxa"/>
            <w:vAlign w:val="bottom"/>
            <w:shd w:val="clear" w:color="auto" w:fill="D2DCE5"/>
          </w:tcPr>
          <w:p>
            <w:pPr>
              <w:spacing w:after="0"/>
              <w:rPr>
                <w:sz w:val="20"/>
                <w:szCs w:val="20"/>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37,025</w:t>
            </w:r>
          </w:p>
        </w:tc>
        <w:tc>
          <w:tcPr>
            <w:tcW w:w="0" w:type="dxa"/>
            <w:vAlign w:val="bottom"/>
          </w:tcPr>
          <w:p>
            <w:pPr>
              <w:spacing w:after="0"/>
              <w:rPr>
                <w:sz w:val="1"/>
                <w:szCs w:val="1"/>
                <w:color w:val="auto"/>
              </w:rPr>
            </w:pPr>
          </w:p>
        </w:tc>
      </w:tr>
      <w:tr>
        <w:trPr>
          <w:trHeight w:val="20"/>
        </w:trPr>
        <w:tc>
          <w:tcPr>
            <w:tcW w:w="8060" w:type="dxa"/>
            <w:vAlign w:val="bottom"/>
            <w:tcBorders>
              <w:top w:val="single" w:sz="8" w:color="D2DCE5"/>
              <w:bottom w:val="single" w:sz="8" w:color="D2DCE5"/>
            </w:tcBorders>
            <w:gridSpan w:val="2"/>
            <w:vMerge w:val="restart"/>
          </w:tcPr>
          <w:p>
            <w:pPr>
              <w:spacing w:after="0"/>
              <w:rPr>
                <w:sz w:val="20"/>
                <w:szCs w:val="20"/>
                <w:color w:val="auto"/>
              </w:rPr>
            </w:pPr>
            <w:r>
              <w:rPr>
                <w:rFonts w:ascii="Arial" w:cs="Arial" w:eastAsia="Arial" w:hAnsi="Arial"/>
                <w:sz w:val="14"/>
                <w:szCs w:val="14"/>
                <w:color w:val="131E29"/>
              </w:rPr>
              <w:t>Deferred revenue activity was as follows:</w:t>
            </w:r>
          </w:p>
        </w:tc>
        <w:tc>
          <w:tcPr>
            <w:tcW w:w="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0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69"/>
              <w:spacing w:after="0"/>
              <w:rPr>
                <w:sz w:val="20"/>
                <w:szCs w:val="20"/>
                <w:color w:val="auto"/>
              </w:rPr>
            </w:pPr>
            <w:r>
              <w:rPr>
                <w:rFonts w:ascii="Arial" w:cs="Arial" w:eastAsia="Arial" w:hAnsi="Arial"/>
                <w:sz w:val="14"/>
                <w:szCs w:val="14"/>
                <w:b w:val="1"/>
                <w:bCs w:val="1"/>
                <w:color w:val="131E29"/>
              </w:rPr>
              <w:t>Year Ended December 31,</w:t>
            </w:r>
          </w:p>
        </w:tc>
        <w:tc>
          <w:tcPr>
            <w:tcW w:w="0" w:type="dxa"/>
            <w:vAlign w:val="bottom"/>
          </w:tcPr>
          <w:p>
            <w:pPr>
              <w:spacing w:after="0"/>
              <w:rPr>
                <w:sz w:val="1"/>
                <w:szCs w:val="1"/>
                <w:color w:val="auto"/>
              </w:rPr>
            </w:pPr>
          </w:p>
        </w:tc>
      </w:tr>
      <w:tr>
        <w:trPr>
          <w:trHeight w:val="203"/>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0" w:type="dxa"/>
            <w:vAlign w:val="bottom"/>
          </w:tcPr>
          <w:p>
            <w:pPr>
              <w:spacing w:after="0"/>
              <w:rPr>
                <w:sz w:val="1"/>
                <w:szCs w:val="1"/>
                <w:color w:val="auto"/>
              </w:rPr>
            </w:pPr>
          </w:p>
        </w:tc>
      </w:tr>
      <w:tr>
        <w:trPr>
          <w:trHeight w:val="209"/>
        </w:trPr>
        <w:tc>
          <w:tcPr>
            <w:tcW w:w="80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Beginning balance</w:t>
            </w:r>
          </w:p>
        </w:tc>
        <w:tc>
          <w:tcPr>
            <w:tcW w:w="100" w:type="dxa"/>
            <w:vAlign w:val="bottom"/>
            <w:gridSpan w:val="2"/>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320" w:type="dxa"/>
            <w:vAlign w:val="bottom"/>
            <w:shd w:val="clear" w:color="auto" w:fill="D2DCE5"/>
          </w:tcPr>
          <w:p>
            <w:pPr>
              <w:spacing w:after="0"/>
              <w:rPr>
                <w:sz w:val="18"/>
                <w:szCs w:val="18"/>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37,025</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31,454</w:t>
            </w:r>
          </w:p>
        </w:tc>
        <w:tc>
          <w:tcPr>
            <w:tcW w:w="0" w:type="dxa"/>
            <w:vAlign w:val="bottom"/>
          </w:tcPr>
          <w:p>
            <w:pPr>
              <w:spacing w:after="0"/>
              <w:rPr>
                <w:sz w:val="1"/>
                <w:szCs w:val="1"/>
                <w:color w:val="auto"/>
              </w:rPr>
            </w:pPr>
          </w:p>
        </w:tc>
      </w:tr>
      <w:tr>
        <w:trPr>
          <w:trHeight w:val="202"/>
        </w:trPr>
        <w:tc>
          <w:tcPr>
            <w:tcW w:w="8060" w:type="dxa"/>
            <w:vAlign w:val="bottom"/>
            <w:gridSpan w:val="2"/>
          </w:tcPr>
          <w:p>
            <w:pPr>
              <w:ind w:left="140"/>
              <w:spacing w:after="0"/>
              <w:rPr>
                <w:sz w:val="20"/>
                <w:szCs w:val="20"/>
                <w:color w:val="auto"/>
              </w:rPr>
            </w:pPr>
            <w:r>
              <w:rPr>
                <w:rFonts w:ascii="Arial" w:cs="Arial" w:eastAsia="Arial" w:hAnsi="Arial"/>
                <w:sz w:val="14"/>
                <w:szCs w:val="14"/>
                <w:color w:val="131E29"/>
              </w:rPr>
              <w:t>Revenue deferred - gift card activations, loyalty app loads, and loyalty points and rewards earned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131E29"/>
              </w:rPr>
              <w:t>419,107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362,482</w:t>
            </w:r>
          </w:p>
        </w:tc>
        <w:tc>
          <w:tcPr>
            <w:tcW w:w="0" w:type="dxa"/>
            <w:vAlign w:val="bottom"/>
          </w:tcPr>
          <w:p>
            <w:pPr>
              <w:spacing w:after="0"/>
              <w:rPr>
                <w:sz w:val="1"/>
                <w:szCs w:val="1"/>
                <w:color w:val="auto"/>
              </w:rPr>
            </w:pPr>
          </w:p>
        </w:tc>
      </w:tr>
      <w:tr>
        <w:trPr>
          <w:trHeight w:val="222"/>
        </w:trPr>
        <w:tc>
          <w:tcPr>
            <w:tcW w:w="806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Revenue recognized - gift card, loyalty app, loyalty rewards redemptions, and breakage</w:t>
            </w:r>
          </w:p>
        </w:tc>
        <w:tc>
          <w:tcPr>
            <w:tcW w:w="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20" w:type="dxa"/>
            <w:vAlign w:val="bottom"/>
            <w:shd w:val="clear" w:color="auto" w:fill="D2DCE5"/>
          </w:tcPr>
          <w:p>
            <w:pPr>
              <w:spacing w:after="0"/>
              <w:rPr>
                <w:sz w:val="19"/>
                <w:szCs w:val="19"/>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(405,458)</w:t>
            </w: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(354,770)</w:t>
            </w:r>
          </w:p>
        </w:tc>
        <w:tc>
          <w:tcPr>
            <w:tcW w:w="0" w:type="dxa"/>
            <w:vAlign w:val="bottom"/>
          </w:tcPr>
          <w:p>
            <w:pPr>
              <w:spacing w:after="0"/>
              <w:rPr>
                <w:sz w:val="1"/>
                <w:szCs w:val="1"/>
                <w:color w:val="auto"/>
              </w:rPr>
            </w:pPr>
          </w:p>
        </w:tc>
      </w:tr>
      <w:tr>
        <w:trPr>
          <w:trHeight w:val="212"/>
        </w:trPr>
        <w:tc>
          <w:tcPr>
            <w:tcW w:w="806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 xml:space="preserve">Other deferred revenue, net </w:t>
            </w:r>
            <w:r>
              <w:rPr>
                <w:rFonts w:ascii="Arial" w:cs="Arial" w:eastAsia="Arial" w:hAnsi="Arial"/>
                <w:sz w:val="18"/>
                <w:szCs w:val="18"/>
                <w:color w:val="131E29"/>
                <w:vertAlign w:val="superscript"/>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209</w:t>
            </w:r>
          </w:p>
        </w:tc>
        <w:tc>
          <w:tcPr>
            <w:tcW w:w="100" w:type="dxa"/>
            <w:vAlign w:val="bottom"/>
            <w:tcBorders>
              <w:bottom w:val="single" w:sz="8" w:color="D2DC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(2,141)</w:t>
            </w:r>
          </w:p>
        </w:tc>
        <w:tc>
          <w:tcPr>
            <w:tcW w:w="0" w:type="dxa"/>
            <w:vAlign w:val="bottom"/>
          </w:tcPr>
          <w:p>
            <w:pPr>
              <w:spacing w:after="0"/>
              <w:rPr>
                <w:sz w:val="1"/>
                <w:szCs w:val="1"/>
                <w:color w:val="auto"/>
              </w:rPr>
            </w:pPr>
          </w:p>
        </w:tc>
      </w:tr>
      <w:tr>
        <w:trPr>
          <w:trHeight w:val="203"/>
        </w:trPr>
        <w:tc>
          <w:tcPr>
            <w:tcW w:w="80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Ending balance</w:t>
            </w:r>
          </w:p>
        </w:tc>
        <w:tc>
          <w:tcPr>
            <w:tcW w:w="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20" w:type="dxa"/>
            <w:vAlign w:val="bottom"/>
            <w:shd w:val="clear" w:color="auto" w:fill="D2DCE5"/>
          </w:tcPr>
          <w:p>
            <w:pPr>
              <w:spacing w:after="0"/>
              <w:rPr>
                <w:sz w:val="17"/>
                <w:szCs w:val="17"/>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50,883</w:t>
            </w:r>
          </w:p>
        </w:tc>
        <w:tc>
          <w:tcPr>
            <w:tcW w:w="10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37,025</w:t>
            </w:r>
          </w:p>
        </w:tc>
        <w:tc>
          <w:tcPr>
            <w:tcW w:w="0" w:type="dxa"/>
            <w:vAlign w:val="bottom"/>
          </w:tcPr>
          <w:p>
            <w:pPr>
              <w:spacing w:after="0"/>
              <w:rPr>
                <w:sz w:val="1"/>
                <w:szCs w:val="1"/>
                <w:color w:val="auto"/>
              </w:rPr>
            </w:pPr>
          </w:p>
        </w:tc>
      </w:tr>
      <w:tr>
        <w:trPr>
          <w:trHeight w:val="203"/>
        </w:trPr>
        <w:tc>
          <w:tcPr>
            <w:tcW w:w="806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Less: current portion</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(42,868)</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(30,349)</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Deferred revenue, net of current portion</w:t>
            </w:r>
          </w:p>
        </w:tc>
        <w:tc>
          <w:tcPr>
            <w:tcW w:w="100" w:type="dxa"/>
            <w:vAlign w:val="bottom"/>
            <w:tcBorders>
              <w:bottom w:val="single" w:sz="8" w:color="auto"/>
            </w:tcBorders>
            <w:gridSpan w:val="2"/>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320" w:type="dxa"/>
            <w:vAlign w:val="bottom"/>
            <w:tcBorders>
              <w:bottom w:val="single" w:sz="8" w:color="auto"/>
            </w:tcBorders>
            <w:shd w:val="clear" w:color="auto" w:fill="D2DCE5"/>
          </w:tcPr>
          <w:p>
            <w:pPr>
              <w:spacing w:after="0"/>
              <w:rPr>
                <w:sz w:val="20"/>
                <w:szCs w:val="20"/>
                <w:color w:val="auto"/>
              </w:rPr>
            </w:pPr>
          </w:p>
        </w:tc>
        <w:tc>
          <w:tcPr>
            <w:tcW w:w="11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8,015</w:t>
            </w:r>
          </w:p>
        </w:tc>
        <w:tc>
          <w:tcPr>
            <w:tcW w:w="100" w:type="dxa"/>
            <w:vAlign w:val="bottom"/>
            <w:tcBorders>
              <w:bottom w:val="single" w:sz="8" w:color="D2DCE5"/>
            </w:tcBorders>
            <w:shd w:val="clear" w:color="auto" w:fill="D2DCE5"/>
          </w:tcPr>
          <w:p>
            <w:pPr>
              <w:spacing w:after="0"/>
              <w:rPr>
                <w:sz w:val="20"/>
                <w:szCs w:val="20"/>
                <w:color w:val="auto"/>
              </w:rPr>
            </w:pPr>
          </w:p>
        </w:tc>
        <w:tc>
          <w:tcPr>
            <w:tcW w:w="360" w:type="dxa"/>
            <w:vAlign w:val="bottom"/>
            <w:tcBorders>
              <w:bottom w:val="single" w:sz="8" w:color="auto"/>
            </w:tcBorders>
            <w:shd w:val="clear" w:color="auto" w:fill="D2DCE5"/>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6,676</w:t>
            </w:r>
          </w:p>
        </w:tc>
        <w:tc>
          <w:tcPr>
            <w:tcW w:w="0" w:type="dxa"/>
            <w:vAlign w:val="bottom"/>
          </w:tcPr>
          <w:p>
            <w:pPr>
              <w:spacing w:after="0"/>
              <w:rPr>
                <w:sz w:val="1"/>
                <w:szCs w:val="1"/>
                <w:color w:val="auto"/>
              </w:rPr>
            </w:pPr>
          </w:p>
        </w:tc>
      </w:tr>
      <w:tr>
        <w:trPr>
          <w:trHeight w:val="20"/>
        </w:trPr>
        <w:tc>
          <w:tcPr>
            <w:tcW w:w="79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bottom w:val="single" w:sz="8" w:color="auto"/>
            </w:tcBorders>
          </w:tcPr>
          <w:p>
            <w:pPr>
              <w:spacing w:after="0" w:line="20" w:lineRule="exact"/>
              <w:rPr>
                <w:sz w:val="1"/>
                <w:szCs w:val="1"/>
                <w:color w:val="auto"/>
              </w:rPr>
            </w:pPr>
          </w:p>
        </w:tc>
        <w:tc>
          <w:tcPr>
            <w:tcW w:w="320" w:type="dxa"/>
            <w:vAlign w:val="bottom"/>
            <w:tcBorders>
              <w:top w:val="single" w:sz="8" w:color="D2DCE5"/>
              <w:bottom w:val="single" w:sz="8" w:color="auto"/>
            </w:tcBorders>
          </w:tcPr>
          <w:p>
            <w:pPr>
              <w:spacing w:after="0" w:line="20" w:lineRule="exact"/>
              <w:rPr>
                <w:sz w:val="1"/>
                <w:szCs w:val="1"/>
                <w:color w:val="auto"/>
              </w:rPr>
            </w:pPr>
          </w:p>
        </w:tc>
        <w:tc>
          <w:tcPr>
            <w:tcW w:w="1140" w:type="dxa"/>
            <w:vAlign w:val="bottom"/>
            <w:tcBorders>
              <w:top w:val="single" w:sz="8" w:color="D2DCE5"/>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auto"/>
            </w:tcBorders>
          </w:tcPr>
          <w:p>
            <w:pPr>
              <w:spacing w:after="0" w:line="20" w:lineRule="exact"/>
              <w:rPr>
                <w:sz w:val="1"/>
                <w:szCs w:val="1"/>
                <w:color w:val="auto"/>
              </w:rPr>
            </w:pPr>
          </w:p>
        </w:tc>
        <w:tc>
          <w:tcPr>
            <w:tcW w:w="1200" w:type="dxa"/>
            <w:vAlign w:val="bottom"/>
            <w:tcBorders>
              <w:top w:val="single" w:sz="8" w:color="D2DCE5"/>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w:t>
      </w:r>
    </w:p>
    <w:p>
      <w:pPr>
        <w:spacing w:after="0" w:line="60" w:lineRule="exact"/>
        <w:rPr>
          <w:sz w:val="20"/>
          <w:szCs w:val="20"/>
          <w:color w:val="auto"/>
        </w:rPr>
      </w:pPr>
    </w:p>
    <w:p>
      <w:pPr>
        <w:ind w:left="140" w:hanging="135"/>
        <w:spacing w:after="0"/>
        <w:tabs>
          <w:tab w:leader="none" w:pos="140" w:val="left"/>
        </w:tabs>
        <w:numPr>
          <w:ilvl w:val="0"/>
          <w:numId w:val="52"/>
        </w:numPr>
        <w:rPr>
          <w:rFonts w:ascii="Arial" w:cs="Arial" w:eastAsia="Arial" w:hAnsi="Arial"/>
          <w:sz w:val="7"/>
          <w:szCs w:val="7"/>
          <w:color w:val="131E29"/>
        </w:rPr>
      </w:pPr>
      <w:r>
        <w:rPr>
          <w:rFonts w:ascii="Arial" w:cs="Arial" w:eastAsia="Arial" w:hAnsi="Arial"/>
          <w:sz w:val="11"/>
          <w:szCs w:val="11"/>
          <w:color w:val="131E29"/>
        </w:rPr>
        <w:t>Other deferred revenue, net, includes activity related to initial unearned franchise fees, and in 2023 includes recognition of previously outstanding performance obligations.</w:t>
      </w:r>
    </w:p>
    <w:p>
      <w:pPr>
        <w:spacing w:after="0" w:line="130"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Revenue recognized during each of the three years ended December 31, 2024 that was included in the respective deferred revenue liability balances at the beginning of the period are shown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131E29"/>
              </w:rPr>
              <w:t>Year Ended December 31,</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131E29"/>
              </w:rPr>
              <w:t>2024</w:t>
            </w:r>
          </w:p>
        </w:tc>
        <w:tc>
          <w:tcPr>
            <w:tcW w:w="4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r>
      <w:tr>
        <w:trPr>
          <w:trHeight w:val="209"/>
        </w:trPr>
        <w:tc>
          <w:tcPr>
            <w:tcW w:w="64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Gift card redemptions </w:t>
            </w:r>
            <w:r>
              <w:rPr>
                <w:rFonts w:ascii="Arial" w:cs="Arial" w:eastAsia="Arial" w:hAnsi="Arial"/>
                <w:sz w:val="18"/>
                <w:szCs w:val="18"/>
                <w:color w:val="131E29"/>
                <w:vertAlign w:val="superscript"/>
              </w:rPr>
              <w:t>1</w:t>
            </w: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6,215</w:t>
            </w:r>
          </w:p>
        </w:tc>
        <w:tc>
          <w:tcPr>
            <w:tcW w:w="480" w:type="dxa"/>
            <w:vAlign w:val="bottom"/>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5,149</w:t>
            </w: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jc w:val="right"/>
              <w:ind w:right="189"/>
              <w:spacing w:after="0"/>
              <w:rPr>
                <w:sz w:val="20"/>
                <w:szCs w:val="20"/>
                <w:color w:val="auto"/>
              </w:rPr>
            </w:pPr>
            <w:r>
              <w:rPr>
                <w:rFonts w:ascii="Arial" w:cs="Arial" w:eastAsia="Arial" w:hAnsi="Arial"/>
                <w:sz w:val="14"/>
                <w:szCs w:val="14"/>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3,965</w:t>
            </w:r>
          </w:p>
        </w:tc>
      </w:tr>
      <w:tr>
        <w:trPr>
          <w:trHeight w:val="193"/>
        </w:trPr>
        <w:tc>
          <w:tcPr>
            <w:tcW w:w="6420" w:type="dxa"/>
            <w:vAlign w:val="bottom"/>
            <w:gridSpan w:val="2"/>
          </w:tcPr>
          <w:p>
            <w:pPr>
              <w:ind w:left="20"/>
              <w:spacing w:after="0"/>
              <w:rPr>
                <w:sz w:val="20"/>
                <w:szCs w:val="20"/>
                <w:color w:val="auto"/>
              </w:rPr>
            </w:pPr>
            <w:r>
              <w:rPr>
                <w:rFonts w:ascii="Arial" w:cs="Arial" w:eastAsia="Arial" w:hAnsi="Arial"/>
                <w:sz w:val="14"/>
                <w:szCs w:val="14"/>
                <w:color w:val="131E29"/>
              </w:rPr>
              <w:t>Earned franchise fees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131E29"/>
              </w:rPr>
              <w:t>450</w:t>
            </w:r>
          </w:p>
        </w:tc>
        <w:tc>
          <w:tcPr>
            <w:tcW w:w="4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454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507</w:t>
            </w:r>
          </w:p>
        </w:tc>
      </w:tr>
      <w:tr>
        <w:trPr>
          <w:trHeight w:val="265"/>
        </w:trPr>
        <w:tc>
          <w:tcPr>
            <w:tcW w:w="6340" w:type="dxa"/>
            <w:vAlign w:val="bottom"/>
          </w:tcPr>
          <w:p>
            <w:pPr>
              <w:spacing w:after="0"/>
              <w:rPr>
                <w:sz w:val="20"/>
                <w:szCs w:val="20"/>
                <w:color w:val="auto"/>
              </w:rPr>
            </w:pPr>
            <w:r>
              <w:rPr>
                <w:rFonts w:ascii="Arial" w:cs="Arial" w:eastAsia="Arial" w:hAnsi="Arial"/>
                <w:sz w:val="14"/>
                <w:szCs w:val="14"/>
                <w:color w:val="131E29"/>
              </w:rPr>
              <w:t>_____________________</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r>
    </w:tbl>
    <w:p>
      <w:pPr>
        <w:spacing w:after="0" w:line="10" w:lineRule="exact"/>
        <w:rPr>
          <w:sz w:val="20"/>
          <w:szCs w:val="20"/>
          <w:color w:val="auto"/>
        </w:rPr>
      </w:pPr>
    </w:p>
    <w:p>
      <w:pPr>
        <w:ind w:left="180" w:hanging="175"/>
        <w:spacing w:after="0"/>
        <w:tabs>
          <w:tab w:leader="none" w:pos="180" w:val="left"/>
        </w:tabs>
        <w:numPr>
          <w:ilvl w:val="0"/>
          <w:numId w:val="53"/>
        </w:numPr>
        <w:rPr>
          <w:rFonts w:ascii="Arial" w:cs="Arial" w:eastAsia="Arial" w:hAnsi="Arial"/>
          <w:sz w:val="15"/>
          <w:szCs w:val="15"/>
          <w:color w:val="auto"/>
          <w:vertAlign w:val="superscript"/>
        </w:rPr>
      </w:pPr>
      <w:r>
        <w:rPr>
          <w:rFonts w:ascii="Arial" w:cs="Arial" w:eastAsia="Arial" w:hAnsi="Arial"/>
          <w:sz w:val="11"/>
          <w:szCs w:val="11"/>
          <w:color w:val="131E29"/>
        </w:rPr>
        <w:t>Amounts exclude cash loads and transactions related to the Company’s loyalty rewards program.</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131E29"/>
        </w:rPr>
        <w:t>Future recognition of initial unearned franchise fees as of December 31, 2024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72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6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1"/>
        </w:trPr>
        <w:tc>
          <w:tcPr>
            <w:tcW w:w="9620" w:type="dxa"/>
            <w:vAlign w:val="bottom"/>
            <w:tcBorders>
              <w:top w:val="single" w:sz="8" w:color="auto"/>
            </w:tcBorders>
            <w:shd w:val="clear" w:color="auto" w:fill="D2DCE5"/>
          </w:tcPr>
          <w:p>
            <w:pPr>
              <w:ind w:left="20"/>
              <w:spacing w:after="0"/>
              <w:rPr>
                <w:sz w:val="20"/>
                <w:szCs w:val="20"/>
                <w:color w:val="auto"/>
              </w:rPr>
            </w:pPr>
            <w:r>
              <w:rPr>
                <w:rFonts w:ascii="Arial" w:cs="Arial" w:eastAsia="Arial" w:hAnsi="Arial"/>
                <w:sz w:val="14"/>
                <w:szCs w:val="14"/>
                <w:color w:val="131E29"/>
              </w:rPr>
              <w:t>2025</w:t>
            </w:r>
          </w:p>
        </w:tc>
        <w:tc>
          <w:tcPr>
            <w:tcW w:w="100" w:type="dxa"/>
            <w:vAlign w:val="bottom"/>
            <w:tcBorders>
              <w:top w:val="single" w:sz="8" w:color="D2DCE5"/>
            </w:tcBorders>
            <w:shd w:val="clear" w:color="auto" w:fill="D2DCE5"/>
          </w:tcPr>
          <w:p>
            <w:pPr>
              <w:spacing w:after="0"/>
              <w:rPr>
                <w:sz w:val="18"/>
                <w:szCs w:val="18"/>
                <w:color w:val="auto"/>
              </w:rPr>
            </w:pPr>
          </w:p>
        </w:tc>
        <w:tc>
          <w:tcPr>
            <w:tcW w:w="620" w:type="dxa"/>
            <w:vAlign w:val="bottom"/>
            <w:tcBorders>
              <w:top w:val="single" w:sz="8" w:color="auto"/>
            </w:tcBorders>
            <w:shd w:val="clear" w:color="auto" w:fill="D2DCE5"/>
          </w:tcPr>
          <w:p>
            <w:pPr>
              <w:jc w:val="right"/>
              <w:ind w:right="469"/>
              <w:spacing w:after="0"/>
              <w:rPr>
                <w:sz w:val="20"/>
                <w:szCs w:val="20"/>
                <w:color w:val="auto"/>
              </w:rPr>
            </w:pPr>
            <w:r>
              <w:rPr>
                <w:rFonts w:ascii="Arial" w:cs="Arial" w:eastAsia="Arial" w:hAnsi="Arial"/>
                <w:sz w:val="14"/>
                <w:szCs w:val="14"/>
                <w:color w:val="131E29"/>
                <w:w w:val="76"/>
              </w:rPr>
              <w:t>$</w:t>
            </w:r>
          </w:p>
        </w:tc>
        <w:tc>
          <w:tcPr>
            <w:tcW w:w="94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430</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388</w:t>
            </w:r>
          </w:p>
        </w:tc>
      </w:tr>
      <w:tr>
        <w:trPr>
          <w:trHeight w:val="222"/>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2027</w:t>
            </w:r>
          </w:p>
        </w:tc>
        <w:tc>
          <w:tcPr>
            <w:tcW w:w="100" w:type="dxa"/>
            <w:vAlign w:val="bottom"/>
            <w:shd w:val="clear" w:color="auto" w:fill="D2DCE5"/>
          </w:tcPr>
          <w:p>
            <w:pPr>
              <w:spacing w:after="0"/>
              <w:rPr>
                <w:sz w:val="19"/>
                <w:szCs w:val="19"/>
                <w:color w:val="auto"/>
              </w:rPr>
            </w:pPr>
          </w:p>
        </w:tc>
        <w:tc>
          <w:tcPr>
            <w:tcW w:w="62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343</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2028</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294</w:t>
            </w:r>
          </w:p>
        </w:tc>
      </w:tr>
      <w:tr>
        <w:trPr>
          <w:trHeight w:val="222"/>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2029</w:t>
            </w:r>
          </w:p>
        </w:tc>
        <w:tc>
          <w:tcPr>
            <w:tcW w:w="100" w:type="dxa"/>
            <w:vAlign w:val="bottom"/>
            <w:shd w:val="clear" w:color="auto" w:fill="D2DCE5"/>
          </w:tcPr>
          <w:p>
            <w:pPr>
              <w:spacing w:after="0"/>
              <w:rPr>
                <w:sz w:val="19"/>
                <w:szCs w:val="19"/>
                <w:color w:val="auto"/>
              </w:rPr>
            </w:pPr>
          </w:p>
        </w:tc>
        <w:tc>
          <w:tcPr>
            <w:tcW w:w="620" w:type="dxa"/>
            <w:vAlign w:val="bottom"/>
            <w:shd w:val="clear" w:color="auto" w:fill="D2DCE5"/>
          </w:tcPr>
          <w:p>
            <w:pPr>
              <w:spacing w:after="0"/>
              <w:rPr>
                <w:sz w:val="19"/>
                <w:szCs w:val="19"/>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249</w:t>
            </w:r>
          </w:p>
        </w:tc>
      </w:tr>
      <w:tr>
        <w:trPr>
          <w:trHeight w:val="203"/>
        </w:trPr>
        <w:tc>
          <w:tcPr>
            <w:tcW w:w="97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Thereafter</w:t>
            </w: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914</w:t>
            </w:r>
          </w:p>
        </w:tc>
      </w:tr>
      <w:tr>
        <w:trPr>
          <w:trHeight w:val="237"/>
        </w:trPr>
        <w:tc>
          <w:tcPr>
            <w:tcW w:w="97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b w:val="1"/>
                <w:bCs w:val="1"/>
                <w:color w:val="131E29"/>
              </w:rPr>
              <w:t>Total</w:t>
            </w:r>
          </w:p>
        </w:tc>
        <w:tc>
          <w:tcPr>
            <w:tcW w:w="620" w:type="dxa"/>
            <w:vAlign w:val="bottom"/>
            <w:tcBorders>
              <w:bottom w:val="single" w:sz="8" w:color="auto"/>
            </w:tcBorders>
            <w:shd w:val="clear" w:color="auto" w:fill="D2DCE5"/>
          </w:tcPr>
          <w:p>
            <w:pPr>
              <w:jc w:val="right"/>
              <w:ind w:right="469"/>
              <w:spacing w:after="0"/>
              <w:rPr>
                <w:sz w:val="20"/>
                <w:szCs w:val="20"/>
                <w:color w:val="auto"/>
              </w:rPr>
            </w:pPr>
            <w:r>
              <w:rPr>
                <w:rFonts w:ascii="Arial" w:cs="Arial" w:eastAsia="Arial" w:hAnsi="Arial"/>
                <w:sz w:val="14"/>
                <w:szCs w:val="14"/>
                <w:b w:val="1"/>
                <w:bCs w:val="1"/>
                <w:color w:val="131E29"/>
                <w:w w:val="76"/>
              </w:rPr>
              <w:t>$</w:t>
            </w:r>
          </w:p>
        </w:tc>
        <w:tc>
          <w:tcPr>
            <w:tcW w:w="9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2,618</w:t>
            </w:r>
          </w:p>
        </w:tc>
      </w:tr>
      <w:tr>
        <w:trPr>
          <w:trHeight w:val="20"/>
        </w:trPr>
        <w:tc>
          <w:tcPr>
            <w:tcW w:w="96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620" w:type="dxa"/>
            <w:vAlign w:val="bottom"/>
            <w:tcBorders>
              <w:top w:val="single" w:sz="8" w:color="D2DCE5"/>
              <w:bottom w:val="single" w:sz="8" w:color="auto"/>
            </w:tcBorders>
          </w:tcPr>
          <w:p>
            <w:pPr>
              <w:spacing w:after="0" w:line="20" w:lineRule="exact"/>
              <w:rPr>
                <w:sz w:val="1"/>
                <w:szCs w:val="1"/>
                <w:color w:val="auto"/>
              </w:rPr>
            </w:pPr>
          </w:p>
        </w:tc>
        <w:tc>
          <w:tcPr>
            <w:tcW w:w="940" w:type="dxa"/>
            <w:vAlign w:val="bottom"/>
            <w:tcBorders>
              <w:top w:val="single" w:sz="8" w:color="D2DCE5"/>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6" w:name="page117"/>
    <w:bookmarkEnd w:id="11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4 — Organization Realignment and Restructuring</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On January 29, 2024, the Company’s Board of Directors approved an organizational realignment and restructuring plan to expand the Company’s support operations at its Phoenix, Arizona office. As part of this large-scale initiative, the Company relocated certain of its support center staff from the Grants Pass, Oregon headquarters to the Phoenix office. As of December 31, 2024, approximately 40% of the Company’s total support operations staff were located in Phoenix, Arizona. All affected employees were either offered an opportunity to continue employment in the Phoenix office or were offered a severance package; these communications were largely completed by February 9, 2024. The Company expects to incur total aggregate charges of approximately $19 million to $20 million related to this initiative, consisting of (i) approximately $16 million to $17 million in employee-related costs, including relocation, retention and transition costs, termination benefits, and duplicate transition wages and benefits; and (ii) approximately $3 million in other costs, including building donation, consulting fees and costs and duplicate rent. Substantially all of the estimated charges have resulted in current cash expenditures or are expected in future cash expenditures.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131E29"/>
        </w:rPr>
        <w:t>We recorded severance related to this initiative as a one-time termination benefit and recognized the expense ratably over the employees’ required future service period.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131E29"/>
        </w:rPr>
        <w:t>All other costs, including other employee transition costs, recruitment and relocation costs, and third-party costs, are recognized in the period incurred.</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131E29"/>
        </w:rPr>
        <w:t>There have been no material lease terminations or lease abandonments related to this initiative.</w:t>
      </w:r>
    </w:p>
    <w:p>
      <w:pPr>
        <w:spacing w:after="0" w:line="94"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In December 2024, the Grants Pass, Oregon headquarters building was vacated as a result of the organization realignment and restructuring activities. The building was donated to a local charity for development of a children’s learning center, and we recorded a net donation expense of $1.8 million.</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During the year ended December 31, 2024, we recorded restructuring charges for employee-related and other costs in selling, general and administrative expenses on the consolidated statements of operations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131E29"/>
              </w:rPr>
              <w:t>Year Ended December 31, 2024</w:t>
            </w:r>
          </w:p>
        </w:tc>
      </w:tr>
      <w:tr>
        <w:trPr>
          <w:trHeight w:val="209"/>
        </w:trPr>
        <w:tc>
          <w:tcPr>
            <w:tcW w:w="88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Relocation and travel costs</w:t>
            </w: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2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11,403</w:t>
            </w:r>
          </w:p>
        </w:tc>
      </w:tr>
      <w:tr>
        <w:trPr>
          <w:trHeight w:val="203"/>
        </w:trPr>
        <w:tc>
          <w:tcPr>
            <w:tcW w:w="88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One-time termination benefits</w:t>
            </w: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4,146</w:t>
            </w:r>
          </w:p>
        </w:tc>
      </w:tr>
      <w:tr>
        <w:trPr>
          <w:trHeight w:val="212"/>
        </w:trPr>
        <w:tc>
          <w:tcPr>
            <w:tcW w:w="888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Total employee-related costs</w:t>
            </w:r>
          </w:p>
        </w:tc>
        <w:tc>
          <w:tcPr>
            <w:tcW w:w="140" w:type="dxa"/>
            <w:vAlign w:val="bottom"/>
            <w:tcBorders>
              <w:bottom w:val="single" w:sz="8" w:color="auto"/>
            </w:tcBorders>
            <w:shd w:val="clear" w:color="auto" w:fill="D2DCE5"/>
          </w:tcPr>
          <w:p>
            <w:pPr>
              <w:spacing w:after="0"/>
              <w:rPr>
                <w:sz w:val="18"/>
                <w:szCs w:val="18"/>
                <w:color w:val="auto"/>
              </w:rPr>
            </w:pPr>
          </w:p>
        </w:tc>
        <w:tc>
          <w:tcPr>
            <w:tcW w:w="22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15,549</w:t>
            </w:r>
          </w:p>
        </w:tc>
      </w:tr>
      <w:tr>
        <w:trPr>
          <w:trHeight w:val="193"/>
        </w:trPr>
        <w:tc>
          <w:tcPr>
            <w:tcW w:w="8880" w:type="dxa"/>
            <w:vAlign w:val="bottom"/>
            <w:gridSpan w:val="2"/>
          </w:tcPr>
          <w:p>
            <w:pPr>
              <w:ind w:left="20"/>
              <w:spacing w:after="0"/>
              <w:rPr>
                <w:sz w:val="20"/>
                <w:szCs w:val="20"/>
                <w:color w:val="auto"/>
              </w:rPr>
            </w:pPr>
            <w:r>
              <w:rPr>
                <w:rFonts w:ascii="Arial" w:cs="Arial" w:eastAsia="Arial" w:hAnsi="Arial"/>
                <w:sz w:val="14"/>
                <w:szCs w:val="14"/>
                <w:color w:val="131E29"/>
              </w:rPr>
              <w:t>Building donation</w:t>
            </w:r>
          </w:p>
        </w:tc>
        <w:tc>
          <w:tcPr>
            <w:tcW w:w="140" w:type="dxa"/>
            <w:vAlign w:val="bottom"/>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131E29"/>
              </w:rPr>
              <w:t>1,811</w:t>
            </w:r>
          </w:p>
        </w:tc>
      </w:tr>
      <w:tr>
        <w:trPr>
          <w:trHeight w:val="222"/>
        </w:trPr>
        <w:tc>
          <w:tcPr>
            <w:tcW w:w="88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Duplicate rent</w:t>
            </w:r>
          </w:p>
        </w:tc>
        <w:tc>
          <w:tcPr>
            <w:tcW w:w="140" w:type="dxa"/>
            <w:vAlign w:val="bottom"/>
            <w:shd w:val="clear" w:color="auto" w:fill="D2DCE5"/>
          </w:tcPr>
          <w:p>
            <w:pPr>
              <w:spacing w:after="0"/>
              <w:rPr>
                <w:sz w:val="19"/>
                <w:szCs w:val="19"/>
                <w:color w:val="auto"/>
              </w:rPr>
            </w:pPr>
          </w:p>
        </w:tc>
        <w:tc>
          <w:tcPr>
            <w:tcW w:w="22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461</w:t>
            </w:r>
          </w:p>
        </w:tc>
      </w:tr>
      <w:tr>
        <w:trPr>
          <w:trHeight w:val="203"/>
        </w:trPr>
        <w:tc>
          <w:tcPr>
            <w:tcW w:w="88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Consulting</w:t>
            </w:r>
          </w:p>
        </w:tc>
        <w:tc>
          <w:tcPr>
            <w:tcW w:w="1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55</w:t>
            </w:r>
          </w:p>
        </w:tc>
      </w:tr>
      <w:tr>
        <w:trPr>
          <w:trHeight w:val="203"/>
        </w:trPr>
        <w:tc>
          <w:tcPr>
            <w:tcW w:w="888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Total other costs</w:t>
            </w:r>
          </w:p>
        </w:tc>
        <w:tc>
          <w:tcPr>
            <w:tcW w:w="140" w:type="dxa"/>
            <w:vAlign w:val="bottom"/>
            <w:tcBorders>
              <w:bottom w:val="single" w:sz="8" w:color="auto"/>
            </w:tcBorders>
            <w:shd w:val="clear" w:color="auto" w:fill="D2DCE5"/>
          </w:tcPr>
          <w:p>
            <w:pPr>
              <w:spacing w:after="0"/>
              <w:rPr>
                <w:sz w:val="17"/>
                <w:szCs w:val="17"/>
                <w:color w:val="auto"/>
              </w:rPr>
            </w:pPr>
          </w:p>
        </w:tc>
        <w:tc>
          <w:tcPr>
            <w:tcW w:w="22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2,327</w:t>
            </w:r>
          </w:p>
        </w:tc>
      </w:tr>
      <w:tr>
        <w:trPr>
          <w:trHeight w:val="212"/>
        </w:trPr>
        <w:tc>
          <w:tcPr>
            <w:tcW w:w="8880" w:type="dxa"/>
            <w:vAlign w:val="bottom"/>
            <w:gridSpan w:val="2"/>
          </w:tcPr>
          <w:p>
            <w:pPr>
              <w:ind w:left="160"/>
              <w:spacing w:after="0"/>
              <w:rPr>
                <w:sz w:val="20"/>
                <w:szCs w:val="20"/>
                <w:color w:val="auto"/>
              </w:rPr>
            </w:pPr>
            <w:r>
              <w:rPr>
                <w:rFonts w:ascii="Arial" w:cs="Arial" w:eastAsia="Arial" w:hAnsi="Arial"/>
                <w:sz w:val="14"/>
                <w:szCs w:val="14"/>
                <w:b w:val="1"/>
                <w:bCs w:val="1"/>
                <w:color w:val="131E29"/>
              </w:rPr>
              <w:t>Total restructuring costs incurred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17,876</w:t>
            </w:r>
          </w:p>
        </w:tc>
      </w:tr>
      <w:tr>
        <w:trPr>
          <w:trHeight w:val="20"/>
        </w:trPr>
        <w:tc>
          <w:tcPr>
            <w:tcW w:w="8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7" w:name="page118"/>
    <w:bookmarkEnd w:id="11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As of December 31, 2024, the accruals for corporate restructuring costs are included in accounts payable, accrued compensation and benefits, and accrued expenses on the consolidated balance sheets. The following table summarizes the activity for the restructuring liability during the year ended December 31, 2024:</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131E29"/>
              </w:rPr>
              <w:t>Liability, December 31,</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jc w:val="right"/>
              <w:ind w:right="29"/>
              <w:spacing w:after="0"/>
              <w:rPr>
                <w:sz w:val="20"/>
                <w:szCs w:val="20"/>
                <w:color w:val="auto"/>
              </w:rPr>
            </w:pPr>
            <w:r>
              <w:rPr>
                <w:rFonts w:ascii="Arial" w:cs="Arial" w:eastAsia="Arial" w:hAnsi="Arial"/>
                <w:sz w:val="14"/>
                <w:szCs w:val="14"/>
                <w:b w:val="1"/>
                <w:bCs w:val="1"/>
                <w:color w:val="131E29"/>
                <w:w w:val="98"/>
              </w:rPr>
              <w:t>Liability, December 31,</w:t>
            </w:r>
          </w:p>
        </w:tc>
      </w:tr>
      <w:tr>
        <w:trPr>
          <w:trHeight w:val="200"/>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131E29"/>
              </w:rPr>
              <w:t>Charges</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131E29"/>
              </w:rPr>
              <w:t>Cash Payments</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131E29"/>
              </w:rPr>
              <w:t>Non-Cash</w:t>
            </w:r>
          </w:p>
        </w:tc>
        <w:tc>
          <w:tcPr>
            <w:tcW w:w="10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629"/>
              <w:spacing w:after="0"/>
              <w:rPr>
                <w:sz w:val="20"/>
                <w:szCs w:val="20"/>
                <w:color w:val="auto"/>
              </w:rPr>
            </w:pPr>
            <w:r>
              <w:rPr>
                <w:rFonts w:ascii="Arial" w:cs="Arial" w:eastAsia="Arial" w:hAnsi="Arial"/>
                <w:sz w:val="14"/>
                <w:szCs w:val="14"/>
                <w:b w:val="1"/>
                <w:bCs w:val="1"/>
                <w:color w:val="131E29"/>
              </w:rPr>
              <w:t>2024</w:t>
            </w:r>
          </w:p>
        </w:tc>
      </w:tr>
      <w:tr>
        <w:trPr>
          <w:trHeight w:val="209"/>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Relocation and travel costs</w:t>
            </w: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700" w:type="dxa"/>
            <w:vAlign w:val="bottom"/>
            <w:gridSpan w:val="2"/>
            <w:shd w:val="clear" w:color="auto" w:fill="D2DCE5"/>
          </w:tcPr>
          <w:p>
            <w:pPr>
              <w:ind w:left="142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11,403</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14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(10,705)</w:t>
            </w:r>
          </w:p>
        </w:tc>
        <w:tc>
          <w:tcPr>
            <w:tcW w:w="80" w:type="dxa"/>
            <w:vAlign w:val="bottom"/>
            <w:shd w:val="clear" w:color="auto" w:fill="D2DCE5"/>
          </w:tcPr>
          <w:p>
            <w:pPr>
              <w:spacing w:after="0"/>
              <w:rPr>
                <w:sz w:val="18"/>
                <w:szCs w:val="18"/>
                <w:color w:val="auto"/>
              </w:rPr>
            </w:pPr>
          </w:p>
        </w:tc>
        <w:tc>
          <w:tcPr>
            <w:tcW w:w="2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1380" w:type="dxa"/>
            <w:vAlign w:val="bottom"/>
            <w:gridSpan w:val="2"/>
            <w:shd w:val="clear" w:color="auto" w:fill="D2DCE5"/>
          </w:tcPr>
          <w:p>
            <w:pPr>
              <w:ind w:left="10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698</w:t>
            </w:r>
          </w:p>
        </w:tc>
      </w:tr>
      <w:tr>
        <w:trPr>
          <w:trHeight w:val="203"/>
        </w:trPr>
        <w:tc>
          <w:tcPr>
            <w:tcW w:w="27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One-time termination benefits</w:t>
            </w: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142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4,146</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(2,118)</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2,028</w:t>
            </w:r>
          </w:p>
        </w:tc>
      </w:tr>
      <w:tr>
        <w:trPr>
          <w:trHeight w:val="212"/>
        </w:trPr>
        <w:tc>
          <w:tcPr>
            <w:tcW w:w="278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Total employee-related costs</w:t>
            </w:r>
          </w:p>
        </w:tc>
        <w:tc>
          <w:tcPr>
            <w:tcW w:w="10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ind w:left="142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2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15,549</w:t>
            </w:r>
          </w:p>
        </w:tc>
        <w:tc>
          <w:tcPr>
            <w:tcW w:w="80" w:type="dxa"/>
            <w:vAlign w:val="bottom"/>
            <w:shd w:val="clear" w:color="auto" w:fill="D2DCE5"/>
          </w:tcPr>
          <w:p>
            <w:pPr>
              <w:spacing w:after="0"/>
              <w:rPr>
                <w:sz w:val="18"/>
                <w:szCs w:val="18"/>
                <w:color w:val="auto"/>
              </w:rPr>
            </w:pPr>
          </w:p>
        </w:tc>
        <w:tc>
          <w:tcPr>
            <w:tcW w:w="180" w:type="dxa"/>
            <w:vAlign w:val="bottom"/>
            <w:tcBorders>
              <w:bottom w:val="single" w:sz="8" w:color="auto"/>
            </w:tcBorders>
            <w:shd w:val="clear" w:color="auto" w:fill="D2DCE5"/>
          </w:tcPr>
          <w:p>
            <w:pPr>
              <w:spacing w:after="0"/>
              <w:rPr>
                <w:sz w:val="18"/>
                <w:szCs w:val="18"/>
                <w:color w:val="auto"/>
              </w:rPr>
            </w:pP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(12,823)</w:t>
            </w:r>
          </w:p>
        </w:tc>
        <w:tc>
          <w:tcPr>
            <w:tcW w:w="80" w:type="dxa"/>
            <w:vAlign w:val="bottom"/>
            <w:shd w:val="clear" w:color="auto" w:fill="D2DCE5"/>
          </w:tcPr>
          <w:p>
            <w:pPr>
              <w:spacing w:after="0"/>
              <w:rPr>
                <w:sz w:val="18"/>
                <w:szCs w:val="18"/>
                <w:color w:val="auto"/>
              </w:rPr>
            </w:pPr>
          </w:p>
        </w:tc>
        <w:tc>
          <w:tcPr>
            <w:tcW w:w="280" w:type="dxa"/>
            <w:vAlign w:val="bottom"/>
            <w:tcBorders>
              <w:bottom w:val="single" w:sz="8" w:color="auto"/>
            </w:tcBorders>
            <w:shd w:val="clear" w:color="auto" w:fill="D2DCE5"/>
          </w:tcPr>
          <w:p>
            <w:pPr>
              <w:spacing w:after="0"/>
              <w:rPr>
                <w:sz w:val="18"/>
                <w:szCs w:val="18"/>
                <w:color w:val="auto"/>
              </w:rPr>
            </w:pPr>
          </w:p>
        </w:tc>
        <w:tc>
          <w:tcPr>
            <w:tcW w:w="1280" w:type="dxa"/>
            <w:vAlign w:val="bottom"/>
            <w:tcBorders>
              <w:bottom w:val="single" w:sz="8" w:color="auto"/>
            </w:tcBorders>
            <w:shd w:val="clear" w:color="auto" w:fill="D2DCE5"/>
          </w:tcPr>
          <w:p>
            <w:pPr>
              <w:ind w:left="10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2,726</w:t>
            </w:r>
          </w:p>
        </w:tc>
      </w:tr>
      <w:tr>
        <w:trPr>
          <w:trHeight w:val="193"/>
        </w:trPr>
        <w:tc>
          <w:tcPr>
            <w:tcW w:w="2780" w:type="dxa"/>
            <w:vAlign w:val="bottom"/>
            <w:gridSpan w:val="2"/>
          </w:tcPr>
          <w:p>
            <w:pPr>
              <w:ind w:left="20"/>
              <w:spacing w:after="0"/>
              <w:rPr>
                <w:sz w:val="20"/>
                <w:szCs w:val="20"/>
                <w:color w:val="auto"/>
              </w:rPr>
            </w:pPr>
            <w:r>
              <w:rPr>
                <w:rFonts w:ascii="Arial" w:cs="Arial" w:eastAsia="Arial" w:hAnsi="Arial"/>
                <w:sz w:val="14"/>
                <w:szCs w:val="14"/>
                <w:color w:val="131E29"/>
              </w:rPr>
              <w:t>Duplicate rent</w:t>
            </w:r>
          </w:p>
        </w:tc>
        <w:tc>
          <w:tcPr>
            <w:tcW w:w="100" w:type="dxa"/>
            <w:vAlign w:val="bottom"/>
          </w:tcPr>
          <w:p>
            <w:pPr>
              <w:spacing w:after="0"/>
              <w:rPr>
                <w:sz w:val="16"/>
                <w:szCs w:val="16"/>
                <w:color w:val="auto"/>
              </w:rPr>
            </w:pPr>
          </w:p>
        </w:tc>
        <w:tc>
          <w:tcPr>
            <w:tcW w:w="1700" w:type="dxa"/>
            <w:vAlign w:val="bottom"/>
            <w:gridSpan w:val="2"/>
          </w:tcPr>
          <w:p>
            <w:pPr>
              <w:ind w:left="1420"/>
              <w:spacing w:after="0"/>
              <w:rPr>
                <w:sz w:val="20"/>
                <w:szCs w:val="20"/>
                <w:color w:val="auto"/>
              </w:rPr>
            </w:pPr>
            <w:r>
              <w:rPr>
                <w:rFonts w:ascii="Arial" w:cs="Arial" w:eastAsia="Arial" w:hAnsi="Arial"/>
                <w:sz w:val="14"/>
                <w:szCs w:val="14"/>
                <w:color w:val="131E29"/>
              </w:rPr>
              <w:t>—</w:t>
            </w:r>
          </w:p>
        </w:tc>
        <w:tc>
          <w:tcPr>
            <w:tcW w:w="3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131E29"/>
              </w:rPr>
              <w:t>461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131E29"/>
              </w:rPr>
              <w:t>(461)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ind w:left="108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2"/>
        </w:trPr>
        <w:tc>
          <w:tcPr>
            <w:tcW w:w="27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Consulting</w:t>
            </w:r>
          </w:p>
        </w:tc>
        <w:tc>
          <w:tcPr>
            <w:tcW w:w="100" w:type="dxa"/>
            <w:vAlign w:val="bottom"/>
            <w:shd w:val="clear" w:color="auto" w:fill="D2DCE5"/>
          </w:tcPr>
          <w:p>
            <w:pPr>
              <w:spacing w:after="0"/>
              <w:rPr>
                <w:sz w:val="19"/>
                <w:szCs w:val="19"/>
                <w:color w:val="auto"/>
              </w:rPr>
            </w:pPr>
          </w:p>
        </w:tc>
        <w:tc>
          <w:tcPr>
            <w:tcW w:w="1700" w:type="dxa"/>
            <w:vAlign w:val="bottom"/>
            <w:gridSpan w:val="2"/>
            <w:shd w:val="clear" w:color="auto" w:fill="D2DCE5"/>
          </w:tcPr>
          <w:p>
            <w:pPr>
              <w:ind w:left="1420"/>
              <w:spacing w:after="0"/>
              <w:rPr>
                <w:sz w:val="20"/>
                <w:szCs w:val="20"/>
                <w:color w:val="auto"/>
              </w:rPr>
            </w:pPr>
            <w:r>
              <w:rPr>
                <w:rFonts w:ascii="Arial" w:cs="Arial" w:eastAsia="Arial" w:hAnsi="Arial"/>
                <w:sz w:val="14"/>
                <w:szCs w:val="14"/>
                <w:color w:val="131E29"/>
              </w:rPr>
              <w:t>—</w:t>
            </w:r>
          </w:p>
        </w:tc>
        <w:tc>
          <w:tcPr>
            <w:tcW w:w="300" w:type="dxa"/>
            <w:vAlign w:val="bottom"/>
            <w:shd w:val="clear" w:color="auto" w:fill="D2DCE5"/>
          </w:tcPr>
          <w:p>
            <w:pPr>
              <w:spacing w:after="0"/>
              <w:rPr>
                <w:sz w:val="19"/>
                <w:szCs w:val="19"/>
                <w:color w:val="auto"/>
              </w:rPr>
            </w:pPr>
          </w:p>
        </w:tc>
        <w:tc>
          <w:tcPr>
            <w:tcW w:w="12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55</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480" w:type="dxa"/>
            <w:vAlign w:val="bottom"/>
            <w:gridSpan w:val="2"/>
            <w:shd w:val="clear" w:color="auto" w:fill="D2DCE5"/>
          </w:tcPr>
          <w:p>
            <w:pPr>
              <w:ind w:left="1200"/>
              <w:spacing w:after="0"/>
              <w:rPr>
                <w:sz w:val="20"/>
                <w:szCs w:val="20"/>
                <w:color w:val="auto"/>
              </w:rPr>
            </w:pPr>
            <w:r>
              <w:rPr>
                <w:rFonts w:ascii="Arial" w:cs="Arial" w:eastAsia="Arial" w:hAnsi="Arial"/>
                <w:sz w:val="14"/>
                <w:szCs w:val="14"/>
                <w:color w:val="131E29"/>
              </w:rPr>
              <w:t>—</w:t>
            </w:r>
          </w:p>
        </w:tc>
        <w:tc>
          <w:tcPr>
            <w:tcW w:w="280" w:type="dxa"/>
            <w:vAlign w:val="bottom"/>
            <w:shd w:val="clear" w:color="auto" w:fill="D2DCE5"/>
          </w:tcPr>
          <w:p>
            <w:pPr>
              <w:spacing w:after="0"/>
              <w:rPr>
                <w:sz w:val="19"/>
                <w:szCs w:val="19"/>
                <w:color w:val="auto"/>
              </w:rPr>
            </w:pPr>
          </w:p>
        </w:tc>
        <w:tc>
          <w:tcPr>
            <w:tcW w:w="1380" w:type="dxa"/>
            <w:vAlign w:val="bottom"/>
            <w:gridSpan w:val="2"/>
            <w:shd w:val="clear" w:color="auto" w:fill="D2DCE5"/>
          </w:tcPr>
          <w:p>
            <w:pPr>
              <w:ind w:left="108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55</w:t>
            </w:r>
          </w:p>
        </w:tc>
      </w:tr>
      <w:tr>
        <w:trPr>
          <w:trHeight w:val="203"/>
        </w:trPr>
        <w:tc>
          <w:tcPr>
            <w:tcW w:w="27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Building donation</w:t>
            </w: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ind w:left="142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1,811</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131E29"/>
              </w:rPr>
              <w:t>—</w:t>
            </w:r>
          </w:p>
        </w:tc>
        <w:tc>
          <w:tcPr>
            <w:tcW w:w="80" w:type="dxa"/>
            <w:vAlign w:val="bottom"/>
            <w:tcBorders>
              <w:bottom w:val="single" w:sz="8" w:color="D2DCE5"/>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840"/>
              <w:spacing w:after="0"/>
              <w:rPr>
                <w:sz w:val="20"/>
                <w:szCs w:val="20"/>
                <w:color w:val="auto"/>
              </w:rPr>
            </w:pPr>
            <w:r>
              <w:rPr>
                <w:rFonts w:ascii="Arial" w:cs="Arial" w:eastAsia="Arial" w:hAnsi="Arial"/>
                <w:sz w:val="14"/>
                <w:szCs w:val="14"/>
                <w:color w:val="131E29"/>
                <w:w w:val="94"/>
              </w:rPr>
              <w:t>(1,811)</w:t>
            </w:r>
          </w:p>
        </w:tc>
        <w:tc>
          <w:tcPr>
            <w:tcW w:w="10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2780" w:type="dxa"/>
            <w:vAlign w:val="bottom"/>
            <w:gridSpan w:val="2"/>
            <w:shd w:val="clear" w:color="auto" w:fill="D2DCE5"/>
          </w:tcPr>
          <w:p>
            <w:pPr>
              <w:ind w:left="80"/>
              <w:spacing w:after="0"/>
              <w:rPr>
                <w:sz w:val="20"/>
                <w:szCs w:val="20"/>
                <w:color w:val="auto"/>
              </w:rPr>
            </w:pPr>
            <w:r>
              <w:rPr>
                <w:rFonts w:ascii="Arial" w:cs="Arial" w:eastAsia="Arial" w:hAnsi="Arial"/>
                <w:sz w:val="14"/>
                <w:szCs w:val="14"/>
                <w:color w:val="131E29"/>
              </w:rPr>
              <w:t>Total other costs</w:t>
            </w:r>
          </w:p>
        </w:tc>
        <w:tc>
          <w:tcPr>
            <w:tcW w:w="100" w:type="dxa"/>
            <w:vAlign w:val="bottom"/>
            <w:tcBorders>
              <w:bottom w:val="single" w:sz="8" w:color="auto"/>
            </w:tcBorders>
            <w:shd w:val="clear" w:color="auto" w:fill="D2DCE5"/>
          </w:tcPr>
          <w:p>
            <w:pPr>
              <w:spacing w:after="0"/>
              <w:rPr>
                <w:sz w:val="17"/>
                <w:szCs w:val="17"/>
                <w:color w:val="auto"/>
              </w:rPr>
            </w:pPr>
          </w:p>
        </w:tc>
        <w:tc>
          <w:tcPr>
            <w:tcW w:w="1620" w:type="dxa"/>
            <w:vAlign w:val="bottom"/>
            <w:tcBorders>
              <w:bottom w:val="single" w:sz="8" w:color="auto"/>
            </w:tcBorders>
            <w:shd w:val="clear" w:color="auto" w:fill="D2DCE5"/>
          </w:tcPr>
          <w:p>
            <w:pPr>
              <w:ind w:left="142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7"/>
                <w:szCs w:val="17"/>
                <w:color w:val="auto"/>
              </w:rPr>
            </w:pPr>
          </w:p>
        </w:tc>
        <w:tc>
          <w:tcPr>
            <w:tcW w:w="300" w:type="dxa"/>
            <w:vAlign w:val="bottom"/>
            <w:tcBorders>
              <w:bottom w:val="single" w:sz="8" w:color="auto"/>
            </w:tcBorders>
            <w:shd w:val="clear" w:color="auto" w:fill="D2DCE5"/>
          </w:tcPr>
          <w:p>
            <w:pPr>
              <w:spacing w:after="0"/>
              <w:rPr>
                <w:sz w:val="17"/>
                <w:szCs w:val="17"/>
                <w:color w:val="auto"/>
              </w:rPr>
            </w:pPr>
          </w:p>
        </w:tc>
        <w:tc>
          <w:tcPr>
            <w:tcW w:w="12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2,327</w:t>
            </w:r>
          </w:p>
        </w:tc>
        <w:tc>
          <w:tcPr>
            <w:tcW w:w="80" w:type="dxa"/>
            <w:vAlign w:val="bottom"/>
            <w:shd w:val="clear" w:color="auto" w:fill="D2DCE5"/>
          </w:tcPr>
          <w:p>
            <w:pPr>
              <w:spacing w:after="0"/>
              <w:rPr>
                <w:sz w:val="17"/>
                <w:szCs w:val="17"/>
                <w:color w:val="auto"/>
              </w:rPr>
            </w:pPr>
          </w:p>
        </w:tc>
        <w:tc>
          <w:tcPr>
            <w:tcW w:w="180" w:type="dxa"/>
            <w:vAlign w:val="bottom"/>
            <w:tcBorders>
              <w:bottom w:val="single" w:sz="8" w:color="auto"/>
            </w:tcBorders>
            <w:shd w:val="clear" w:color="auto" w:fill="D2DCE5"/>
          </w:tcPr>
          <w:p>
            <w:pPr>
              <w:spacing w:after="0"/>
              <w:rPr>
                <w:sz w:val="17"/>
                <w:szCs w:val="17"/>
                <w:color w:val="auto"/>
              </w:rPr>
            </w:pPr>
          </w:p>
        </w:tc>
        <w:tc>
          <w:tcPr>
            <w:tcW w:w="14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(461)</w:t>
            </w:r>
          </w:p>
        </w:tc>
        <w:tc>
          <w:tcPr>
            <w:tcW w:w="80" w:type="dxa"/>
            <w:vAlign w:val="bottom"/>
            <w:shd w:val="clear" w:color="auto" w:fill="D2DCE5"/>
          </w:tcPr>
          <w:p>
            <w:pPr>
              <w:spacing w:after="0"/>
              <w:rPr>
                <w:sz w:val="17"/>
                <w:szCs w:val="17"/>
                <w:color w:val="auto"/>
              </w:rPr>
            </w:pPr>
          </w:p>
        </w:tc>
        <w:tc>
          <w:tcPr>
            <w:tcW w:w="280" w:type="dxa"/>
            <w:vAlign w:val="bottom"/>
            <w:tcBorders>
              <w:bottom w:val="single" w:sz="8" w:color="auto"/>
            </w:tcBorders>
            <w:shd w:val="clear" w:color="auto" w:fill="D2DCE5"/>
          </w:tcPr>
          <w:p>
            <w:pPr>
              <w:spacing w:after="0"/>
              <w:rPr>
                <w:sz w:val="17"/>
                <w:szCs w:val="17"/>
                <w:color w:val="auto"/>
              </w:rPr>
            </w:pPr>
          </w:p>
        </w:tc>
        <w:tc>
          <w:tcPr>
            <w:tcW w:w="1280" w:type="dxa"/>
            <w:vAlign w:val="bottom"/>
            <w:tcBorders>
              <w:bottom w:val="single" w:sz="8" w:color="auto"/>
            </w:tcBorders>
            <w:shd w:val="clear" w:color="auto" w:fill="D2DCE5"/>
          </w:tcPr>
          <w:p>
            <w:pPr>
              <w:ind w:left="840"/>
              <w:spacing w:after="0"/>
              <w:rPr>
                <w:sz w:val="20"/>
                <w:szCs w:val="20"/>
                <w:color w:val="auto"/>
              </w:rPr>
            </w:pPr>
            <w:r>
              <w:rPr>
                <w:rFonts w:ascii="Arial" w:cs="Arial" w:eastAsia="Arial" w:hAnsi="Arial"/>
                <w:sz w:val="14"/>
                <w:szCs w:val="14"/>
                <w:color w:val="131E29"/>
                <w:w w:val="94"/>
              </w:rPr>
              <w:t>(1,811)</w:t>
            </w:r>
          </w:p>
        </w:tc>
        <w:tc>
          <w:tcPr>
            <w:tcW w:w="100" w:type="dxa"/>
            <w:vAlign w:val="bottom"/>
            <w:shd w:val="clear" w:color="auto" w:fill="D2DCE5"/>
          </w:tcPr>
          <w:p>
            <w:pPr>
              <w:spacing w:after="0"/>
              <w:rPr>
                <w:sz w:val="17"/>
                <w:szCs w:val="17"/>
                <w:color w:val="auto"/>
              </w:rPr>
            </w:pPr>
          </w:p>
        </w:tc>
        <w:tc>
          <w:tcPr>
            <w:tcW w:w="100" w:type="dxa"/>
            <w:vAlign w:val="bottom"/>
            <w:tcBorders>
              <w:bottom w:val="single" w:sz="8" w:color="auto"/>
            </w:tcBorders>
            <w:shd w:val="clear" w:color="auto" w:fill="D2DCE5"/>
          </w:tcPr>
          <w:p>
            <w:pPr>
              <w:spacing w:after="0"/>
              <w:rPr>
                <w:sz w:val="17"/>
                <w:szCs w:val="17"/>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55</w:t>
            </w:r>
          </w:p>
        </w:tc>
      </w:tr>
      <w:tr>
        <w:trPr>
          <w:trHeight w:val="212"/>
        </w:trPr>
        <w:tc>
          <w:tcPr>
            <w:tcW w:w="2780" w:type="dxa"/>
            <w:vAlign w:val="bottom"/>
            <w:gridSpan w:val="2"/>
          </w:tcPr>
          <w:p>
            <w:pPr>
              <w:ind w:left="160"/>
              <w:spacing w:after="0"/>
              <w:rPr>
                <w:sz w:val="20"/>
                <w:szCs w:val="20"/>
                <w:color w:val="auto"/>
              </w:rPr>
            </w:pPr>
            <w:r>
              <w:rPr>
                <w:rFonts w:ascii="Arial" w:cs="Arial" w:eastAsia="Arial" w:hAnsi="Arial"/>
                <w:sz w:val="14"/>
                <w:szCs w:val="14"/>
                <w:b w:val="1"/>
                <w:bCs w:val="1"/>
                <w:color w:val="131E29"/>
              </w:rPr>
              <w:t>Totals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131E29"/>
              </w:rPr>
              <w:t>$</w:t>
            </w:r>
          </w:p>
        </w:tc>
        <w:tc>
          <w:tcPr>
            <w:tcW w:w="1700" w:type="dxa"/>
            <w:vAlign w:val="bottom"/>
            <w:gridSpan w:val="2"/>
          </w:tcPr>
          <w:p>
            <w:pPr>
              <w:ind w:left="1420"/>
              <w:spacing w:after="0"/>
              <w:rPr>
                <w:sz w:val="20"/>
                <w:szCs w:val="20"/>
                <w:color w:val="auto"/>
              </w:rPr>
            </w:pPr>
            <w:r>
              <w:rPr>
                <w:rFonts w:ascii="Arial" w:cs="Arial" w:eastAsia="Arial" w:hAnsi="Arial"/>
                <w:sz w:val="14"/>
                <w:szCs w:val="14"/>
                <w:b w:val="1"/>
                <w:bCs w:val="1"/>
                <w:color w:val="131E29"/>
              </w:rPr>
              <w:t>—</w:t>
            </w:r>
          </w:p>
        </w:tc>
        <w:tc>
          <w:tcPr>
            <w:tcW w:w="300" w:type="dxa"/>
            <w:vAlign w:val="bottom"/>
          </w:tcPr>
          <w:p>
            <w:pPr>
              <w:jc w:val="right"/>
              <w:ind w:right="129"/>
              <w:spacing w:after="0"/>
              <w:rPr>
                <w:sz w:val="20"/>
                <w:szCs w:val="20"/>
                <w:color w:val="auto"/>
              </w:rPr>
            </w:pPr>
            <w:r>
              <w:rPr>
                <w:rFonts w:ascii="Arial" w:cs="Arial" w:eastAsia="Arial" w:hAnsi="Arial"/>
                <w:sz w:val="14"/>
                <w:szCs w:val="14"/>
                <w:b w:val="1"/>
                <w:bCs w:val="1"/>
                <w:color w:val="131E29"/>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131E29"/>
              </w:rPr>
              <w:t>17,876</w:t>
            </w:r>
          </w:p>
        </w:tc>
        <w:tc>
          <w:tcPr>
            <w:tcW w:w="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131E29"/>
              </w:rPr>
              <w:t>$</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131E29"/>
              </w:rPr>
              <w:t>(13,284)</w:t>
            </w:r>
          </w:p>
        </w:tc>
        <w:tc>
          <w:tcPr>
            <w:tcW w:w="80" w:type="dxa"/>
            <w:vAlign w:val="bottom"/>
          </w:tcPr>
          <w:p>
            <w:pPr>
              <w:spacing w:after="0"/>
              <w:rPr>
                <w:sz w:val="18"/>
                <w:szCs w:val="18"/>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b w:val="1"/>
                <w:bCs w:val="1"/>
                <w:color w:val="131E29"/>
              </w:rPr>
              <w:t>$</w:t>
            </w:r>
          </w:p>
        </w:tc>
        <w:tc>
          <w:tcPr>
            <w:tcW w:w="1280" w:type="dxa"/>
            <w:vAlign w:val="bottom"/>
          </w:tcPr>
          <w:p>
            <w:pPr>
              <w:ind w:left="820"/>
              <w:spacing w:after="0"/>
              <w:rPr>
                <w:sz w:val="20"/>
                <w:szCs w:val="20"/>
                <w:color w:val="auto"/>
              </w:rPr>
            </w:pPr>
            <w:r>
              <w:rPr>
                <w:rFonts w:ascii="Arial" w:cs="Arial" w:eastAsia="Arial" w:hAnsi="Arial"/>
                <w:sz w:val="14"/>
                <w:szCs w:val="14"/>
                <w:b w:val="1"/>
                <w:bCs w:val="1"/>
                <w:color w:val="131E29"/>
                <w:w w:val="99"/>
              </w:rPr>
              <w:t>(1,811)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131E29"/>
                <w:w w:val="76"/>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131E29"/>
              </w:rPr>
              <w:t>2,781</w:t>
            </w:r>
          </w:p>
        </w:tc>
      </w:tr>
      <w:tr>
        <w:trPr>
          <w:trHeight w:val="20"/>
        </w:trPr>
        <w:tc>
          <w:tcPr>
            <w:tcW w:w="2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5 — Inventories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gridSpan w:val="2"/>
          </w:tcPr>
          <w:p>
            <w:pPr>
              <w:spacing w:after="0"/>
              <w:rPr>
                <w:sz w:val="20"/>
                <w:szCs w:val="20"/>
                <w:color w:val="auto"/>
              </w:rPr>
            </w:pPr>
            <w:r>
              <w:rPr>
                <w:rFonts w:ascii="Arial" w:cs="Arial" w:eastAsia="Arial" w:hAnsi="Arial"/>
                <w:sz w:val="14"/>
                <w:szCs w:val="14"/>
                <w:color w:val="131E29"/>
              </w:rPr>
              <w:t>Inventories, net consist of the following:</w:t>
            </w:r>
          </w:p>
        </w:tc>
        <w:tc>
          <w:tcPr>
            <w:tcW w:w="2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26"/>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December 31, 2024</w:t>
            </w:r>
          </w:p>
        </w:tc>
        <w:tc>
          <w:tcPr>
            <w:tcW w:w="80" w:type="dxa"/>
            <w:vAlign w:val="bottom"/>
            <w:tcBorders>
              <w:bottom w:val="single" w:sz="8" w:color="D2DCE5"/>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December 31, 2023</w:t>
            </w:r>
          </w:p>
        </w:tc>
      </w:tr>
      <w:tr>
        <w:trPr>
          <w:trHeight w:val="209"/>
        </w:trPr>
        <w:tc>
          <w:tcPr>
            <w:tcW w:w="68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Raw materials</w:t>
            </w:r>
          </w:p>
        </w:tc>
        <w:tc>
          <w:tcPr>
            <w:tcW w:w="2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19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14,594</w:t>
            </w:r>
          </w:p>
        </w:tc>
        <w:tc>
          <w:tcPr>
            <w:tcW w:w="80" w:type="dxa"/>
            <w:vAlign w:val="bottom"/>
            <w:shd w:val="clear" w:color="auto" w:fill="D2DCE5"/>
          </w:tcPr>
          <w:p>
            <w:pPr>
              <w:spacing w:after="0"/>
              <w:rPr>
                <w:sz w:val="18"/>
                <w:szCs w:val="18"/>
                <w:color w:val="auto"/>
              </w:rPr>
            </w:pPr>
          </w:p>
        </w:tc>
        <w:tc>
          <w:tcPr>
            <w:tcW w:w="260" w:type="dxa"/>
            <w:vAlign w:val="bottom"/>
            <w:shd w:val="clear" w:color="auto" w:fill="D2DCE5"/>
          </w:tcPr>
          <w:p>
            <w:pPr>
              <w:jc w:val="right"/>
              <w:ind w:right="89"/>
              <w:spacing w:after="0"/>
              <w:rPr>
                <w:sz w:val="20"/>
                <w:szCs w:val="20"/>
                <w:color w:val="auto"/>
              </w:rPr>
            </w:pPr>
            <w:r>
              <w:rPr>
                <w:rFonts w:ascii="Arial" w:cs="Arial" w:eastAsia="Arial" w:hAnsi="Arial"/>
                <w:sz w:val="14"/>
                <w:szCs w:val="14"/>
                <w:color w:val="131E29"/>
              </w:rPr>
              <w:t>$</w:t>
            </w:r>
          </w:p>
        </w:tc>
        <w:tc>
          <w:tcPr>
            <w:tcW w:w="19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28,523</w:t>
            </w:r>
          </w:p>
        </w:tc>
      </w:tr>
      <w:tr>
        <w:trPr>
          <w:trHeight w:val="203"/>
        </w:trPr>
        <w:tc>
          <w:tcPr>
            <w:tcW w:w="686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Finished goods</w:t>
            </w:r>
          </w:p>
        </w:tc>
        <w:tc>
          <w:tcPr>
            <w:tcW w:w="2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21,894</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18,430</w:t>
            </w:r>
          </w:p>
        </w:tc>
      </w:tr>
      <w:tr>
        <w:trPr>
          <w:trHeight w:val="237"/>
        </w:trPr>
        <w:tc>
          <w:tcPr>
            <w:tcW w:w="686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b w:val="1"/>
                <w:bCs w:val="1"/>
                <w:color w:val="131E29"/>
              </w:rPr>
              <w:t>Total inventories</w:t>
            </w:r>
          </w:p>
        </w:tc>
        <w:tc>
          <w:tcPr>
            <w:tcW w:w="28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b w:val="1"/>
                <w:bCs w:val="1"/>
                <w:color w:val="131E29"/>
              </w:rPr>
              <w:t>$</w:t>
            </w:r>
          </w:p>
        </w:tc>
        <w:tc>
          <w:tcPr>
            <w:tcW w:w="19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36,488</w:t>
            </w:r>
          </w:p>
        </w:tc>
        <w:tc>
          <w:tcPr>
            <w:tcW w:w="80" w:type="dxa"/>
            <w:vAlign w:val="bottom"/>
            <w:tcBorders>
              <w:bottom w:val="single" w:sz="8" w:color="D2DCE5"/>
            </w:tcBorders>
            <w:shd w:val="clear" w:color="auto" w:fill="D2DCE5"/>
          </w:tcPr>
          <w:p>
            <w:pPr>
              <w:spacing w:after="0"/>
              <w:rPr>
                <w:sz w:val="20"/>
                <w:szCs w:val="20"/>
                <w:color w:val="auto"/>
              </w:rPr>
            </w:pPr>
          </w:p>
        </w:tc>
        <w:tc>
          <w:tcPr>
            <w:tcW w:w="260" w:type="dxa"/>
            <w:vAlign w:val="bottom"/>
            <w:tcBorders>
              <w:bottom w:val="single" w:sz="8" w:color="auto"/>
            </w:tcBorders>
            <w:shd w:val="clear" w:color="auto" w:fill="D2DCE5"/>
          </w:tcPr>
          <w:p>
            <w:pPr>
              <w:jc w:val="right"/>
              <w:ind w:right="89"/>
              <w:spacing w:after="0"/>
              <w:rPr>
                <w:sz w:val="20"/>
                <w:szCs w:val="20"/>
                <w:color w:val="auto"/>
              </w:rPr>
            </w:pPr>
            <w:r>
              <w:rPr>
                <w:rFonts w:ascii="Arial" w:cs="Arial" w:eastAsia="Arial" w:hAnsi="Arial"/>
                <w:sz w:val="14"/>
                <w:szCs w:val="14"/>
                <w:b w:val="1"/>
                <w:bCs w:val="1"/>
                <w:color w:val="131E29"/>
              </w:rPr>
              <w:t>$</w:t>
            </w:r>
          </w:p>
        </w:tc>
        <w:tc>
          <w:tcPr>
            <w:tcW w:w="19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46,953</w:t>
            </w:r>
          </w:p>
        </w:tc>
      </w:tr>
      <w:tr>
        <w:trPr>
          <w:trHeight w:val="20"/>
        </w:trPr>
        <w:tc>
          <w:tcPr>
            <w:tcW w:w="67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80" w:type="dxa"/>
            <w:vAlign w:val="bottom"/>
            <w:tcBorders>
              <w:top w:val="single" w:sz="8" w:color="D2DCE5"/>
              <w:bottom w:val="single" w:sz="8" w:color="auto"/>
            </w:tcBorders>
          </w:tcPr>
          <w:p>
            <w:pPr>
              <w:spacing w:after="0" w:line="20" w:lineRule="exact"/>
              <w:rPr>
                <w:sz w:val="1"/>
                <w:szCs w:val="1"/>
                <w:color w:val="auto"/>
              </w:rPr>
            </w:pPr>
          </w:p>
        </w:tc>
        <w:tc>
          <w:tcPr>
            <w:tcW w:w="190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D2DCE5"/>
              <w:bottom w:val="single" w:sz="8" w:color="auto"/>
            </w:tcBorders>
          </w:tcPr>
          <w:p>
            <w:pPr>
              <w:spacing w:after="0" w:line="20" w:lineRule="exact"/>
              <w:rPr>
                <w:sz w:val="1"/>
                <w:szCs w:val="1"/>
                <w:color w:val="auto"/>
              </w:rPr>
            </w:pPr>
          </w:p>
        </w:tc>
        <w:tc>
          <w:tcPr>
            <w:tcW w:w="1900" w:type="dxa"/>
            <w:vAlign w:val="bottom"/>
            <w:tcBorders>
              <w:top w:val="single" w:sz="8" w:color="D2DCE5"/>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6 — Property and Equipment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Property and equipment, net consists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rPr>
              <w:t xml:space="preserve">Useful Life </w:t>
            </w:r>
            <w:r>
              <w:rPr>
                <w:rFonts w:ascii="Arial" w:cs="Arial" w:eastAsia="Arial" w:hAnsi="Arial"/>
                <w:sz w:val="11"/>
                <w:szCs w:val="11"/>
                <w:color w:val="131E29"/>
              </w:rPr>
              <w:t>(Years)</w:t>
            </w:r>
          </w:p>
        </w:tc>
        <w:tc>
          <w:tcPr>
            <w:tcW w:w="10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December 31, 2024</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131E29"/>
              </w:rPr>
              <w:t>December 31, 2023</w:t>
            </w:r>
          </w:p>
        </w:tc>
      </w:tr>
      <w:tr>
        <w:trPr>
          <w:trHeight w:val="209"/>
        </w:trPr>
        <w:tc>
          <w:tcPr>
            <w:tcW w:w="59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Software</w:t>
            </w:r>
          </w:p>
        </w:tc>
        <w:tc>
          <w:tcPr>
            <w:tcW w:w="560" w:type="dxa"/>
            <w:vAlign w:val="bottom"/>
            <w:shd w:val="clear" w:color="auto" w:fill="D2DCE5"/>
          </w:tcPr>
          <w:p>
            <w:pPr>
              <w:spacing w:after="0"/>
              <w:rPr>
                <w:sz w:val="18"/>
                <w:szCs w:val="18"/>
                <w:color w:val="auto"/>
              </w:rPr>
            </w:pPr>
          </w:p>
        </w:tc>
        <w:tc>
          <w:tcPr>
            <w:tcW w:w="48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3</w:t>
            </w:r>
          </w:p>
        </w:tc>
        <w:tc>
          <w:tcPr>
            <w:tcW w:w="800" w:type="dxa"/>
            <w:vAlign w:val="bottom"/>
            <w:gridSpan w:val="3"/>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10,666</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7,212</w:t>
            </w:r>
          </w:p>
        </w:tc>
      </w:tr>
      <w:tr>
        <w:trPr>
          <w:trHeight w:val="202"/>
        </w:trPr>
        <w:tc>
          <w:tcPr>
            <w:tcW w:w="5920" w:type="dxa"/>
            <w:vAlign w:val="bottom"/>
            <w:gridSpan w:val="2"/>
          </w:tcPr>
          <w:p>
            <w:pPr>
              <w:ind w:left="20"/>
              <w:spacing w:after="0"/>
              <w:rPr>
                <w:sz w:val="20"/>
                <w:szCs w:val="20"/>
                <w:color w:val="auto"/>
              </w:rPr>
            </w:pPr>
            <w:r>
              <w:rPr>
                <w:rFonts w:ascii="Arial" w:cs="Arial" w:eastAsia="Arial" w:hAnsi="Arial"/>
                <w:sz w:val="14"/>
                <w:szCs w:val="14"/>
                <w:color w:val="131E29"/>
              </w:rPr>
              <w:t>Equipment and fixtures</w:t>
            </w:r>
          </w:p>
        </w:tc>
        <w:tc>
          <w:tcPr>
            <w:tcW w:w="560" w:type="dxa"/>
            <w:vAlign w:val="bottom"/>
          </w:tcPr>
          <w:p>
            <w:pPr>
              <w:jc w:val="center"/>
              <w:ind w:left="89"/>
              <w:spacing w:after="0"/>
              <w:rPr>
                <w:sz w:val="20"/>
                <w:szCs w:val="20"/>
                <w:color w:val="auto"/>
              </w:rPr>
            </w:pPr>
            <w:r>
              <w:rPr>
                <w:rFonts w:ascii="Arial" w:cs="Arial" w:eastAsia="Arial" w:hAnsi="Arial"/>
                <w:sz w:val="14"/>
                <w:szCs w:val="14"/>
                <w:color w:val="131E29"/>
              </w:rPr>
              <w:t>3</w:t>
            </w:r>
          </w:p>
        </w:tc>
        <w:tc>
          <w:tcPr>
            <w:tcW w:w="480" w:type="dxa"/>
            <w:vAlign w:val="bottom"/>
          </w:tcPr>
          <w:p>
            <w:pPr>
              <w:jc w:val="center"/>
              <w:spacing w:after="0"/>
              <w:rPr>
                <w:sz w:val="20"/>
                <w:szCs w:val="20"/>
                <w:color w:val="auto"/>
              </w:rPr>
            </w:pPr>
            <w:r>
              <w:rPr>
                <w:rFonts w:ascii="Arial" w:cs="Arial" w:eastAsia="Arial" w:hAnsi="Arial"/>
                <w:sz w:val="8"/>
                <w:szCs w:val="8"/>
                <w:color w:val="131E29"/>
                <w:w w:val="99"/>
              </w:rPr>
              <w:t>—</w:t>
            </w:r>
          </w:p>
        </w:tc>
        <w:tc>
          <w:tcPr>
            <w:tcW w:w="540" w:type="dxa"/>
            <w:vAlign w:val="bottom"/>
          </w:tcPr>
          <w:p>
            <w:pPr>
              <w:jc w:val="center"/>
              <w:ind w:right="109"/>
              <w:spacing w:after="0"/>
              <w:rPr>
                <w:sz w:val="20"/>
                <w:szCs w:val="20"/>
                <w:color w:val="auto"/>
              </w:rPr>
            </w:pPr>
            <w:r>
              <w:rPr>
                <w:rFonts w:ascii="Arial" w:cs="Arial" w:eastAsia="Arial" w:hAnsi="Arial"/>
                <w:sz w:val="14"/>
                <w:szCs w:val="14"/>
                <w:color w:val="131E29"/>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229,307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157,352</w:t>
            </w:r>
          </w:p>
        </w:tc>
      </w:tr>
      <w:tr>
        <w:trPr>
          <w:trHeight w:val="222"/>
        </w:trPr>
        <w:tc>
          <w:tcPr>
            <w:tcW w:w="59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Leasehold improvements</w:t>
            </w:r>
          </w:p>
        </w:tc>
        <w:tc>
          <w:tcPr>
            <w:tcW w:w="560" w:type="dxa"/>
            <w:vAlign w:val="bottom"/>
            <w:shd w:val="clear" w:color="auto" w:fill="D2DCE5"/>
          </w:tcPr>
          <w:p>
            <w:pPr>
              <w:jc w:val="center"/>
              <w:ind w:left="89"/>
              <w:spacing w:after="0"/>
              <w:rPr>
                <w:sz w:val="20"/>
                <w:szCs w:val="20"/>
                <w:color w:val="auto"/>
              </w:rPr>
            </w:pPr>
            <w:r>
              <w:rPr>
                <w:rFonts w:ascii="Arial" w:cs="Arial" w:eastAsia="Arial" w:hAnsi="Arial"/>
                <w:sz w:val="14"/>
                <w:szCs w:val="14"/>
                <w:color w:val="131E29"/>
              </w:rPr>
              <w:t>5</w:t>
            </w:r>
          </w:p>
        </w:tc>
        <w:tc>
          <w:tcPr>
            <w:tcW w:w="480" w:type="dxa"/>
            <w:vAlign w:val="bottom"/>
            <w:shd w:val="clear" w:color="auto" w:fill="D2DCE5"/>
          </w:tcPr>
          <w:p>
            <w:pPr>
              <w:jc w:val="center"/>
              <w:spacing w:after="0"/>
              <w:rPr>
                <w:sz w:val="20"/>
                <w:szCs w:val="20"/>
                <w:color w:val="auto"/>
              </w:rPr>
            </w:pPr>
            <w:r>
              <w:rPr>
                <w:rFonts w:ascii="Arial" w:cs="Arial" w:eastAsia="Arial" w:hAnsi="Arial"/>
                <w:sz w:val="8"/>
                <w:szCs w:val="8"/>
                <w:color w:val="131E29"/>
                <w:w w:val="99"/>
              </w:rPr>
              <w:t>—</w:t>
            </w:r>
          </w:p>
        </w:tc>
        <w:tc>
          <w:tcPr>
            <w:tcW w:w="540" w:type="dxa"/>
            <w:vAlign w:val="bottom"/>
            <w:shd w:val="clear" w:color="auto" w:fill="D2DCE5"/>
          </w:tcPr>
          <w:p>
            <w:pPr>
              <w:jc w:val="center"/>
              <w:ind w:right="109"/>
              <w:spacing w:after="0"/>
              <w:rPr>
                <w:sz w:val="20"/>
                <w:szCs w:val="20"/>
                <w:color w:val="auto"/>
              </w:rPr>
            </w:pPr>
            <w:r>
              <w:rPr>
                <w:rFonts w:ascii="Arial" w:cs="Arial" w:eastAsia="Arial" w:hAnsi="Arial"/>
                <w:sz w:val="14"/>
                <w:szCs w:val="14"/>
                <w:color w:val="131E29"/>
              </w:rPr>
              <w:t>15</w:t>
            </w: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54,535</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42,441</w:t>
            </w:r>
          </w:p>
        </w:tc>
      </w:tr>
      <w:tr>
        <w:trPr>
          <w:trHeight w:val="202"/>
        </w:trPr>
        <w:tc>
          <w:tcPr>
            <w:tcW w:w="5920" w:type="dxa"/>
            <w:vAlign w:val="bottom"/>
            <w:gridSpan w:val="2"/>
          </w:tcPr>
          <w:p>
            <w:pPr>
              <w:ind w:left="20"/>
              <w:spacing w:after="0"/>
              <w:rPr>
                <w:sz w:val="20"/>
                <w:szCs w:val="20"/>
                <w:color w:val="auto"/>
              </w:rPr>
            </w:pPr>
            <w:r>
              <w:rPr>
                <w:rFonts w:ascii="Arial" w:cs="Arial" w:eastAsia="Arial" w:hAnsi="Arial"/>
                <w:sz w:val="14"/>
                <w:szCs w:val="14"/>
                <w:color w:val="131E29"/>
              </w:rPr>
              <w:t>Buildings</w:t>
            </w:r>
          </w:p>
        </w:tc>
        <w:tc>
          <w:tcPr>
            <w:tcW w:w="560" w:type="dxa"/>
            <w:vAlign w:val="bottom"/>
          </w:tcPr>
          <w:p>
            <w:pPr>
              <w:jc w:val="center"/>
              <w:ind w:left="89"/>
              <w:spacing w:after="0"/>
              <w:rPr>
                <w:sz w:val="20"/>
                <w:szCs w:val="20"/>
                <w:color w:val="auto"/>
              </w:rPr>
            </w:pPr>
            <w:r>
              <w:rPr>
                <w:rFonts w:ascii="Arial" w:cs="Arial" w:eastAsia="Arial" w:hAnsi="Arial"/>
                <w:sz w:val="14"/>
                <w:szCs w:val="14"/>
                <w:color w:val="131E29"/>
              </w:rPr>
              <w:t>10</w:t>
            </w:r>
          </w:p>
        </w:tc>
        <w:tc>
          <w:tcPr>
            <w:tcW w:w="480" w:type="dxa"/>
            <w:vAlign w:val="bottom"/>
          </w:tcPr>
          <w:p>
            <w:pPr>
              <w:jc w:val="center"/>
              <w:spacing w:after="0"/>
              <w:rPr>
                <w:sz w:val="20"/>
                <w:szCs w:val="20"/>
                <w:color w:val="auto"/>
              </w:rPr>
            </w:pPr>
            <w:r>
              <w:rPr>
                <w:rFonts w:ascii="Arial" w:cs="Arial" w:eastAsia="Arial" w:hAnsi="Arial"/>
                <w:sz w:val="8"/>
                <w:szCs w:val="8"/>
                <w:color w:val="131E29"/>
                <w:w w:val="99"/>
              </w:rPr>
              <w:t>—</w:t>
            </w:r>
          </w:p>
        </w:tc>
        <w:tc>
          <w:tcPr>
            <w:tcW w:w="540" w:type="dxa"/>
            <w:vAlign w:val="bottom"/>
          </w:tcPr>
          <w:p>
            <w:pPr>
              <w:jc w:val="center"/>
              <w:ind w:right="109"/>
              <w:spacing w:after="0"/>
              <w:rPr>
                <w:sz w:val="20"/>
                <w:szCs w:val="20"/>
                <w:color w:val="auto"/>
              </w:rPr>
            </w:pPr>
            <w:r>
              <w:rPr>
                <w:rFonts w:ascii="Arial" w:cs="Arial" w:eastAsia="Arial" w:hAnsi="Arial"/>
                <w:sz w:val="14"/>
                <w:szCs w:val="14"/>
                <w:color w:val="131E29"/>
              </w:rPr>
              <w:t>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487,060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269,186</w:t>
            </w:r>
          </w:p>
        </w:tc>
      </w:tr>
      <w:tr>
        <w:trPr>
          <w:trHeight w:val="222"/>
        </w:trPr>
        <w:tc>
          <w:tcPr>
            <w:tcW w:w="59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Land</w:t>
            </w:r>
          </w:p>
        </w:tc>
        <w:tc>
          <w:tcPr>
            <w:tcW w:w="560" w:type="dxa"/>
            <w:vAlign w:val="bottom"/>
            <w:shd w:val="clear" w:color="auto" w:fill="D2DCE5"/>
          </w:tcPr>
          <w:p>
            <w:pPr>
              <w:spacing w:after="0"/>
              <w:rPr>
                <w:sz w:val="19"/>
                <w:szCs w:val="19"/>
                <w:color w:val="auto"/>
              </w:rPr>
            </w:pPr>
          </w:p>
        </w:tc>
        <w:tc>
          <w:tcPr>
            <w:tcW w:w="48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N/A</w:t>
            </w:r>
          </w:p>
        </w:tc>
        <w:tc>
          <w:tcPr>
            <w:tcW w:w="5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7,022</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7,338</w:t>
            </w:r>
          </w:p>
        </w:tc>
      </w:tr>
      <w:tr>
        <w:trPr>
          <w:trHeight w:val="212"/>
        </w:trPr>
        <w:tc>
          <w:tcPr>
            <w:tcW w:w="5920" w:type="dxa"/>
            <w:vAlign w:val="bottom"/>
            <w:gridSpan w:val="2"/>
          </w:tcPr>
          <w:p>
            <w:pPr>
              <w:ind w:left="20"/>
              <w:spacing w:after="0"/>
              <w:rPr>
                <w:sz w:val="20"/>
                <w:szCs w:val="20"/>
                <w:color w:val="auto"/>
              </w:rPr>
            </w:pPr>
            <w:r>
              <w:rPr>
                <w:rFonts w:ascii="Arial" w:cs="Arial" w:eastAsia="Arial" w:hAnsi="Arial"/>
                <w:sz w:val="14"/>
                <w:szCs w:val="14"/>
                <w:color w:val="131E29"/>
              </w:rPr>
              <w:t xml:space="preserve">Aircraft </w:t>
            </w:r>
            <w:r>
              <w:rPr>
                <w:rFonts w:ascii="Arial" w:cs="Arial" w:eastAsia="Arial" w:hAnsi="Arial"/>
                <w:sz w:val="18"/>
                <w:szCs w:val="18"/>
                <w:color w:val="131E29"/>
                <w:vertAlign w:val="superscript"/>
              </w:rPr>
              <w:t>1</w:t>
            </w:r>
          </w:p>
        </w:tc>
        <w:tc>
          <w:tcPr>
            <w:tcW w:w="56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4"/>
                <w:szCs w:val="14"/>
                <w:color w:val="131E29"/>
              </w:rPr>
              <w:t>N/A</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4"/>
                <w:szCs w:val="14"/>
                <w:color w:val="131E29"/>
              </w:rPr>
              <w:t>—</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9,195</w:t>
            </w:r>
          </w:p>
        </w:tc>
      </w:tr>
      <w:tr>
        <w:trPr>
          <w:trHeight w:val="212"/>
        </w:trPr>
        <w:tc>
          <w:tcPr>
            <w:tcW w:w="59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 xml:space="preserve">Construction-in-progress </w:t>
            </w:r>
            <w:r>
              <w:rPr>
                <w:rFonts w:ascii="Arial" w:cs="Arial" w:eastAsia="Arial" w:hAnsi="Arial"/>
                <w:sz w:val="18"/>
                <w:szCs w:val="18"/>
                <w:color w:val="131E29"/>
                <w:vertAlign w:val="superscript"/>
              </w:rPr>
              <w:t>2</w:t>
            </w:r>
          </w:p>
        </w:tc>
        <w:tc>
          <w:tcPr>
            <w:tcW w:w="560" w:type="dxa"/>
            <w:vAlign w:val="bottom"/>
            <w:shd w:val="clear" w:color="auto" w:fill="D2DCE5"/>
          </w:tcPr>
          <w:p>
            <w:pPr>
              <w:spacing w:after="0"/>
              <w:rPr>
                <w:sz w:val="18"/>
                <w:szCs w:val="18"/>
                <w:color w:val="auto"/>
              </w:rPr>
            </w:pPr>
          </w:p>
        </w:tc>
        <w:tc>
          <w:tcPr>
            <w:tcW w:w="480" w:type="dxa"/>
            <w:vAlign w:val="bottom"/>
            <w:shd w:val="clear" w:color="auto" w:fill="D2DCE5"/>
          </w:tcPr>
          <w:p>
            <w:pPr>
              <w:jc w:val="center"/>
              <w:spacing w:after="0"/>
              <w:rPr>
                <w:sz w:val="20"/>
                <w:szCs w:val="20"/>
                <w:color w:val="auto"/>
              </w:rPr>
            </w:pPr>
            <w:r>
              <w:rPr>
                <w:rFonts w:ascii="Arial" w:cs="Arial" w:eastAsia="Arial" w:hAnsi="Arial"/>
                <w:sz w:val="14"/>
                <w:szCs w:val="14"/>
                <w:color w:val="131E29"/>
              </w:rPr>
              <w:t>N/A</w:t>
            </w:r>
          </w:p>
        </w:tc>
        <w:tc>
          <w:tcPr>
            <w:tcW w:w="5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71,951</w:t>
            </w:r>
          </w:p>
        </w:tc>
        <w:tc>
          <w:tcPr>
            <w:tcW w:w="80" w:type="dxa"/>
            <w:vAlign w:val="bottom"/>
            <w:shd w:val="clear" w:color="auto" w:fill="D2DCE5"/>
          </w:tcPr>
          <w:p>
            <w:pPr>
              <w:spacing w:after="0"/>
              <w:rPr>
                <w:sz w:val="18"/>
                <w:szCs w:val="18"/>
                <w:color w:val="auto"/>
              </w:rPr>
            </w:pPr>
          </w:p>
        </w:tc>
        <w:tc>
          <w:tcPr>
            <w:tcW w:w="18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166,054</w:t>
            </w:r>
          </w:p>
        </w:tc>
      </w:tr>
      <w:tr>
        <w:trPr>
          <w:trHeight w:val="193"/>
        </w:trPr>
        <w:tc>
          <w:tcPr>
            <w:tcW w:w="5920" w:type="dxa"/>
            <w:vAlign w:val="bottom"/>
            <w:gridSpan w:val="2"/>
          </w:tcPr>
          <w:p>
            <w:pPr>
              <w:ind w:left="20"/>
              <w:spacing w:after="0"/>
              <w:rPr>
                <w:sz w:val="20"/>
                <w:szCs w:val="20"/>
                <w:color w:val="auto"/>
              </w:rPr>
            </w:pPr>
            <w:r>
              <w:rPr>
                <w:rFonts w:ascii="Arial" w:cs="Arial" w:eastAsia="Arial" w:hAnsi="Arial"/>
                <w:sz w:val="14"/>
                <w:szCs w:val="14"/>
                <w:color w:val="131E29"/>
              </w:rPr>
              <w:t>Property and equipment, gross</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860,541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658,778</w:t>
            </w:r>
          </w:p>
        </w:tc>
      </w:tr>
      <w:tr>
        <w:trPr>
          <w:trHeight w:val="213"/>
        </w:trPr>
        <w:tc>
          <w:tcPr>
            <w:tcW w:w="592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Less: accumulated depreciation</w:t>
            </w:r>
          </w:p>
        </w:tc>
        <w:tc>
          <w:tcPr>
            <w:tcW w:w="560" w:type="dxa"/>
            <w:vAlign w:val="bottom"/>
            <w:shd w:val="clear" w:color="auto" w:fill="D2DCE5"/>
          </w:tcPr>
          <w:p>
            <w:pPr>
              <w:spacing w:after="0"/>
              <w:rPr>
                <w:sz w:val="18"/>
                <w:szCs w:val="18"/>
                <w:color w:val="auto"/>
              </w:rPr>
            </w:pPr>
          </w:p>
        </w:tc>
        <w:tc>
          <w:tcPr>
            <w:tcW w:w="480" w:type="dxa"/>
            <w:vAlign w:val="bottom"/>
            <w:shd w:val="clear" w:color="auto" w:fill="D2DCE5"/>
          </w:tcPr>
          <w:p>
            <w:pPr>
              <w:spacing w:after="0"/>
              <w:rPr>
                <w:sz w:val="18"/>
                <w:szCs w:val="18"/>
                <w:color w:val="auto"/>
              </w:rPr>
            </w:pPr>
          </w:p>
        </w:tc>
        <w:tc>
          <w:tcPr>
            <w:tcW w:w="5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6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(176,570)</w:t>
            </w:r>
          </w:p>
        </w:tc>
        <w:tc>
          <w:tcPr>
            <w:tcW w:w="80" w:type="dxa"/>
            <w:vAlign w:val="bottom"/>
            <w:shd w:val="clear" w:color="auto" w:fill="D2DCE5"/>
          </w:tcPr>
          <w:p>
            <w:pPr>
              <w:spacing w:after="0"/>
              <w:rPr>
                <w:sz w:val="18"/>
                <w:szCs w:val="18"/>
                <w:color w:val="auto"/>
              </w:rPr>
            </w:pPr>
          </w:p>
        </w:tc>
        <w:tc>
          <w:tcPr>
            <w:tcW w:w="18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(116,338)</w:t>
            </w:r>
          </w:p>
        </w:tc>
      </w:tr>
      <w:tr>
        <w:trPr>
          <w:trHeight w:val="212"/>
        </w:trPr>
        <w:tc>
          <w:tcPr>
            <w:tcW w:w="5920" w:type="dxa"/>
            <w:vAlign w:val="bottom"/>
            <w:gridSpan w:val="2"/>
          </w:tcPr>
          <w:p>
            <w:pPr>
              <w:ind w:left="100"/>
              <w:spacing w:after="0"/>
              <w:rPr>
                <w:sz w:val="20"/>
                <w:szCs w:val="20"/>
                <w:color w:val="auto"/>
              </w:rPr>
            </w:pPr>
            <w:r>
              <w:rPr>
                <w:rFonts w:ascii="Arial" w:cs="Arial" w:eastAsia="Arial" w:hAnsi="Arial"/>
                <w:sz w:val="14"/>
                <w:szCs w:val="14"/>
                <w:b w:val="1"/>
                <w:bCs w:val="1"/>
                <w:color w:val="131E29"/>
              </w:rPr>
              <w:t>Property and equipment, net</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131E29"/>
              </w:rPr>
              <w:t>$</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131E29"/>
              </w:rPr>
              <w:t>683,971</w:t>
            </w:r>
          </w:p>
        </w:tc>
        <w:tc>
          <w:tcPr>
            <w:tcW w:w="80" w:type="dxa"/>
            <w:vAlign w:val="bottom"/>
          </w:tcPr>
          <w:p>
            <w:pPr>
              <w:spacing w:after="0"/>
              <w:rPr>
                <w:sz w:val="18"/>
                <w:szCs w:val="18"/>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131E29"/>
              </w:rPr>
              <w:t>$</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131E29"/>
              </w:rPr>
              <w:t>542,440</w:t>
            </w:r>
          </w:p>
        </w:tc>
      </w:tr>
      <w:tr>
        <w:trPr>
          <w:trHeight w:val="20"/>
        </w:trPr>
        <w:tc>
          <w:tcPr>
            <w:tcW w:w="5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w:t>
      </w:r>
    </w:p>
    <w:p>
      <w:pPr>
        <w:spacing w:after="0" w:line="60" w:lineRule="exact"/>
        <w:rPr>
          <w:sz w:val="20"/>
          <w:szCs w:val="20"/>
          <w:color w:val="auto"/>
        </w:rPr>
      </w:pPr>
    </w:p>
    <w:p>
      <w:pPr>
        <w:ind w:left="140" w:hanging="135"/>
        <w:spacing w:after="0"/>
        <w:tabs>
          <w:tab w:leader="none" w:pos="140" w:val="left"/>
        </w:tabs>
        <w:numPr>
          <w:ilvl w:val="0"/>
          <w:numId w:val="54"/>
        </w:numPr>
        <w:rPr>
          <w:rFonts w:ascii="Arial" w:cs="Arial" w:eastAsia="Arial" w:hAnsi="Arial"/>
          <w:sz w:val="7"/>
          <w:szCs w:val="7"/>
          <w:color w:val="131E29"/>
        </w:rPr>
      </w:pPr>
      <w:r>
        <w:rPr>
          <w:rFonts w:ascii="Arial" w:cs="Arial" w:eastAsia="Arial" w:hAnsi="Arial"/>
          <w:sz w:val="11"/>
          <w:szCs w:val="11"/>
          <w:color w:val="131E29"/>
        </w:rPr>
        <w:t>Airplane, and hangar and related equipment, were sold to our Co-Founder in 2024. See NOTE 18 — Related Party Transactions for additional information.</w:t>
      </w:r>
    </w:p>
    <w:p>
      <w:pPr>
        <w:spacing w:after="0" w:line="51" w:lineRule="exact"/>
        <w:rPr>
          <w:rFonts w:ascii="Arial" w:cs="Arial" w:eastAsia="Arial" w:hAnsi="Arial"/>
          <w:sz w:val="7"/>
          <w:szCs w:val="7"/>
          <w:color w:val="131E29"/>
        </w:rPr>
      </w:pPr>
    </w:p>
    <w:p>
      <w:pPr>
        <w:spacing w:after="0"/>
        <w:rPr>
          <w:rFonts w:ascii="Arial" w:cs="Arial" w:eastAsia="Arial" w:hAnsi="Arial"/>
          <w:sz w:val="7"/>
          <w:szCs w:val="7"/>
          <w:color w:val="131E29"/>
        </w:rPr>
      </w:pPr>
      <w:r>
        <w:rPr>
          <w:rFonts w:ascii="Arial" w:cs="Arial" w:eastAsia="Arial" w:hAnsi="Arial"/>
          <w:sz w:val="14"/>
          <w:szCs w:val="14"/>
          <w:color w:val="131E29"/>
          <w:vertAlign w:val="superscript"/>
        </w:rPr>
        <w:t>2</w:t>
      </w:r>
      <w:r>
        <w:rPr>
          <w:rFonts w:ascii="Arial" w:cs="Arial" w:eastAsia="Arial" w:hAnsi="Arial"/>
          <w:sz w:val="11"/>
          <w:szCs w:val="11"/>
          <w:color w:val="131E29"/>
        </w:rPr>
        <w:t xml:space="preserve">  Construction-in-progress primarily consists of construction and equipment costs for new and existing shops and, for 2023, our new roasting facility in Texas.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8" w:name="page119"/>
    <w:bookmarkEnd w:id="11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Depreciation expense included in our consolidated statements of operations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0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131E29"/>
              </w:rPr>
              <w:t>2024</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131E29"/>
              </w:rPr>
              <w:t>2022</w:t>
            </w:r>
          </w:p>
        </w:tc>
      </w:tr>
      <w:tr>
        <w:trPr>
          <w:trHeight w:val="209"/>
        </w:trPr>
        <w:tc>
          <w:tcPr>
            <w:tcW w:w="64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63,707</w:t>
            </w:r>
          </w:p>
        </w:tc>
        <w:tc>
          <w:tcPr>
            <w:tcW w:w="480" w:type="dxa"/>
            <w:vAlign w:val="bottom"/>
            <w:gridSpan w:val="3"/>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42,807</w:t>
            </w: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26,261</w:t>
            </w:r>
          </w:p>
        </w:tc>
      </w:tr>
      <w:tr>
        <w:trPr>
          <w:trHeight w:val="203"/>
        </w:trPr>
        <w:tc>
          <w:tcPr>
            <w:tcW w:w="64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1,229</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1,634</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2,705</w:t>
            </w:r>
          </w:p>
        </w:tc>
      </w:tr>
      <w:tr>
        <w:trPr>
          <w:trHeight w:val="232"/>
        </w:trPr>
        <w:tc>
          <w:tcPr>
            <w:tcW w:w="6440" w:type="dxa"/>
            <w:vAlign w:val="bottom"/>
            <w:gridSpan w:val="2"/>
            <w:shd w:val="clear" w:color="auto" w:fill="D2DCE5"/>
          </w:tcPr>
          <w:p>
            <w:pPr>
              <w:ind w:left="140"/>
              <w:spacing w:after="0"/>
              <w:rPr>
                <w:sz w:val="20"/>
                <w:szCs w:val="20"/>
                <w:color w:val="auto"/>
              </w:rPr>
            </w:pPr>
            <w:r>
              <w:rPr>
                <w:rFonts w:ascii="Arial" w:cs="Arial" w:eastAsia="Arial" w:hAnsi="Arial"/>
                <w:sz w:val="14"/>
                <w:szCs w:val="14"/>
                <w:b w:val="1"/>
                <w:bCs w:val="1"/>
                <w:color w:val="131E29"/>
              </w:rPr>
              <w:t>Total depreciation expense</w:t>
            </w: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1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64,936</w:t>
            </w:r>
          </w:p>
        </w:tc>
        <w:tc>
          <w:tcPr>
            <w:tcW w:w="480" w:type="dxa"/>
            <w:vAlign w:val="bottom"/>
            <w:gridSpan w:val="3"/>
            <w:shd w:val="clear" w:color="auto" w:fill="D2DCE5"/>
          </w:tcPr>
          <w:p>
            <w:pPr>
              <w:jc w:val="right"/>
              <w:ind w:right="260"/>
              <w:spacing w:after="0"/>
              <w:rPr>
                <w:sz w:val="20"/>
                <w:szCs w:val="20"/>
                <w:color w:val="auto"/>
              </w:rPr>
            </w:pPr>
            <w:r>
              <w:rPr>
                <w:rFonts w:ascii="Arial" w:cs="Arial" w:eastAsia="Arial" w:hAnsi="Arial"/>
                <w:sz w:val="14"/>
                <w:szCs w:val="14"/>
                <w:b w:val="1"/>
                <w:bCs w:val="1"/>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44,441</w:t>
            </w:r>
          </w:p>
        </w:tc>
        <w:tc>
          <w:tcPr>
            <w:tcW w:w="80" w:type="dxa"/>
            <w:vAlign w:val="bottom"/>
            <w:shd w:val="clear" w:color="auto" w:fill="D2DCE5"/>
          </w:tcPr>
          <w:p>
            <w:pPr>
              <w:spacing w:after="0"/>
              <w:rPr>
                <w:sz w:val="20"/>
                <w:szCs w:val="20"/>
                <w:color w:val="auto"/>
              </w:rPr>
            </w:pP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28,966</w:t>
            </w:r>
          </w:p>
        </w:tc>
      </w:tr>
      <w:tr>
        <w:trPr>
          <w:trHeight w:val="20"/>
        </w:trPr>
        <w:tc>
          <w:tcPr>
            <w:tcW w:w="63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7 —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The details of the intangible assets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3"/>
          </w:tcPr>
          <w:p>
            <w:pPr>
              <w:jc w:val="center"/>
              <w:spacing w:after="0"/>
              <w:rPr>
                <w:sz w:val="20"/>
                <w:szCs w:val="20"/>
                <w:color w:val="auto"/>
              </w:rPr>
            </w:pPr>
            <w:r>
              <w:rPr>
                <w:rFonts w:ascii="Arial" w:cs="Arial" w:eastAsia="Arial" w:hAnsi="Arial"/>
                <w:sz w:val="14"/>
                <w:szCs w:val="14"/>
                <w:b w:val="1"/>
                <w:bCs w:val="1"/>
                <w:color w:val="131E29"/>
              </w:rPr>
              <w:t>Weighted-average amortization</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131E29"/>
              </w:rPr>
              <w:t xml:space="preserve">period </w:t>
            </w:r>
            <w:r>
              <w:rPr>
                <w:rFonts w:ascii="Arial" w:cs="Arial" w:eastAsia="Arial" w:hAnsi="Arial"/>
                <w:sz w:val="11"/>
                <w:szCs w:val="11"/>
                <w:color w:val="131E29"/>
              </w:rPr>
              <w:t>(in years)</w:t>
            </w:r>
          </w:p>
        </w:tc>
        <w:tc>
          <w:tcPr>
            <w:tcW w:w="100" w:type="dxa"/>
            <w:vAlign w:val="bottom"/>
            <w:tcBorders>
              <w:bottom w:val="single" w:sz="8" w:color="D2DCE5"/>
            </w:tcBorders>
          </w:tcPr>
          <w:p>
            <w:pPr>
              <w:spacing w:after="0"/>
              <w:rPr>
                <w:sz w:val="17"/>
                <w:szCs w:val="17"/>
                <w:color w:val="auto"/>
              </w:rPr>
            </w:pPr>
          </w:p>
        </w:tc>
        <w:tc>
          <w:tcPr>
            <w:tcW w:w="1800" w:type="dxa"/>
            <w:vAlign w:val="bottom"/>
            <w:tcBorders>
              <w:bottom w:val="single" w:sz="8" w:color="131E29"/>
            </w:tcBorders>
            <w:gridSpan w:val="4"/>
          </w:tcPr>
          <w:p>
            <w:pPr>
              <w:jc w:val="right"/>
              <w:ind w:right="209"/>
              <w:spacing w:after="0"/>
              <w:rPr>
                <w:sz w:val="20"/>
                <w:szCs w:val="20"/>
                <w:color w:val="auto"/>
              </w:rPr>
            </w:pPr>
            <w:r>
              <w:rPr>
                <w:rFonts w:ascii="Arial" w:cs="Arial" w:eastAsia="Arial" w:hAnsi="Arial"/>
                <w:sz w:val="14"/>
                <w:szCs w:val="14"/>
                <w:b w:val="1"/>
                <w:bCs w:val="1"/>
                <w:color w:val="131E29"/>
              </w:rPr>
              <w:t>December 31, 2024</w:t>
            </w: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131E29"/>
            </w:tcBorders>
          </w:tcPr>
          <w:p>
            <w:pPr>
              <w:spacing w:after="0"/>
              <w:rPr>
                <w:sz w:val="17"/>
                <w:szCs w:val="17"/>
                <w:color w:val="auto"/>
              </w:rPr>
            </w:pPr>
          </w:p>
        </w:tc>
        <w:tc>
          <w:tcPr>
            <w:tcW w:w="100" w:type="dxa"/>
            <w:vAlign w:val="bottom"/>
            <w:tcBorders>
              <w:bottom w:val="single" w:sz="8" w:color="131E29"/>
            </w:tcBorders>
          </w:tcPr>
          <w:p>
            <w:pPr>
              <w:spacing w:after="0"/>
              <w:rPr>
                <w:sz w:val="17"/>
                <w:szCs w:val="17"/>
                <w:color w:val="auto"/>
              </w:rPr>
            </w:pPr>
          </w:p>
        </w:tc>
        <w:tc>
          <w:tcPr>
            <w:tcW w:w="1560" w:type="dxa"/>
            <w:vAlign w:val="bottom"/>
            <w:tcBorders>
              <w:bottom w:val="single" w:sz="8" w:color="131E29"/>
            </w:tcBorders>
            <w:gridSpan w:val="2"/>
          </w:tcPr>
          <w:p>
            <w:pPr>
              <w:ind w:left="20"/>
              <w:spacing w:after="0"/>
              <w:rPr>
                <w:sz w:val="20"/>
                <w:szCs w:val="20"/>
                <w:color w:val="auto"/>
              </w:rPr>
            </w:pPr>
            <w:r>
              <w:rPr>
                <w:rFonts w:ascii="Arial" w:cs="Arial" w:eastAsia="Arial" w:hAnsi="Arial"/>
                <w:sz w:val="14"/>
                <w:szCs w:val="14"/>
                <w:b w:val="1"/>
                <w:bCs w:val="1"/>
                <w:color w:val="131E29"/>
              </w:rPr>
              <w:t>December 31, 2023</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Reacquired franchise rights</w:t>
            </w:r>
          </w:p>
        </w:tc>
        <w:tc>
          <w:tcPr>
            <w:tcW w:w="2220" w:type="dxa"/>
            <w:vAlign w:val="bottom"/>
            <w:gridSpan w:val="3"/>
            <w:shd w:val="clear" w:color="auto" w:fill="D2DCE5"/>
          </w:tcPr>
          <w:p>
            <w:pPr>
              <w:jc w:val="center"/>
              <w:spacing w:after="0"/>
              <w:rPr>
                <w:sz w:val="20"/>
                <w:szCs w:val="20"/>
                <w:color w:val="auto"/>
              </w:rPr>
            </w:pPr>
            <w:r>
              <w:rPr>
                <w:rFonts w:ascii="Arial" w:cs="Arial" w:eastAsia="Arial" w:hAnsi="Arial"/>
                <w:sz w:val="14"/>
                <w:szCs w:val="14"/>
                <w:color w:val="131E29"/>
              </w:rPr>
              <w:t>2.94</w:t>
            </w:r>
          </w:p>
        </w:tc>
        <w:tc>
          <w:tcPr>
            <w:tcW w:w="480" w:type="dxa"/>
            <w:vAlign w:val="bottom"/>
            <w:gridSpan w:val="2"/>
            <w:shd w:val="clear" w:color="auto" w:fill="D2DCE5"/>
          </w:tcPr>
          <w:p>
            <w:pPr>
              <w:jc w:val="right"/>
              <w:ind w:right="229"/>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27,049</w:t>
            </w: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27,049</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Less: accumulated amortization</w:t>
            </w:r>
          </w:p>
        </w:tc>
        <w:tc>
          <w:tcPr>
            <w:tcW w:w="104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(24,102)</w:t>
            </w: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(21,634)</w:t>
            </w:r>
          </w:p>
        </w:tc>
        <w:tc>
          <w:tcPr>
            <w:tcW w:w="0" w:type="dxa"/>
            <w:vAlign w:val="bottom"/>
          </w:tcPr>
          <w:p>
            <w:pPr>
              <w:spacing w:after="0"/>
              <w:rPr>
                <w:sz w:val="1"/>
                <w:szCs w:val="1"/>
                <w:color w:val="auto"/>
              </w:rPr>
            </w:pPr>
          </w:p>
        </w:tc>
      </w:tr>
      <w:tr>
        <w:trPr>
          <w:trHeight w:val="232"/>
        </w:trPr>
        <w:tc>
          <w:tcPr>
            <w:tcW w:w="5280" w:type="dxa"/>
            <w:vAlign w:val="bottom"/>
            <w:gridSpan w:val="2"/>
            <w:shd w:val="clear" w:color="auto" w:fill="D2DCE5"/>
          </w:tcPr>
          <w:p>
            <w:pPr>
              <w:ind w:left="100"/>
              <w:spacing w:after="0"/>
              <w:rPr>
                <w:sz w:val="20"/>
                <w:szCs w:val="20"/>
                <w:color w:val="auto"/>
              </w:rPr>
            </w:pPr>
            <w:r>
              <w:rPr>
                <w:rFonts w:ascii="Arial" w:cs="Arial" w:eastAsia="Arial" w:hAnsi="Arial"/>
                <w:sz w:val="14"/>
                <w:szCs w:val="14"/>
                <w:b w:val="1"/>
                <w:bCs w:val="1"/>
                <w:color w:val="131E29"/>
              </w:rPr>
              <w:t>Intangibles, net</w:t>
            </w:r>
          </w:p>
        </w:tc>
        <w:tc>
          <w:tcPr>
            <w:tcW w:w="104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1100" w:type="dxa"/>
            <w:vAlign w:val="bottom"/>
            <w:shd w:val="clear" w:color="auto" w:fill="D2DCE5"/>
          </w:tcPr>
          <w:p>
            <w:pPr>
              <w:spacing w:after="0"/>
              <w:rPr>
                <w:sz w:val="20"/>
                <w:szCs w:val="20"/>
                <w:color w:val="auto"/>
              </w:rPr>
            </w:pPr>
          </w:p>
        </w:tc>
        <w:tc>
          <w:tcPr>
            <w:tcW w:w="480" w:type="dxa"/>
            <w:vAlign w:val="bottom"/>
            <w:gridSpan w:val="2"/>
            <w:shd w:val="clear" w:color="auto" w:fill="D2DCE5"/>
          </w:tcPr>
          <w:p>
            <w:pPr>
              <w:jc w:val="right"/>
              <w:ind w:right="229"/>
              <w:spacing w:after="0"/>
              <w:rPr>
                <w:sz w:val="20"/>
                <w:szCs w:val="20"/>
                <w:color w:val="auto"/>
              </w:rPr>
            </w:pPr>
            <w:r>
              <w:rPr>
                <w:rFonts w:ascii="Arial" w:cs="Arial" w:eastAsia="Arial" w:hAnsi="Arial"/>
                <w:sz w:val="14"/>
                <w:szCs w:val="14"/>
                <w:b w:val="1"/>
                <w:bCs w:val="1"/>
                <w:color w:val="131E29"/>
              </w:rPr>
              <w:t>$</w:t>
            </w:r>
          </w:p>
        </w:tc>
        <w:tc>
          <w:tcPr>
            <w:tcW w:w="80" w:type="dxa"/>
            <w:vAlign w:val="bottom"/>
            <w:shd w:val="clear" w:color="auto" w:fill="D2DCE5"/>
          </w:tcPr>
          <w:p>
            <w:pPr>
              <w:spacing w:after="0"/>
              <w:rPr>
                <w:sz w:val="20"/>
                <w:szCs w:val="20"/>
                <w:color w:val="auto"/>
              </w:rPr>
            </w:pPr>
          </w:p>
        </w:tc>
        <w:tc>
          <w:tcPr>
            <w:tcW w:w="360" w:type="dxa"/>
            <w:vAlign w:val="bottom"/>
            <w:shd w:val="clear" w:color="auto" w:fill="D2DCE5"/>
          </w:tcPr>
          <w:p>
            <w:pPr>
              <w:spacing w:after="0"/>
              <w:rPr>
                <w:sz w:val="20"/>
                <w:szCs w:val="20"/>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2,947</w:t>
            </w:r>
          </w:p>
        </w:tc>
        <w:tc>
          <w:tcPr>
            <w:tcW w:w="80" w:type="dxa"/>
            <w:vAlign w:val="bottom"/>
            <w:shd w:val="clear" w:color="auto" w:fill="D2DCE5"/>
          </w:tcPr>
          <w:p>
            <w:pPr>
              <w:spacing w:after="0"/>
              <w:rPr>
                <w:sz w:val="20"/>
                <w:szCs w:val="20"/>
                <w:color w:val="auto"/>
              </w:rPr>
            </w:pPr>
          </w:p>
        </w:tc>
        <w:tc>
          <w:tcPr>
            <w:tcW w:w="14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100" w:type="dxa"/>
            <w:vAlign w:val="bottom"/>
            <w:shd w:val="clear" w:color="auto" w:fill="D2DCE5"/>
          </w:tcPr>
          <w:p>
            <w:pPr>
              <w:spacing w:after="0"/>
              <w:rPr>
                <w:sz w:val="20"/>
                <w:szCs w:val="20"/>
                <w:color w:val="auto"/>
              </w:rPr>
            </w:pPr>
          </w:p>
        </w:tc>
        <w:tc>
          <w:tcPr>
            <w:tcW w:w="360" w:type="dxa"/>
            <w:vAlign w:val="bottom"/>
            <w:shd w:val="clear" w:color="auto" w:fill="D2DCE5"/>
          </w:tcPr>
          <w:p>
            <w:pPr>
              <w:spacing w:after="0"/>
              <w:rPr>
                <w:sz w:val="20"/>
                <w:szCs w:val="20"/>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5,415</w:t>
            </w:r>
          </w:p>
        </w:tc>
        <w:tc>
          <w:tcPr>
            <w:tcW w:w="0" w:type="dxa"/>
            <w:vAlign w:val="bottom"/>
          </w:tcPr>
          <w:p>
            <w:pPr>
              <w:spacing w:after="0"/>
              <w:rPr>
                <w:sz w:val="1"/>
                <w:szCs w:val="1"/>
                <w:color w:val="auto"/>
              </w:rPr>
            </w:pPr>
          </w:p>
        </w:tc>
      </w:tr>
      <w:tr>
        <w:trPr>
          <w:trHeight w:val="20"/>
        </w:trPr>
        <w:tc>
          <w:tcPr>
            <w:tcW w:w="7500" w:type="dxa"/>
            <w:vAlign w:val="bottom"/>
            <w:tcBorders>
              <w:top w:val="single" w:sz="8" w:color="D2DCE5"/>
              <w:bottom w:val="single" w:sz="8" w:color="D2DCE5"/>
            </w:tcBorders>
            <w:gridSpan w:val="5"/>
            <w:vMerge w:val="restart"/>
          </w:tcPr>
          <w:p>
            <w:pPr>
              <w:spacing w:after="0"/>
              <w:rPr>
                <w:sz w:val="20"/>
                <w:szCs w:val="20"/>
                <w:color w:val="auto"/>
              </w:rPr>
            </w:pPr>
            <w:r>
              <w:rPr>
                <w:rFonts w:ascii="Arial" w:cs="Arial" w:eastAsia="Arial" w:hAnsi="Arial"/>
                <w:sz w:val="14"/>
                <w:szCs w:val="14"/>
                <w:color w:val="131E29"/>
              </w:rPr>
              <w:t>Amortization expense included in our consolidated statements of operations was as follows:</w:t>
            </w:r>
          </w:p>
        </w:tc>
        <w:tc>
          <w:tcPr>
            <w:tcW w:w="100" w:type="dxa"/>
            <w:vAlign w:val="bottom"/>
            <w:tcBorders>
              <w:top w:val="single" w:sz="8" w:color="D2DCE5"/>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75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2220" w:type="dxa"/>
            <w:vAlign w:val="bottom"/>
            <w:gridSpan w:val="3"/>
            <w:shd w:val="clear" w:color="auto" w:fill="D2DCE5"/>
          </w:tcPr>
          <w:p>
            <w:pPr>
              <w:jc w:val="right"/>
              <w:ind w:right="929"/>
              <w:spacing w:after="0"/>
              <w:rPr>
                <w:sz w:val="20"/>
                <w:szCs w:val="20"/>
                <w:color w:val="auto"/>
              </w:rPr>
            </w:pPr>
            <w:r>
              <w:rPr>
                <w:rFonts w:ascii="Arial" w:cs="Arial" w:eastAsia="Arial" w:hAnsi="Arial"/>
                <w:sz w:val="14"/>
                <w:szCs w:val="14"/>
                <w:color w:val="131E29"/>
              </w:rPr>
              <w:t>$</w:t>
            </w:r>
          </w:p>
        </w:tc>
        <w:tc>
          <w:tcPr>
            <w:tcW w:w="48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2,468</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3,389</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4,034</w:t>
            </w:r>
          </w:p>
        </w:tc>
        <w:tc>
          <w:tcPr>
            <w:tcW w:w="0" w:type="dxa"/>
            <w:vAlign w:val="bottom"/>
          </w:tcPr>
          <w:p>
            <w:pPr>
              <w:spacing w:after="0"/>
              <w:rPr>
                <w:sz w:val="1"/>
                <w:szCs w:val="1"/>
                <w:color w:val="auto"/>
              </w:rPr>
            </w:pPr>
          </w:p>
        </w:tc>
      </w:tr>
      <w:tr>
        <w:trPr>
          <w:trHeight w:val="362"/>
        </w:trPr>
        <w:tc>
          <w:tcPr>
            <w:tcW w:w="7500" w:type="dxa"/>
            <w:vAlign w:val="bottom"/>
            <w:gridSpan w:val="5"/>
          </w:tcPr>
          <w:p>
            <w:pPr>
              <w:spacing w:after="0"/>
              <w:rPr>
                <w:sz w:val="20"/>
                <w:szCs w:val="20"/>
                <w:color w:val="auto"/>
              </w:rPr>
            </w:pPr>
            <w:r>
              <w:rPr>
                <w:rFonts w:ascii="Arial" w:cs="Arial" w:eastAsia="Arial" w:hAnsi="Arial"/>
                <w:sz w:val="14"/>
                <w:szCs w:val="14"/>
                <w:color w:val="131E29"/>
              </w:rPr>
              <w:t>The estimated future amortization expense of the reacquired franchise rights as of December 31, 2024 is as follows: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280" w:type="dxa"/>
            <w:vAlign w:val="bottom"/>
            <w:tcBorders>
              <w:bottom w:val="single" w:sz="8" w:color="131E29"/>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104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1100" w:type="dxa"/>
            <w:vAlign w:val="bottom"/>
            <w:tcBorders>
              <w:bottom w:val="single" w:sz="8" w:color="131E29"/>
            </w:tcBorders>
          </w:tcPr>
          <w:p>
            <w:pPr>
              <w:spacing w:after="0"/>
              <w:rPr>
                <w:sz w:val="24"/>
                <w:szCs w:val="24"/>
                <w:color w:val="auto"/>
              </w:rPr>
            </w:pPr>
          </w:p>
        </w:tc>
        <w:tc>
          <w:tcPr>
            <w:tcW w:w="100" w:type="dxa"/>
            <w:vAlign w:val="bottom"/>
            <w:tcBorders>
              <w:bottom w:val="single" w:sz="8" w:color="131E29"/>
            </w:tcBorders>
          </w:tcPr>
          <w:p>
            <w:pPr>
              <w:spacing w:after="0"/>
              <w:rPr>
                <w:sz w:val="24"/>
                <w:szCs w:val="24"/>
                <w:color w:val="auto"/>
              </w:rPr>
            </w:pPr>
          </w:p>
        </w:tc>
        <w:tc>
          <w:tcPr>
            <w:tcW w:w="38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360" w:type="dxa"/>
            <w:vAlign w:val="bottom"/>
            <w:tcBorders>
              <w:bottom w:val="single" w:sz="8" w:color="131E29"/>
            </w:tcBorders>
          </w:tcPr>
          <w:p>
            <w:pPr>
              <w:spacing w:after="0"/>
              <w:rPr>
                <w:sz w:val="24"/>
                <w:szCs w:val="24"/>
                <w:color w:val="auto"/>
              </w:rPr>
            </w:pPr>
          </w:p>
        </w:tc>
        <w:tc>
          <w:tcPr>
            <w:tcW w:w="980" w:type="dxa"/>
            <w:vAlign w:val="bottom"/>
            <w:tcBorders>
              <w:bottom w:val="single" w:sz="8" w:color="131E29"/>
            </w:tcBorders>
          </w:tcPr>
          <w:p>
            <w:pPr>
              <w:spacing w:after="0"/>
              <w:rPr>
                <w:sz w:val="24"/>
                <w:szCs w:val="24"/>
                <w:color w:val="auto"/>
              </w:rPr>
            </w:pPr>
          </w:p>
        </w:tc>
        <w:tc>
          <w:tcPr>
            <w:tcW w:w="80" w:type="dxa"/>
            <w:vAlign w:val="bottom"/>
            <w:tcBorders>
              <w:bottom w:val="single" w:sz="8" w:color="131E29"/>
            </w:tcBorders>
          </w:tcPr>
          <w:p>
            <w:pPr>
              <w:spacing w:after="0"/>
              <w:rPr>
                <w:sz w:val="24"/>
                <w:szCs w:val="24"/>
                <w:color w:val="auto"/>
              </w:rPr>
            </w:pPr>
          </w:p>
        </w:tc>
        <w:tc>
          <w:tcPr>
            <w:tcW w:w="140" w:type="dxa"/>
            <w:vAlign w:val="bottom"/>
            <w:tcBorders>
              <w:bottom w:val="single" w:sz="8" w:color="131E29"/>
            </w:tcBorders>
          </w:tcPr>
          <w:p>
            <w:pPr>
              <w:spacing w:after="0"/>
              <w:rPr>
                <w:sz w:val="24"/>
                <w:szCs w:val="24"/>
                <w:color w:val="auto"/>
              </w:rPr>
            </w:pPr>
          </w:p>
        </w:tc>
        <w:tc>
          <w:tcPr>
            <w:tcW w:w="100" w:type="dxa"/>
            <w:vAlign w:val="bottom"/>
            <w:tcBorders>
              <w:bottom w:val="single" w:sz="8" w:color="D2DCE5"/>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2025</w:t>
            </w:r>
          </w:p>
        </w:tc>
        <w:tc>
          <w:tcPr>
            <w:tcW w:w="80" w:type="dxa"/>
            <w:vAlign w:val="bottom"/>
            <w:shd w:val="clear" w:color="auto" w:fill="D2DCE5"/>
          </w:tcPr>
          <w:p>
            <w:pPr>
              <w:spacing w:after="0"/>
              <w:rPr>
                <w:sz w:val="18"/>
                <w:szCs w:val="18"/>
                <w:color w:val="auto"/>
              </w:rPr>
            </w:pPr>
          </w:p>
        </w:tc>
        <w:tc>
          <w:tcPr>
            <w:tcW w:w="10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1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9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1,435</w:t>
            </w:r>
          </w:p>
        </w:tc>
        <w:tc>
          <w:tcPr>
            <w:tcW w:w="0" w:type="dxa"/>
            <w:vAlign w:val="bottom"/>
          </w:tcPr>
          <w:p>
            <w:pPr>
              <w:spacing w:after="0"/>
              <w:rPr>
                <w:sz w:val="1"/>
                <w:szCs w:val="1"/>
                <w:color w:val="auto"/>
              </w:rPr>
            </w:pPr>
          </w:p>
        </w:tc>
      </w:tr>
      <w:tr>
        <w:trPr>
          <w:trHeight w:val="202"/>
        </w:trPr>
        <w:tc>
          <w:tcPr>
            <w:tcW w:w="5200" w:type="dxa"/>
            <w:vAlign w:val="bottom"/>
          </w:tcPr>
          <w:p>
            <w:pPr>
              <w:ind w:left="20"/>
              <w:spacing w:after="0"/>
              <w:rPr>
                <w:sz w:val="20"/>
                <w:szCs w:val="20"/>
                <w:color w:val="auto"/>
              </w:rPr>
            </w:pPr>
            <w:r>
              <w:rPr>
                <w:rFonts w:ascii="Arial" w:cs="Arial" w:eastAsia="Arial" w:hAnsi="Arial"/>
                <w:sz w:val="14"/>
                <w:szCs w:val="14"/>
                <w:color w:val="131E29"/>
              </w:rPr>
              <w:t>2026</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681</w:t>
            </w:r>
          </w:p>
        </w:tc>
        <w:tc>
          <w:tcPr>
            <w:tcW w:w="0" w:type="dxa"/>
            <w:vAlign w:val="bottom"/>
          </w:tcPr>
          <w:p>
            <w:pPr>
              <w:spacing w:after="0"/>
              <w:rPr>
                <w:sz w:val="1"/>
                <w:szCs w:val="1"/>
                <w:color w:val="auto"/>
              </w:rPr>
            </w:pPr>
          </w:p>
        </w:tc>
      </w:tr>
      <w:tr>
        <w:trPr>
          <w:trHeight w:val="222"/>
        </w:trPr>
        <w:tc>
          <w:tcPr>
            <w:tcW w:w="520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2027</w:t>
            </w:r>
          </w:p>
        </w:tc>
        <w:tc>
          <w:tcPr>
            <w:tcW w:w="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1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9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383</w:t>
            </w:r>
          </w:p>
        </w:tc>
        <w:tc>
          <w:tcPr>
            <w:tcW w:w="0" w:type="dxa"/>
            <w:vAlign w:val="bottom"/>
          </w:tcPr>
          <w:p>
            <w:pPr>
              <w:spacing w:after="0"/>
              <w:rPr>
                <w:sz w:val="1"/>
                <w:szCs w:val="1"/>
                <w:color w:val="auto"/>
              </w:rPr>
            </w:pPr>
          </w:p>
        </w:tc>
      </w:tr>
      <w:tr>
        <w:trPr>
          <w:trHeight w:val="202"/>
        </w:trPr>
        <w:tc>
          <w:tcPr>
            <w:tcW w:w="5200" w:type="dxa"/>
            <w:vAlign w:val="bottom"/>
          </w:tcPr>
          <w:p>
            <w:pPr>
              <w:ind w:left="20"/>
              <w:spacing w:after="0"/>
              <w:rPr>
                <w:sz w:val="20"/>
                <w:szCs w:val="20"/>
                <w:color w:val="auto"/>
              </w:rPr>
            </w:pPr>
            <w:r>
              <w:rPr>
                <w:rFonts w:ascii="Arial" w:cs="Arial" w:eastAsia="Arial" w:hAnsi="Arial"/>
                <w:sz w:val="14"/>
                <w:szCs w:val="14"/>
                <w:color w:val="131E29"/>
              </w:rPr>
              <w:t>2028</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247</w:t>
            </w:r>
          </w:p>
        </w:tc>
        <w:tc>
          <w:tcPr>
            <w:tcW w:w="0" w:type="dxa"/>
            <w:vAlign w:val="bottom"/>
          </w:tcPr>
          <w:p>
            <w:pPr>
              <w:spacing w:after="0"/>
              <w:rPr>
                <w:sz w:val="1"/>
                <w:szCs w:val="1"/>
                <w:color w:val="auto"/>
              </w:rPr>
            </w:pPr>
          </w:p>
        </w:tc>
      </w:tr>
      <w:tr>
        <w:trPr>
          <w:trHeight w:val="222"/>
        </w:trPr>
        <w:tc>
          <w:tcPr>
            <w:tcW w:w="520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2029</w:t>
            </w:r>
          </w:p>
        </w:tc>
        <w:tc>
          <w:tcPr>
            <w:tcW w:w="80" w:type="dxa"/>
            <w:vAlign w:val="bottom"/>
            <w:shd w:val="clear" w:color="auto" w:fill="D2DCE5"/>
          </w:tcPr>
          <w:p>
            <w:pPr>
              <w:spacing w:after="0"/>
              <w:rPr>
                <w:sz w:val="19"/>
                <w:szCs w:val="19"/>
                <w:color w:val="auto"/>
              </w:rPr>
            </w:pPr>
          </w:p>
        </w:tc>
        <w:tc>
          <w:tcPr>
            <w:tcW w:w="10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1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9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153</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Thereafter</w:t>
            </w:r>
          </w:p>
        </w:tc>
        <w:tc>
          <w:tcPr>
            <w:tcW w:w="104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38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D2DCE5"/>
            </w:tcBorders>
          </w:tcPr>
          <w:p>
            <w:pPr>
              <w:spacing w:after="0"/>
              <w:rPr>
                <w:sz w:val="17"/>
                <w:szCs w:val="17"/>
                <w:color w:val="auto"/>
              </w:rPr>
            </w:pPr>
          </w:p>
        </w:tc>
        <w:tc>
          <w:tcPr>
            <w:tcW w:w="98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4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131E29"/>
            </w:tcBorders>
          </w:tcPr>
          <w:p>
            <w:pPr>
              <w:spacing w:after="0"/>
              <w:rPr>
                <w:sz w:val="17"/>
                <w:szCs w:val="17"/>
                <w:color w:val="auto"/>
              </w:rPr>
            </w:pPr>
          </w:p>
        </w:tc>
        <w:tc>
          <w:tcPr>
            <w:tcW w:w="1200" w:type="dxa"/>
            <w:vAlign w:val="bottom"/>
            <w:tcBorders>
              <w:bottom w:val="single" w:sz="8" w:color="131E29"/>
            </w:tcBorders>
          </w:tcPr>
          <w:p>
            <w:pPr>
              <w:jc w:val="right"/>
              <w:spacing w:after="0"/>
              <w:rPr>
                <w:sz w:val="20"/>
                <w:szCs w:val="20"/>
                <w:color w:val="auto"/>
              </w:rPr>
            </w:pPr>
            <w:r>
              <w:rPr>
                <w:rFonts w:ascii="Arial" w:cs="Arial" w:eastAsia="Arial" w:hAnsi="Arial"/>
                <w:sz w:val="14"/>
                <w:szCs w:val="14"/>
                <w:color w:val="131E29"/>
              </w:rPr>
              <w:t>48</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b w:val="1"/>
                <w:bCs w:val="1"/>
                <w:color w:val="131E29"/>
              </w:rPr>
              <w:t>Total</w:t>
            </w:r>
          </w:p>
        </w:tc>
        <w:tc>
          <w:tcPr>
            <w:tcW w:w="104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110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38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360" w:type="dxa"/>
            <w:vAlign w:val="bottom"/>
            <w:tcBorders>
              <w:bottom w:val="single" w:sz="8" w:color="D2DCE5"/>
            </w:tcBorders>
            <w:shd w:val="clear" w:color="auto" w:fill="D2DCE5"/>
          </w:tcPr>
          <w:p>
            <w:pPr>
              <w:spacing w:after="0"/>
              <w:rPr>
                <w:sz w:val="20"/>
                <w:szCs w:val="20"/>
                <w:color w:val="auto"/>
              </w:rPr>
            </w:pPr>
          </w:p>
        </w:tc>
        <w:tc>
          <w:tcPr>
            <w:tcW w:w="980" w:type="dxa"/>
            <w:vAlign w:val="bottom"/>
            <w:tcBorders>
              <w:bottom w:val="single" w:sz="8" w:color="D2DCE5"/>
            </w:tcBorders>
            <w:shd w:val="clear" w:color="auto" w:fill="D2DCE5"/>
          </w:tcPr>
          <w:p>
            <w:pPr>
              <w:spacing w:after="0"/>
              <w:rPr>
                <w:sz w:val="20"/>
                <w:szCs w:val="20"/>
                <w:color w:val="auto"/>
              </w:rPr>
            </w:pPr>
          </w:p>
        </w:tc>
        <w:tc>
          <w:tcPr>
            <w:tcW w:w="80" w:type="dxa"/>
            <w:vAlign w:val="bottom"/>
            <w:tcBorders>
              <w:bottom w:val="single" w:sz="8" w:color="D2DCE5"/>
            </w:tcBorders>
            <w:shd w:val="clear" w:color="auto" w:fill="D2DCE5"/>
          </w:tcPr>
          <w:p>
            <w:pPr>
              <w:spacing w:after="0"/>
              <w:rPr>
                <w:sz w:val="20"/>
                <w:szCs w:val="20"/>
                <w:color w:val="auto"/>
              </w:rPr>
            </w:pPr>
          </w:p>
        </w:tc>
        <w:tc>
          <w:tcPr>
            <w:tcW w:w="14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D2DCE5"/>
            </w:tcBorders>
            <w:shd w:val="clear" w:color="auto" w:fill="D2DCE5"/>
          </w:tcPr>
          <w:p>
            <w:pPr>
              <w:spacing w:after="0"/>
              <w:rPr>
                <w:sz w:val="20"/>
                <w:szCs w:val="20"/>
                <w:color w:val="auto"/>
              </w:rPr>
            </w:pPr>
          </w:p>
        </w:tc>
        <w:tc>
          <w:tcPr>
            <w:tcW w:w="360" w:type="dxa"/>
            <w:vAlign w:val="bottom"/>
            <w:tcBorders>
              <w:bottom w:val="single" w:sz="8" w:color="131E29"/>
            </w:tcBorders>
            <w:shd w:val="clear" w:color="auto" w:fill="D2DCE5"/>
          </w:tcPr>
          <w:p>
            <w:pPr>
              <w:spacing w:after="0"/>
              <w:rPr>
                <w:sz w:val="20"/>
                <w:szCs w:val="20"/>
                <w:color w:val="auto"/>
              </w:rPr>
            </w:pPr>
            <w:r>
              <w:rPr>
                <w:rFonts w:ascii="Arial" w:cs="Arial" w:eastAsia="Arial" w:hAnsi="Arial"/>
                <w:sz w:val="14"/>
                <w:szCs w:val="14"/>
                <w:b w:val="1"/>
                <w:bCs w:val="1"/>
                <w:color w:val="131E29"/>
              </w:rPr>
              <w:t>$</w:t>
            </w:r>
          </w:p>
        </w:tc>
        <w:tc>
          <w:tcPr>
            <w:tcW w:w="1200" w:type="dxa"/>
            <w:vAlign w:val="bottom"/>
            <w:tcBorders>
              <w:bottom w:val="single" w:sz="8" w:color="131E29"/>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2,947</w:t>
            </w:r>
          </w:p>
        </w:tc>
        <w:tc>
          <w:tcPr>
            <w:tcW w:w="0" w:type="dxa"/>
            <w:vAlign w:val="bottom"/>
          </w:tcPr>
          <w:p>
            <w:pPr>
              <w:spacing w:after="0"/>
              <w:rPr>
                <w:sz w:val="1"/>
                <w:szCs w:val="1"/>
                <w:color w:val="auto"/>
              </w:rPr>
            </w:pPr>
          </w:p>
        </w:tc>
      </w:tr>
      <w:tr>
        <w:trPr>
          <w:trHeight w:val="20"/>
        </w:trPr>
        <w:tc>
          <w:tcPr>
            <w:tcW w:w="52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4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1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tcBorders>
          </w:tcPr>
          <w:p>
            <w:pPr>
              <w:spacing w:after="0" w:line="20" w:lineRule="exact"/>
              <w:rPr>
                <w:sz w:val="1"/>
                <w:szCs w:val="1"/>
                <w:color w:val="auto"/>
              </w:rPr>
            </w:pPr>
          </w:p>
        </w:tc>
        <w:tc>
          <w:tcPr>
            <w:tcW w:w="9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D2DCE5"/>
              <w:bottom w:val="single" w:sz="8" w:color="131E29"/>
            </w:tcBorders>
          </w:tcPr>
          <w:p>
            <w:pPr>
              <w:spacing w:after="0" w:line="20" w:lineRule="exact"/>
              <w:rPr>
                <w:sz w:val="1"/>
                <w:szCs w:val="1"/>
                <w:color w:val="auto"/>
              </w:rPr>
            </w:pPr>
          </w:p>
        </w:tc>
        <w:tc>
          <w:tcPr>
            <w:tcW w:w="1200" w:type="dxa"/>
            <w:vAlign w:val="bottom"/>
            <w:tcBorders>
              <w:top w:val="single" w:sz="8" w:color="D2DCE5"/>
              <w:bottom w:val="single" w:sz="8" w:color="131E2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19" w:name="page120"/>
    <w:bookmarkEnd w:id="11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8 — Leases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A summary of finance and operating lease right-of-use assets and lease liabilities as of December 31, 2024 and December 31, 2023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34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131E29"/>
              </w:rPr>
              <w:t>Balance Sheet Classification</w:t>
            </w: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174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4"/>
                <w:szCs w:val="14"/>
                <w:b w:val="1"/>
                <w:bCs w:val="1"/>
                <w:color w:val="131E29"/>
              </w:rPr>
              <w:t>December 31, 2024</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20" w:type="dxa"/>
            <w:vAlign w:val="bottom"/>
            <w:tcBorders>
              <w:bottom w:val="single" w:sz="8" w:color="131E29"/>
            </w:tcBorders>
          </w:tcPr>
          <w:p>
            <w:pPr>
              <w:spacing w:after="0"/>
              <w:rPr>
                <w:sz w:val="17"/>
                <w:szCs w:val="17"/>
                <w:color w:val="auto"/>
              </w:rPr>
            </w:pPr>
          </w:p>
        </w:tc>
        <w:tc>
          <w:tcPr>
            <w:tcW w:w="100" w:type="dxa"/>
            <w:vAlign w:val="bottom"/>
            <w:tcBorders>
              <w:bottom w:val="single" w:sz="8" w:color="131E29"/>
            </w:tcBorders>
          </w:tcPr>
          <w:p>
            <w:pPr>
              <w:spacing w:after="0"/>
              <w:rPr>
                <w:sz w:val="17"/>
                <w:szCs w:val="17"/>
                <w:color w:val="auto"/>
              </w:rPr>
            </w:pPr>
          </w:p>
        </w:tc>
        <w:tc>
          <w:tcPr>
            <w:tcW w:w="1560" w:type="dxa"/>
            <w:vAlign w:val="bottom"/>
            <w:tcBorders>
              <w:bottom w:val="single" w:sz="8" w:color="131E29"/>
            </w:tcBorders>
            <w:gridSpan w:val="2"/>
          </w:tcPr>
          <w:p>
            <w:pPr>
              <w:jc w:val="right"/>
              <w:ind w:right="189"/>
              <w:spacing w:after="0"/>
              <w:rPr>
                <w:sz w:val="20"/>
                <w:szCs w:val="20"/>
                <w:color w:val="auto"/>
              </w:rPr>
            </w:pPr>
            <w:r>
              <w:rPr>
                <w:rFonts w:ascii="Arial" w:cs="Arial" w:eastAsia="Arial" w:hAnsi="Arial"/>
                <w:sz w:val="14"/>
                <w:szCs w:val="14"/>
                <w:b w:val="1"/>
                <w:bCs w:val="1"/>
                <w:color w:val="131E29"/>
              </w:rPr>
              <w:t>December 31, 2023</w:t>
            </w:r>
          </w:p>
        </w:tc>
      </w:tr>
      <w:tr>
        <w:trPr>
          <w:trHeight w:val="209"/>
        </w:trPr>
        <w:tc>
          <w:tcPr>
            <w:tcW w:w="308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Right-of-use assets</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9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7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r>
      <w:tr>
        <w:trPr>
          <w:trHeight w:val="202"/>
        </w:trPr>
        <w:tc>
          <w:tcPr>
            <w:tcW w:w="3080" w:type="dxa"/>
            <w:vAlign w:val="bottom"/>
          </w:tcPr>
          <w:p>
            <w:pPr>
              <w:ind w:left="140"/>
              <w:spacing w:after="0"/>
              <w:rPr>
                <w:sz w:val="20"/>
                <w:szCs w:val="20"/>
                <w:color w:val="auto"/>
              </w:rPr>
            </w:pPr>
            <w:r>
              <w:rPr>
                <w:rFonts w:ascii="Arial" w:cs="Arial" w:eastAsia="Arial" w:hAnsi="Arial"/>
                <w:sz w:val="14"/>
                <w:szCs w:val="14"/>
                <w:color w:val="131E29"/>
              </w:rPr>
              <w:t>Finance leases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Arial" w:cs="Arial" w:eastAsia="Arial" w:hAnsi="Arial"/>
                <w:sz w:val="14"/>
                <w:szCs w:val="14"/>
                <w:color w:val="131E29"/>
              </w:rPr>
              <w:t>Finance lease right-of-use assets, net</w:t>
            </w:r>
          </w:p>
        </w:tc>
        <w:tc>
          <w:tcPr>
            <w:tcW w:w="360" w:type="dxa"/>
            <w:vAlign w:val="bottom"/>
          </w:tcPr>
          <w:p>
            <w:pPr>
              <w:spacing w:after="0"/>
              <w:rPr>
                <w:sz w:val="17"/>
                <w:szCs w:val="17"/>
                <w:color w:val="auto"/>
              </w:rPr>
            </w:pPr>
          </w:p>
        </w:tc>
        <w:tc>
          <w:tcPr>
            <w:tcW w:w="1220" w:type="dxa"/>
            <w:vAlign w:val="bottom"/>
            <w:gridSpan w:val="3"/>
          </w:tcPr>
          <w:p>
            <w:pPr>
              <w:jc w:val="right"/>
              <w:ind w:right="189"/>
              <w:spacing w:after="0"/>
              <w:rPr>
                <w:sz w:val="20"/>
                <w:szCs w:val="20"/>
                <w:color w:val="auto"/>
              </w:rPr>
            </w:pPr>
            <w:r>
              <w:rPr>
                <w:rFonts w:ascii="Arial" w:cs="Arial" w:eastAsia="Arial" w:hAnsi="Arial"/>
                <w:sz w:val="14"/>
                <w:szCs w:val="14"/>
                <w:color w:val="131E29"/>
              </w:rPr>
              <w:t>$</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374,623</w:t>
            </w:r>
          </w:p>
        </w:tc>
        <w:tc>
          <w:tcPr>
            <w:tcW w:w="240" w:type="dxa"/>
            <w:vAlign w:val="bottom"/>
            <w:gridSpan w:val="3"/>
          </w:tcPr>
          <w:p>
            <w:pPr>
              <w:jc w:val="right"/>
              <w:ind w:right="20"/>
              <w:spacing w:after="0"/>
              <w:rPr>
                <w:sz w:val="20"/>
                <w:szCs w:val="20"/>
                <w:color w:val="auto"/>
              </w:rPr>
            </w:pPr>
            <w:r>
              <w:rPr>
                <w:rFonts w:ascii="Arial" w:cs="Arial" w:eastAsia="Arial" w:hAnsi="Arial"/>
                <w:sz w:val="14"/>
                <w:szCs w:val="14"/>
                <w:color w:val="131E29"/>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382,734</w:t>
            </w:r>
          </w:p>
        </w:tc>
      </w:tr>
      <w:tr>
        <w:trPr>
          <w:trHeight w:val="213"/>
        </w:trPr>
        <w:tc>
          <w:tcPr>
            <w:tcW w:w="3080" w:type="dxa"/>
            <w:vAlign w:val="bottom"/>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9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Operating lease right-of-use assets, net</w:t>
            </w:r>
          </w:p>
        </w:tc>
        <w:tc>
          <w:tcPr>
            <w:tcW w:w="360" w:type="dxa"/>
            <w:vAlign w:val="bottom"/>
            <w:shd w:val="clear" w:color="auto" w:fill="D2DCE5"/>
          </w:tcPr>
          <w:p>
            <w:pPr>
              <w:spacing w:after="0"/>
              <w:rPr>
                <w:sz w:val="18"/>
                <w:szCs w:val="18"/>
                <w:color w:val="auto"/>
              </w:rPr>
            </w:pPr>
          </w:p>
        </w:tc>
        <w:tc>
          <w:tcPr>
            <w:tcW w:w="7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tcBorders>
              <w:bottom w:val="single" w:sz="8" w:color="auto"/>
            </w:tcBorders>
            <w:shd w:val="clear" w:color="auto" w:fill="D2DCE5"/>
          </w:tcPr>
          <w:p>
            <w:pPr>
              <w:spacing w:after="0"/>
              <w:rPr>
                <w:sz w:val="18"/>
                <w:szCs w:val="18"/>
                <w:color w:val="auto"/>
              </w:rPr>
            </w:pPr>
          </w:p>
        </w:tc>
        <w:tc>
          <w:tcPr>
            <w:tcW w:w="80" w:type="dxa"/>
            <w:vAlign w:val="bottom"/>
            <w:tcBorders>
              <w:bottom w:val="single" w:sz="8" w:color="auto"/>
            </w:tcBorders>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315,256</w:t>
            </w:r>
          </w:p>
        </w:tc>
        <w:tc>
          <w:tcPr>
            <w:tcW w:w="40" w:type="dxa"/>
            <w:vAlign w:val="bottom"/>
            <w:tcBorders>
              <w:bottom w:val="single" w:sz="8" w:color="auto"/>
            </w:tcBorders>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20" w:type="dxa"/>
            <w:vAlign w:val="bottom"/>
            <w:tcBorders>
              <w:bottom w:val="single" w:sz="8" w:color="auto"/>
            </w:tcBorders>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199,673</w:t>
            </w:r>
          </w:p>
        </w:tc>
      </w:tr>
      <w:tr>
        <w:trPr>
          <w:trHeight w:val="212"/>
        </w:trPr>
        <w:tc>
          <w:tcPr>
            <w:tcW w:w="3080" w:type="dxa"/>
            <w:vAlign w:val="bottom"/>
          </w:tcPr>
          <w:p>
            <w:pPr>
              <w:ind w:left="20"/>
              <w:spacing w:after="0"/>
              <w:rPr>
                <w:sz w:val="20"/>
                <w:szCs w:val="20"/>
                <w:color w:val="auto"/>
              </w:rPr>
            </w:pPr>
            <w:r>
              <w:rPr>
                <w:rFonts w:ascii="Arial" w:cs="Arial" w:eastAsia="Arial" w:hAnsi="Arial"/>
                <w:sz w:val="14"/>
                <w:szCs w:val="14"/>
                <w:b w:val="1"/>
                <w:bCs w:val="1"/>
                <w:color w:val="131E29"/>
              </w:rPr>
              <w:t>Total right-of-use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3"/>
          </w:tcPr>
          <w:p>
            <w:pPr>
              <w:jc w:val="right"/>
              <w:ind w:right="189"/>
              <w:spacing w:after="0"/>
              <w:rPr>
                <w:sz w:val="20"/>
                <w:szCs w:val="20"/>
                <w:color w:val="auto"/>
              </w:rPr>
            </w:pPr>
            <w:r>
              <w:rPr>
                <w:rFonts w:ascii="Arial" w:cs="Arial" w:eastAsia="Arial" w:hAnsi="Arial"/>
                <w:sz w:val="14"/>
                <w:szCs w:val="14"/>
                <w:b w:val="1"/>
                <w:bCs w:val="1"/>
                <w:color w:val="131E29"/>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131E29"/>
              </w:rPr>
              <w:t>689,879</w:t>
            </w:r>
          </w:p>
        </w:tc>
        <w:tc>
          <w:tcPr>
            <w:tcW w:w="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131E29"/>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131E29"/>
              </w:rPr>
              <w:t>582,407</w:t>
            </w:r>
          </w:p>
        </w:tc>
      </w:tr>
      <w:tr>
        <w:trPr>
          <w:trHeight w:val="20"/>
        </w:trPr>
        <w:tc>
          <w:tcPr>
            <w:tcW w:w="30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8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290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60" w:type="dxa"/>
            <w:vAlign w:val="bottom"/>
            <w:tcBorders>
              <w:bottom w:val="single" w:sz="8" w:color="D2DCE5"/>
            </w:tcBorders>
          </w:tcPr>
          <w:p>
            <w:pPr>
              <w:spacing w:after="0" w:line="20" w:lineRule="exact"/>
              <w:rPr>
                <w:sz w:val="1"/>
                <w:szCs w:val="1"/>
                <w:color w:val="auto"/>
              </w:rPr>
            </w:pPr>
          </w:p>
        </w:tc>
        <w:tc>
          <w:tcPr>
            <w:tcW w:w="780" w:type="dxa"/>
            <w:vAlign w:val="bottom"/>
            <w:tcBorders>
              <w:bottom w:val="single" w:sz="8" w:color="D2DCE5"/>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30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8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290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60" w:type="dxa"/>
            <w:vAlign w:val="bottom"/>
            <w:shd w:val="clear" w:color="auto" w:fill="D2DCE5"/>
          </w:tcPr>
          <w:p>
            <w:pPr>
              <w:spacing w:after="0"/>
              <w:rPr>
                <w:sz w:val="15"/>
                <w:szCs w:val="15"/>
                <w:color w:val="auto"/>
              </w:rPr>
            </w:pPr>
          </w:p>
        </w:tc>
        <w:tc>
          <w:tcPr>
            <w:tcW w:w="78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60" w:type="dxa"/>
            <w:vAlign w:val="bottom"/>
            <w:shd w:val="clear" w:color="auto" w:fill="D2DCE5"/>
          </w:tcPr>
          <w:p>
            <w:pPr>
              <w:spacing w:after="0"/>
              <w:rPr>
                <w:sz w:val="15"/>
                <w:szCs w:val="15"/>
                <w:color w:val="auto"/>
              </w:rPr>
            </w:pPr>
          </w:p>
        </w:tc>
        <w:tc>
          <w:tcPr>
            <w:tcW w:w="960" w:type="dxa"/>
            <w:vAlign w:val="bottom"/>
            <w:shd w:val="clear" w:color="auto" w:fill="D2DCE5"/>
          </w:tcPr>
          <w:p>
            <w:pPr>
              <w:spacing w:after="0"/>
              <w:rPr>
                <w:sz w:val="15"/>
                <w:szCs w:val="15"/>
                <w:color w:val="auto"/>
              </w:rPr>
            </w:pPr>
          </w:p>
        </w:tc>
        <w:tc>
          <w:tcPr>
            <w:tcW w:w="4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12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60" w:type="dxa"/>
            <w:vAlign w:val="bottom"/>
            <w:shd w:val="clear" w:color="auto" w:fill="D2DCE5"/>
          </w:tcPr>
          <w:p>
            <w:pPr>
              <w:spacing w:after="0"/>
              <w:rPr>
                <w:sz w:val="15"/>
                <w:szCs w:val="15"/>
                <w:color w:val="auto"/>
              </w:rPr>
            </w:pPr>
          </w:p>
        </w:tc>
        <w:tc>
          <w:tcPr>
            <w:tcW w:w="1200" w:type="dxa"/>
            <w:vAlign w:val="bottom"/>
            <w:shd w:val="clear" w:color="auto" w:fill="D2DCE5"/>
          </w:tcPr>
          <w:p>
            <w:pPr>
              <w:spacing w:after="0"/>
              <w:rPr>
                <w:sz w:val="15"/>
                <w:szCs w:val="15"/>
                <w:color w:val="auto"/>
              </w:rPr>
            </w:pPr>
          </w:p>
        </w:tc>
      </w:tr>
      <w:tr>
        <w:trPr>
          <w:trHeight w:val="206"/>
        </w:trPr>
        <w:tc>
          <w:tcPr>
            <w:tcW w:w="3080" w:type="dxa"/>
            <w:vAlign w:val="bottom"/>
          </w:tcPr>
          <w:p>
            <w:pPr>
              <w:ind w:left="20"/>
              <w:spacing w:after="0"/>
              <w:rPr>
                <w:sz w:val="20"/>
                <w:szCs w:val="20"/>
                <w:color w:val="auto"/>
              </w:rPr>
            </w:pPr>
            <w:r>
              <w:rPr>
                <w:rFonts w:ascii="Arial" w:cs="Arial" w:eastAsia="Arial" w:hAnsi="Arial"/>
                <w:sz w:val="14"/>
                <w:szCs w:val="14"/>
                <w:b w:val="1"/>
                <w:bCs w:val="1"/>
                <w:color w:val="131E29"/>
              </w:rPr>
              <w:t>Lease liabilities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8"/>
        </w:trPr>
        <w:tc>
          <w:tcPr>
            <w:tcW w:w="3080" w:type="dxa"/>
            <w:vAlign w:val="bottom"/>
            <w:shd w:val="clear" w:color="auto" w:fill="D2DCE5"/>
          </w:tcPr>
          <w:p>
            <w:pPr>
              <w:ind w:left="140"/>
              <w:spacing w:after="0"/>
              <w:rPr>
                <w:sz w:val="20"/>
                <w:szCs w:val="20"/>
                <w:color w:val="auto"/>
              </w:rPr>
            </w:pPr>
            <w:r>
              <w:rPr>
                <w:rFonts w:ascii="Arial" w:cs="Arial" w:eastAsia="Arial" w:hAnsi="Arial"/>
                <w:sz w:val="14"/>
                <w:szCs w:val="14"/>
                <w:color w:val="131E29"/>
              </w:rPr>
              <w:t>Finance leases</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9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Current portion of finance lease liabilities</w:t>
            </w:r>
          </w:p>
        </w:tc>
        <w:tc>
          <w:tcPr>
            <w:tcW w:w="360" w:type="dxa"/>
            <w:vAlign w:val="bottom"/>
            <w:shd w:val="clear" w:color="auto" w:fill="D2DCE5"/>
          </w:tcPr>
          <w:p>
            <w:pPr>
              <w:spacing w:after="0"/>
              <w:rPr>
                <w:sz w:val="18"/>
                <w:szCs w:val="18"/>
                <w:color w:val="auto"/>
              </w:rPr>
            </w:pPr>
          </w:p>
        </w:tc>
        <w:tc>
          <w:tcPr>
            <w:tcW w:w="1220" w:type="dxa"/>
            <w:vAlign w:val="bottom"/>
            <w:gridSpan w:val="3"/>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9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13,256</w:t>
            </w:r>
          </w:p>
        </w:tc>
        <w:tc>
          <w:tcPr>
            <w:tcW w:w="240" w:type="dxa"/>
            <w:vAlign w:val="bottom"/>
            <w:gridSpan w:val="3"/>
            <w:shd w:val="clear" w:color="auto" w:fill="D2DCE5"/>
          </w:tcPr>
          <w:p>
            <w:pPr>
              <w:jc w:val="right"/>
              <w:ind w:right="20"/>
              <w:spacing w:after="0"/>
              <w:rPr>
                <w:sz w:val="20"/>
                <w:szCs w:val="20"/>
                <w:color w:val="auto"/>
              </w:rPr>
            </w:pPr>
            <w:r>
              <w:rPr>
                <w:rFonts w:ascii="Arial" w:cs="Arial" w:eastAsia="Arial" w:hAnsi="Arial"/>
                <w:sz w:val="14"/>
                <w:szCs w:val="14"/>
                <w:color w:val="131E29"/>
              </w:rPr>
              <w:t>$</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9,482</w:t>
            </w:r>
          </w:p>
        </w:tc>
      </w:tr>
      <w:tr>
        <w:trPr>
          <w:trHeight w:val="202"/>
        </w:trPr>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Arial" w:cs="Arial" w:eastAsia="Arial" w:hAnsi="Arial"/>
                <w:sz w:val="14"/>
                <w:szCs w:val="14"/>
                <w:color w:val="131E29"/>
              </w:rPr>
              <w:t>Finance lease liabilities, net of current portion</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369,297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367,775</w:t>
            </w:r>
          </w:p>
        </w:tc>
      </w:tr>
      <w:tr>
        <w:trPr>
          <w:trHeight w:val="222"/>
        </w:trPr>
        <w:tc>
          <w:tcPr>
            <w:tcW w:w="30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9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7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2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spacing w:after="0"/>
              <w:rPr>
                <w:sz w:val="19"/>
                <w:szCs w:val="19"/>
                <w:color w:val="auto"/>
              </w:rPr>
            </w:pPr>
          </w:p>
        </w:tc>
      </w:tr>
      <w:tr>
        <w:trPr>
          <w:trHeight w:val="202"/>
        </w:trPr>
        <w:tc>
          <w:tcPr>
            <w:tcW w:w="3080" w:type="dxa"/>
            <w:vAlign w:val="bottom"/>
          </w:tcPr>
          <w:p>
            <w:pPr>
              <w:ind w:left="140"/>
              <w:spacing w:after="0"/>
              <w:rPr>
                <w:sz w:val="20"/>
                <w:szCs w:val="20"/>
                <w:color w:val="auto"/>
              </w:rPr>
            </w:pPr>
            <w:r>
              <w:rPr>
                <w:rFonts w:ascii="Arial" w:cs="Arial" w:eastAsia="Arial" w:hAnsi="Arial"/>
                <w:sz w:val="14"/>
                <w:szCs w:val="14"/>
                <w:color w:val="131E29"/>
              </w:rPr>
              <w:t>Operating leases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gridSpan w:val="2"/>
          </w:tcPr>
          <w:p>
            <w:pPr>
              <w:ind w:left="20"/>
              <w:spacing w:after="0"/>
              <w:rPr>
                <w:sz w:val="20"/>
                <w:szCs w:val="20"/>
                <w:color w:val="auto"/>
              </w:rPr>
            </w:pPr>
            <w:r>
              <w:rPr>
                <w:rFonts w:ascii="Arial" w:cs="Arial" w:eastAsia="Arial" w:hAnsi="Arial"/>
                <w:sz w:val="14"/>
                <w:szCs w:val="14"/>
                <w:color w:val="131E29"/>
              </w:rPr>
              <w:t>Current portion of operating lease liabilities</w:t>
            </w: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131E29"/>
              </w:rPr>
              <w:t>13,979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10,239</w:t>
            </w:r>
          </w:p>
        </w:tc>
      </w:tr>
      <w:tr>
        <w:trPr>
          <w:trHeight w:val="213"/>
        </w:trPr>
        <w:tc>
          <w:tcPr>
            <w:tcW w:w="30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98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Operating lease liabilities, net of current portion</w:t>
            </w:r>
          </w:p>
        </w:tc>
        <w:tc>
          <w:tcPr>
            <w:tcW w:w="360" w:type="dxa"/>
            <w:vAlign w:val="bottom"/>
            <w:shd w:val="clear" w:color="auto" w:fill="D2DCE5"/>
          </w:tcPr>
          <w:p>
            <w:pPr>
              <w:spacing w:after="0"/>
              <w:rPr>
                <w:sz w:val="18"/>
                <w:szCs w:val="18"/>
                <w:color w:val="auto"/>
              </w:rPr>
            </w:pPr>
          </w:p>
        </w:tc>
        <w:tc>
          <w:tcPr>
            <w:tcW w:w="7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tcBorders>
              <w:bottom w:val="single" w:sz="8" w:color="auto"/>
            </w:tcBorders>
            <w:shd w:val="clear" w:color="auto" w:fill="D2DCE5"/>
          </w:tcPr>
          <w:p>
            <w:pPr>
              <w:spacing w:after="0"/>
              <w:rPr>
                <w:sz w:val="18"/>
                <w:szCs w:val="18"/>
                <w:color w:val="auto"/>
              </w:rPr>
            </w:pPr>
          </w:p>
        </w:tc>
        <w:tc>
          <w:tcPr>
            <w:tcW w:w="80" w:type="dxa"/>
            <w:vAlign w:val="bottom"/>
            <w:tcBorders>
              <w:bottom w:val="single" w:sz="8" w:color="auto"/>
            </w:tcBorders>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9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309,311</w:t>
            </w:r>
          </w:p>
        </w:tc>
        <w:tc>
          <w:tcPr>
            <w:tcW w:w="40" w:type="dxa"/>
            <w:vAlign w:val="bottom"/>
            <w:tcBorders>
              <w:bottom w:val="single" w:sz="8" w:color="auto"/>
            </w:tcBorders>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20" w:type="dxa"/>
            <w:vAlign w:val="bottom"/>
            <w:tcBorders>
              <w:bottom w:val="single" w:sz="8" w:color="auto"/>
            </w:tcBorders>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191,419</w:t>
            </w:r>
          </w:p>
        </w:tc>
      </w:tr>
      <w:tr>
        <w:trPr>
          <w:trHeight w:val="212"/>
        </w:trPr>
        <w:tc>
          <w:tcPr>
            <w:tcW w:w="3080" w:type="dxa"/>
            <w:vAlign w:val="bottom"/>
          </w:tcPr>
          <w:p>
            <w:pPr>
              <w:ind w:left="20"/>
              <w:spacing w:after="0"/>
              <w:rPr>
                <w:sz w:val="20"/>
                <w:szCs w:val="20"/>
                <w:color w:val="auto"/>
              </w:rPr>
            </w:pPr>
            <w:r>
              <w:rPr>
                <w:rFonts w:ascii="Arial" w:cs="Arial" w:eastAsia="Arial" w:hAnsi="Arial"/>
                <w:sz w:val="14"/>
                <w:szCs w:val="14"/>
                <w:b w:val="1"/>
                <w:bCs w:val="1"/>
                <w:color w:val="131E29"/>
              </w:rPr>
              <w:t>Total lease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3"/>
          </w:tcPr>
          <w:p>
            <w:pPr>
              <w:jc w:val="right"/>
              <w:ind w:right="189"/>
              <w:spacing w:after="0"/>
              <w:rPr>
                <w:sz w:val="20"/>
                <w:szCs w:val="20"/>
                <w:color w:val="auto"/>
              </w:rPr>
            </w:pPr>
            <w:r>
              <w:rPr>
                <w:rFonts w:ascii="Arial" w:cs="Arial" w:eastAsia="Arial" w:hAnsi="Arial"/>
                <w:sz w:val="14"/>
                <w:szCs w:val="14"/>
                <w:b w:val="1"/>
                <w:bCs w:val="1"/>
                <w:color w:val="131E29"/>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131E29"/>
              </w:rPr>
              <w:t>705,843</w:t>
            </w:r>
          </w:p>
        </w:tc>
        <w:tc>
          <w:tcPr>
            <w:tcW w:w="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131E29"/>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131E29"/>
              </w:rPr>
              <w:t>578,915</w:t>
            </w:r>
          </w:p>
        </w:tc>
      </w:tr>
      <w:tr>
        <w:trPr>
          <w:trHeight w:val="20"/>
        </w:trPr>
        <w:tc>
          <w:tcPr>
            <w:tcW w:w="3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13"/>
        </w:trPr>
        <w:tc>
          <w:tcPr>
            <w:tcW w:w="9380" w:type="dxa"/>
            <w:vAlign w:val="bottom"/>
            <w:gridSpan w:val="13"/>
          </w:tcPr>
          <w:p>
            <w:pPr>
              <w:spacing w:after="0"/>
              <w:rPr>
                <w:sz w:val="20"/>
                <w:szCs w:val="20"/>
                <w:color w:val="auto"/>
              </w:rPr>
            </w:pPr>
            <w:r>
              <w:rPr>
                <w:rFonts w:ascii="Arial" w:cs="Arial" w:eastAsia="Arial" w:hAnsi="Arial"/>
                <w:sz w:val="14"/>
                <w:szCs w:val="14"/>
                <w:color w:val="131E29"/>
              </w:rPr>
              <w:t>The components of lease costs, excluding short-term lease costs and sublease income (both immaterial for the periods presented), were as follows: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1"/>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03"/>
        </w:trPr>
        <w:tc>
          <w:tcPr>
            <w:tcW w:w="3080" w:type="dxa"/>
            <w:vAlign w:val="bottom"/>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gridSpan w:val="3"/>
          </w:tcPr>
          <w:p>
            <w:pPr>
              <w:ind w:left="60"/>
              <w:spacing w:after="0"/>
              <w:rPr>
                <w:sz w:val="20"/>
                <w:szCs w:val="20"/>
                <w:color w:val="auto"/>
              </w:rPr>
            </w:pPr>
            <w:r>
              <w:rPr>
                <w:rFonts w:ascii="Arial" w:cs="Arial" w:eastAsia="Arial" w:hAnsi="Arial"/>
                <w:sz w:val="14"/>
                <w:szCs w:val="14"/>
                <w:b w:val="1"/>
                <w:bCs w:val="1"/>
                <w:color w:val="131E29"/>
              </w:rPr>
              <w:t>Statements of Operations Classification</w:t>
            </w:r>
          </w:p>
        </w:tc>
        <w:tc>
          <w:tcPr>
            <w:tcW w:w="360" w:type="dxa"/>
            <w:vAlign w:val="bottom"/>
          </w:tcPr>
          <w:p>
            <w:pPr>
              <w:spacing w:after="0"/>
              <w:rPr>
                <w:sz w:val="17"/>
                <w:szCs w:val="17"/>
                <w:color w:val="auto"/>
              </w:rPr>
            </w:pPr>
          </w:p>
        </w:tc>
        <w:tc>
          <w:tcPr>
            <w:tcW w:w="780" w:type="dxa"/>
            <w:vAlign w:val="bottom"/>
          </w:tcPr>
          <w:p>
            <w:pPr>
              <w:jc w:val="right"/>
              <w:ind w:right="129"/>
              <w:spacing w:after="0"/>
              <w:rPr>
                <w:sz w:val="20"/>
                <w:szCs w:val="20"/>
                <w:color w:val="auto"/>
              </w:rPr>
            </w:pPr>
            <w:r>
              <w:rPr>
                <w:rFonts w:ascii="Arial" w:cs="Arial" w:eastAsia="Arial" w:hAnsi="Arial"/>
                <w:sz w:val="14"/>
                <w:szCs w:val="14"/>
                <w:b w:val="1"/>
                <w:bCs w:val="1"/>
                <w:color w:val="131E29"/>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309"/>
              <w:spacing w:after="0"/>
              <w:rPr>
                <w:sz w:val="20"/>
                <w:szCs w:val="20"/>
                <w:color w:val="auto"/>
              </w:rPr>
            </w:pPr>
            <w:r>
              <w:rPr>
                <w:rFonts w:ascii="Arial" w:cs="Arial" w:eastAsia="Arial" w:hAnsi="Arial"/>
                <w:sz w:val="14"/>
                <w:szCs w:val="14"/>
                <w:b w:val="1"/>
                <w:bCs w:val="1"/>
                <w:color w:val="131E29"/>
              </w:rPr>
              <w:t>2023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49"/>
              <w:spacing w:after="0"/>
              <w:rPr>
                <w:sz w:val="20"/>
                <w:szCs w:val="20"/>
                <w:color w:val="auto"/>
              </w:rPr>
            </w:pPr>
            <w:r>
              <w:rPr>
                <w:rFonts w:ascii="Arial" w:cs="Arial" w:eastAsia="Arial" w:hAnsi="Arial"/>
                <w:sz w:val="14"/>
                <w:szCs w:val="14"/>
                <w:b w:val="1"/>
                <w:bCs w:val="1"/>
                <w:color w:val="131E29"/>
              </w:rPr>
              <w:t>2022</w:t>
            </w:r>
          </w:p>
        </w:tc>
      </w:tr>
      <w:tr>
        <w:trPr>
          <w:trHeight w:val="209"/>
        </w:trPr>
        <w:tc>
          <w:tcPr>
            <w:tcW w:w="3080" w:type="dxa"/>
            <w:vAlign w:val="bottom"/>
            <w:tcBorders>
              <w:top w:val="single" w:sz="8" w:color="auto"/>
            </w:tcBorders>
            <w:shd w:val="clear" w:color="auto" w:fill="D2DCE5"/>
          </w:tcPr>
          <w:p>
            <w:pPr>
              <w:ind w:left="20"/>
              <w:spacing w:after="0"/>
              <w:rPr>
                <w:sz w:val="20"/>
                <w:szCs w:val="20"/>
                <w:color w:val="auto"/>
              </w:rPr>
            </w:pPr>
            <w:r>
              <w:rPr>
                <w:rFonts w:ascii="Arial" w:cs="Arial" w:eastAsia="Arial" w:hAnsi="Arial"/>
                <w:sz w:val="14"/>
                <w:szCs w:val="14"/>
                <w:b w:val="1"/>
                <w:bCs w:val="1"/>
                <w:color w:val="131E29"/>
              </w:rPr>
              <w:t>Finance lease costs</w:t>
            </w:r>
          </w:p>
        </w:tc>
        <w:tc>
          <w:tcPr>
            <w:tcW w:w="80" w:type="dxa"/>
            <w:vAlign w:val="bottom"/>
            <w:tcBorders>
              <w:top w:val="single" w:sz="8" w:color="D2DCE5"/>
            </w:tcBorders>
            <w:shd w:val="clear" w:color="auto" w:fill="D2DCE5"/>
          </w:tcPr>
          <w:p>
            <w:pPr>
              <w:spacing w:after="0"/>
              <w:rPr>
                <w:sz w:val="18"/>
                <w:szCs w:val="18"/>
                <w:color w:val="auto"/>
              </w:rPr>
            </w:pPr>
          </w:p>
        </w:tc>
        <w:tc>
          <w:tcPr>
            <w:tcW w:w="180" w:type="dxa"/>
            <w:vAlign w:val="bottom"/>
            <w:tcBorders>
              <w:top w:val="single" w:sz="8" w:color="auto"/>
            </w:tcBorders>
            <w:shd w:val="clear" w:color="auto" w:fill="D2DCE5"/>
          </w:tcPr>
          <w:p>
            <w:pPr>
              <w:spacing w:after="0"/>
              <w:rPr>
                <w:sz w:val="18"/>
                <w:szCs w:val="18"/>
                <w:color w:val="auto"/>
              </w:rPr>
            </w:pPr>
          </w:p>
        </w:tc>
        <w:tc>
          <w:tcPr>
            <w:tcW w:w="80" w:type="dxa"/>
            <w:vAlign w:val="bottom"/>
            <w:tcBorders>
              <w:top w:val="single" w:sz="8" w:color="auto"/>
            </w:tcBorders>
            <w:shd w:val="clear" w:color="auto" w:fill="D2DCE5"/>
          </w:tcPr>
          <w:p>
            <w:pPr>
              <w:spacing w:after="0"/>
              <w:rPr>
                <w:sz w:val="18"/>
                <w:szCs w:val="18"/>
                <w:color w:val="auto"/>
              </w:rPr>
            </w:pPr>
          </w:p>
        </w:tc>
        <w:tc>
          <w:tcPr>
            <w:tcW w:w="2900" w:type="dxa"/>
            <w:vAlign w:val="bottom"/>
            <w:tcBorders>
              <w:top w:val="single" w:sz="8" w:color="auto"/>
            </w:tcBorders>
            <w:shd w:val="clear" w:color="auto" w:fill="D2DCE5"/>
          </w:tcPr>
          <w:p>
            <w:pPr>
              <w:spacing w:after="0"/>
              <w:rPr>
                <w:sz w:val="18"/>
                <w:szCs w:val="18"/>
                <w:color w:val="auto"/>
              </w:rPr>
            </w:pPr>
          </w:p>
        </w:tc>
        <w:tc>
          <w:tcPr>
            <w:tcW w:w="80" w:type="dxa"/>
            <w:vAlign w:val="bottom"/>
            <w:tcBorders>
              <w:top w:val="single" w:sz="8" w:color="D2DCE5"/>
            </w:tcBorders>
            <w:shd w:val="clear" w:color="auto" w:fill="D2DCE5"/>
          </w:tcPr>
          <w:p>
            <w:pPr>
              <w:spacing w:after="0"/>
              <w:rPr>
                <w:sz w:val="18"/>
                <w:szCs w:val="18"/>
                <w:color w:val="auto"/>
              </w:rPr>
            </w:pPr>
          </w:p>
        </w:tc>
        <w:tc>
          <w:tcPr>
            <w:tcW w:w="360" w:type="dxa"/>
            <w:vAlign w:val="bottom"/>
            <w:tcBorders>
              <w:top w:val="single" w:sz="8" w:color="auto"/>
            </w:tcBorders>
            <w:shd w:val="clear" w:color="auto" w:fill="D2DCE5"/>
          </w:tcPr>
          <w:p>
            <w:pPr>
              <w:spacing w:after="0"/>
              <w:rPr>
                <w:sz w:val="18"/>
                <w:szCs w:val="18"/>
                <w:color w:val="auto"/>
              </w:rPr>
            </w:pPr>
          </w:p>
        </w:tc>
        <w:tc>
          <w:tcPr>
            <w:tcW w:w="780" w:type="dxa"/>
            <w:vAlign w:val="bottom"/>
            <w:tcBorders>
              <w:top w:val="single" w:sz="8" w:color="auto"/>
            </w:tcBorders>
            <w:shd w:val="clear" w:color="auto" w:fill="D2DCE5"/>
          </w:tcPr>
          <w:p>
            <w:pPr>
              <w:spacing w:after="0"/>
              <w:rPr>
                <w:sz w:val="18"/>
                <w:szCs w:val="18"/>
                <w:color w:val="auto"/>
              </w:rPr>
            </w:pPr>
          </w:p>
        </w:tc>
        <w:tc>
          <w:tcPr>
            <w:tcW w:w="100" w:type="dxa"/>
            <w:vAlign w:val="bottom"/>
            <w:tcBorders>
              <w:top w:val="single" w:sz="8" w:color="auto"/>
            </w:tcBorders>
            <w:shd w:val="clear" w:color="auto" w:fill="D2DCE5"/>
          </w:tcPr>
          <w:p>
            <w:pPr>
              <w:spacing w:after="0"/>
              <w:rPr>
                <w:sz w:val="18"/>
                <w:szCs w:val="18"/>
                <w:color w:val="auto"/>
              </w:rPr>
            </w:pPr>
          </w:p>
        </w:tc>
        <w:tc>
          <w:tcPr>
            <w:tcW w:w="340" w:type="dxa"/>
            <w:vAlign w:val="bottom"/>
            <w:tcBorders>
              <w:top w:val="single" w:sz="8" w:color="auto"/>
            </w:tcBorders>
            <w:shd w:val="clear" w:color="auto" w:fill="D2DCE5"/>
          </w:tcPr>
          <w:p>
            <w:pPr>
              <w:spacing w:after="0"/>
              <w:rPr>
                <w:sz w:val="18"/>
                <w:szCs w:val="18"/>
                <w:color w:val="auto"/>
              </w:rPr>
            </w:pPr>
          </w:p>
        </w:tc>
        <w:tc>
          <w:tcPr>
            <w:tcW w:w="80" w:type="dxa"/>
            <w:vAlign w:val="bottom"/>
            <w:tcBorders>
              <w:top w:val="single" w:sz="8" w:color="D2DCE5"/>
            </w:tcBorders>
            <w:shd w:val="clear" w:color="auto" w:fill="D2DCE5"/>
          </w:tcPr>
          <w:p>
            <w:pPr>
              <w:spacing w:after="0"/>
              <w:rPr>
                <w:sz w:val="18"/>
                <w:szCs w:val="18"/>
                <w:color w:val="auto"/>
              </w:rPr>
            </w:pPr>
          </w:p>
        </w:tc>
        <w:tc>
          <w:tcPr>
            <w:tcW w:w="360" w:type="dxa"/>
            <w:vAlign w:val="bottom"/>
            <w:tcBorders>
              <w:top w:val="single" w:sz="8" w:color="auto"/>
            </w:tcBorders>
            <w:shd w:val="clear" w:color="auto" w:fill="D2DCE5"/>
          </w:tcPr>
          <w:p>
            <w:pPr>
              <w:spacing w:after="0"/>
              <w:rPr>
                <w:sz w:val="18"/>
                <w:szCs w:val="18"/>
                <w:color w:val="auto"/>
              </w:rPr>
            </w:pPr>
          </w:p>
        </w:tc>
        <w:tc>
          <w:tcPr>
            <w:tcW w:w="960" w:type="dxa"/>
            <w:vAlign w:val="bottom"/>
            <w:tcBorders>
              <w:top w:val="single" w:sz="8" w:color="auto"/>
            </w:tcBorders>
            <w:shd w:val="clear" w:color="auto" w:fill="D2DCE5"/>
          </w:tcPr>
          <w:p>
            <w:pPr>
              <w:spacing w:after="0"/>
              <w:rPr>
                <w:sz w:val="18"/>
                <w:szCs w:val="18"/>
                <w:color w:val="auto"/>
              </w:rPr>
            </w:pPr>
          </w:p>
        </w:tc>
        <w:tc>
          <w:tcPr>
            <w:tcW w:w="40" w:type="dxa"/>
            <w:vAlign w:val="bottom"/>
            <w:tcBorders>
              <w:top w:val="single" w:sz="8" w:color="auto"/>
            </w:tcBorders>
            <w:shd w:val="clear" w:color="auto" w:fill="D2DCE5"/>
          </w:tcPr>
          <w:p>
            <w:pPr>
              <w:spacing w:after="0"/>
              <w:rPr>
                <w:sz w:val="18"/>
                <w:szCs w:val="18"/>
                <w:color w:val="auto"/>
              </w:rPr>
            </w:pPr>
          </w:p>
        </w:tc>
        <w:tc>
          <w:tcPr>
            <w:tcW w:w="80" w:type="dxa"/>
            <w:vAlign w:val="bottom"/>
            <w:tcBorders>
              <w:top w:val="single" w:sz="8" w:color="auto"/>
            </w:tcBorders>
            <w:shd w:val="clear" w:color="auto" w:fill="D2DCE5"/>
          </w:tcPr>
          <w:p>
            <w:pPr>
              <w:spacing w:after="0"/>
              <w:rPr>
                <w:sz w:val="18"/>
                <w:szCs w:val="18"/>
                <w:color w:val="auto"/>
              </w:rPr>
            </w:pPr>
          </w:p>
        </w:tc>
        <w:tc>
          <w:tcPr>
            <w:tcW w:w="120" w:type="dxa"/>
            <w:vAlign w:val="bottom"/>
            <w:tcBorders>
              <w:top w:val="single" w:sz="8" w:color="auto"/>
            </w:tcBorders>
            <w:shd w:val="clear" w:color="auto" w:fill="D2DCE5"/>
          </w:tcPr>
          <w:p>
            <w:pPr>
              <w:spacing w:after="0"/>
              <w:rPr>
                <w:sz w:val="18"/>
                <w:szCs w:val="18"/>
                <w:color w:val="auto"/>
              </w:rPr>
            </w:pPr>
          </w:p>
        </w:tc>
        <w:tc>
          <w:tcPr>
            <w:tcW w:w="100" w:type="dxa"/>
            <w:vAlign w:val="bottom"/>
            <w:tcBorders>
              <w:top w:val="single" w:sz="8" w:color="D2DCE5"/>
            </w:tcBorders>
            <w:shd w:val="clear" w:color="auto" w:fill="D2DCE5"/>
          </w:tcPr>
          <w:p>
            <w:pPr>
              <w:spacing w:after="0"/>
              <w:rPr>
                <w:sz w:val="18"/>
                <w:szCs w:val="18"/>
                <w:color w:val="auto"/>
              </w:rPr>
            </w:pPr>
          </w:p>
        </w:tc>
        <w:tc>
          <w:tcPr>
            <w:tcW w:w="360" w:type="dxa"/>
            <w:vAlign w:val="bottom"/>
            <w:tcBorders>
              <w:top w:val="single" w:sz="8" w:color="auto"/>
            </w:tcBorders>
            <w:shd w:val="clear" w:color="auto" w:fill="D2DCE5"/>
          </w:tcPr>
          <w:p>
            <w:pPr>
              <w:spacing w:after="0"/>
              <w:rPr>
                <w:sz w:val="18"/>
                <w:szCs w:val="18"/>
                <w:color w:val="auto"/>
              </w:rPr>
            </w:pPr>
          </w:p>
        </w:tc>
        <w:tc>
          <w:tcPr>
            <w:tcW w:w="1200" w:type="dxa"/>
            <w:vAlign w:val="bottom"/>
            <w:tcBorders>
              <w:top w:val="single" w:sz="8" w:color="auto"/>
            </w:tcBorders>
            <w:shd w:val="clear" w:color="auto" w:fill="D2DCE5"/>
          </w:tcPr>
          <w:p>
            <w:pPr>
              <w:spacing w:after="0"/>
              <w:rPr>
                <w:sz w:val="18"/>
                <w:szCs w:val="18"/>
                <w:color w:val="auto"/>
              </w:rPr>
            </w:pPr>
          </w:p>
        </w:tc>
      </w:tr>
      <w:tr>
        <w:trPr>
          <w:trHeight w:val="202"/>
        </w:trPr>
        <w:tc>
          <w:tcPr>
            <w:tcW w:w="3080" w:type="dxa"/>
            <w:vAlign w:val="bottom"/>
          </w:tcPr>
          <w:p>
            <w:pPr>
              <w:ind w:left="140"/>
              <w:spacing w:after="0"/>
              <w:rPr>
                <w:sz w:val="20"/>
                <w:szCs w:val="20"/>
                <w:color w:val="auto"/>
              </w:rPr>
            </w:pPr>
            <w:r>
              <w:rPr>
                <w:rFonts w:ascii="Arial" w:cs="Arial" w:eastAsia="Arial" w:hAnsi="Arial"/>
                <w:sz w:val="14"/>
                <w:szCs w:val="14"/>
                <w:color w:val="131E29"/>
              </w:rPr>
              <w:t>Amortization of right-of-use assets</w:t>
            </w:r>
          </w:p>
        </w:tc>
        <w:tc>
          <w:tcPr>
            <w:tcW w:w="80" w:type="dxa"/>
            <w:vAlign w:val="bottom"/>
          </w:tcPr>
          <w:p>
            <w:pPr>
              <w:spacing w:after="0"/>
              <w:rPr>
                <w:sz w:val="17"/>
                <w:szCs w:val="17"/>
                <w:color w:val="auto"/>
              </w:rPr>
            </w:pPr>
          </w:p>
        </w:tc>
        <w:tc>
          <w:tcPr>
            <w:tcW w:w="3240" w:type="dxa"/>
            <w:vAlign w:val="bottom"/>
            <w:gridSpan w:val="4"/>
          </w:tcPr>
          <w:p>
            <w:pPr>
              <w:ind w:left="20"/>
              <w:spacing w:after="0"/>
              <w:rPr>
                <w:sz w:val="20"/>
                <w:szCs w:val="20"/>
                <w:color w:val="auto"/>
              </w:rPr>
            </w:pPr>
            <w:r>
              <w:rPr>
                <w:rFonts w:ascii="Arial" w:cs="Arial" w:eastAsia="Arial" w:hAnsi="Arial"/>
                <w:sz w:val="14"/>
                <w:szCs w:val="14"/>
                <w:color w:val="131E29"/>
              </w:rPr>
              <w:t>Cost of sales</w:t>
            </w:r>
          </w:p>
        </w:tc>
        <w:tc>
          <w:tcPr>
            <w:tcW w:w="360" w:type="dxa"/>
            <w:vAlign w:val="bottom"/>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gridSpan w:val="3"/>
          </w:tcPr>
          <w:p>
            <w:pPr>
              <w:jc w:val="right"/>
              <w:spacing w:after="0"/>
              <w:rPr>
                <w:sz w:val="20"/>
                <w:szCs w:val="20"/>
                <w:color w:val="auto"/>
              </w:rPr>
            </w:pPr>
            <w:r>
              <w:rPr>
                <w:rFonts w:ascii="Arial" w:cs="Arial" w:eastAsia="Arial" w:hAnsi="Arial"/>
                <w:sz w:val="14"/>
                <w:szCs w:val="14"/>
                <w:color w:val="131E29"/>
              </w:rPr>
              <w:t>25,551</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131E29"/>
              </w:rPr>
              <w:t>21,290</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11,718</w:t>
            </w:r>
          </w:p>
        </w:tc>
      </w:tr>
      <w:tr>
        <w:trPr>
          <w:trHeight w:val="222"/>
        </w:trPr>
        <w:tc>
          <w:tcPr>
            <w:tcW w:w="3080" w:type="dxa"/>
            <w:vAlign w:val="bottom"/>
            <w:shd w:val="clear" w:color="auto" w:fill="D2DCE5"/>
          </w:tcPr>
          <w:p>
            <w:pPr>
              <w:ind w:left="140"/>
              <w:spacing w:after="0"/>
              <w:rPr>
                <w:sz w:val="20"/>
                <w:szCs w:val="20"/>
                <w:color w:val="auto"/>
              </w:rPr>
            </w:pPr>
            <w:r>
              <w:rPr>
                <w:rFonts w:ascii="Arial" w:cs="Arial" w:eastAsia="Arial" w:hAnsi="Arial"/>
                <w:sz w:val="14"/>
                <w:szCs w:val="14"/>
                <w:color w:val="131E29"/>
              </w:rPr>
              <w:t>Amortization of right-of-use assets</w:t>
            </w:r>
          </w:p>
        </w:tc>
        <w:tc>
          <w:tcPr>
            <w:tcW w:w="80" w:type="dxa"/>
            <w:vAlign w:val="bottom"/>
            <w:shd w:val="clear" w:color="auto" w:fill="D2DCE5"/>
          </w:tcPr>
          <w:p>
            <w:pPr>
              <w:spacing w:after="0"/>
              <w:rPr>
                <w:sz w:val="19"/>
                <w:szCs w:val="19"/>
                <w:color w:val="auto"/>
              </w:rPr>
            </w:pPr>
          </w:p>
        </w:tc>
        <w:tc>
          <w:tcPr>
            <w:tcW w:w="324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w:t>
            </w:r>
          </w:p>
        </w:tc>
        <w:tc>
          <w:tcPr>
            <w:tcW w:w="360" w:type="dxa"/>
            <w:vAlign w:val="bottom"/>
            <w:shd w:val="clear" w:color="auto" w:fill="D2DCE5"/>
          </w:tcPr>
          <w:p>
            <w:pPr>
              <w:spacing w:after="0"/>
              <w:rPr>
                <w:sz w:val="19"/>
                <w:szCs w:val="19"/>
                <w:color w:val="auto"/>
              </w:rPr>
            </w:pPr>
          </w:p>
        </w:tc>
        <w:tc>
          <w:tcPr>
            <w:tcW w:w="122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50</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960" w:type="dxa"/>
            <w:vAlign w:val="bottom"/>
            <w:shd w:val="clear" w:color="auto" w:fill="D2DCE5"/>
          </w:tcPr>
          <w:p>
            <w:pPr>
              <w:spacing w:after="0"/>
              <w:rPr>
                <w:sz w:val="19"/>
                <w:szCs w:val="19"/>
                <w:color w:val="auto"/>
              </w:rPr>
            </w:pPr>
          </w:p>
        </w:tc>
        <w:tc>
          <w:tcPr>
            <w:tcW w:w="24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15</w:t>
            </w: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w:t>
            </w:r>
          </w:p>
        </w:tc>
      </w:tr>
      <w:tr>
        <w:trPr>
          <w:trHeight w:val="203"/>
        </w:trPr>
        <w:tc>
          <w:tcPr>
            <w:tcW w:w="3080" w:type="dxa"/>
            <w:vAlign w:val="bottom"/>
            <w:tcBorders>
              <w:bottom w:val="single" w:sz="8" w:color="D2DCE5"/>
            </w:tcBorders>
          </w:tcPr>
          <w:p>
            <w:pPr>
              <w:ind w:left="140"/>
              <w:spacing w:after="0"/>
              <w:rPr>
                <w:sz w:val="20"/>
                <w:szCs w:val="20"/>
                <w:color w:val="auto"/>
              </w:rPr>
            </w:pPr>
            <w:r>
              <w:rPr>
                <w:rFonts w:ascii="Arial" w:cs="Arial" w:eastAsia="Arial" w:hAnsi="Arial"/>
                <w:sz w:val="14"/>
                <w:szCs w:val="14"/>
                <w:color w:val="131E29"/>
              </w:rPr>
              <w:t>Interest on lease liabilities</w:t>
            </w:r>
          </w:p>
        </w:tc>
        <w:tc>
          <w:tcPr>
            <w:tcW w:w="80" w:type="dxa"/>
            <w:vAlign w:val="bottom"/>
            <w:tcBorders>
              <w:bottom w:val="single" w:sz="8" w:color="D2DCE5"/>
            </w:tcBorders>
          </w:tcPr>
          <w:p>
            <w:pPr>
              <w:spacing w:after="0"/>
              <w:rPr>
                <w:sz w:val="17"/>
                <w:szCs w:val="17"/>
                <w:color w:val="auto"/>
              </w:rPr>
            </w:pPr>
          </w:p>
        </w:tc>
        <w:tc>
          <w:tcPr>
            <w:tcW w:w="3240" w:type="dxa"/>
            <w:vAlign w:val="bottom"/>
            <w:tcBorders>
              <w:bottom w:val="single" w:sz="8" w:color="D2DCE5"/>
            </w:tcBorders>
            <w:gridSpan w:val="4"/>
          </w:tcPr>
          <w:p>
            <w:pPr>
              <w:ind w:left="20"/>
              <w:spacing w:after="0"/>
              <w:rPr>
                <w:sz w:val="20"/>
                <w:szCs w:val="20"/>
                <w:color w:val="auto"/>
              </w:rPr>
            </w:pPr>
            <w:r>
              <w:rPr>
                <w:rFonts w:ascii="Arial" w:cs="Arial" w:eastAsia="Arial" w:hAnsi="Arial"/>
                <w:sz w:val="14"/>
                <w:szCs w:val="14"/>
                <w:color w:val="131E29"/>
              </w:rPr>
              <w:t>Interest expense</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131E29"/>
              </w:rPr>
              <w:t>22,053</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131E29"/>
              </w:rPr>
              <w:t>17,516</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9,263</w:t>
            </w:r>
          </w:p>
        </w:tc>
      </w:tr>
      <w:tr>
        <w:trPr>
          <w:trHeight w:val="212"/>
        </w:trPr>
        <w:tc>
          <w:tcPr>
            <w:tcW w:w="3080" w:type="dxa"/>
            <w:vAlign w:val="bottom"/>
            <w:shd w:val="clear" w:color="auto" w:fill="D2DCE5"/>
          </w:tcPr>
          <w:p>
            <w:pPr>
              <w:ind w:left="280"/>
              <w:spacing w:after="0"/>
              <w:rPr>
                <w:sz w:val="20"/>
                <w:szCs w:val="20"/>
                <w:color w:val="auto"/>
              </w:rPr>
            </w:pPr>
            <w:r>
              <w:rPr>
                <w:rFonts w:ascii="Arial" w:cs="Arial" w:eastAsia="Arial" w:hAnsi="Arial"/>
                <w:sz w:val="14"/>
                <w:szCs w:val="14"/>
                <w:color w:val="131E29"/>
              </w:rPr>
              <w:t>Total finance lease costs</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9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2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47,654</w:t>
            </w: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gridSpan w:val="4"/>
            <w:shd w:val="clear" w:color="auto" w:fill="D2DCE5"/>
          </w:tcPr>
          <w:p>
            <w:pPr>
              <w:jc w:val="right"/>
              <w:ind w:right="60"/>
              <w:spacing w:after="0"/>
              <w:rPr>
                <w:sz w:val="20"/>
                <w:szCs w:val="20"/>
                <w:color w:val="auto"/>
              </w:rPr>
            </w:pPr>
            <w:r>
              <w:rPr>
                <w:rFonts w:ascii="Arial" w:cs="Arial" w:eastAsia="Arial" w:hAnsi="Arial"/>
                <w:sz w:val="14"/>
                <w:szCs w:val="14"/>
                <w:color w:val="131E29"/>
              </w:rPr>
              <w:t>38,821</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20,991</w:t>
            </w:r>
          </w:p>
        </w:tc>
      </w:tr>
      <w:tr>
        <w:trPr>
          <w:trHeight w:val="212"/>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2"/>
        </w:trPr>
        <w:tc>
          <w:tcPr>
            <w:tcW w:w="308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Operating lease costs</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9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7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960" w:type="dxa"/>
            <w:vAlign w:val="bottom"/>
            <w:shd w:val="clear" w:color="auto" w:fill="D2DCE5"/>
          </w:tcPr>
          <w:p>
            <w:pPr>
              <w:spacing w:after="0"/>
              <w:rPr>
                <w:sz w:val="18"/>
                <w:szCs w:val="18"/>
                <w:color w:val="auto"/>
              </w:rPr>
            </w:pPr>
          </w:p>
        </w:tc>
        <w:tc>
          <w:tcPr>
            <w:tcW w:w="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2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r>
      <w:tr>
        <w:trPr>
          <w:trHeight w:val="202"/>
        </w:trPr>
        <w:tc>
          <w:tcPr>
            <w:tcW w:w="3080" w:type="dxa"/>
            <w:vAlign w:val="bottom"/>
          </w:tcPr>
          <w:p>
            <w:pPr>
              <w:ind w:left="140"/>
              <w:spacing w:after="0"/>
              <w:rPr>
                <w:sz w:val="20"/>
                <w:szCs w:val="20"/>
                <w:color w:val="auto"/>
              </w:rPr>
            </w:pPr>
            <w:r>
              <w:rPr>
                <w:rFonts w:ascii="Arial" w:cs="Arial" w:eastAsia="Arial" w:hAnsi="Arial"/>
                <w:sz w:val="14"/>
                <w:szCs w:val="14"/>
                <w:color w:val="131E29"/>
              </w:rPr>
              <w:t>Lease expenses</w:t>
            </w:r>
          </w:p>
        </w:tc>
        <w:tc>
          <w:tcPr>
            <w:tcW w:w="80" w:type="dxa"/>
            <w:vAlign w:val="bottom"/>
          </w:tcPr>
          <w:p>
            <w:pPr>
              <w:spacing w:after="0"/>
              <w:rPr>
                <w:sz w:val="17"/>
                <w:szCs w:val="17"/>
                <w:color w:val="auto"/>
              </w:rPr>
            </w:pPr>
          </w:p>
        </w:tc>
        <w:tc>
          <w:tcPr>
            <w:tcW w:w="3240" w:type="dxa"/>
            <w:vAlign w:val="bottom"/>
            <w:gridSpan w:val="4"/>
          </w:tcPr>
          <w:p>
            <w:pPr>
              <w:ind w:left="20"/>
              <w:spacing w:after="0"/>
              <w:rPr>
                <w:sz w:val="20"/>
                <w:szCs w:val="20"/>
                <w:color w:val="auto"/>
              </w:rPr>
            </w:pPr>
            <w:r>
              <w:rPr>
                <w:rFonts w:ascii="Arial" w:cs="Arial" w:eastAsia="Arial" w:hAnsi="Arial"/>
                <w:sz w:val="14"/>
                <w:szCs w:val="14"/>
                <w:color w:val="131E29"/>
              </w:rPr>
              <w:t>Cost of sales</w:t>
            </w:r>
          </w:p>
        </w:tc>
        <w:tc>
          <w:tcPr>
            <w:tcW w:w="36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131E29"/>
              </w:rPr>
              <w:t>28,703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131E29"/>
              </w:rPr>
              <w:t>19,385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16,428</w:t>
            </w:r>
          </w:p>
        </w:tc>
      </w:tr>
      <w:tr>
        <w:trPr>
          <w:trHeight w:val="222"/>
        </w:trPr>
        <w:tc>
          <w:tcPr>
            <w:tcW w:w="3080" w:type="dxa"/>
            <w:vAlign w:val="bottom"/>
            <w:shd w:val="clear" w:color="auto" w:fill="D2DCE5"/>
          </w:tcPr>
          <w:p>
            <w:pPr>
              <w:ind w:left="140"/>
              <w:spacing w:after="0"/>
              <w:rPr>
                <w:sz w:val="20"/>
                <w:szCs w:val="20"/>
                <w:color w:val="auto"/>
              </w:rPr>
            </w:pPr>
            <w:r>
              <w:rPr>
                <w:rFonts w:ascii="Arial" w:cs="Arial" w:eastAsia="Arial" w:hAnsi="Arial"/>
                <w:sz w:val="14"/>
                <w:szCs w:val="14"/>
                <w:color w:val="131E29"/>
              </w:rPr>
              <w:t>Lease expenses</w:t>
            </w:r>
          </w:p>
        </w:tc>
        <w:tc>
          <w:tcPr>
            <w:tcW w:w="80" w:type="dxa"/>
            <w:vAlign w:val="bottom"/>
            <w:shd w:val="clear" w:color="auto" w:fill="D2DCE5"/>
          </w:tcPr>
          <w:p>
            <w:pPr>
              <w:spacing w:after="0"/>
              <w:rPr>
                <w:sz w:val="19"/>
                <w:szCs w:val="19"/>
                <w:color w:val="auto"/>
              </w:rPr>
            </w:pPr>
          </w:p>
        </w:tc>
        <w:tc>
          <w:tcPr>
            <w:tcW w:w="324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w:t>
            </w:r>
          </w:p>
        </w:tc>
        <w:tc>
          <w:tcPr>
            <w:tcW w:w="360" w:type="dxa"/>
            <w:vAlign w:val="bottom"/>
            <w:tcBorders>
              <w:bottom w:val="single" w:sz="8" w:color="auto"/>
            </w:tcBorders>
            <w:shd w:val="clear" w:color="auto" w:fill="D2DCE5"/>
          </w:tcPr>
          <w:p>
            <w:pPr>
              <w:spacing w:after="0"/>
              <w:rPr>
                <w:sz w:val="19"/>
                <w:szCs w:val="19"/>
                <w:color w:val="auto"/>
              </w:rPr>
            </w:pPr>
          </w:p>
        </w:tc>
        <w:tc>
          <w:tcPr>
            <w:tcW w:w="1220" w:type="dxa"/>
            <w:vAlign w:val="bottom"/>
            <w:tcBorders>
              <w:bottom w:val="single" w:sz="8" w:color="auto"/>
            </w:tcBorders>
            <w:gridSpan w:val="3"/>
            <w:shd w:val="clear" w:color="auto" w:fill="D2DCE5"/>
          </w:tcPr>
          <w:p>
            <w:pPr>
              <w:jc w:val="right"/>
              <w:spacing w:after="0"/>
              <w:rPr>
                <w:sz w:val="20"/>
                <w:szCs w:val="20"/>
                <w:color w:val="auto"/>
              </w:rPr>
            </w:pPr>
            <w:r>
              <w:rPr>
                <w:rFonts w:ascii="Arial" w:cs="Arial" w:eastAsia="Arial" w:hAnsi="Arial"/>
                <w:sz w:val="14"/>
                <w:szCs w:val="14"/>
                <w:color w:val="131E29"/>
              </w:rPr>
              <w:t>1,646</w:t>
            </w:r>
          </w:p>
        </w:tc>
        <w:tc>
          <w:tcPr>
            <w:tcW w:w="80" w:type="dxa"/>
            <w:vAlign w:val="bottom"/>
            <w:shd w:val="clear" w:color="auto" w:fill="D2DCE5"/>
          </w:tcPr>
          <w:p>
            <w:pPr>
              <w:spacing w:after="0"/>
              <w:rPr>
                <w:sz w:val="19"/>
                <w:szCs w:val="19"/>
                <w:color w:val="auto"/>
              </w:rPr>
            </w:pPr>
          </w:p>
        </w:tc>
        <w:tc>
          <w:tcPr>
            <w:tcW w:w="360" w:type="dxa"/>
            <w:vAlign w:val="bottom"/>
            <w:tcBorders>
              <w:bottom w:val="single" w:sz="8" w:color="auto"/>
            </w:tcBorders>
            <w:shd w:val="clear" w:color="auto" w:fill="D2DCE5"/>
          </w:tcPr>
          <w:p>
            <w:pPr>
              <w:spacing w:after="0"/>
              <w:rPr>
                <w:sz w:val="19"/>
                <w:szCs w:val="19"/>
                <w:color w:val="auto"/>
              </w:rPr>
            </w:pPr>
          </w:p>
        </w:tc>
        <w:tc>
          <w:tcPr>
            <w:tcW w:w="960" w:type="dxa"/>
            <w:vAlign w:val="bottom"/>
            <w:tcBorders>
              <w:bottom w:val="single" w:sz="8" w:color="auto"/>
            </w:tcBorders>
            <w:shd w:val="clear" w:color="auto" w:fill="D2DCE5"/>
          </w:tcPr>
          <w:p>
            <w:pPr>
              <w:spacing w:after="0"/>
              <w:rPr>
                <w:sz w:val="19"/>
                <w:szCs w:val="19"/>
                <w:color w:val="auto"/>
              </w:rPr>
            </w:pPr>
          </w:p>
        </w:tc>
        <w:tc>
          <w:tcPr>
            <w:tcW w:w="240" w:type="dxa"/>
            <w:vAlign w:val="bottom"/>
            <w:tcBorders>
              <w:bottom w:val="single" w:sz="8" w:color="auto"/>
            </w:tcBorders>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55</w:t>
            </w:r>
          </w:p>
        </w:tc>
        <w:tc>
          <w:tcPr>
            <w:tcW w:w="100" w:type="dxa"/>
            <w:vAlign w:val="bottom"/>
            <w:shd w:val="clear" w:color="auto" w:fill="D2DCE5"/>
          </w:tcPr>
          <w:p>
            <w:pPr>
              <w:spacing w:after="0"/>
              <w:rPr>
                <w:sz w:val="19"/>
                <w:szCs w:val="19"/>
                <w:color w:val="auto"/>
              </w:rPr>
            </w:pPr>
          </w:p>
        </w:tc>
        <w:tc>
          <w:tcPr>
            <w:tcW w:w="360" w:type="dxa"/>
            <w:vAlign w:val="bottom"/>
            <w:tcBorders>
              <w:bottom w:val="single" w:sz="8" w:color="auto"/>
            </w:tcBorders>
            <w:shd w:val="clear" w:color="auto" w:fill="D2DCE5"/>
          </w:tcPr>
          <w:p>
            <w:pPr>
              <w:spacing w:after="0"/>
              <w:rPr>
                <w:sz w:val="19"/>
                <w:szCs w:val="19"/>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37</w:t>
            </w:r>
          </w:p>
        </w:tc>
      </w:tr>
      <w:tr>
        <w:trPr>
          <w:trHeight w:val="193"/>
        </w:trPr>
        <w:tc>
          <w:tcPr>
            <w:tcW w:w="3080" w:type="dxa"/>
            <w:vAlign w:val="bottom"/>
          </w:tcPr>
          <w:p>
            <w:pPr>
              <w:ind w:left="280"/>
              <w:spacing w:after="0"/>
              <w:rPr>
                <w:sz w:val="20"/>
                <w:szCs w:val="20"/>
                <w:color w:val="auto"/>
              </w:rPr>
            </w:pPr>
            <w:r>
              <w:rPr>
                <w:rFonts w:ascii="Arial" w:cs="Arial" w:eastAsia="Arial" w:hAnsi="Arial"/>
                <w:sz w:val="14"/>
                <w:szCs w:val="14"/>
                <w:color w:val="131E29"/>
              </w:rPr>
              <w:t>Total operating lease costs</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131E29"/>
              </w:rPr>
              <w:t>30,349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4"/>
                <w:szCs w:val="14"/>
                <w:color w:val="131E29"/>
              </w:rPr>
              <w:t>19,440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16,465</w:t>
            </w:r>
          </w:p>
        </w:tc>
      </w:tr>
      <w:tr>
        <w:trPr>
          <w:trHeight w:val="222"/>
        </w:trPr>
        <w:tc>
          <w:tcPr>
            <w:tcW w:w="30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160" w:type="dxa"/>
            <w:vAlign w:val="bottom"/>
            <w:gridSpan w:val="3"/>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20" w:type="dxa"/>
            <w:vAlign w:val="bottom"/>
            <w:gridSpan w:val="3"/>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gridSpan w:val="4"/>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spacing w:after="0"/>
              <w:rPr>
                <w:sz w:val="19"/>
                <w:szCs w:val="19"/>
                <w:color w:val="auto"/>
              </w:rPr>
            </w:pPr>
          </w:p>
        </w:tc>
      </w:tr>
      <w:tr>
        <w:trPr>
          <w:trHeight w:val="203"/>
        </w:trPr>
        <w:tc>
          <w:tcPr>
            <w:tcW w:w="3080" w:type="dxa"/>
            <w:vAlign w:val="bottom"/>
            <w:tcBorders>
              <w:bottom w:val="single" w:sz="8" w:color="D2DCE5"/>
            </w:tcBorders>
          </w:tcPr>
          <w:p>
            <w:pPr>
              <w:ind w:left="20"/>
              <w:spacing w:after="0"/>
              <w:rPr>
                <w:sz w:val="20"/>
                <w:szCs w:val="20"/>
                <w:color w:val="auto"/>
              </w:rPr>
            </w:pPr>
            <w:r>
              <w:rPr>
                <w:rFonts w:ascii="Arial" w:cs="Arial" w:eastAsia="Arial" w:hAnsi="Arial"/>
                <w:sz w:val="14"/>
                <w:szCs w:val="14"/>
                <w:color w:val="131E29"/>
              </w:rPr>
              <w:t>Variable lease costs</w:t>
            </w:r>
          </w:p>
        </w:tc>
        <w:tc>
          <w:tcPr>
            <w:tcW w:w="80" w:type="dxa"/>
            <w:vAlign w:val="bottom"/>
            <w:tcBorders>
              <w:bottom w:val="single" w:sz="8" w:color="D2DCE5"/>
            </w:tcBorders>
          </w:tcPr>
          <w:p>
            <w:pPr>
              <w:spacing w:after="0"/>
              <w:rPr>
                <w:sz w:val="17"/>
                <w:szCs w:val="17"/>
                <w:color w:val="auto"/>
              </w:rPr>
            </w:pPr>
          </w:p>
        </w:tc>
        <w:tc>
          <w:tcPr>
            <w:tcW w:w="3240" w:type="dxa"/>
            <w:vAlign w:val="bottom"/>
            <w:tcBorders>
              <w:bottom w:val="single" w:sz="8" w:color="D2DCE5"/>
            </w:tcBorders>
            <w:gridSpan w:val="4"/>
          </w:tcPr>
          <w:p>
            <w:pPr>
              <w:ind w:left="20"/>
              <w:spacing w:after="0"/>
              <w:rPr>
                <w:sz w:val="20"/>
                <w:szCs w:val="20"/>
                <w:color w:val="auto"/>
              </w:rPr>
            </w:pPr>
            <w:r>
              <w:rPr>
                <w:rFonts w:ascii="Arial" w:cs="Arial" w:eastAsia="Arial" w:hAnsi="Arial"/>
                <w:sz w:val="14"/>
                <w:szCs w:val="14"/>
                <w:color w:val="131E29"/>
              </w:rPr>
              <w:t>Cost of sales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131E29"/>
              </w:rPr>
              <w:t>6,874</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131E29"/>
              </w:rPr>
              <w:t>5,216</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3,979</w:t>
            </w:r>
          </w:p>
        </w:tc>
      </w:tr>
      <w:tr>
        <w:trPr>
          <w:trHeight w:val="232"/>
        </w:trPr>
        <w:tc>
          <w:tcPr>
            <w:tcW w:w="3080" w:type="dxa"/>
            <w:vAlign w:val="bottom"/>
            <w:shd w:val="clear" w:color="auto" w:fill="D2DCE5"/>
          </w:tcPr>
          <w:p>
            <w:pPr>
              <w:ind w:left="20"/>
              <w:spacing w:after="0"/>
              <w:rPr>
                <w:sz w:val="20"/>
                <w:szCs w:val="20"/>
                <w:color w:val="auto"/>
              </w:rPr>
            </w:pPr>
            <w:r>
              <w:rPr>
                <w:rFonts w:ascii="Arial" w:cs="Arial" w:eastAsia="Arial" w:hAnsi="Arial"/>
                <w:sz w:val="14"/>
                <w:szCs w:val="14"/>
                <w:b w:val="1"/>
                <w:bCs w:val="1"/>
                <w:color w:val="131E29"/>
              </w:rPr>
              <w:t>Total lease costs</w:t>
            </w:r>
          </w:p>
        </w:tc>
        <w:tc>
          <w:tcPr>
            <w:tcW w:w="80" w:type="dxa"/>
            <w:vAlign w:val="bottom"/>
            <w:shd w:val="clear" w:color="auto" w:fill="D2DCE5"/>
          </w:tcPr>
          <w:p>
            <w:pPr>
              <w:spacing w:after="0"/>
              <w:rPr>
                <w:sz w:val="20"/>
                <w:szCs w:val="20"/>
                <w:color w:val="auto"/>
              </w:rPr>
            </w:pPr>
          </w:p>
        </w:tc>
        <w:tc>
          <w:tcPr>
            <w:tcW w:w="18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2900" w:type="dxa"/>
            <w:vAlign w:val="bottom"/>
            <w:shd w:val="clear" w:color="auto" w:fill="D2DCE5"/>
          </w:tcPr>
          <w:p>
            <w:pPr>
              <w:spacing w:after="0"/>
              <w:rPr>
                <w:sz w:val="20"/>
                <w:szCs w:val="20"/>
                <w:color w:val="auto"/>
              </w:rPr>
            </w:pPr>
          </w:p>
        </w:tc>
        <w:tc>
          <w:tcPr>
            <w:tcW w:w="80" w:type="dxa"/>
            <w:vAlign w:val="bottom"/>
            <w:shd w:val="clear" w:color="auto" w:fill="D2DCE5"/>
          </w:tcPr>
          <w:p>
            <w:pPr>
              <w:spacing w:after="0"/>
              <w:rPr>
                <w:sz w:val="20"/>
                <w:szCs w:val="20"/>
                <w:color w:val="auto"/>
              </w:rPr>
            </w:pP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220" w:type="dxa"/>
            <w:vAlign w:val="bottom"/>
            <w:gridSpan w:val="3"/>
            <w:shd w:val="clear" w:color="auto" w:fill="D2DCE5"/>
          </w:tcPr>
          <w:p>
            <w:pPr>
              <w:jc w:val="right"/>
              <w:spacing w:after="0"/>
              <w:rPr>
                <w:sz w:val="20"/>
                <w:szCs w:val="20"/>
                <w:color w:val="auto"/>
              </w:rPr>
            </w:pPr>
            <w:r>
              <w:rPr>
                <w:rFonts w:ascii="Arial" w:cs="Arial" w:eastAsia="Arial" w:hAnsi="Arial"/>
                <w:sz w:val="14"/>
                <w:szCs w:val="14"/>
                <w:b w:val="1"/>
                <w:bCs w:val="1"/>
                <w:color w:val="131E29"/>
              </w:rPr>
              <w:t>84,877</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b w:val="1"/>
                <w:bCs w:val="1"/>
                <w:color w:val="131E29"/>
              </w:rPr>
              <w:t>$</w:t>
            </w:r>
          </w:p>
        </w:tc>
        <w:tc>
          <w:tcPr>
            <w:tcW w:w="1200" w:type="dxa"/>
            <w:vAlign w:val="bottom"/>
            <w:gridSpan w:val="4"/>
            <w:shd w:val="clear" w:color="auto" w:fill="D2DCE5"/>
          </w:tcPr>
          <w:p>
            <w:pPr>
              <w:jc w:val="right"/>
              <w:ind w:right="60"/>
              <w:spacing w:after="0"/>
              <w:rPr>
                <w:sz w:val="20"/>
                <w:szCs w:val="20"/>
                <w:color w:val="auto"/>
              </w:rPr>
            </w:pPr>
            <w:r>
              <w:rPr>
                <w:rFonts w:ascii="Arial" w:cs="Arial" w:eastAsia="Arial" w:hAnsi="Arial"/>
                <w:sz w:val="14"/>
                <w:szCs w:val="14"/>
                <w:b w:val="1"/>
                <w:bCs w:val="1"/>
                <w:color w:val="131E29"/>
              </w:rPr>
              <w:t>63,477</w:t>
            </w:r>
          </w:p>
        </w:tc>
        <w:tc>
          <w:tcPr>
            <w:tcW w:w="100" w:type="dxa"/>
            <w:vAlign w:val="bottom"/>
            <w:shd w:val="clear" w:color="auto" w:fill="D2DCE5"/>
          </w:tcPr>
          <w:p>
            <w:pPr>
              <w:spacing w:after="0"/>
              <w:rPr>
                <w:sz w:val="20"/>
                <w:szCs w:val="20"/>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41,435</w:t>
            </w:r>
          </w:p>
        </w:tc>
      </w:tr>
      <w:tr>
        <w:trPr>
          <w:trHeight w:val="20"/>
        </w:trPr>
        <w:tc>
          <w:tcPr>
            <w:tcW w:w="30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290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0" w:name="page121"/>
    <w:bookmarkEnd w:id="12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Future minimum lease payments for finance and operating lease liabilities as of December 31, 2024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4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131E29"/>
              </w:rPr>
              <w:t>(in thousands)</w:t>
            </w: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131E29"/>
              </w:rPr>
              <w:t>Finance</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131E29"/>
              </w:rPr>
              <w:t>Operating</w:t>
            </w:r>
          </w:p>
        </w:tc>
        <w:tc>
          <w:tcPr>
            <w:tcW w:w="0" w:type="dxa"/>
            <w:vAlign w:val="bottom"/>
          </w:tcPr>
          <w:p>
            <w:pPr>
              <w:spacing w:after="0"/>
              <w:rPr>
                <w:sz w:val="1"/>
                <w:szCs w:val="1"/>
                <w:color w:val="auto"/>
              </w:rPr>
            </w:pPr>
          </w:p>
        </w:tc>
      </w:tr>
      <w:tr>
        <w:trPr>
          <w:trHeight w:val="209"/>
        </w:trPr>
        <w:tc>
          <w:tcPr>
            <w:tcW w:w="63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2025</w:t>
            </w: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7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80" w:type="dxa"/>
            <w:vAlign w:val="bottom"/>
            <w:shd w:val="clear" w:color="auto" w:fill="D2DCE5"/>
          </w:tcPr>
          <w:p>
            <w:pPr>
              <w:spacing w:after="0"/>
              <w:rPr>
                <w:sz w:val="18"/>
                <w:szCs w:val="18"/>
                <w:color w:val="auto"/>
              </w:rPr>
            </w:pPr>
          </w:p>
        </w:tc>
        <w:tc>
          <w:tcPr>
            <w:tcW w:w="260" w:type="dxa"/>
            <w:vAlign w:val="bottom"/>
            <w:gridSpan w:val="2"/>
            <w:shd w:val="clear" w:color="auto" w:fill="D2DCE5"/>
          </w:tcPr>
          <w:p>
            <w:pPr>
              <w:jc w:val="right"/>
              <w:ind w:right="80"/>
              <w:spacing w:after="0"/>
              <w:rPr>
                <w:sz w:val="20"/>
                <w:szCs w:val="20"/>
                <w:color w:val="auto"/>
              </w:rPr>
            </w:pPr>
            <w:r>
              <w:rPr>
                <w:rFonts w:ascii="Arial" w:cs="Arial" w:eastAsia="Arial" w:hAnsi="Arial"/>
                <w:sz w:val="14"/>
                <w:szCs w:val="14"/>
                <w:color w:val="131E29"/>
              </w:rPr>
              <w:t>$</w:t>
            </w:r>
          </w:p>
        </w:tc>
        <w:tc>
          <w:tcPr>
            <w:tcW w:w="138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35,094</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20"/>
                <w:szCs w:val="20"/>
                <w:color w:val="auto"/>
              </w:rPr>
            </w:pPr>
            <w:r>
              <w:rPr>
                <w:rFonts w:ascii="Arial" w:cs="Arial" w:eastAsia="Arial" w:hAnsi="Arial"/>
                <w:sz w:val="14"/>
                <w:szCs w:val="14"/>
                <w:color w:val="131E29"/>
              </w:rPr>
              <w:t>$</w:t>
            </w:r>
          </w:p>
        </w:tc>
        <w:tc>
          <w:tcPr>
            <w:tcW w:w="1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20,644</w:t>
            </w:r>
          </w:p>
        </w:tc>
        <w:tc>
          <w:tcPr>
            <w:tcW w:w="0" w:type="dxa"/>
            <w:vAlign w:val="bottom"/>
          </w:tcPr>
          <w:p>
            <w:pPr>
              <w:spacing w:after="0"/>
              <w:rPr>
                <w:sz w:val="1"/>
                <w:szCs w:val="1"/>
                <w:color w:val="auto"/>
              </w:rPr>
            </w:pPr>
          </w:p>
        </w:tc>
      </w:tr>
      <w:tr>
        <w:trPr>
          <w:trHeight w:val="202"/>
        </w:trPr>
        <w:tc>
          <w:tcPr>
            <w:tcW w:w="6320" w:type="dxa"/>
            <w:vAlign w:val="bottom"/>
          </w:tcPr>
          <w:p>
            <w:pPr>
              <w:ind w:left="20"/>
              <w:spacing w:after="0"/>
              <w:rPr>
                <w:sz w:val="20"/>
                <w:szCs w:val="20"/>
                <w:color w:val="auto"/>
              </w:rPr>
            </w:pPr>
            <w:r>
              <w:rPr>
                <w:rFonts w:ascii="Arial" w:cs="Arial" w:eastAsia="Arial" w:hAnsi="Arial"/>
                <w:sz w:val="14"/>
                <w:szCs w:val="14"/>
                <w:color w:val="131E29"/>
              </w:rPr>
              <w:t>2026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color w:val="131E29"/>
              </w:rPr>
              <w:t>35,201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131E29"/>
              </w:rPr>
              <w:t>31,570</w:t>
            </w:r>
          </w:p>
        </w:tc>
        <w:tc>
          <w:tcPr>
            <w:tcW w:w="0" w:type="dxa"/>
            <w:vAlign w:val="bottom"/>
          </w:tcPr>
          <w:p>
            <w:pPr>
              <w:spacing w:after="0"/>
              <w:rPr>
                <w:sz w:val="1"/>
                <w:szCs w:val="1"/>
                <w:color w:val="auto"/>
              </w:rPr>
            </w:pPr>
          </w:p>
        </w:tc>
      </w:tr>
      <w:tr>
        <w:trPr>
          <w:trHeight w:val="222"/>
        </w:trPr>
        <w:tc>
          <w:tcPr>
            <w:tcW w:w="63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2027</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7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38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35,959</w:t>
            </w: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31,722</w:t>
            </w:r>
          </w:p>
        </w:tc>
        <w:tc>
          <w:tcPr>
            <w:tcW w:w="0" w:type="dxa"/>
            <w:vAlign w:val="bottom"/>
          </w:tcPr>
          <w:p>
            <w:pPr>
              <w:spacing w:after="0"/>
              <w:rPr>
                <w:sz w:val="1"/>
                <w:szCs w:val="1"/>
                <w:color w:val="auto"/>
              </w:rPr>
            </w:pPr>
          </w:p>
        </w:tc>
      </w:tr>
      <w:tr>
        <w:trPr>
          <w:trHeight w:val="202"/>
        </w:trPr>
        <w:tc>
          <w:tcPr>
            <w:tcW w:w="6320" w:type="dxa"/>
            <w:vAlign w:val="bottom"/>
          </w:tcPr>
          <w:p>
            <w:pPr>
              <w:ind w:left="20"/>
              <w:spacing w:after="0"/>
              <w:rPr>
                <w:sz w:val="20"/>
                <w:szCs w:val="20"/>
                <w:color w:val="auto"/>
              </w:rPr>
            </w:pPr>
            <w:r>
              <w:rPr>
                <w:rFonts w:ascii="Arial" w:cs="Arial" w:eastAsia="Arial" w:hAnsi="Arial"/>
                <w:sz w:val="14"/>
                <w:szCs w:val="14"/>
                <w:color w:val="131E29"/>
              </w:rPr>
              <w:t>2028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color w:val="131E29"/>
              </w:rPr>
              <w:t>37,074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131E29"/>
              </w:rPr>
              <w:t>31,357</w:t>
            </w:r>
          </w:p>
        </w:tc>
        <w:tc>
          <w:tcPr>
            <w:tcW w:w="0" w:type="dxa"/>
            <w:vAlign w:val="bottom"/>
          </w:tcPr>
          <w:p>
            <w:pPr>
              <w:spacing w:after="0"/>
              <w:rPr>
                <w:sz w:val="1"/>
                <w:szCs w:val="1"/>
                <w:color w:val="auto"/>
              </w:rPr>
            </w:pPr>
          </w:p>
        </w:tc>
      </w:tr>
      <w:tr>
        <w:trPr>
          <w:trHeight w:val="222"/>
        </w:trPr>
        <w:tc>
          <w:tcPr>
            <w:tcW w:w="63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2029</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7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38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38,000</w:t>
            </w: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32,127</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Thereafter</w:t>
            </w:r>
          </w:p>
        </w:tc>
        <w:tc>
          <w:tcPr>
            <w:tcW w:w="360" w:type="dxa"/>
            <w:vAlign w:val="bottom"/>
            <w:tcBorders>
              <w:bottom w:val="single" w:sz="8" w:color="D2DCE5"/>
            </w:tcBorders>
          </w:tcPr>
          <w:p>
            <w:pPr>
              <w:spacing w:after="0"/>
              <w:rPr>
                <w:sz w:val="17"/>
                <w:szCs w:val="17"/>
                <w:color w:val="auto"/>
              </w:rPr>
            </w:pPr>
          </w:p>
        </w:tc>
        <w:tc>
          <w:tcPr>
            <w:tcW w:w="74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38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131E29"/>
              </w:rPr>
              <w:t>413,822</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366,879</w:t>
            </w:r>
          </w:p>
        </w:tc>
        <w:tc>
          <w:tcPr>
            <w:tcW w:w="0" w:type="dxa"/>
            <w:vAlign w:val="bottom"/>
          </w:tcPr>
          <w:p>
            <w:pPr>
              <w:spacing w:after="0"/>
              <w:rPr>
                <w:sz w:val="1"/>
                <w:szCs w:val="1"/>
                <w:color w:val="auto"/>
              </w:rPr>
            </w:pPr>
          </w:p>
        </w:tc>
      </w:tr>
      <w:tr>
        <w:trPr>
          <w:trHeight w:val="23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b w:val="1"/>
                <w:bCs w:val="1"/>
                <w:color w:val="131E29"/>
              </w:rPr>
              <w:t>Total</w:t>
            </w:r>
          </w:p>
        </w:tc>
        <w:tc>
          <w:tcPr>
            <w:tcW w:w="360" w:type="dxa"/>
            <w:vAlign w:val="bottom"/>
            <w:shd w:val="clear" w:color="auto" w:fill="D2DCE5"/>
          </w:tcPr>
          <w:p>
            <w:pPr>
              <w:spacing w:after="0"/>
              <w:rPr>
                <w:sz w:val="20"/>
                <w:szCs w:val="20"/>
                <w:color w:val="auto"/>
              </w:rPr>
            </w:pPr>
          </w:p>
        </w:tc>
        <w:tc>
          <w:tcPr>
            <w:tcW w:w="7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80" w:type="dxa"/>
            <w:vAlign w:val="bottom"/>
            <w:shd w:val="clear" w:color="auto" w:fill="D2DCE5"/>
          </w:tcPr>
          <w:p>
            <w:pPr>
              <w:spacing w:after="0"/>
              <w:rPr>
                <w:sz w:val="20"/>
                <w:szCs w:val="20"/>
                <w:color w:val="auto"/>
              </w:rPr>
            </w:pPr>
          </w:p>
        </w:tc>
        <w:tc>
          <w:tcPr>
            <w:tcW w:w="260" w:type="dxa"/>
            <w:vAlign w:val="bottom"/>
            <w:gridSpan w:val="2"/>
            <w:shd w:val="clear" w:color="auto" w:fill="D2DCE5"/>
          </w:tcPr>
          <w:p>
            <w:pPr>
              <w:jc w:val="right"/>
              <w:ind w:right="80"/>
              <w:spacing w:after="0"/>
              <w:rPr>
                <w:sz w:val="20"/>
                <w:szCs w:val="20"/>
                <w:color w:val="auto"/>
              </w:rPr>
            </w:pPr>
            <w:r>
              <w:rPr>
                <w:rFonts w:ascii="Arial" w:cs="Arial" w:eastAsia="Arial" w:hAnsi="Arial"/>
                <w:sz w:val="14"/>
                <w:szCs w:val="14"/>
                <w:b w:val="1"/>
                <w:bCs w:val="1"/>
                <w:color w:val="131E29"/>
              </w:rPr>
              <w:t>$</w:t>
            </w:r>
          </w:p>
        </w:tc>
        <w:tc>
          <w:tcPr>
            <w:tcW w:w="138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b w:val="1"/>
                <w:bCs w:val="1"/>
                <w:color w:val="131E29"/>
              </w:rPr>
              <w:t>595,150</w:t>
            </w: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r>
              <w:rPr>
                <w:rFonts w:ascii="Arial" w:cs="Arial" w:eastAsia="Arial" w:hAnsi="Arial"/>
                <w:sz w:val="14"/>
                <w:szCs w:val="14"/>
                <w:b w:val="1"/>
                <w:bCs w:val="1"/>
                <w:color w:val="131E29"/>
              </w:rPr>
              <w:t>$</w:t>
            </w:r>
          </w:p>
        </w:tc>
        <w:tc>
          <w:tcPr>
            <w:tcW w:w="13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514,299</w:t>
            </w:r>
          </w:p>
        </w:tc>
        <w:tc>
          <w:tcPr>
            <w:tcW w:w="0" w:type="dxa"/>
            <w:vAlign w:val="bottom"/>
          </w:tcPr>
          <w:p>
            <w:pPr>
              <w:spacing w:after="0"/>
              <w:rPr>
                <w:sz w:val="1"/>
                <w:szCs w:val="1"/>
                <w:color w:val="auto"/>
              </w:rPr>
            </w:pPr>
          </w:p>
        </w:tc>
      </w:tr>
      <w:tr>
        <w:trPr>
          <w:trHeight w:val="20"/>
        </w:trPr>
        <w:tc>
          <w:tcPr>
            <w:tcW w:w="6400" w:type="dxa"/>
            <w:vAlign w:val="bottom"/>
            <w:tcBorders>
              <w:top w:val="single" w:sz="8" w:color="D2DCE5"/>
              <w:bottom w:val="single" w:sz="8" w:color="D2DCE5"/>
            </w:tcBorders>
            <w:gridSpan w:val="2"/>
            <w:vMerge w:val="restart"/>
          </w:tcPr>
          <w:p>
            <w:pPr>
              <w:ind w:left="20"/>
              <w:spacing w:after="0"/>
              <w:rPr>
                <w:sz w:val="20"/>
                <w:szCs w:val="20"/>
                <w:color w:val="auto"/>
              </w:rPr>
            </w:pPr>
            <w:r>
              <w:rPr>
                <w:rFonts w:ascii="Arial" w:cs="Arial" w:eastAsia="Arial" w:hAnsi="Arial"/>
                <w:sz w:val="14"/>
                <w:szCs w:val="14"/>
                <w:color w:val="131E29"/>
              </w:rPr>
              <w:t>Less: imputed interest</w:t>
            </w:r>
          </w:p>
        </w:tc>
        <w:tc>
          <w:tcPr>
            <w:tcW w:w="360" w:type="dxa"/>
            <w:vAlign w:val="bottom"/>
            <w:tcBorders>
              <w:top w:val="single" w:sz="8" w:color="D2DCE5"/>
            </w:tcBorders>
          </w:tcPr>
          <w:p>
            <w:pPr>
              <w:spacing w:after="0" w:line="20" w:lineRule="exact"/>
              <w:rPr>
                <w:sz w:val="1"/>
                <w:szCs w:val="1"/>
                <w:color w:val="auto"/>
              </w:rPr>
            </w:pPr>
          </w:p>
        </w:tc>
        <w:tc>
          <w:tcPr>
            <w:tcW w:w="7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400" w:type="dxa"/>
            <w:vAlign w:val="bottom"/>
            <w:tcBorders>
              <w:bottom w:val="single" w:sz="8" w:color="D2DCE5"/>
            </w:tcBorders>
            <w:gridSpan w:val="2"/>
            <w:vMerge w:val="continue"/>
          </w:tcPr>
          <w:p>
            <w:pPr>
              <w:spacing w:after="0"/>
              <w:rPr>
                <w:sz w:val="14"/>
                <w:szCs w:val="14"/>
                <w:color w:val="auto"/>
              </w:rPr>
            </w:pPr>
          </w:p>
        </w:tc>
        <w:tc>
          <w:tcPr>
            <w:tcW w:w="360" w:type="dxa"/>
            <w:vAlign w:val="bottom"/>
            <w:tcBorders>
              <w:bottom w:val="single" w:sz="8" w:color="D2DCE5"/>
            </w:tcBorders>
          </w:tcPr>
          <w:p>
            <w:pPr>
              <w:spacing w:after="0"/>
              <w:rPr>
                <w:sz w:val="14"/>
                <w:szCs w:val="14"/>
                <w:color w:val="auto"/>
              </w:rPr>
            </w:pPr>
          </w:p>
        </w:tc>
        <w:tc>
          <w:tcPr>
            <w:tcW w:w="740" w:type="dxa"/>
            <w:vAlign w:val="bottom"/>
            <w:tcBorders>
              <w:bottom w:val="single" w:sz="8" w:color="D2DCE5"/>
            </w:tcBorders>
          </w:tcPr>
          <w:p>
            <w:pPr>
              <w:spacing w:after="0"/>
              <w:rPr>
                <w:sz w:val="14"/>
                <w:szCs w:val="14"/>
                <w:color w:val="auto"/>
              </w:rPr>
            </w:pPr>
          </w:p>
        </w:tc>
        <w:tc>
          <w:tcPr>
            <w:tcW w:w="100" w:type="dxa"/>
            <w:vAlign w:val="bottom"/>
            <w:tcBorders>
              <w:bottom w:val="single" w:sz="8" w:color="D2DCE5"/>
            </w:tcBorders>
          </w:tcPr>
          <w:p>
            <w:pPr>
              <w:spacing w:after="0"/>
              <w:rPr>
                <w:sz w:val="14"/>
                <w:szCs w:val="14"/>
                <w:color w:val="auto"/>
              </w:rPr>
            </w:pPr>
          </w:p>
        </w:tc>
        <w:tc>
          <w:tcPr>
            <w:tcW w:w="380" w:type="dxa"/>
            <w:vAlign w:val="bottom"/>
            <w:tcBorders>
              <w:bottom w:val="single" w:sz="8" w:color="D2DCE5"/>
            </w:tcBorders>
          </w:tcPr>
          <w:p>
            <w:pPr>
              <w:spacing w:after="0"/>
              <w:rPr>
                <w:sz w:val="14"/>
                <w:szCs w:val="14"/>
                <w:color w:val="auto"/>
              </w:rPr>
            </w:pPr>
          </w:p>
        </w:tc>
        <w:tc>
          <w:tcPr>
            <w:tcW w:w="80" w:type="dxa"/>
            <w:vAlign w:val="bottom"/>
            <w:tcBorders>
              <w:bottom w:val="single" w:sz="8" w:color="D2DCE5"/>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131E29"/>
              </w:rPr>
              <w:t>(212,597)</w:t>
            </w:r>
          </w:p>
        </w:tc>
        <w:tc>
          <w:tcPr>
            <w:tcW w:w="100" w:type="dxa"/>
            <w:vAlign w:val="bottom"/>
            <w:tcBorders>
              <w:bottom w:val="single" w:sz="8" w:color="D2DCE5"/>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(191,009)</w:t>
            </w:r>
          </w:p>
        </w:tc>
        <w:tc>
          <w:tcPr>
            <w:tcW w:w="0" w:type="dxa"/>
            <w:vAlign w:val="bottom"/>
          </w:tcPr>
          <w:p>
            <w:pPr>
              <w:spacing w:after="0"/>
              <w:rPr>
                <w:sz w:val="1"/>
                <w:szCs w:val="1"/>
                <w:color w:val="auto"/>
              </w:rPr>
            </w:pPr>
          </w:p>
        </w:tc>
      </w:tr>
      <w:tr>
        <w:trPr>
          <w:trHeight w:val="21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Present value of minimum lease payments</w:t>
            </w:r>
          </w:p>
        </w:tc>
        <w:tc>
          <w:tcPr>
            <w:tcW w:w="360" w:type="dxa"/>
            <w:vAlign w:val="bottom"/>
            <w:shd w:val="clear" w:color="auto" w:fill="D2DCE5"/>
          </w:tcPr>
          <w:p>
            <w:pPr>
              <w:spacing w:after="0"/>
              <w:rPr>
                <w:sz w:val="18"/>
                <w:szCs w:val="18"/>
                <w:color w:val="auto"/>
              </w:rPr>
            </w:pPr>
          </w:p>
        </w:tc>
        <w:tc>
          <w:tcPr>
            <w:tcW w:w="7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138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382,553</w:t>
            </w: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323,290</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Less: current portion</w:t>
            </w:r>
          </w:p>
        </w:tc>
        <w:tc>
          <w:tcPr>
            <w:tcW w:w="360" w:type="dxa"/>
            <w:vAlign w:val="bottom"/>
            <w:tcBorders>
              <w:bottom w:val="single" w:sz="8" w:color="D2DCE5"/>
            </w:tcBorders>
          </w:tcPr>
          <w:p>
            <w:pPr>
              <w:spacing w:after="0"/>
              <w:rPr>
                <w:sz w:val="17"/>
                <w:szCs w:val="17"/>
                <w:color w:val="auto"/>
              </w:rPr>
            </w:pPr>
          </w:p>
        </w:tc>
        <w:tc>
          <w:tcPr>
            <w:tcW w:w="740" w:type="dxa"/>
            <w:vAlign w:val="bottom"/>
            <w:tcBorders>
              <w:bottom w:val="single" w:sz="8" w:color="D2DCE5"/>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380" w:type="dxa"/>
            <w:vAlign w:val="bottom"/>
            <w:tcBorders>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131E29"/>
              </w:rPr>
              <w:t>(13,256)</w:t>
            </w: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(13,979)</w:t>
            </w:r>
          </w:p>
        </w:tc>
        <w:tc>
          <w:tcPr>
            <w:tcW w:w="0" w:type="dxa"/>
            <w:vAlign w:val="bottom"/>
          </w:tcPr>
          <w:p>
            <w:pPr>
              <w:spacing w:after="0"/>
              <w:rPr>
                <w:sz w:val="1"/>
                <w:szCs w:val="1"/>
                <w:color w:val="auto"/>
              </w:rPr>
            </w:pPr>
          </w:p>
        </w:tc>
      </w:tr>
      <w:tr>
        <w:trPr>
          <w:trHeight w:val="23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b w:val="1"/>
                <w:bCs w:val="1"/>
                <w:color w:val="131E29"/>
              </w:rPr>
              <w:t>Lease liabilities, net of current portion</w:t>
            </w:r>
          </w:p>
        </w:tc>
        <w:tc>
          <w:tcPr>
            <w:tcW w:w="360" w:type="dxa"/>
            <w:vAlign w:val="bottom"/>
            <w:shd w:val="clear" w:color="auto" w:fill="D2DCE5"/>
          </w:tcPr>
          <w:p>
            <w:pPr>
              <w:spacing w:after="0"/>
              <w:rPr>
                <w:sz w:val="20"/>
                <w:szCs w:val="20"/>
                <w:color w:val="auto"/>
              </w:rPr>
            </w:pPr>
          </w:p>
        </w:tc>
        <w:tc>
          <w:tcPr>
            <w:tcW w:w="740" w:type="dxa"/>
            <w:vAlign w:val="bottom"/>
            <w:shd w:val="clear" w:color="auto" w:fill="D2DCE5"/>
          </w:tcPr>
          <w:p>
            <w:pPr>
              <w:spacing w:after="0"/>
              <w:rPr>
                <w:sz w:val="20"/>
                <w:szCs w:val="20"/>
                <w:color w:val="auto"/>
              </w:rPr>
            </w:pPr>
          </w:p>
        </w:tc>
        <w:tc>
          <w:tcPr>
            <w:tcW w:w="100" w:type="dxa"/>
            <w:vAlign w:val="bottom"/>
            <w:shd w:val="clear" w:color="auto" w:fill="D2DCE5"/>
          </w:tcPr>
          <w:p>
            <w:pPr>
              <w:spacing w:after="0"/>
              <w:rPr>
                <w:sz w:val="20"/>
                <w:szCs w:val="20"/>
                <w:color w:val="auto"/>
              </w:rPr>
            </w:pPr>
          </w:p>
        </w:tc>
        <w:tc>
          <w:tcPr>
            <w:tcW w:w="380" w:type="dxa"/>
            <w:vAlign w:val="bottom"/>
            <w:shd w:val="clear" w:color="auto" w:fill="D2DCE5"/>
          </w:tcPr>
          <w:p>
            <w:pPr>
              <w:spacing w:after="0"/>
              <w:rPr>
                <w:sz w:val="20"/>
                <w:szCs w:val="20"/>
                <w:color w:val="auto"/>
              </w:rPr>
            </w:pPr>
          </w:p>
        </w:tc>
        <w:tc>
          <w:tcPr>
            <w:tcW w:w="260" w:type="dxa"/>
            <w:vAlign w:val="bottom"/>
            <w:gridSpan w:val="2"/>
            <w:shd w:val="clear" w:color="auto" w:fill="D2DCE5"/>
          </w:tcPr>
          <w:p>
            <w:pPr>
              <w:jc w:val="right"/>
              <w:ind w:right="80"/>
              <w:spacing w:after="0"/>
              <w:rPr>
                <w:sz w:val="20"/>
                <w:szCs w:val="20"/>
                <w:color w:val="auto"/>
              </w:rPr>
            </w:pPr>
            <w:r>
              <w:rPr>
                <w:rFonts w:ascii="Arial" w:cs="Arial" w:eastAsia="Arial" w:hAnsi="Arial"/>
                <w:sz w:val="14"/>
                <w:szCs w:val="14"/>
                <w:b w:val="1"/>
                <w:bCs w:val="1"/>
                <w:color w:val="131E29"/>
              </w:rPr>
              <w:t>$</w:t>
            </w:r>
          </w:p>
        </w:tc>
        <w:tc>
          <w:tcPr>
            <w:tcW w:w="138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b w:val="1"/>
                <w:bCs w:val="1"/>
                <w:color w:val="131E29"/>
              </w:rPr>
              <w:t>369,297</w:t>
            </w:r>
          </w:p>
        </w:tc>
        <w:tc>
          <w:tcPr>
            <w:tcW w:w="100" w:type="dxa"/>
            <w:vAlign w:val="bottom"/>
            <w:shd w:val="clear" w:color="auto" w:fill="D2DCE5"/>
          </w:tcPr>
          <w:p>
            <w:pPr>
              <w:spacing w:after="0"/>
              <w:rPr>
                <w:sz w:val="20"/>
                <w:szCs w:val="20"/>
                <w:color w:val="auto"/>
              </w:rPr>
            </w:pPr>
          </w:p>
        </w:tc>
        <w:tc>
          <w:tcPr>
            <w:tcW w:w="260" w:type="dxa"/>
            <w:vAlign w:val="bottom"/>
            <w:shd w:val="clear" w:color="auto" w:fill="D2DCE5"/>
          </w:tcPr>
          <w:p>
            <w:pPr>
              <w:spacing w:after="0"/>
              <w:rPr>
                <w:sz w:val="20"/>
                <w:szCs w:val="20"/>
                <w:color w:val="auto"/>
              </w:rPr>
            </w:pPr>
            <w:r>
              <w:rPr>
                <w:rFonts w:ascii="Arial" w:cs="Arial" w:eastAsia="Arial" w:hAnsi="Arial"/>
                <w:sz w:val="14"/>
                <w:szCs w:val="14"/>
                <w:b w:val="1"/>
                <w:bCs w:val="1"/>
                <w:color w:val="131E29"/>
              </w:rPr>
              <w:t>$</w:t>
            </w:r>
          </w:p>
        </w:tc>
        <w:tc>
          <w:tcPr>
            <w:tcW w:w="13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309,311</w:t>
            </w:r>
          </w:p>
        </w:tc>
        <w:tc>
          <w:tcPr>
            <w:tcW w:w="0" w:type="dxa"/>
            <w:vAlign w:val="bottom"/>
          </w:tcPr>
          <w:p>
            <w:pPr>
              <w:spacing w:after="0"/>
              <w:rPr>
                <w:sz w:val="1"/>
                <w:szCs w:val="1"/>
                <w:color w:val="auto"/>
              </w:rPr>
            </w:pPr>
          </w:p>
        </w:tc>
      </w:tr>
      <w:tr>
        <w:trPr>
          <w:trHeight w:val="20"/>
        </w:trPr>
        <w:tc>
          <w:tcPr>
            <w:tcW w:w="6400" w:type="dxa"/>
            <w:vAlign w:val="bottom"/>
            <w:tcBorders>
              <w:top w:val="single" w:sz="8" w:color="D2DCE5"/>
              <w:bottom w:val="single" w:sz="8" w:color="D2DCE5"/>
            </w:tcBorders>
            <w:gridSpan w:val="2"/>
            <w:vMerge w:val="restart"/>
          </w:tcPr>
          <w:p>
            <w:pPr>
              <w:spacing w:after="0"/>
              <w:rPr>
                <w:sz w:val="20"/>
                <w:szCs w:val="20"/>
                <w:color w:val="auto"/>
              </w:rPr>
            </w:pPr>
            <w:r>
              <w:rPr>
                <w:rFonts w:ascii="Arial" w:cs="Arial" w:eastAsia="Arial" w:hAnsi="Arial"/>
                <w:sz w:val="14"/>
                <w:szCs w:val="14"/>
                <w:color w:val="131E29"/>
              </w:rPr>
              <w:t>A summary of lease terms and discount rates for finance and operating leases is as follows:</w:t>
            </w:r>
          </w:p>
        </w:tc>
        <w:tc>
          <w:tcPr>
            <w:tcW w:w="360" w:type="dxa"/>
            <w:vAlign w:val="bottom"/>
            <w:tcBorders>
              <w:top w:val="single" w:sz="8" w:color="D2DCE5"/>
            </w:tcBorders>
          </w:tcPr>
          <w:p>
            <w:pPr>
              <w:spacing w:after="0" w:line="20" w:lineRule="exact"/>
              <w:rPr>
                <w:sz w:val="1"/>
                <w:szCs w:val="1"/>
                <w:color w:val="auto"/>
              </w:rPr>
            </w:pPr>
          </w:p>
        </w:tc>
        <w:tc>
          <w:tcPr>
            <w:tcW w:w="7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8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64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7"/>
          </w:tcPr>
          <w:p>
            <w:pPr>
              <w:ind w:left="260"/>
              <w:spacing w:after="0"/>
              <w:rPr>
                <w:sz w:val="20"/>
                <w:szCs w:val="20"/>
                <w:color w:val="auto"/>
              </w:rPr>
            </w:pPr>
            <w:r>
              <w:rPr>
                <w:rFonts w:ascii="Arial" w:cs="Arial" w:eastAsia="Arial" w:hAnsi="Arial"/>
                <w:sz w:val="14"/>
                <w:szCs w:val="14"/>
                <w:b w:val="1"/>
                <w:bCs w:val="1"/>
                <w:color w:val="131E29"/>
              </w:rPr>
              <w:t>December 31, 2024</w:t>
            </w:r>
          </w:p>
        </w:tc>
        <w:tc>
          <w:tcPr>
            <w:tcW w:w="1560" w:type="dxa"/>
            <w:vAlign w:val="bottom"/>
            <w:gridSpan w:val="2"/>
          </w:tcPr>
          <w:p>
            <w:pPr>
              <w:ind w:left="20"/>
              <w:spacing w:after="0"/>
              <w:rPr>
                <w:sz w:val="20"/>
                <w:szCs w:val="20"/>
                <w:color w:val="auto"/>
              </w:rPr>
            </w:pPr>
            <w:r>
              <w:rPr>
                <w:rFonts w:ascii="Arial" w:cs="Arial" w:eastAsia="Arial" w:hAnsi="Arial"/>
                <w:sz w:val="14"/>
                <w:szCs w:val="14"/>
                <w:b w:val="1"/>
                <w:bCs w:val="1"/>
                <w:color w:val="131E29"/>
              </w:rPr>
              <w:t>December 31, 2023</w:t>
            </w:r>
          </w:p>
        </w:tc>
        <w:tc>
          <w:tcPr>
            <w:tcW w:w="0" w:type="dxa"/>
            <w:vAlign w:val="bottom"/>
          </w:tcPr>
          <w:p>
            <w:pPr>
              <w:spacing w:after="0"/>
              <w:rPr>
                <w:sz w:val="1"/>
                <w:szCs w:val="1"/>
                <w:color w:val="auto"/>
              </w:rPr>
            </w:pPr>
          </w:p>
        </w:tc>
      </w:tr>
      <w:tr>
        <w:trPr>
          <w:trHeight w:val="209"/>
        </w:trPr>
        <w:tc>
          <w:tcPr>
            <w:tcW w:w="6400" w:type="dxa"/>
            <w:vAlign w:val="bottom"/>
            <w:tcBorders>
              <w:top w:val="single" w:sz="8" w:color="131E29"/>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Weighted-average remaining lease term (years)</w:t>
            </w:r>
          </w:p>
        </w:tc>
        <w:tc>
          <w:tcPr>
            <w:tcW w:w="360" w:type="dxa"/>
            <w:vAlign w:val="bottom"/>
            <w:tcBorders>
              <w:top w:val="single" w:sz="8" w:color="131E29"/>
            </w:tcBorders>
            <w:shd w:val="clear" w:color="auto" w:fill="D2DCE5"/>
          </w:tcPr>
          <w:p>
            <w:pPr>
              <w:spacing w:after="0"/>
              <w:rPr>
                <w:sz w:val="18"/>
                <w:szCs w:val="18"/>
                <w:color w:val="auto"/>
              </w:rPr>
            </w:pPr>
          </w:p>
        </w:tc>
        <w:tc>
          <w:tcPr>
            <w:tcW w:w="740" w:type="dxa"/>
            <w:vAlign w:val="bottom"/>
            <w:tcBorders>
              <w:top w:val="single" w:sz="8" w:color="131E29"/>
            </w:tcBorders>
            <w:shd w:val="clear" w:color="auto" w:fill="D2DCE5"/>
          </w:tcPr>
          <w:p>
            <w:pPr>
              <w:spacing w:after="0"/>
              <w:rPr>
                <w:sz w:val="18"/>
                <w:szCs w:val="18"/>
                <w:color w:val="auto"/>
              </w:rPr>
            </w:pPr>
          </w:p>
        </w:tc>
        <w:tc>
          <w:tcPr>
            <w:tcW w:w="100" w:type="dxa"/>
            <w:vAlign w:val="bottom"/>
            <w:tcBorders>
              <w:top w:val="single" w:sz="8" w:color="D2DCE5"/>
            </w:tcBorders>
            <w:shd w:val="clear" w:color="auto" w:fill="D2DCE5"/>
          </w:tcPr>
          <w:p>
            <w:pPr>
              <w:spacing w:after="0"/>
              <w:rPr>
                <w:sz w:val="18"/>
                <w:szCs w:val="18"/>
                <w:color w:val="auto"/>
              </w:rPr>
            </w:pPr>
          </w:p>
        </w:tc>
        <w:tc>
          <w:tcPr>
            <w:tcW w:w="380" w:type="dxa"/>
            <w:vAlign w:val="bottom"/>
            <w:tcBorders>
              <w:top w:val="single" w:sz="8" w:color="auto"/>
            </w:tcBorders>
            <w:shd w:val="clear" w:color="auto" w:fill="D2DCE5"/>
          </w:tcPr>
          <w:p>
            <w:pPr>
              <w:spacing w:after="0"/>
              <w:rPr>
                <w:sz w:val="18"/>
                <w:szCs w:val="18"/>
                <w:color w:val="auto"/>
              </w:rPr>
            </w:pPr>
          </w:p>
        </w:tc>
        <w:tc>
          <w:tcPr>
            <w:tcW w:w="80" w:type="dxa"/>
            <w:vAlign w:val="bottom"/>
            <w:tcBorders>
              <w:top w:val="single" w:sz="8" w:color="auto"/>
            </w:tcBorders>
            <w:shd w:val="clear" w:color="auto" w:fill="D2DCE5"/>
          </w:tcPr>
          <w:p>
            <w:pPr>
              <w:spacing w:after="0"/>
              <w:rPr>
                <w:sz w:val="18"/>
                <w:szCs w:val="18"/>
                <w:color w:val="auto"/>
              </w:rPr>
            </w:pPr>
          </w:p>
        </w:tc>
        <w:tc>
          <w:tcPr>
            <w:tcW w:w="180" w:type="dxa"/>
            <w:vAlign w:val="bottom"/>
            <w:tcBorders>
              <w:top w:val="single" w:sz="8" w:color="auto"/>
            </w:tcBorders>
            <w:shd w:val="clear" w:color="auto" w:fill="D2DCE5"/>
          </w:tcPr>
          <w:p>
            <w:pPr>
              <w:spacing w:after="0"/>
              <w:rPr>
                <w:sz w:val="18"/>
                <w:szCs w:val="18"/>
                <w:color w:val="auto"/>
              </w:rPr>
            </w:pPr>
          </w:p>
        </w:tc>
        <w:tc>
          <w:tcPr>
            <w:tcW w:w="1160" w:type="dxa"/>
            <w:vAlign w:val="bottom"/>
            <w:tcBorders>
              <w:top w:val="single" w:sz="8" w:color="auto"/>
            </w:tcBorders>
            <w:shd w:val="clear" w:color="auto" w:fill="D2DCE5"/>
          </w:tcPr>
          <w:p>
            <w:pPr>
              <w:spacing w:after="0"/>
              <w:rPr>
                <w:sz w:val="18"/>
                <w:szCs w:val="18"/>
                <w:color w:val="auto"/>
              </w:rPr>
            </w:pPr>
          </w:p>
        </w:tc>
        <w:tc>
          <w:tcPr>
            <w:tcW w:w="80" w:type="dxa"/>
            <w:vAlign w:val="bottom"/>
            <w:tcBorders>
              <w:top w:val="single" w:sz="8" w:color="D2DCE5"/>
            </w:tcBorders>
            <w:shd w:val="clear" w:color="auto" w:fill="D2DCE5"/>
          </w:tcPr>
          <w:p>
            <w:pPr>
              <w:spacing w:after="0"/>
              <w:rPr>
                <w:sz w:val="18"/>
                <w:szCs w:val="18"/>
                <w:color w:val="auto"/>
              </w:rPr>
            </w:pPr>
          </w:p>
        </w:tc>
        <w:tc>
          <w:tcPr>
            <w:tcW w:w="140" w:type="dxa"/>
            <w:vAlign w:val="bottom"/>
            <w:tcBorders>
              <w:top w:val="single" w:sz="8" w:color="auto"/>
            </w:tcBorders>
            <w:shd w:val="clear" w:color="auto" w:fill="D2DCE5"/>
          </w:tcPr>
          <w:p>
            <w:pPr>
              <w:spacing w:after="0"/>
              <w:rPr>
                <w:sz w:val="18"/>
                <w:szCs w:val="18"/>
                <w:color w:val="auto"/>
              </w:rPr>
            </w:pPr>
          </w:p>
        </w:tc>
        <w:tc>
          <w:tcPr>
            <w:tcW w:w="100" w:type="dxa"/>
            <w:vAlign w:val="bottom"/>
            <w:tcBorders>
              <w:top w:val="single" w:sz="8" w:color="auto"/>
            </w:tcBorders>
            <w:shd w:val="clear" w:color="auto" w:fill="D2DCE5"/>
          </w:tcPr>
          <w:p>
            <w:pPr>
              <w:spacing w:after="0"/>
              <w:rPr>
                <w:sz w:val="18"/>
                <w:szCs w:val="18"/>
                <w:color w:val="auto"/>
              </w:rPr>
            </w:pPr>
          </w:p>
        </w:tc>
        <w:tc>
          <w:tcPr>
            <w:tcW w:w="260" w:type="dxa"/>
            <w:vAlign w:val="bottom"/>
            <w:tcBorders>
              <w:top w:val="single" w:sz="8" w:color="auto"/>
            </w:tcBorders>
            <w:shd w:val="clear" w:color="auto" w:fill="D2DCE5"/>
          </w:tcPr>
          <w:p>
            <w:pPr>
              <w:spacing w:after="0"/>
              <w:rPr>
                <w:sz w:val="18"/>
                <w:szCs w:val="18"/>
                <w:color w:val="auto"/>
              </w:rPr>
            </w:pPr>
          </w:p>
        </w:tc>
        <w:tc>
          <w:tcPr>
            <w:tcW w:w="1300" w:type="dxa"/>
            <w:vAlign w:val="bottom"/>
            <w:tcBorders>
              <w:top w:val="single" w:sz="8" w:color="auto"/>
            </w:tcBorders>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569"/>
              <w:spacing w:after="0"/>
              <w:rPr>
                <w:sz w:val="20"/>
                <w:szCs w:val="20"/>
                <w:color w:val="auto"/>
              </w:rPr>
            </w:pPr>
            <w:r>
              <w:rPr>
                <w:rFonts w:ascii="Arial" w:cs="Arial" w:eastAsia="Arial" w:hAnsi="Arial"/>
                <w:sz w:val="14"/>
                <w:szCs w:val="14"/>
                <w:color w:val="131E29"/>
              </w:rPr>
              <w:t>15.3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429"/>
              <w:spacing w:after="0"/>
              <w:rPr>
                <w:sz w:val="20"/>
                <w:szCs w:val="20"/>
                <w:color w:val="auto"/>
              </w:rPr>
            </w:pPr>
            <w:r>
              <w:rPr>
                <w:rFonts w:ascii="Arial" w:cs="Arial" w:eastAsia="Arial" w:hAnsi="Arial"/>
                <w:sz w:val="14"/>
                <w:szCs w:val="14"/>
                <w:color w:val="131E29"/>
              </w:rPr>
              <w:t>16.3</w:t>
            </w:r>
          </w:p>
        </w:tc>
        <w:tc>
          <w:tcPr>
            <w:tcW w:w="0" w:type="dxa"/>
            <w:vAlign w:val="bottom"/>
          </w:tcPr>
          <w:p>
            <w:pPr>
              <w:spacing w:after="0"/>
              <w:rPr>
                <w:sz w:val="1"/>
                <w:szCs w:val="1"/>
                <w:color w:val="auto"/>
              </w:rPr>
            </w:pPr>
          </w:p>
        </w:tc>
      </w:tr>
      <w:tr>
        <w:trPr>
          <w:trHeight w:val="22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360" w:type="dxa"/>
            <w:vAlign w:val="bottom"/>
            <w:shd w:val="clear" w:color="auto" w:fill="D2DCE5"/>
          </w:tcPr>
          <w:p>
            <w:pPr>
              <w:spacing w:after="0"/>
              <w:rPr>
                <w:sz w:val="19"/>
                <w:szCs w:val="19"/>
                <w:color w:val="auto"/>
              </w:rPr>
            </w:pPr>
          </w:p>
        </w:tc>
        <w:tc>
          <w:tcPr>
            <w:tcW w:w="7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160" w:type="dxa"/>
            <w:vAlign w:val="bottom"/>
            <w:shd w:val="clear" w:color="auto" w:fill="D2DCE5"/>
          </w:tcPr>
          <w:p>
            <w:pPr>
              <w:jc w:val="center"/>
              <w:ind w:right="569"/>
              <w:spacing w:after="0"/>
              <w:rPr>
                <w:sz w:val="20"/>
                <w:szCs w:val="20"/>
                <w:color w:val="auto"/>
              </w:rPr>
            </w:pPr>
            <w:r>
              <w:rPr>
                <w:rFonts w:ascii="Arial" w:cs="Arial" w:eastAsia="Arial" w:hAnsi="Arial"/>
                <w:sz w:val="14"/>
                <w:szCs w:val="14"/>
                <w:color w:val="131E29"/>
              </w:rPr>
              <w:t>15.5</w:t>
            </w: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1300" w:type="dxa"/>
            <w:vAlign w:val="bottom"/>
            <w:shd w:val="clear" w:color="auto" w:fill="D2DCE5"/>
          </w:tcPr>
          <w:p>
            <w:pPr>
              <w:jc w:val="center"/>
              <w:ind w:right="429"/>
              <w:spacing w:after="0"/>
              <w:rPr>
                <w:sz w:val="20"/>
                <w:szCs w:val="20"/>
                <w:color w:val="auto"/>
              </w:rPr>
            </w:pPr>
            <w:r>
              <w:rPr>
                <w:rFonts w:ascii="Arial" w:cs="Arial" w:eastAsia="Arial" w:hAnsi="Arial"/>
                <w:sz w:val="14"/>
                <w:szCs w:val="14"/>
                <w:color w:val="131E29"/>
              </w:rPr>
              <w:t>14.7</w:t>
            </w:r>
          </w:p>
        </w:tc>
        <w:tc>
          <w:tcPr>
            <w:tcW w:w="0" w:type="dxa"/>
            <w:vAlign w:val="bottom"/>
          </w:tcPr>
          <w:p>
            <w:pPr>
              <w:spacing w:after="0"/>
              <w:rPr>
                <w:sz w:val="1"/>
                <w:szCs w:val="1"/>
                <w:color w:val="auto"/>
              </w:rPr>
            </w:pPr>
          </w:p>
        </w:tc>
      </w:tr>
      <w:tr>
        <w:trPr>
          <w:trHeight w:val="212"/>
        </w:trPr>
        <w:tc>
          <w:tcPr>
            <w:tcW w:w="6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Weighted-average discount rate (percentages)</w:t>
            </w:r>
          </w:p>
        </w:tc>
        <w:tc>
          <w:tcPr>
            <w:tcW w:w="360" w:type="dxa"/>
            <w:vAlign w:val="bottom"/>
            <w:shd w:val="clear" w:color="auto" w:fill="D2DCE5"/>
          </w:tcPr>
          <w:p>
            <w:pPr>
              <w:spacing w:after="0"/>
              <w:rPr>
                <w:sz w:val="18"/>
                <w:szCs w:val="18"/>
                <w:color w:val="auto"/>
              </w:rPr>
            </w:pPr>
          </w:p>
        </w:tc>
        <w:tc>
          <w:tcPr>
            <w:tcW w:w="7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11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260" w:type="dxa"/>
            <w:vAlign w:val="bottom"/>
            <w:shd w:val="clear" w:color="auto" w:fill="D2DCE5"/>
          </w:tcPr>
          <w:p>
            <w:pPr>
              <w:spacing w:after="0"/>
              <w:rPr>
                <w:sz w:val="18"/>
                <w:szCs w:val="18"/>
                <w:color w:val="auto"/>
              </w:rPr>
            </w:pPr>
          </w:p>
        </w:tc>
        <w:tc>
          <w:tcPr>
            <w:tcW w:w="13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569"/>
              <w:spacing w:after="0"/>
              <w:rPr>
                <w:sz w:val="20"/>
                <w:szCs w:val="20"/>
                <w:color w:val="auto"/>
              </w:rPr>
            </w:pPr>
            <w:r>
              <w:rPr>
                <w:rFonts w:ascii="Arial" w:cs="Arial" w:eastAsia="Arial" w:hAnsi="Arial"/>
                <w:sz w:val="14"/>
                <w:szCs w:val="14"/>
                <w:color w:val="131E29"/>
              </w:rPr>
              <w:t>6.0%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429"/>
              <w:spacing w:after="0"/>
              <w:rPr>
                <w:sz w:val="20"/>
                <w:szCs w:val="20"/>
                <w:color w:val="auto"/>
              </w:rPr>
            </w:pPr>
            <w:r>
              <w:rPr>
                <w:rFonts w:ascii="Arial" w:cs="Arial" w:eastAsia="Arial" w:hAnsi="Arial"/>
                <w:sz w:val="14"/>
                <w:szCs w:val="14"/>
                <w:color w:val="131E29"/>
              </w:rPr>
              <w:t>5.9%</w:t>
            </w:r>
          </w:p>
        </w:tc>
        <w:tc>
          <w:tcPr>
            <w:tcW w:w="0" w:type="dxa"/>
            <w:vAlign w:val="bottom"/>
          </w:tcPr>
          <w:p>
            <w:pPr>
              <w:spacing w:after="0"/>
              <w:rPr>
                <w:sz w:val="1"/>
                <w:szCs w:val="1"/>
                <w:color w:val="auto"/>
              </w:rPr>
            </w:pPr>
          </w:p>
        </w:tc>
      </w:tr>
      <w:tr>
        <w:trPr>
          <w:trHeight w:val="22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360" w:type="dxa"/>
            <w:vAlign w:val="bottom"/>
            <w:shd w:val="clear" w:color="auto" w:fill="D2DCE5"/>
          </w:tcPr>
          <w:p>
            <w:pPr>
              <w:spacing w:after="0"/>
              <w:rPr>
                <w:sz w:val="19"/>
                <w:szCs w:val="19"/>
                <w:color w:val="auto"/>
              </w:rPr>
            </w:pPr>
          </w:p>
        </w:tc>
        <w:tc>
          <w:tcPr>
            <w:tcW w:w="7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160" w:type="dxa"/>
            <w:vAlign w:val="bottom"/>
            <w:shd w:val="clear" w:color="auto" w:fill="D2DCE5"/>
          </w:tcPr>
          <w:p>
            <w:pPr>
              <w:jc w:val="center"/>
              <w:ind w:right="569"/>
              <w:spacing w:after="0"/>
              <w:rPr>
                <w:sz w:val="20"/>
                <w:szCs w:val="20"/>
                <w:color w:val="auto"/>
              </w:rPr>
            </w:pPr>
            <w:r>
              <w:rPr>
                <w:rFonts w:ascii="Arial" w:cs="Arial" w:eastAsia="Arial" w:hAnsi="Arial"/>
                <w:sz w:val="14"/>
                <w:szCs w:val="14"/>
                <w:color w:val="131E29"/>
              </w:rPr>
              <w:t>5.9%</w:t>
            </w: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1300" w:type="dxa"/>
            <w:vAlign w:val="bottom"/>
            <w:shd w:val="clear" w:color="auto" w:fill="D2DCE5"/>
          </w:tcPr>
          <w:p>
            <w:pPr>
              <w:jc w:val="center"/>
              <w:ind w:right="429"/>
              <w:spacing w:after="0"/>
              <w:rPr>
                <w:sz w:val="20"/>
                <w:szCs w:val="20"/>
                <w:color w:val="auto"/>
              </w:rPr>
            </w:pPr>
            <w:r>
              <w:rPr>
                <w:rFonts w:ascii="Arial" w:cs="Arial" w:eastAsia="Arial" w:hAnsi="Arial"/>
                <w:sz w:val="14"/>
                <w:szCs w:val="14"/>
                <w:color w:val="131E29"/>
              </w:rPr>
              <w:t>4.9%</w:t>
            </w:r>
          </w:p>
        </w:tc>
        <w:tc>
          <w:tcPr>
            <w:tcW w:w="0" w:type="dxa"/>
            <w:vAlign w:val="bottom"/>
          </w:tcPr>
          <w:p>
            <w:pPr>
              <w:spacing w:after="0"/>
              <w:rPr>
                <w:sz w:val="1"/>
                <w:szCs w:val="1"/>
                <w:color w:val="auto"/>
              </w:rPr>
            </w:pPr>
          </w:p>
        </w:tc>
      </w:tr>
      <w:tr>
        <w:trPr>
          <w:trHeight w:val="320"/>
        </w:trPr>
        <w:tc>
          <w:tcPr>
            <w:tcW w:w="6400" w:type="dxa"/>
            <w:vAlign w:val="bottom"/>
            <w:gridSpan w:val="2"/>
          </w:tcPr>
          <w:p>
            <w:pPr>
              <w:spacing w:after="0"/>
              <w:rPr>
                <w:sz w:val="20"/>
                <w:szCs w:val="20"/>
                <w:color w:val="auto"/>
              </w:rPr>
            </w:pPr>
            <w:r>
              <w:rPr>
                <w:rFonts w:ascii="Arial" w:cs="Arial" w:eastAsia="Arial" w:hAnsi="Arial"/>
                <w:sz w:val="14"/>
                <w:szCs w:val="14"/>
                <w:color w:val="131E29"/>
              </w:rPr>
              <w:t>Supplemental cash flow information related to leases is as follows for the periods presented:</w:t>
            </w: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131E29"/>
                <w:w w:val="99"/>
              </w:rPr>
              <w:t>Year Ended December 31,</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131E29"/>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197"/>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Cash paid for amounts included in the measurement of lease liabilities</w:t>
            </w:r>
          </w:p>
        </w:tc>
        <w:tc>
          <w:tcPr>
            <w:tcW w:w="360" w:type="dxa"/>
            <w:vAlign w:val="bottom"/>
            <w:shd w:val="clear" w:color="auto" w:fill="D2DCE5"/>
          </w:tcPr>
          <w:p>
            <w:pPr>
              <w:spacing w:after="0"/>
              <w:rPr>
                <w:sz w:val="17"/>
                <w:szCs w:val="17"/>
                <w:color w:val="auto"/>
              </w:rPr>
            </w:pPr>
          </w:p>
        </w:tc>
        <w:tc>
          <w:tcPr>
            <w:tcW w:w="7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8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spacing w:after="0"/>
              <w:rPr>
                <w:sz w:val="17"/>
                <w:szCs w:val="17"/>
                <w:color w:val="auto"/>
              </w:rPr>
            </w:pPr>
          </w:p>
        </w:tc>
        <w:tc>
          <w:tcPr>
            <w:tcW w:w="11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14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260" w:type="dxa"/>
            <w:vAlign w:val="bottom"/>
            <w:shd w:val="clear" w:color="auto" w:fill="D2DCE5"/>
          </w:tcPr>
          <w:p>
            <w:pPr>
              <w:spacing w:after="0"/>
              <w:rPr>
                <w:sz w:val="17"/>
                <w:szCs w:val="17"/>
                <w:color w:val="auto"/>
              </w:rPr>
            </w:pPr>
          </w:p>
        </w:tc>
        <w:tc>
          <w:tcPr>
            <w:tcW w:w="13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632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360" w:type="dxa"/>
            <w:vAlign w:val="bottom"/>
            <w:shd w:val="clear" w:color="auto" w:fill="D2DCE5"/>
          </w:tcPr>
          <w:p>
            <w:pPr>
              <w:spacing w:after="0"/>
              <w:rPr>
                <w:sz w:val="12"/>
                <w:szCs w:val="12"/>
                <w:color w:val="auto"/>
              </w:rPr>
            </w:pPr>
          </w:p>
        </w:tc>
        <w:tc>
          <w:tcPr>
            <w:tcW w:w="1220" w:type="dxa"/>
            <w:vAlign w:val="bottom"/>
            <w:gridSpan w:val="3"/>
            <w:shd w:val="clear" w:color="auto" w:fill="D2DCE5"/>
          </w:tcPr>
          <w:p>
            <w:pPr>
              <w:spacing w:after="0"/>
              <w:rPr>
                <w:sz w:val="12"/>
                <w:szCs w:val="12"/>
                <w:color w:val="auto"/>
              </w:rPr>
            </w:pPr>
          </w:p>
        </w:tc>
        <w:tc>
          <w:tcPr>
            <w:tcW w:w="260" w:type="dxa"/>
            <w:vAlign w:val="bottom"/>
            <w:gridSpan w:val="2"/>
            <w:shd w:val="clear" w:color="auto" w:fill="D2DCE5"/>
          </w:tcPr>
          <w:p>
            <w:pPr>
              <w:spacing w:after="0"/>
              <w:rPr>
                <w:sz w:val="12"/>
                <w:szCs w:val="12"/>
                <w:color w:val="auto"/>
              </w:rPr>
            </w:pPr>
          </w:p>
        </w:tc>
        <w:tc>
          <w:tcPr>
            <w:tcW w:w="1380" w:type="dxa"/>
            <w:vAlign w:val="bottom"/>
            <w:gridSpan w:val="3"/>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260" w:type="dxa"/>
            <w:vAlign w:val="bottom"/>
            <w:shd w:val="clear" w:color="auto" w:fill="D2DCE5"/>
          </w:tcPr>
          <w:p>
            <w:pPr>
              <w:spacing w:after="0"/>
              <w:rPr>
                <w:sz w:val="12"/>
                <w:szCs w:val="12"/>
                <w:color w:val="auto"/>
              </w:rPr>
            </w:pPr>
          </w:p>
        </w:tc>
        <w:tc>
          <w:tcPr>
            <w:tcW w:w="1300" w:type="dxa"/>
            <w:vAlign w:val="bottom"/>
            <w:shd w:val="clear" w:color="auto" w:fill="D2DCE5"/>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Operating cash flows from finance leases</w:t>
            </w:r>
          </w:p>
        </w:tc>
        <w:tc>
          <w:tcPr>
            <w:tcW w:w="360" w:type="dxa"/>
            <w:vAlign w:val="bottom"/>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gridSpan w:val="3"/>
          </w:tcPr>
          <w:p>
            <w:pPr>
              <w:jc w:val="right"/>
              <w:spacing w:after="0"/>
              <w:rPr>
                <w:sz w:val="20"/>
                <w:szCs w:val="20"/>
                <w:color w:val="auto"/>
              </w:rPr>
            </w:pPr>
            <w:r>
              <w:rPr>
                <w:rFonts w:ascii="Arial" w:cs="Arial" w:eastAsia="Arial" w:hAnsi="Arial"/>
                <w:sz w:val="14"/>
                <w:szCs w:val="14"/>
                <w:color w:val="131E29"/>
              </w:rPr>
              <w:t>22,053</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131E29"/>
              </w:rPr>
              <w:t>$</w:t>
            </w:r>
          </w:p>
        </w:tc>
        <w:tc>
          <w:tcPr>
            <w:tcW w:w="1380" w:type="dxa"/>
            <w:vAlign w:val="bottom"/>
            <w:gridSpan w:val="3"/>
          </w:tcPr>
          <w:p>
            <w:pPr>
              <w:jc w:val="right"/>
              <w:ind w:right="60"/>
              <w:spacing w:after="0"/>
              <w:rPr>
                <w:sz w:val="20"/>
                <w:szCs w:val="20"/>
                <w:color w:val="auto"/>
              </w:rPr>
            </w:pPr>
            <w:r>
              <w:rPr>
                <w:rFonts w:ascii="Arial" w:cs="Arial" w:eastAsia="Arial" w:hAnsi="Arial"/>
                <w:sz w:val="14"/>
                <w:szCs w:val="14"/>
                <w:color w:val="131E29"/>
              </w:rPr>
              <w:t>17,516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131E29"/>
              </w:rPr>
              <w:t>9,264</w:t>
            </w:r>
          </w:p>
        </w:tc>
        <w:tc>
          <w:tcPr>
            <w:tcW w:w="0" w:type="dxa"/>
            <w:vAlign w:val="bottom"/>
          </w:tcPr>
          <w:p>
            <w:pPr>
              <w:spacing w:after="0"/>
              <w:rPr>
                <w:sz w:val="1"/>
                <w:szCs w:val="1"/>
                <w:color w:val="auto"/>
              </w:rPr>
            </w:pPr>
          </w:p>
        </w:tc>
      </w:tr>
      <w:tr>
        <w:trPr>
          <w:trHeight w:val="22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cash flows from operating leases</w:t>
            </w:r>
          </w:p>
        </w:tc>
        <w:tc>
          <w:tcPr>
            <w:tcW w:w="360" w:type="dxa"/>
            <w:vAlign w:val="bottom"/>
            <w:shd w:val="clear" w:color="auto" w:fill="D2DCE5"/>
          </w:tcPr>
          <w:p>
            <w:pPr>
              <w:spacing w:after="0"/>
              <w:rPr>
                <w:sz w:val="19"/>
                <w:szCs w:val="19"/>
                <w:color w:val="auto"/>
              </w:rPr>
            </w:pPr>
          </w:p>
        </w:tc>
        <w:tc>
          <w:tcPr>
            <w:tcW w:w="122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22,127</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38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17,167</w:t>
            </w: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16,269</w:t>
            </w:r>
          </w:p>
        </w:tc>
        <w:tc>
          <w:tcPr>
            <w:tcW w:w="0" w:type="dxa"/>
            <w:vAlign w:val="bottom"/>
          </w:tcPr>
          <w:p>
            <w:pPr>
              <w:spacing w:after="0"/>
              <w:rPr>
                <w:sz w:val="1"/>
                <w:szCs w:val="1"/>
                <w:color w:val="auto"/>
              </w:rPr>
            </w:pP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Financing cash flows from finance leases</w:t>
            </w:r>
          </w:p>
        </w:tc>
        <w:tc>
          <w:tcPr>
            <w:tcW w:w="36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131E29"/>
              </w:rPr>
              <w:t>10,541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color w:val="131E29"/>
              </w:rPr>
              <w:t>12,432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131E29"/>
              </w:rPr>
              <w:t>5,838</w:t>
            </w:r>
          </w:p>
        </w:tc>
        <w:tc>
          <w:tcPr>
            <w:tcW w:w="0" w:type="dxa"/>
            <w:vAlign w:val="bottom"/>
          </w:tcPr>
          <w:p>
            <w:pPr>
              <w:spacing w:after="0"/>
              <w:rPr>
                <w:sz w:val="1"/>
                <w:szCs w:val="1"/>
                <w:color w:val="auto"/>
              </w:rPr>
            </w:pPr>
          </w:p>
        </w:tc>
      </w:tr>
      <w:tr>
        <w:trPr>
          <w:trHeight w:val="222"/>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Right-of-use assets obtained in exchange for lease obligations</w:t>
            </w:r>
          </w:p>
        </w:tc>
        <w:tc>
          <w:tcPr>
            <w:tcW w:w="360" w:type="dxa"/>
            <w:vAlign w:val="bottom"/>
            <w:shd w:val="clear" w:color="auto" w:fill="D2DCE5"/>
          </w:tcPr>
          <w:p>
            <w:pPr>
              <w:spacing w:after="0"/>
              <w:rPr>
                <w:sz w:val="19"/>
                <w:szCs w:val="19"/>
                <w:color w:val="auto"/>
              </w:rPr>
            </w:pPr>
          </w:p>
        </w:tc>
        <w:tc>
          <w:tcPr>
            <w:tcW w:w="7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1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4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130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Finance leases</w:t>
            </w:r>
          </w:p>
        </w:tc>
        <w:tc>
          <w:tcPr>
            <w:tcW w:w="36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131E29"/>
              </w:rPr>
              <w:t>15,838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4"/>
                <w:szCs w:val="14"/>
                <w:color w:val="131E29"/>
              </w:rPr>
              <w:t>144,588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131E29"/>
              </w:rPr>
              <w:t>167,687</w:t>
            </w:r>
          </w:p>
        </w:tc>
        <w:tc>
          <w:tcPr>
            <w:tcW w:w="0" w:type="dxa"/>
            <w:vAlign w:val="bottom"/>
          </w:tcPr>
          <w:p>
            <w:pPr>
              <w:spacing w:after="0"/>
              <w:rPr>
                <w:sz w:val="1"/>
                <w:szCs w:val="1"/>
                <w:color w:val="auto"/>
              </w:rPr>
            </w:pPr>
          </w:p>
        </w:tc>
      </w:tr>
      <w:tr>
        <w:trPr>
          <w:trHeight w:val="22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Operating leases</w:t>
            </w:r>
          </w:p>
        </w:tc>
        <w:tc>
          <w:tcPr>
            <w:tcW w:w="360" w:type="dxa"/>
            <w:vAlign w:val="bottom"/>
            <w:shd w:val="clear" w:color="auto" w:fill="D2DCE5"/>
          </w:tcPr>
          <w:p>
            <w:pPr>
              <w:spacing w:after="0"/>
              <w:rPr>
                <w:sz w:val="19"/>
                <w:szCs w:val="19"/>
                <w:color w:val="auto"/>
              </w:rPr>
            </w:pPr>
          </w:p>
        </w:tc>
        <w:tc>
          <w:tcPr>
            <w:tcW w:w="1220" w:type="dxa"/>
            <w:vAlign w:val="bottom"/>
            <w:gridSpan w:val="3"/>
            <w:shd w:val="clear" w:color="auto" w:fill="D2DCE5"/>
          </w:tcPr>
          <w:p>
            <w:pPr>
              <w:jc w:val="right"/>
              <w:spacing w:after="0"/>
              <w:rPr>
                <w:sz w:val="20"/>
                <w:szCs w:val="20"/>
                <w:color w:val="auto"/>
              </w:rPr>
            </w:pPr>
            <w:r>
              <w:rPr>
                <w:rFonts w:ascii="Arial" w:cs="Arial" w:eastAsia="Arial" w:hAnsi="Arial"/>
                <w:sz w:val="14"/>
                <w:szCs w:val="14"/>
                <w:color w:val="131E29"/>
              </w:rPr>
              <w:t>130,059</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38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40,253</w:t>
            </w:r>
          </w:p>
        </w:tc>
        <w:tc>
          <w:tcPr>
            <w:tcW w:w="10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1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178,138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420"/>
        <w:spacing w:after="0"/>
        <w:rPr>
          <w:sz w:val="20"/>
          <w:szCs w:val="20"/>
          <w:color w:val="auto"/>
        </w:rPr>
      </w:pPr>
      <w:r>
        <w:rPr>
          <w:sz w:val="1"/>
          <w:szCs w:val="1"/>
          <w:color w:val="auto"/>
        </w:rPr>
        <w:drawing>
          <wp:inline distT="0" distB="0" distL="0" distR="0">
            <wp:extent cx="134620" cy="18859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0"/>
          <w:szCs w:val="10"/>
          <w:color w:val="131E29"/>
        </w:rPr>
        <w:t>Dutch Bros Inc.</w:t>
      </w:r>
      <w:r>
        <w:rPr>
          <w:rFonts w:ascii="Arial" w:cs="Arial" w:eastAsia="Arial" w:hAnsi="Arial"/>
          <w:sz w:val="10"/>
          <w:szCs w:val="10"/>
          <w:b w:val="1"/>
          <w:bCs w:val="1"/>
          <w:color w:val="006098"/>
        </w:rPr>
        <w:t>|</w:t>
      </w:r>
      <w:r>
        <w:rPr>
          <w:rFonts w:ascii="Arial" w:cs="Arial" w:eastAsia="Arial" w:hAnsi="Arial"/>
          <w:sz w:val="10"/>
          <w:szCs w:val="10"/>
          <w:color w:val="131E29"/>
        </w:rPr>
        <w:t xml:space="preserve"> Form 10-K </w:t>
      </w:r>
      <w:r>
        <w:rPr>
          <w:rFonts w:ascii="Arial" w:cs="Arial" w:eastAsia="Arial" w:hAnsi="Arial"/>
          <w:sz w:val="10"/>
          <w:szCs w:val="10"/>
          <w:b w:val="1"/>
          <w:bCs w:val="1"/>
          <w:color w:val="006098"/>
        </w:rPr>
        <w:t>|</w:t>
      </w:r>
      <w:r>
        <w:rPr>
          <w:rFonts w:ascii="Arial" w:cs="Arial" w:eastAsia="Arial" w:hAnsi="Arial"/>
          <w:sz w:val="10"/>
          <w:szCs w:val="10"/>
          <w:color w:val="131E29"/>
        </w:rPr>
        <w:t xml:space="preserve"> </w:t>
      </w:r>
      <w:r>
        <w:rPr>
          <w:rFonts w:ascii="Arial" w:cs="Arial" w:eastAsia="Arial" w:hAnsi="Arial"/>
          <w:sz w:val="10"/>
          <w:szCs w:val="10"/>
          <w:b w:val="1"/>
          <w:bCs w:val="1"/>
          <w:color w:val="D7282F"/>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86930"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1" w:name="page122"/>
    <w:bookmarkEnd w:id="12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9 — Debt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Credit Facility</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On August 4, 2023, we amended our senior secured credit facility, dated February 28, 2022, with JPMorgan Chase Bank, N.A. (as amended, the 2022 Credit Facility) to increase borrowing capacity by $150 million to a total of $650 million. The 2022 Credit Facility consists of a $350 million revolving credit facility, a term loan facility of up to $100 million, and a delayed draw term loan facility of up to $200 million. The 2022 Credit Facility also includes sublimits for letters of credit and swingline loans of up to $50 million and $15 million, respectively. The 2022 Credit Facility expires on February 28, 2027 (the Maturity Date).</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On February 20, 2024, we drew $150 million on our delayed draw term loan facility before this portion expired on February 28, 2024. The remaining $50 million of the delayed draw term loan is available until February 2025.</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Interest on borrowings under the 2022 Credit Facility is based on (a) the Alternate Base Rate plus an applicable margin, or (b) the Adjusted Term SOFR plus an applicable margin, and is payable in accordance with the selected interest rate period (at least quarterly) and upon maturity. Principal payments for the term loans are required on a quarterly basis in accordance with an amortization schedule up through and including the Maturity Date.</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are required to pay a commitment fee on a quarterly basis, at a per annum rate of between 0.20% and 0.45% (depending on our maximum net lease-adjusted total leverage ratio) based on the (i) average daily unused portion of the revolving credit facility, and (ii) the daily undrawn amount of the delayed draw term loan facility. These fees are recorded as interest expense on our consolidated statements of operations.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The 2022 Credit Facility contains financial covenants that require us to not exceed a maximum net lease-adjusted total leverage ratio and maintain a minimum fixed charge coverage ratio. The 2022 Credit Facility also contains certain negative covenants that, among other things, limit our ability to incur additional debt, grant liens on assets, merge with or acquire other companies, make other investments, dispose of assets, and make restricted payments. Obligations under the 2022 Credit Facility are guaranteed by Dutch Bros OpCo and certain of its subsidiaries, and secured by a first priority perfected security interest in substantially all of the assets of the guarantors.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of December 31, 2024, no amounts were outstanding on our revolving credit facility, and $343.8 million was available for borrowing, net of $6.2 million in letters of credit, and approximately $ 234.7 million of principal was outstanding on the term loan facilities. The term loans bear interest at approximately 6.20% as of December 31, 2024, excluding the impact from the Company’s interest rate swap. We were in compliance with our financial covenants as of that date.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gridSpan w:val="2"/>
          </w:tcPr>
          <w:p>
            <w:pPr>
              <w:spacing w:after="0"/>
              <w:rPr>
                <w:sz w:val="20"/>
                <w:szCs w:val="20"/>
                <w:color w:val="auto"/>
              </w:rPr>
            </w:pPr>
            <w:r>
              <w:rPr>
                <w:rFonts w:ascii="Arial" w:cs="Arial" w:eastAsia="Arial" w:hAnsi="Arial"/>
                <w:sz w:val="14"/>
                <w:szCs w:val="14"/>
                <w:b w:val="1"/>
                <w:bCs w:val="1"/>
                <w:i w:val="1"/>
                <w:iCs w:val="1"/>
                <w:color w:val="006098"/>
              </w:rPr>
              <w:t>Long-Term Debt</w:t>
            </w: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47"/>
        </w:trPr>
        <w:tc>
          <w:tcPr>
            <w:tcW w:w="7600" w:type="dxa"/>
            <w:vAlign w:val="bottom"/>
            <w:gridSpan w:val="2"/>
          </w:tcPr>
          <w:p>
            <w:pPr>
              <w:spacing w:after="0"/>
              <w:rPr>
                <w:sz w:val="20"/>
                <w:szCs w:val="20"/>
                <w:color w:val="auto"/>
              </w:rPr>
            </w:pPr>
            <w:r>
              <w:rPr>
                <w:rFonts w:ascii="Arial" w:cs="Arial" w:eastAsia="Arial" w:hAnsi="Arial"/>
                <w:sz w:val="14"/>
                <w:szCs w:val="14"/>
                <w:color w:val="131E29"/>
              </w:rPr>
              <w:t>Our long-term debt consisted of the following for the periods presented:</w:t>
            </w: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311"/>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24"/>
                <w:szCs w:val="24"/>
                <w:color w:val="auto"/>
              </w:rPr>
            </w:pPr>
          </w:p>
        </w:tc>
        <w:tc>
          <w:tcPr>
            <w:tcW w:w="160" w:type="dxa"/>
            <w:vAlign w:val="bottom"/>
            <w:tcBorders>
              <w:bottom w:val="single" w:sz="8" w:color="131E29"/>
            </w:tcBorders>
          </w:tcPr>
          <w:p>
            <w:pPr>
              <w:spacing w:after="0"/>
              <w:rPr>
                <w:sz w:val="24"/>
                <w:szCs w:val="24"/>
                <w:color w:val="auto"/>
              </w:rPr>
            </w:pPr>
          </w:p>
        </w:tc>
        <w:tc>
          <w:tcPr>
            <w:tcW w:w="1640" w:type="dxa"/>
            <w:vAlign w:val="bottom"/>
            <w:tcBorders>
              <w:bottom w:val="single" w:sz="8" w:color="131E29"/>
            </w:tcBorders>
          </w:tcPr>
          <w:p>
            <w:pPr>
              <w:jc w:val="right"/>
              <w:ind w:right="209"/>
              <w:spacing w:after="0"/>
              <w:rPr>
                <w:sz w:val="20"/>
                <w:szCs w:val="20"/>
                <w:color w:val="auto"/>
              </w:rPr>
            </w:pPr>
            <w:r>
              <w:rPr>
                <w:rFonts w:ascii="Arial" w:cs="Arial" w:eastAsia="Arial" w:hAnsi="Arial"/>
                <w:sz w:val="14"/>
                <w:szCs w:val="14"/>
                <w:b w:val="1"/>
                <w:bCs w:val="1"/>
                <w:color w:val="131E29"/>
              </w:rPr>
              <w:t>December 31, 2024</w:t>
            </w:r>
          </w:p>
        </w:tc>
        <w:tc>
          <w:tcPr>
            <w:tcW w:w="80" w:type="dxa"/>
            <w:vAlign w:val="bottom"/>
            <w:tcBorders>
              <w:bottom w:val="single" w:sz="8" w:color="D2DCE5"/>
            </w:tcBorders>
          </w:tcPr>
          <w:p>
            <w:pPr>
              <w:spacing w:after="0"/>
              <w:rPr>
                <w:sz w:val="24"/>
                <w:szCs w:val="24"/>
                <w:color w:val="auto"/>
              </w:rPr>
            </w:pPr>
          </w:p>
        </w:tc>
        <w:tc>
          <w:tcPr>
            <w:tcW w:w="180" w:type="dxa"/>
            <w:vAlign w:val="bottom"/>
            <w:tcBorders>
              <w:bottom w:val="single" w:sz="8" w:color="131E29"/>
            </w:tcBorders>
          </w:tcPr>
          <w:p>
            <w:pPr>
              <w:spacing w:after="0"/>
              <w:rPr>
                <w:sz w:val="24"/>
                <w:szCs w:val="24"/>
                <w:color w:val="auto"/>
              </w:rPr>
            </w:pPr>
          </w:p>
        </w:tc>
        <w:tc>
          <w:tcPr>
            <w:tcW w:w="1620" w:type="dxa"/>
            <w:vAlign w:val="bottom"/>
            <w:tcBorders>
              <w:bottom w:val="single" w:sz="8" w:color="131E29"/>
            </w:tcBorders>
          </w:tcPr>
          <w:p>
            <w:pPr>
              <w:jc w:val="right"/>
              <w:ind w:right="189"/>
              <w:spacing w:after="0"/>
              <w:rPr>
                <w:sz w:val="20"/>
                <w:szCs w:val="20"/>
                <w:color w:val="auto"/>
              </w:rPr>
            </w:pPr>
            <w:r>
              <w:rPr>
                <w:rFonts w:ascii="Arial" w:cs="Arial" w:eastAsia="Arial" w:hAnsi="Arial"/>
                <w:sz w:val="14"/>
                <w:szCs w:val="14"/>
                <w:b w:val="1"/>
                <w:bCs w:val="1"/>
                <w:color w:val="131E29"/>
              </w:rPr>
              <w:t>December 31, 2023</w:t>
            </w:r>
          </w:p>
        </w:tc>
      </w:tr>
      <w:tr>
        <w:trPr>
          <w:trHeight w:val="209"/>
        </w:trPr>
        <w:tc>
          <w:tcPr>
            <w:tcW w:w="7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Term loans under credit facility</w:t>
            </w:r>
          </w:p>
        </w:tc>
        <w:tc>
          <w:tcPr>
            <w:tcW w:w="16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234,688</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95,625</w:t>
            </w:r>
          </w:p>
        </w:tc>
      </w:tr>
      <w:tr>
        <w:trPr>
          <w:trHeight w:val="212"/>
        </w:trPr>
        <w:tc>
          <w:tcPr>
            <w:tcW w:w="7600" w:type="dxa"/>
            <w:vAlign w:val="bottom"/>
            <w:gridSpan w:val="2"/>
          </w:tcPr>
          <w:p>
            <w:pPr>
              <w:ind w:left="20"/>
              <w:spacing w:after="0"/>
              <w:rPr>
                <w:sz w:val="20"/>
                <w:szCs w:val="20"/>
                <w:color w:val="auto"/>
              </w:rPr>
            </w:pPr>
            <w:r>
              <w:rPr>
                <w:rFonts w:ascii="Arial" w:cs="Arial" w:eastAsia="Arial" w:hAnsi="Arial"/>
                <w:sz w:val="14"/>
                <w:szCs w:val="14"/>
                <w:color w:val="131E29"/>
              </w:rPr>
              <w:t>Finance obligations</w:t>
            </w:r>
            <w:r>
              <w:rPr>
                <w:rFonts w:ascii="Arial" w:cs="Arial" w:eastAsia="Arial" w:hAnsi="Arial"/>
                <w:sz w:val="18"/>
                <w:szCs w:val="18"/>
                <w:color w:val="131E29"/>
                <w:vertAlign w:val="superscript"/>
              </w:rPr>
              <w:t>1</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3,022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3,022</w:t>
            </w:r>
          </w:p>
        </w:tc>
      </w:tr>
      <w:tr>
        <w:trPr>
          <w:trHeight w:val="212"/>
        </w:trPr>
        <w:tc>
          <w:tcPr>
            <w:tcW w:w="7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Unsecured note payable</w:t>
            </w:r>
          </w:p>
        </w:tc>
        <w:tc>
          <w:tcPr>
            <w:tcW w:w="160" w:type="dxa"/>
            <w:vAlign w:val="bottom"/>
            <w:tcBorders>
              <w:bottom w:val="single" w:sz="8" w:color="auto"/>
            </w:tcBorders>
            <w:shd w:val="clear" w:color="auto" w:fill="D2DCE5"/>
          </w:tcPr>
          <w:p>
            <w:pPr>
              <w:spacing w:after="0"/>
              <w:rPr>
                <w:sz w:val="18"/>
                <w:szCs w:val="18"/>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299</w:t>
            </w:r>
          </w:p>
        </w:tc>
        <w:tc>
          <w:tcPr>
            <w:tcW w:w="80" w:type="dxa"/>
            <w:vAlign w:val="bottom"/>
            <w:shd w:val="clear" w:color="auto" w:fill="D2DCE5"/>
          </w:tcPr>
          <w:p>
            <w:pPr>
              <w:spacing w:after="0"/>
              <w:rPr>
                <w:sz w:val="18"/>
                <w:szCs w:val="18"/>
                <w:color w:val="auto"/>
              </w:rPr>
            </w:pPr>
          </w:p>
        </w:tc>
        <w:tc>
          <w:tcPr>
            <w:tcW w:w="180" w:type="dxa"/>
            <w:vAlign w:val="bottom"/>
            <w:tcBorders>
              <w:bottom w:val="single" w:sz="8" w:color="auto"/>
            </w:tcBorders>
            <w:shd w:val="clear" w:color="auto" w:fill="D2DCE5"/>
          </w:tcPr>
          <w:p>
            <w:pPr>
              <w:spacing w:after="0"/>
              <w:rPr>
                <w:sz w:val="18"/>
                <w:szCs w:val="18"/>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415</w:t>
            </w:r>
          </w:p>
        </w:tc>
      </w:tr>
      <w:tr>
        <w:trPr>
          <w:trHeight w:val="193"/>
        </w:trPr>
        <w:tc>
          <w:tcPr>
            <w:tcW w:w="7600" w:type="dxa"/>
            <w:vAlign w:val="bottom"/>
            <w:gridSpan w:val="2"/>
          </w:tcPr>
          <w:p>
            <w:pPr>
              <w:ind w:left="140"/>
              <w:spacing w:after="0"/>
              <w:rPr>
                <w:sz w:val="20"/>
                <w:szCs w:val="20"/>
                <w:color w:val="auto"/>
              </w:rPr>
            </w:pPr>
            <w:r>
              <w:rPr>
                <w:rFonts w:ascii="Arial" w:cs="Arial" w:eastAsia="Arial" w:hAnsi="Arial"/>
                <w:sz w:val="14"/>
                <w:szCs w:val="14"/>
                <w:color w:val="131E29"/>
              </w:rPr>
              <w:t>Total debt</w:t>
            </w: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131E29"/>
              </w:rPr>
              <w:t>238,009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131E29"/>
              </w:rPr>
              <w:t>99,062</w:t>
            </w:r>
          </w:p>
        </w:tc>
      </w:tr>
      <w:tr>
        <w:trPr>
          <w:trHeight w:val="222"/>
        </w:trPr>
        <w:tc>
          <w:tcPr>
            <w:tcW w:w="76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Less: loan origination fees</w:t>
            </w:r>
          </w:p>
        </w:tc>
        <w:tc>
          <w:tcPr>
            <w:tcW w:w="16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(943)</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(1,396)</w:t>
            </w:r>
          </w:p>
        </w:tc>
      </w:tr>
      <w:tr>
        <w:trPr>
          <w:trHeight w:val="203"/>
        </w:trPr>
        <w:tc>
          <w:tcPr>
            <w:tcW w:w="76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Less: current portion</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(17,311)</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(4,491)</w:t>
            </w:r>
          </w:p>
        </w:tc>
      </w:tr>
      <w:tr>
        <w:trPr>
          <w:trHeight w:val="237"/>
        </w:trPr>
        <w:tc>
          <w:tcPr>
            <w:tcW w:w="760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b w:val="1"/>
                <w:bCs w:val="1"/>
                <w:color w:val="131E29"/>
              </w:rPr>
              <w:t>Total long-term debt, net of current portion</w:t>
            </w:r>
          </w:p>
        </w:tc>
        <w:tc>
          <w:tcPr>
            <w:tcW w:w="16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b w:val="1"/>
                <w:bCs w:val="1"/>
                <w:color w:val="131E29"/>
                <w:w w:val="76"/>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219,755</w:t>
            </w:r>
          </w:p>
        </w:tc>
        <w:tc>
          <w:tcPr>
            <w:tcW w:w="80" w:type="dxa"/>
            <w:vAlign w:val="bottom"/>
            <w:tcBorders>
              <w:bottom w:val="single" w:sz="8" w:color="D2DCE5"/>
            </w:tcBorders>
            <w:shd w:val="clear" w:color="auto" w:fill="D2DCE5"/>
          </w:tcPr>
          <w:p>
            <w:pPr>
              <w:spacing w:after="0"/>
              <w:rPr>
                <w:sz w:val="20"/>
                <w:szCs w:val="20"/>
                <w:color w:val="auto"/>
              </w:rPr>
            </w:pPr>
          </w:p>
        </w:tc>
        <w:tc>
          <w:tcPr>
            <w:tcW w:w="18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b w:val="1"/>
                <w:bCs w:val="1"/>
                <w:color w:val="131E2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93,175</w:t>
            </w:r>
          </w:p>
        </w:tc>
      </w:tr>
      <w:tr>
        <w:trPr>
          <w:trHeight w:val="20"/>
        </w:trPr>
        <w:tc>
          <w:tcPr>
            <w:tcW w:w="75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w:t>
      </w:r>
    </w:p>
    <w:p>
      <w:pPr>
        <w:spacing w:after="0" w:line="35" w:lineRule="exact"/>
        <w:rPr>
          <w:sz w:val="20"/>
          <w:szCs w:val="20"/>
          <w:color w:val="auto"/>
        </w:rPr>
      </w:pPr>
    </w:p>
    <w:p>
      <w:pPr>
        <w:ind w:left="120" w:hanging="115"/>
        <w:spacing w:after="0"/>
        <w:tabs>
          <w:tab w:leader="none" w:pos="120" w:val="left"/>
        </w:tabs>
        <w:numPr>
          <w:ilvl w:val="0"/>
          <w:numId w:val="55"/>
        </w:numPr>
        <w:rPr>
          <w:rFonts w:ascii="Arial" w:cs="Arial" w:eastAsia="Arial" w:hAnsi="Arial"/>
          <w:sz w:val="15"/>
          <w:szCs w:val="15"/>
          <w:color w:val="auto"/>
          <w:vertAlign w:val="superscript"/>
        </w:rPr>
      </w:pPr>
      <w:r>
        <w:rPr>
          <w:rFonts w:ascii="Arial" w:cs="Arial" w:eastAsia="Arial" w:hAnsi="Arial"/>
          <w:sz w:val="11"/>
          <w:szCs w:val="11"/>
          <w:color w:val="auto"/>
        </w:rPr>
        <w:t>Represents failed sale-leaseback arrangements.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2" w:name="page123"/>
    <w:bookmarkEnd w:id="12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Future annual maturities of long-term debt as of December 31, 2024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72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11"/>
        </w:trPr>
        <w:tc>
          <w:tcPr>
            <w:tcW w:w="9620" w:type="dxa"/>
            <w:vAlign w:val="bottom"/>
            <w:tcBorders>
              <w:top w:val="single" w:sz="8" w:color="auto"/>
            </w:tcBorders>
            <w:shd w:val="clear" w:color="auto" w:fill="D2DCE5"/>
          </w:tcPr>
          <w:p>
            <w:pPr>
              <w:ind w:left="20"/>
              <w:spacing w:after="0"/>
              <w:rPr>
                <w:sz w:val="20"/>
                <w:szCs w:val="20"/>
                <w:color w:val="auto"/>
              </w:rPr>
            </w:pPr>
            <w:r>
              <w:rPr>
                <w:rFonts w:ascii="Arial" w:cs="Arial" w:eastAsia="Arial" w:hAnsi="Arial"/>
                <w:sz w:val="14"/>
                <w:szCs w:val="14"/>
                <w:color w:val="131E29"/>
              </w:rPr>
              <w:t>2025</w:t>
            </w:r>
          </w:p>
        </w:tc>
        <w:tc>
          <w:tcPr>
            <w:tcW w:w="100" w:type="dxa"/>
            <w:vAlign w:val="bottom"/>
            <w:tcBorders>
              <w:top w:val="single" w:sz="8" w:color="D2DCE5"/>
            </w:tcBorders>
            <w:shd w:val="clear" w:color="auto" w:fill="D2DCE5"/>
          </w:tcPr>
          <w:p>
            <w:pPr>
              <w:spacing w:after="0"/>
              <w:rPr>
                <w:sz w:val="18"/>
                <w:szCs w:val="18"/>
                <w:color w:val="auto"/>
              </w:rPr>
            </w:pPr>
          </w:p>
        </w:tc>
        <w:tc>
          <w:tcPr>
            <w:tcW w:w="540" w:type="dxa"/>
            <w:vAlign w:val="bottom"/>
            <w:tcBorders>
              <w:top w:val="single" w:sz="8" w:color="auto"/>
            </w:tcBorders>
            <w:shd w:val="clear" w:color="auto" w:fill="D2DCE5"/>
          </w:tcPr>
          <w:p>
            <w:pPr>
              <w:jc w:val="right"/>
              <w:ind w:right="389"/>
              <w:spacing w:after="0"/>
              <w:rPr>
                <w:sz w:val="20"/>
                <w:szCs w:val="20"/>
                <w:color w:val="auto"/>
              </w:rPr>
            </w:pPr>
            <w:r>
              <w:rPr>
                <w:rFonts w:ascii="Arial" w:cs="Arial" w:eastAsia="Arial" w:hAnsi="Arial"/>
                <w:sz w:val="14"/>
                <w:szCs w:val="14"/>
                <w:color w:val="131E29"/>
                <w:w w:val="76"/>
              </w:rPr>
              <w:t>$</w:t>
            </w:r>
          </w:p>
        </w:tc>
        <w:tc>
          <w:tcPr>
            <w:tcW w:w="102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17,311</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32,943</w:t>
            </w:r>
          </w:p>
        </w:tc>
      </w:tr>
      <w:tr>
        <w:trPr>
          <w:trHeight w:val="222"/>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2027</w:t>
            </w:r>
          </w:p>
        </w:tc>
        <w:tc>
          <w:tcPr>
            <w:tcW w:w="100" w:type="dxa"/>
            <w:vAlign w:val="bottom"/>
            <w:shd w:val="clear" w:color="auto" w:fill="D2DCE5"/>
          </w:tcPr>
          <w:p>
            <w:pPr>
              <w:spacing w:after="0"/>
              <w:rPr>
                <w:sz w:val="19"/>
                <w:szCs w:val="19"/>
                <w:color w:val="auto"/>
              </w:rPr>
            </w:pPr>
          </w:p>
        </w:tc>
        <w:tc>
          <w:tcPr>
            <w:tcW w:w="54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184,733</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2"/>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2029</w:t>
            </w:r>
          </w:p>
        </w:tc>
        <w:tc>
          <w:tcPr>
            <w:tcW w:w="100" w:type="dxa"/>
            <w:vAlign w:val="bottom"/>
            <w:shd w:val="clear" w:color="auto" w:fill="D2DCE5"/>
          </w:tcPr>
          <w:p>
            <w:pPr>
              <w:spacing w:after="0"/>
              <w:rPr>
                <w:sz w:val="19"/>
                <w:szCs w:val="19"/>
                <w:color w:val="auto"/>
              </w:rPr>
            </w:pPr>
          </w:p>
        </w:tc>
        <w:tc>
          <w:tcPr>
            <w:tcW w:w="540" w:type="dxa"/>
            <w:vAlign w:val="bottom"/>
            <w:shd w:val="clear" w:color="auto" w:fill="D2DCE5"/>
          </w:tcPr>
          <w:p>
            <w:pPr>
              <w:spacing w:after="0"/>
              <w:rPr>
                <w:sz w:val="19"/>
                <w:szCs w:val="19"/>
                <w:color w:val="auto"/>
              </w:rPr>
            </w:pPr>
          </w:p>
        </w:tc>
        <w:tc>
          <w:tcPr>
            <w:tcW w:w="10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97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Thereafter</w:t>
            </w:r>
          </w:p>
        </w:tc>
        <w:tc>
          <w:tcPr>
            <w:tcW w:w="5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3,022</w:t>
            </w:r>
          </w:p>
        </w:tc>
      </w:tr>
      <w:tr>
        <w:trPr>
          <w:trHeight w:val="237"/>
        </w:trPr>
        <w:tc>
          <w:tcPr>
            <w:tcW w:w="9720" w:type="dxa"/>
            <w:vAlign w:val="bottom"/>
            <w:tcBorders>
              <w:bottom w:val="single" w:sz="8" w:color="D2DCE5"/>
            </w:tcBorders>
            <w:gridSpan w:val="2"/>
            <w:shd w:val="clear" w:color="auto" w:fill="D2DCE5"/>
          </w:tcPr>
          <w:p>
            <w:pPr>
              <w:ind w:left="140"/>
              <w:spacing w:after="0"/>
              <w:rPr>
                <w:sz w:val="20"/>
                <w:szCs w:val="20"/>
                <w:color w:val="auto"/>
              </w:rPr>
            </w:pPr>
            <w:r>
              <w:rPr>
                <w:rFonts w:ascii="Arial" w:cs="Arial" w:eastAsia="Arial" w:hAnsi="Arial"/>
                <w:sz w:val="14"/>
                <w:szCs w:val="14"/>
                <w:b w:val="1"/>
                <w:bCs w:val="1"/>
                <w:color w:val="131E29"/>
              </w:rPr>
              <w:t>Total</w:t>
            </w:r>
          </w:p>
        </w:tc>
        <w:tc>
          <w:tcPr>
            <w:tcW w:w="540" w:type="dxa"/>
            <w:vAlign w:val="bottom"/>
            <w:tcBorders>
              <w:bottom w:val="single" w:sz="8" w:color="auto"/>
            </w:tcBorders>
            <w:shd w:val="clear" w:color="auto" w:fill="D2DCE5"/>
          </w:tcPr>
          <w:p>
            <w:pPr>
              <w:jc w:val="right"/>
              <w:ind w:right="389"/>
              <w:spacing w:after="0"/>
              <w:rPr>
                <w:sz w:val="20"/>
                <w:szCs w:val="20"/>
                <w:color w:val="auto"/>
              </w:rPr>
            </w:pPr>
            <w:r>
              <w:rPr>
                <w:rFonts w:ascii="Arial" w:cs="Arial" w:eastAsia="Arial" w:hAnsi="Arial"/>
                <w:sz w:val="14"/>
                <w:szCs w:val="14"/>
                <w:b w:val="1"/>
                <w:bCs w:val="1"/>
                <w:color w:val="131E29"/>
                <w:w w:val="76"/>
              </w:rPr>
              <w:t>$</w:t>
            </w:r>
          </w:p>
        </w:tc>
        <w:tc>
          <w:tcPr>
            <w:tcW w:w="10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238,009</w:t>
            </w:r>
          </w:p>
        </w:tc>
      </w:tr>
      <w:tr>
        <w:trPr>
          <w:trHeight w:val="20"/>
        </w:trPr>
        <w:tc>
          <w:tcPr>
            <w:tcW w:w="96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40" w:type="dxa"/>
            <w:vAlign w:val="bottom"/>
            <w:tcBorders>
              <w:top w:val="single" w:sz="8" w:color="D2DCE5"/>
              <w:bottom w:val="single" w:sz="8" w:color="auto"/>
            </w:tcBorders>
          </w:tcPr>
          <w:p>
            <w:pPr>
              <w:spacing w:after="0" w:line="20" w:lineRule="exact"/>
              <w:rPr>
                <w:sz w:val="1"/>
                <w:szCs w:val="1"/>
                <w:color w:val="auto"/>
              </w:rPr>
            </w:pPr>
          </w:p>
        </w:tc>
        <w:tc>
          <w:tcPr>
            <w:tcW w:w="1020" w:type="dxa"/>
            <w:vAlign w:val="bottom"/>
            <w:tcBorders>
              <w:top w:val="single" w:sz="8" w:color="D2DCE5"/>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10 — Derivative Financial Instruments</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have a receive-variable (Receive Leg), pay-fixed (Pay Leg) interest rate swap with JPMorgan Chase Bank, N.A. As of December 31, 2024, the interest rate swap had a notional amount of approximately $63.9 million and hedges interest rate risk on the term loan under the 2022 Credit Facility. The interest rate swap matures on February 28, 2027, and has a fixed rate of 2.67% per annum for the Pay Leg. The variable rate on the Receive Leg of the interest rate swap is the one-month adjusted term SOFR plus an applicable margin. As of December 31, 2024, the one-month adjusted term SOFR was 4.36%.</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typically designate all interest rate swaps as cash flow hedges, and accordingly, record the change in fair value for the effective portion of the interest rate swap in AOCI rather than in current period earnings until the underlying hedged transaction affects earnings. As of December 31, 2024, we expect to reclassify a gain of approximately $1.0 million from AOCI to earnings within the next twelve months.</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Designated as a Level 2 instrument within the fair value hierarchy, the fair value and effect of the derivative instrument included in our consolidated financial statements was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374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131E29"/>
              </w:rPr>
              <w:t>Balance Sheets Classification</w:t>
            </w:r>
          </w:p>
        </w:tc>
        <w:tc>
          <w:tcPr>
            <w:tcW w:w="100" w:type="dxa"/>
            <w:vAlign w:val="bottom"/>
            <w:tcBorders>
              <w:bottom w:val="single" w:sz="8" w:color="D2DCE5"/>
            </w:tcBorders>
          </w:tcPr>
          <w:p>
            <w:pPr>
              <w:spacing w:after="0"/>
              <w:rPr>
                <w:sz w:val="17"/>
                <w:szCs w:val="17"/>
                <w:color w:val="auto"/>
              </w:rPr>
            </w:pPr>
          </w:p>
        </w:tc>
        <w:tc>
          <w:tcPr>
            <w:tcW w:w="160" w:type="dxa"/>
            <w:vAlign w:val="bottom"/>
            <w:tcBorders>
              <w:bottom w:val="single" w:sz="8" w:color="131E29"/>
            </w:tcBorders>
          </w:tcPr>
          <w:p>
            <w:pPr>
              <w:spacing w:after="0"/>
              <w:rPr>
                <w:sz w:val="17"/>
                <w:szCs w:val="17"/>
                <w:color w:val="auto"/>
              </w:rPr>
            </w:pPr>
          </w:p>
        </w:tc>
        <w:tc>
          <w:tcPr>
            <w:tcW w:w="1640" w:type="dxa"/>
            <w:vAlign w:val="bottom"/>
            <w:tcBorders>
              <w:bottom w:val="single" w:sz="8" w:color="131E29"/>
            </w:tcBorders>
          </w:tcPr>
          <w:p>
            <w:pPr>
              <w:jc w:val="right"/>
              <w:ind w:right="209"/>
              <w:spacing w:after="0"/>
              <w:rPr>
                <w:sz w:val="20"/>
                <w:szCs w:val="20"/>
                <w:color w:val="auto"/>
              </w:rPr>
            </w:pPr>
            <w:r>
              <w:rPr>
                <w:rFonts w:ascii="Arial" w:cs="Arial" w:eastAsia="Arial" w:hAnsi="Arial"/>
                <w:sz w:val="14"/>
                <w:szCs w:val="14"/>
                <w:b w:val="1"/>
                <w:bCs w:val="1"/>
                <w:color w:val="131E29"/>
              </w:rPr>
              <w:t>December 31, 2024</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131E29"/>
            </w:tcBorders>
          </w:tcPr>
          <w:p>
            <w:pPr>
              <w:spacing w:after="0"/>
              <w:rPr>
                <w:sz w:val="17"/>
                <w:szCs w:val="17"/>
                <w:color w:val="auto"/>
              </w:rPr>
            </w:pPr>
          </w:p>
        </w:tc>
        <w:tc>
          <w:tcPr>
            <w:tcW w:w="1620" w:type="dxa"/>
            <w:vAlign w:val="bottom"/>
            <w:tcBorders>
              <w:bottom w:val="single" w:sz="8" w:color="131E29"/>
            </w:tcBorders>
          </w:tcPr>
          <w:p>
            <w:pPr>
              <w:jc w:val="right"/>
              <w:ind w:right="189"/>
              <w:spacing w:after="0"/>
              <w:rPr>
                <w:sz w:val="20"/>
                <w:szCs w:val="20"/>
                <w:color w:val="auto"/>
              </w:rPr>
            </w:pPr>
            <w:r>
              <w:rPr>
                <w:rFonts w:ascii="Arial" w:cs="Arial" w:eastAsia="Arial" w:hAnsi="Arial"/>
                <w:sz w:val="14"/>
                <w:szCs w:val="14"/>
                <w:b w:val="1"/>
                <w:bCs w:val="1"/>
                <w:color w:val="131E29"/>
              </w:rPr>
              <w:t>December 31, 2023</w:t>
            </w:r>
          </w:p>
        </w:tc>
        <w:tc>
          <w:tcPr>
            <w:tcW w:w="0" w:type="dxa"/>
            <w:vAlign w:val="bottom"/>
          </w:tcPr>
          <w:p>
            <w:pPr>
              <w:spacing w:after="0"/>
              <w:rPr>
                <w:sz w:val="1"/>
                <w:szCs w:val="1"/>
                <w:color w:val="auto"/>
              </w:rPr>
            </w:pPr>
          </w:p>
        </w:tc>
      </w:tr>
      <w:tr>
        <w:trPr>
          <w:trHeight w:val="209"/>
        </w:trPr>
        <w:tc>
          <w:tcPr>
            <w:tcW w:w="37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Derivative instrument designated as cash flow hedge</w:t>
            </w:r>
          </w:p>
        </w:tc>
        <w:tc>
          <w:tcPr>
            <w:tcW w:w="374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160" w:type="dxa"/>
            <w:vAlign w:val="bottom"/>
            <w:shd w:val="clear" w:color="auto" w:fill="D2DCE5"/>
          </w:tcPr>
          <w:p>
            <w:pPr>
              <w:spacing w:after="0"/>
              <w:rPr>
                <w:sz w:val="18"/>
                <w:szCs w:val="18"/>
                <w:color w:val="auto"/>
              </w:rPr>
            </w:pPr>
          </w:p>
        </w:tc>
        <w:tc>
          <w:tcPr>
            <w:tcW w:w="16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spacing w:after="0"/>
              <w:rPr>
                <w:sz w:val="18"/>
                <w:szCs w:val="18"/>
                <w:color w:val="auto"/>
              </w:rPr>
            </w:pPr>
          </w:p>
        </w:tc>
        <w:tc>
          <w:tcPr>
            <w:tcW w:w="16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60" w:type="dxa"/>
            <w:vAlign w:val="bottom"/>
            <w:gridSpan w:val="2"/>
          </w:tcPr>
          <w:p>
            <w:pPr>
              <w:ind w:left="100"/>
              <w:spacing w:after="0"/>
              <w:rPr>
                <w:sz w:val="20"/>
                <w:szCs w:val="20"/>
                <w:color w:val="auto"/>
              </w:rPr>
            </w:pPr>
            <w:r>
              <w:rPr>
                <w:rFonts w:ascii="Arial" w:cs="Arial" w:eastAsia="Arial" w:hAnsi="Arial"/>
                <w:sz w:val="14"/>
                <w:szCs w:val="14"/>
                <w:color w:val="131E29"/>
              </w:rPr>
              <w:t>Interest rate swap contract</w:t>
            </w:r>
          </w:p>
        </w:tc>
        <w:tc>
          <w:tcPr>
            <w:tcW w:w="3840" w:type="dxa"/>
            <w:vAlign w:val="bottom"/>
            <w:gridSpan w:val="2"/>
          </w:tcPr>
          <w:p>
            <w:pPr>
              <w:spacing w:after="0"/>
              <w:rPr>
                <w:sz w:val="20"/>
                <w:szCs w:val="20"/>
                <w:color w:val="auto"/>
              </w:rPr>
            </w:pPr>
            <w:r>
              <w:rPr>
                <w:rFonts w:ascii="Arial" w:cs="Arial" w:eastAsia="Arial" w:hAnsi="Arial"/>
                <w:sz w:val="14"/>
                <w:szCs w:val="14"/>
                <w:color w:val="131E29"/>
              </w:rPr>
              <w:t>Prepaid expenses and other current assets</w:t>
            </w:r>
          </w:p>
        </w:tc>
        <w:tc>
          <w:tcPr>
            <w:tcW w:w="160" w:type="dxa"/>
            <w:vAlign w:val="bottom"/>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131E29"/>
              </w:rPr>
              <w:t>953</w:t>
            </w:r>
          </w:p>
        </w:tc>
        <w:tc>
          <w:tcPr>
            <w:tcW w:w="8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tcPr>
          <w:p>
            <w:pPr>
              <w:jc w:val="right"/>
              <w:spacing w:after="0"/>
              <w:rPr>
                <w:sz w:val="20"/>
                <w:szCs w:val="20"/>
                <w:color w:val="auto"/>
              </w:rPr>
            </w:pPr>
            <w:r>
              <w:rPr>
                <w:rFonts w:ascii="Arial" w:cs="Arial" w:eastAsia="Arial" w:hAnsi="Arial"/>
                <w:sz w:val="14"/>
                <w:szCs w:val="14"/>
                <w:color w:val="131E29"/>
              </w:rPr>
              <w:t>1,371</w:t>
            </w:r>
          </w:p>
        </w:tc>
        <w:tc>
          <w:tcPr>
            <w:tcW w:w="0" w:type="dxa"/>
            <w:vAlign w:val="bottom"/>
          </w:tcPr>
          <w:p>
            <w:pPr>
              <w:spacing w:after="0"/>
              <w:rPr>
                <w:sz w:val="1"/>
                <w:szCs w:val="1"/>
                <w:color w:val="auto"/>
              </w:rPr>
            </w:pPr>
          </w:p>
        </w:tc>
      </w:tr>
      <w:tr>
        <w:trPr>
          <w:trHeight w:val="222"/>
        </w:trPr>
        <w:tc>
          <w:tcPr>
            <w:tcW w:w="376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Interest rate swap contract</w:t>
            </w:r>
          </w:p>
        </w:tc>
        <w:tc>
          <w:tcPr>
            <w:tcW w:w="3840" w:type="dxa"/>
            <w:vAlign w:val="bottom"/>
            <w:gridSpan w:val="2"/>
            <w:shd w:val="clear" w:color="auto" w:fill="D2DCE5"/>
          </w:tcPr>
          <w:p>
            <w:pPr>
              <w:spacing w:after="0"/>
              <w:rPr>
                <w:sz w:val="20"/>
                <w:szCs w:val="20"/>
                <w:color w:val="auto"/>
              </w:rPr>
            </w:pPr>
            <w:r>
              <w:rPr>
                <w:rFonts w:ascii="Arial" w:cs="Arial" w:eastAsia="Arial" w:hAnsi="Arial"/>
                <w:sz w:val="14"/>
                <w:szCs w:val="14"/>
                <w:color w:val="131E29"/>
              </w:rPr>
              <w:t>Other long-term assets</w:t>
            </w:r>
          </w:p>
        </w:tc>
        <w:tc>
          <w:tcPr>
            <w:tcW w:w="160" w:type="dxa"/>
            <w:vAlign w:val="bottom"/>
            <w:tcBorders>
              <w:bottom w:val="single" w:sz="8" w:color="auto"/>
            </w:tcBorders>
            <w:shd w:val="clear" w:color="auto" w:fill="D2DCE5"/>
          </w:tcPr>
          <w:p>
            <w:pPr>
              <w:spacing w:after="0"/>
              <w:rPr>
                <w:sz w:val="19"/>
                <w:szCs w:val="19"/>
                <w:color w:val="auto"/>
              </w:rPr>
            </w:pP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832</w:t>
            </w:r>
          </w:p>
        </w:tc>
        <w:tc>
          <w:tcPr>
            <w:tcW w:w="80" w:type="dxa"/>
            <w:vAlign w:val="bottom"/>
            <w:shd w:val="clear" w:color="auto" w:fill="D2DCE5"/>
          </w:tcPr>
          <w:p>
            <w:pPr>
              <w:spacing w:after="0"/>
              <w:rPr>
                <w:sz w:val="19"/>
                <w:szCs w:val="19"/>
                <w:color w:val="auto"/>
              </w:rPr>
            </w:pPr>
          </w:p>
        </w:tc>
        <w:tc>
          <w:tcPr>
            <w:tcW w:w="180" w:type="dxa"/>
            <w:vAlign w:val="bottom"/>
            <w:tcBorders>
              <w:bottom w:val="single" w:sz="8" w:color="auto"/>
            </w:tcBorders>
            <w:shd w:val="clear" w:color="auto" w:fill="D2DCE5"/>
          </w:tcPr>
          <w:p>
            <w:pPr>
              <w:spacing w:after="0"/>
              <w:rPr>
                <w:sz w:val="19"/>
                <w:szCs w:val="19"/>
                <w:color w:val="auto"/>
              </w:rPr>
            </w:pP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837</w:t>
            </w:r>
          </w:p>
        </w:tc>
        <w:tc>
          <w:tcPr>
            <w:tcW w:w="0" w:type="dxa"/>
            <w:vAlign w:val="bottom"/>
          </w:tcPr>
          <w:p>
            <w:pPr>
              <w:spacing w:after="0"/>
              <w:rPr>
                <w:sz w:val="1"/>
                <w:szCs w:val="1"/>
                <w:color w:val="auto"/>
              </w:rPr>
            </w:pPr>
          </w:p>
        </w:tc>
      </w:tr>
      <w:tr>
        <w:trPr>
          <w:trHeight w:val="156"/>
        </w:trPr>
        <w:tc>
          <w:tcPr>
            <w:tcW w:w="376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131E29"/>
              </w:rPr>
              <w:t>Total derivative instrument designated as cash flow</w:t>
            </w:r>
          </w:p>
        </w:tc>
        <w:tc>
          <w:tcPr>
            <w:tcW w:w="3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131E29"/>
                <w:w w:val="76"/>
              </w:rPr>
              <w:t>$</w:t>
            </w: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1,785</w:t>
            </w:r>
          </w:p>
        </w:tc>
        <w:tc>
          <w:tcPr>
            <w:tcW w:w="80" w:type="dxa"/>
            <w:vAlign w:val="bottom"/>
          </w:tcPr>
          <w:p>
            <w:pPr>
              <w:spacing w:after="0"/>
              <w:rPr>
                <w:sz w:val="13"/>
                <w:szCs w:val="13"/>
                <w:color w:val="auto"/>
              </w:rPr>
            </w:pPr>
          </w:p>
        </w:tc>
        <w:tc>
          <w:tcPr>
            <w:tcW w:w="18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131E29"/>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b w:val="1"/>
                <w:bCs w:val="1"/>
                <w:color w:val="131E29"/>
              </w:rPr>
              <w:t>2,208</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Arial" w:cs="Arial" w:eastAsia="Arial" w:hAnsi="Arial"/>
                <w:sz w:val="14"/>
                <w:szCs w:val="14"/>
                <w:b w:val="1"/>
                <w:bCs w:val="1"/>
                <w:color w:val="131E29"/>
              </w:rPr>
              <w:t>hedge</w:t>
            </w:r>
          </w:p>
        </w:tc>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3" w:name="page124"/>
    <w:bookmarkEnd w:id="12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7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131E29"/>
              </w:rPr>
              <w:t>Financial Statements Classification</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r>
      <w:tr>
        <w:trPr>
          <w:trHeight w:val="173"/>
        </w:trPr>
        <w:tc>
          <w:tcPr>
            <w:tcW w:w="35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Derivative instrument designated as cash flow</w:t>
            </w:r>
          </w:p>
        </w:tc>
        <w:tc>
          <w:tcPr>
            <w:tcW w:w="276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60" w:type="dxa"/>
            <w:vAlign w:val="bottom"/>
            <w:shd w:val="clear" w:color="auto" w:fill="D2DCE5"/>
          </w:tcPr>
          <w:p>
            <w:pPr>
              <w:spacing w:after="0"/>
              <w:rPr>
                <w:sz w:val="15"/>
                <w:szCs w:val="15"/>
                <w:color w:val="auto"/>
              </w:rPr>
            </w:pPr>
          </w:p>
        </w:tc>
        <w:tc>
          <w:tcPr>
            <w:tcW w:w="1220" w:type="dxa"/>
            <w:vAlign w:val="bottom"/>
            <w:shd w:val="clear" w:color="auto" w:fill="D2DCE5"/>
          </w:tcPr>
          <w:p>
            <w:pPr>
              <w:spacing w:after="0"/>
              <w:rPr>
                <w:sz w:val="15"/>
                <w:szCs w:val="15"/>
                <w:color w:val="auto"/>
              </w:rPr>
            </w:pPr>
          </w:p>
        </w:tc>
        <w:tc>
          <w:tcPr>
            <w:tcW w:w="80" w:type="dxa"/>
            <w:vAlign w:val="bottom"/>
            <w:shd w:val="clear" w:color="auto" w:fill="D2DCE5"/>
          </w:tcPr>
          <w:p>
            <w:pPr>
              <w:spacing w:after="0"/>
              <w:rPr>
                <w:sz w:val="15"/>
                <w:szCs w:val="15"/>
                <w:color w:val="auto"/>
              </w:rPr>
            </w:pPr>
          </w:p>
        </w:tc>
        <w:tc>
          <w:tcPr>
            <w:tcW w:w="360" w:type="dxa"/>
            <w:vAlign w:val="bottom"/>
            <w:shd w:val="clear" w:color="auto" w:fill="D2DCE5"/>
          </w:tcPr>
          <w:p>
            <w:pPr>
              <w:spacing w:after="0"/>
              <w:rPr>
                <w:sz w:val="15"/>
                <w:szCs w:val="15"/>
                <w:color w:val="auto"/>
              </w:rPr>
            </w:pPr>
          </w:p>
        </w:tc>
        <w:tc>
          <w:tcPr>
            <w:tcW w:w="12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360" w:type="dxa"/>
            <w:vAlign w:val="bottom"/>
            <w:shd w:val="clear" w:color="auto" w:fill="D2DCE5"/>
          </w:tcPr>
          <w:p>
            <w:pPr>
              <w:spacing w:after="0"/>
              <w:rPr>
                <w:sz w:val="15"/>
                <w:szCs w:val="15"/>
                <w:color w:val="auto"/>
              </w:rPr>
            </w:pPr>
          </w:p>
        </w:tc>
        <w:tc>
          <w:tcPr>
            <w:tcW w:w="1200" w:type="dxa"/>
            <w:vAlign w:val="bottom"/>
            <w:shd w:val="clear" w:color="auto" w:fill="D2DCE5"/>
          </w:tcPr>
          <w:p>
            <w:pPr>
              <w:spacing w:after="0"/>
              <w:rPr>
                <w:sz w:val="15"/>
                <w:szCs w:val="15"/>
                <w:color w:val="auto"/>
              </w:rPr>
            </w:pPr>
          </w:p>
        </w:tc>
      </w:tr>
      <w:tr>
        <w:trPr>
          <w:trHeight w:val="206"/>
        </w:trPr>
        <w:tc>
          <w:tcPr>
            <w:tcW w:w="356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hedge</w:t>
            </w:r>
          </w:p>
        </w:tc>
        <w:tc>
          <w:tcPr>
            <w:tcW w:w="27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spacing w:after="0"/>
              <w:rPr>
                <w:sz w:val="17"/>
                <w:szCs w:val="17"/>
                <w:color w:val="auto"/>
              </w:rPr>
            </w:pPr>
          </w:p>
        </w:tc>
      </w:tr>
      <w:tr>
        <w:trPr>
          <w:trHeight w:val="176"/>
        </w:trPr>
        <w:tc>
          <w:tcPr>
            <w:tcW w:w="3560" w:type="dxa"/>
            <w:vAlign w:val="bottom"/>
            <w:gridSpan w:val="2"/>
          </w:tcPr>
          <w:p>
            <w:pPr>
              <w:ind w:left="100"/>
              <w:spacing w:after="0"/>
              <w:rPr>
                <w:sz w:val="20"/>
                <w:szCs w:val="20"/>
                <w:color w:val="auto"/>
              </w:rPr>
            </w:pPr>
            <w:r>
              <w:rPr>
                <w:rFonts w:ascii="Arial" w:cs="Arial" w:eastAsia="Arial" w:hAnsi="Arial"/>
                <w:sz w:val="14"/>
                <w:szCs w:val="14"/>
                <w:color w:val="131E29"/>
              </w:rPr>
              <w:t>Income recognized in other comprehensive income</w:t>
            </w:r>
          </w:p>
        </w:tc>
        <w:tc>
          <w:tcPr>
            <w:tcW w:w="2840" w:type="dxa"/>
            <w:vAlign w:val="bottom"/>
            <w:gridSpan w:val="2"/>
          </w:tcPr>
          <w:p>
            <w:pPr>
              <w:ind w:left="20"/>
              <w:spacing w:after="0"/>
              <w:rPr>
                <w:sz w:val="20"/>
                <w:szCs w:val="20"/>
                <w:color w:val="auto"/>
              </w:rPr>
            </w:pPr>
            <w:r>
              <w:rPr>
                <w:rFonts w:ascii="Arial" w:cs="Arial" w:eastAsia="Arial" w:hAnsi="Arial"/>
                <w:sz w:val="14"/>
                <w:szCs w:val="14"/>
                <w:color w:val="131E29"/>
              </w:rPr>
              <w:t>Statements of Comprehensive Income</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3560" w:type="dxa"/>
            <w:vAlign w:val="bottom"/>
            <w:gridSpan w:val="2"/>
          </w:tcPr>
          <w:p>
            <w:pPr>
              <w:ind w:left="100"/>
              <w:spacing w:after="0"/>
              <w:rPr>
                <w:sz w:val="20"/>
                <w:szCs w:val="20"/>
                <w:color w:val="auto"/>
              </w:rPr>
            </w:pPr>
            <w:r>
              <w:rPr>
                <w:rFonts w:ascii="Arial" w:cs="Arial" w:eastAsia="Arial" w:hAnsi="Arial"/>
                <w:sz w:val="14"/>
                <w:szCs w:val="14"/>
                <w:color w:val="131E29"/>
              </w:rPr>
              <w:t>before reclassifications</w:t>
            </w:r>
          </w:p>
        </w:tc>
        <w:tc>
          <w:tcPr>
            <w:tcW w:w="2840" w:type="dxa"/>
            <w:vAlign w:val="bottom"/>
            <w:gridSpan w:val="2"/>
          </w:tcPr>
          <w:p>
            <w:pPr>
              <w:ind w:left="20"/>
              <w:spacing w:after="0"/>
              <w:rPr>
                <w:sz w:val="20"/>
                <w:szCs w:val="20"/>
                <w:color w:val="auto"/>
              </w:rPr>
            </w:pPr>
            <w:r>
              <w:rPr>
                <w:rFonts w:ascii="Arial" w:cs="Arial" w:eastAsia="Arial" w:hAnsi="Arial"/>
                <w:sz w:val="14"/>
                <w:szCs w:val="14"/>
                <w:color w:val="131E29"/>
              </w:rPr>
              <w:t>(Loss)</w:t>
            </w:r>
          </w:p>
        </w:tc>
        <w:tc>
          <w:tcPr>
            <w:tcW w:w="360" w:type="dxa"/>
            <w:vAlign w:val="bottom"/>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tcPr>
          <w:p>
            <w:pPr>
              <w:jc w:val="right"/>
              <w:spacing w:after="0"/>
              <w:rPr>
                <w:sz w:val="20"/>
                <w:szCs w:val="20"/>
                <w:color w:val="auto"/>
              </w:rPr>
            </w:pPr>
            <w:r>
              <w:rPr>
                <w:rFonts w:ascii="Arial" w:cs="Arial" w:eastAsia="Arial" w:hAnsi="Arial"/>
                <w:sz w:val="14"/>
                <w:szCs w:val="14"/>
                <w:color w:val="131E29"/>
              </w:rPr>
              <w:t>1,661</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954</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2,966</w:t>
            </w:r>
          </w:p>
        </w:tc>
      </w:tr>
      <w:tr>
        <w:trPr>
          <w:trHeight w:val="186"/>
        </w:trPr>
        <w:tc>
          <w:tcPr>
            <w:tcW w:w="356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Reclassification from accumulated other</w:t>
            </w:r>
          </w:p>
        </w:tc>
        <w:tc>
          <w:tcPr>
            <w:tcW w:w="27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60" w:type="dxa"/>
            <w:vAlign w:val="bottom"/>
            <w:shd w:val="clear" w:color="auto" w:fill="D2DCE5"/>
          </w:tcPr>
          <w:p>
            <w:pPr>
              <w:spacing w:after="0"/>
              <w:rPr>
                <w:sz w:val="16"/>
                <w:szCs w:val="16"/>
                <w:color w:val="auto"/>
              </w:rPr>
            </w:pPr>
          </w:p>
        </w:tc>
        <w:tc>
          <w:tcPr>
            <w:tcW w:w="12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60" w:type="dxa"/>
            <w:vAlign w:val="bottom"/>
            <w:shd w:val="clear" w:color="auto" w:fill="D2DCE5"/>
          </w:tcPr>
          <w:p>
            <w:pPr>
              <w:spacing w:after="0"/>
              <w:rPr>
                <w:sz w:val="16"/>
                <w:szCs w:val="16"/>
                <w:color w:val="auto"/>
              </w:rPr>
            </w:pPr>
          </w:p>
        </w:tc>
        <w:tc>
          <w:tcPr>
            <w:tcW w:w="12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60" w:type="dxa"/>
            <w:vAlign w:val="bottom"/>
            <w:shd w:val="clear" w:color="auto" w:fill="D2DCE5"/>
          </w:tcPr>
          <w:p>
            <w:pPr>
              <w:spacing w:after="0"/>
              <w:rPr>
                <w:sz w:val="16"/>
                <w:szCs w:val="16"/>
                <w:color w:val="auto"/>
              </w:rPr>
            </w:pPr>
          </w:p>
        </w:tc>
        <w:tc>
          <w:tcPr>
            <w:tcW w:w="1200" w:type="dxa"/>
            <w:vAlign w:val="bottom"/>
            <w:shd w:val="clear" w:color="auto" w:fill="D2DCE5"/>
          </w:tcPr>
          <w:p>
            <w:pPr>
              <w:spacing w:after="0"/>
              <w:rPr>
                <w:sz w:val="16"/>
                <w:szCs w:val="16"/>
                <w:color w:val="auto"/>
              </w:rPr>
            </w:pPr>
          </w:p>
        </w:tc>
      </w:tr>
      <w:tr>
        <w:trPr>
          <w:trHeight w:val="170"/>
        </w:trPr>
        <w:tc>
          <w:tcPr>
            <w:tcW w:w="356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comprehensive income to earnings for the effective</w:t>
            </w:r>
          </w:p>
        </w:tc>
        <w:tc>
          <w:tcPr>
            <w:tcW w:w="28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Statements of Operations - Interest</w:t>
            </w:r>
          </w:p>
        </w:tc>
        <w:tc>
          <w:tcPr>
            <w:tcW w:w="360" w:type="dxa"/>
            <w:vAlign w:val="bottom"/>
            <w:shd w:val="clear" w:color="auto" w:fill="D2DCE5"/>
          </w:tcPr>
          <w:p>
            <w:pPr>
              <w:spacing w:after="0"/>
              <w:rPr>
                <w:sz w:val="14"/>
                <w:szCs w:val="14"/>
                <w:color w:val="auto"/>
              </w:rPr>
            </w:pPr>
          </w:p>
        </w:tc>
        <w:tc>
          <w:tcPr>
            <w:tcW w:w="12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60" w:type="dxa"/>
            <w:vAlign w:val="bottom"/>
            <w:shd w:val="clear" w:color="auto" w:fill="D2DCE5"/>
          </w:tcPr>
          <w:p>
            <w:pPr>
              <w:spacing w:after="0"/>
              <w:rPr>
                <w:sz w:val="14"/>
                <w:szCs w:val="14"/>
                <w:color w:val="auto"/>
              </w:rPr>
            </w:pPr>
          </w:p>
        </w:tc>
        <w:tc>
          <w:tcPr>
            <w:tcW w:w="12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60" w:type="dxa"/>
            <w:vAlign w:val="bottom"/>
            <w:shd w:val="clear" w:color="auto" w:fill="D2DCE5"/>
          </w:tcPr>
          <w:p>
            <w:pPr>
              <w:spacing w:after="0"/>
              <w:rPr>
                <w:sz w:val="14"/>
                <w:szCs w:val="14"/>
                <w:color w:val="auto"/>
              </w:rPr>
            </w:pPr>
          </w:p>
        </w:tc>
        <w:tc>
          <w:tcPr>
            <w:tcW w:w="1200" w:type="dxa"/>
            <w:vAlign w:val="bottom"/>
            <w:shd w:val="clear" w:color="auto" w:fill="D2DCE5"/>
          </w:tcPr>
          <w:p>
            <w:pPr>
              <w:spacing w:after="0"/>
              <w:rPr>
                <w:sz w:val="14"/>
                <w:szCs w:val="14"/>
                <w:color w:val="auto"/>
              </w:rPr>
            </w:pPr>
          </w:p>
        </w:tc>
      </w:tr>
      <w:tr>
        <w:trPr>
          <w:trHeight w:val="206"/>
        </w:trPr>
        <w:tc>
          <w:tcPr>
            <w:tcW w:w="356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portion</w:t>
            </w:r>
          </w:p>
        </w:tc>
        <w:tc>
          <w:tcPr>
            <w:tcW w:w="28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expense, net</w:t>
            </w:r>
          </w:p>
        </w:tc>
        <w:tc>
          <w:tcPr>
            <w:tcW w:w="360" w:type="dxa"/>
            <w:vAlign w:val="bottom"/>
            <w:shd w:val="clear" w:color="auto" w:fill="D2DCE5"/>
          </w:tcPr>
          <w:p>
            <w:pPr>
              <w:spacing w:after="0"/>
              <w:rPr>
                <w:sz w:val="17"/>
                <w:szCs w:val="17"/>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(1,745)</w:t>
            </w:r>
          </w:p>
        </w:tc>
        <w:tc>
          <w:tcPr>
            <w:tcW w:w="8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(1,692)</w:t>
            </w:r>
          </w:p>
        </w:tc>
        <w:tc>
          <w:tcPr>
            <w:tcW w:w="10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215</w:t>
            </w:r>
          </w:p>
        </w:tc>
      </w:tr>
      <w:tr>
        <w:trPr>
          <w:trHeight w:val="176"/>
        </w:trPr>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2"/>
          </w:tcPr>
          <w:p>
            <w:pPr>
              <w:ind w:left="20"/>
              <w:spacing w:after="0"/>
              <w:rPr>
                <w:sz w:val="20"/>
                <w:szCs w:val="20"/>
                <w:color w:val="auto"/>
              </w:rPr>
            </w:pPr>
            <w:r>
              <w:rPr>
                <w:rFonts w:ascii="Arial" w:cs="Arial" w:eastAsia="Arial" w:hAnsi="Arial"/>
                <w:sz w:val="14"/>
                <w:szCs w:val="14"/>
                <w:color w:val="131E29"/>
              </w:rPr>
              <w:t>Statements of Operations - Income tax</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6"/>
        </w:trPr>
        <w:tc>
          <w:tcPr>
            <w:tcW w:w="3560" w:type="dxa"/>
            <w:vAlign w:val="bottom"/>
            <w:gridSpan w:val="2"/>
          </w:tcPr>
          <w:p>
            <w:pPr>
              <w:ind w:left="100"/>
              <w:spacing w:after="0"/>
              <w:rPr>
                <w:sz w:val="20"/>
                <w:szCs w:val="20"/>
                <w:color w:val="auto"/>
              </w:rPr>
            </w:pPr>
            <w:r>
              <w:rPr>
                <w:rFonts w:ascii="Arial" w:cs="Arial" w:eastAsia="Arial" w:hAnsi="Arial"/>
                <w:sz w:val="14"/>
                <w:szCs w:val="14"/>
                <w:color w:val="131E29"/>
              </w:rPr>
              <w:t>Income tax benefit (expense)</w:t>
            </w:r>
          </w:p>
        </w:tc>
        <w:tc>
          <w:tcPr>
            <w:tcW w:w="2840" w:type="dxa"/>
            <w:vAlign w:val="bottom"/>
            <w:gridSpan w:val="2"/>
          </w:tcPr>
          <w:p>
            <w:pPr>
              <w:ind w:left="20"/>
              <w:spacing w:after="0"/>
              <w:rPr>
                <w:sz w:val="20"/>
                <w:szCs w:val="20"/>
                <w:color w:val="auto"/>
              </w:rPr>
            </w:pPr>
            <w:r>
              <w:rPr>
                <w:rFonts w:ascii="Arial" w:cs="Arial" w:eastAsia="Arial" w:hAnsi="Arial"/>
                <w:sz w:val="14"/>
                <w:szCs w:val="14"/>
                <w:color w:val="131E29"/>
              </w:rPr>
              <w:t>expense</w:t>
            </w: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83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(273)</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11 — Tax Receivable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The changes related to our TRAs liability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December 31, 2024</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131E29"/>
              </w:rPr>
              <w:t>December 31, 2023</w:t>
            </w:r>
          </w:p>
        </w:tc>
      </w:tr>
      <w:tr>
        <w:trPr>
          <w:trHeight w:val="209"/>
        </w:trPr>
        <w:tc>
          <w:tcPr>
            <w:tcW w:w="76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Beginning balance</w:t>
            </w:r>
          </w:p>
        </w:tc>
        <w:tc>
          <w:tcPr>
            <w:tcW w:w="16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290,920</w:t>
            </w:r>
          </w:p>
        </w:tc>
        <w:tc>
          <w:tcPr>
            <w:tcW w:w="80" w:type="dxa"/>
            <w:vAlign w:val="bottom"/>
            <w:shd w:val="clear" w:color="auto" w:fill="D2DCE5"/>
          </w:tcPr>
          <w:p>
            <w:pPr>
              <w:spacing w:after="0"/>
              <w:rPr>
                <w:sz w:val="18"/>
                <w:szCs w:val="18"/>
                <w:color w:val="auto"/>
              </w:rPr>
            </w:pPr>
          </w:p>
        </w:tc>
        <w:tc>
          <w:tcPr>
            <w:tcW w:w="18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220,923</w:t>
            </w:r>
          </w:p>
        </w:tc>
      </w:tr>
      <w:tr>
        <w:trPr>
          <w:trHeight w:val="202"/>
        </w:trPr>
        <w:tc>
          <w:tcPr>
            <w:tcW w:w="7600" w:type="dxa"/>
            <w:vAlign w:val="bottom"/>
            <w:gridSpan w:val="2"/>
          </w:tcPr>
          <w:p>
            <w:pPr>
              <w:ind w:left="140"/>
              <w:spacing w:after="0"/>
              <w:rPr>
                <w:sz w:val="20"/>
                <w:szCs w:val="20"/>
                <w:color w:val="auto"/>
              </w:rPr>
            </w:pPr>
            <w:r>
              <w:rPr>
                <w:rFonts w:ascii="Arial" w:cs="Arial" w:eastAsia="Arial" w:hAnsi="Arial"/>
                <w:sz w:val="14"/>
                <w:szCs w:val="14"/>
                <w:color w:val="131E29"/>
              </w:rPr>
              <w:t>Additions (reductions) to TRAs: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22"/>
        </w:trPr>
        <w:tc>
          <w:tcPr>
            <w:tcW w:w="760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Exchange of Dutch Bros OpCo Class A common units for Class A common stock</w:t>
            </w:r>
          </w:p>
        </w:tc>
        <w:tc>
          <w:tcPr>
            <w:tcW w:w="160" w:type="dxa"/>
            <w:vAlign w:val="bottom"/>
            <w:shd w:val="clear" w:color="auto" w:fill="D2DCE5"/>
          </w:tcPr>
          <w:p>
            <w:pPr>
              <w:spacing w:after="0"/>
              <w:rPr>
                <w:sz w:val="19"/>
                <w:szCs w:val="19"/>
                <w:color w:val="auto"/>
              </w:rPr>
            </w:pP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341,161</w:t>
            </w:r>
          </w:p>
        </w:tc>
        <w:tc>
          <w:tcPr>
            <w:tcW w:w="80" w:type="dxa"/>
            <w:vAlign w:val="bottom"/>
            <w:shd w:val="clear" w:color="auto" w:fill="D2DCE5"/>
          </w:tcPr>
          <w:p>
            <w:pPr>
              <w:spacing w:after="0"/>
              <w:rPr>
                <w:sz w:val="19"/>
                <w:szCs w:val="19"/>
                <w:color w:val="auto"/>
              </w:rPr>
            </w:pPr>
          </w:p>
        </w:tc>
        <w:tc>
          <w:tcPr>
            <w:tcW w:w="180" w:type="dxa"/>
            <w:vAlign w:val="bottom"/>
            <w:shd w:val="clear" w:color="auto" w:fill="D2DCE5"/>
          </w:tcPr>
          <w:p>
            <w:pPr>
              <w:spacing w:after="0"/>
              <w:rPr>
                <w:sz w:val="19"/>
                <w:szCs w:val="19"/>
                <w:color w:val="auto"/>
              </w:rPr>
            </w:pP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72,635</w:t>
            </w:r>
          </w:p>
        </w:tc>
      </w:tr>
      <w:tr>
        <w:trPr>
          <w:trHeight w:val="212"/>
        </w:trPr>
        <w:tc>
          <w:tcPr>
            <w:tcW w:w="760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 xml:space="preserve">TRAs remeasurements </w:t>
            </w:r>
            <w:r>
              <w:rPr>
                <w:rFonts w:ascii="Arial" w:cs="Arial" w:eastAsia="Arial" w:hAnsi="Arial"/>
                <w:sz w:val="18"/>
                <w:szCs w:val="18"/>
                <w:color w:val="131E29"/>
                <w:vertAlign w:val="superscript"/>
              </w:rPr>
              <w:t>1</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(4,247)</w:t>
            </w:r>
          </w:p>
        </w:tc>
        <w:tc>
          <w:tcPr>
            <w:tcW w:w="80" w:type="dxa"/>
            <w:vAlign w:val="bottom"/>
            <w:tcBorders>
              <w:bottom w:val="single" w:sz="8" w:color="D2DCE5"/>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(2,638)</w:t>
            </w:r>
          </w:p>
        </w:tc>
      </w:tr>
      <w:tr>
        <w:trPr>
          <w:trHeight w:val="203"/>
        </w:trPr>
        <w:tc>
          <w:tcPr>
            <w:tcW w:w="76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Ending balance</w:t>
            </w:r>
          </w:p>
        </w:tc>
        <w:tc>
          <w:tcPr>
            <w:tcW w:w="16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w w:val="76"/>
              </w:rPr>
              <w:t>$</w:t>
            </w:r>
          </w:p>
        </w:tc>
        <w:tc>
          <w:tcPr>
            <w:tcW w:w="16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627,834</w:t>
            </w:r>
          </w:p>
        </w:tc>
        <w:tc>
          <w:tcPr>
            <w:tcW w:w="80" w:type="dxa"/>
            <w:vAlign w:val="bottom"/>
            <w:shd w:val="clear" w:color="auto" w:fill="D2DCE5"/>
          </w:tcPr>
          <w:p>
            <w:pPr>
              <w:spacing w:after="0"/>
              <w:rPr>
                <w:sz w:val="17"/>
                <w:szCs w:val="17"/>
                <w:color w:val="auto"/>
              </w:rPr>
            </w:pPr>
          </w:p>
        </w:tc>
        <w:tc>
          <w:tcPr>
            <w:tcW w:w="180" w:type="dxa"/>
            <w:vAlign w:val="bottom"/>
            <w:shd w:val="clear" w:color="auto" w:fill="D2DCE5"/>
          </w:tcPr>
          <w:p>
            <w:pPr>
              <w:jc w:val="right"/>
              <w:ind w:right="9"/>
              <w:spacing w:after="0"/>
              <w:rPr>
                <w:sz w:val="20"/>
                <w:szCs w:val="20"/>
                <w:color w:val="auto"/>
              </w:rPr>
            </w:pPr>
            <w:r>
              <w:rPr>
                <w:rFonts w:ascii="Arial" w:cs="Arial" w:eastAsia="Arial" w:hAnsi="Arial"/>
                <w:sz w:val="14"/>
                <w:szCs w:val="14"/>
                <w:color w:val="131E29"/>
              </w:rPr>
              <w:t>$</w:t>
            </w:r>
          </w:p>
        </w:tc>
        <w:tc>
          <w:tcPr>
            <w:tcW w:w="16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290,920</w:t>
            </w:r>
          </w:p>
        </w:tc>
      </w:tr>
      <w:tr>
        <w:trPr>
          <w:trHeight w:val="203"/>
        </w:trPr>
        <w:tc>
          <w:tcPr>
            <w:tcW w:w="76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Less: current portion</w:t>
            </w: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(71)</w:t>
            </w:r>
          </w:p>
        </w:tc>
        <w:tc>
          <w:tcPr>
            <w:tcW w:w="80" w:type="dxa"/>
            <w:vAlign w:val="bottom"/>
            <w:tcBorders>
              <w:bottom w:val="single" w:sz="8" w:color="D2DCE5"/>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r>
      <w:tr>
        <w:trPr>
          <w:trHeight w:val="237"/>
        </w:trPr>
        <w:tc>
          <w:tcPr>
            <w:tcW w:w="760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TRAs liability, net of current portion</w:t>
            </w:r>
          </w:p>
        </w:tc>
        <w:tc>
          <w:tcPr>
            <w:tcW w:w="16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b w:val="1"/>
                <w:bCs w:val="1"/>
                <w:color w:val="131E29"/>
                <w:w w:val="76"/>
              </w:rPr>
              <w:t>$</w:t>
            </w:r>
          </w:p>
        </w:tc>
        <w:tc>
          <w:tcPr>
            <w:tcW w:w="16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627,763</w:t>
            </w:r>
          </w:p>
        </w:tc>
        <w:tc>
          <w:tcPr>
            <w:tcW w:w="80" w:type="dxa"/>
            <w:vAlign w:val="bottom"/>
            <w:tcBorders>
              <w:bottom w:val="single" w:sz="8" w:color="D2DCE5"/>
            </w:tcBorders>
            <w:shd w:val="clear" w:color="auto" w:fill="D2DCE5"/>
          </w:tcPr>
          <w:p>
            <w:pPr>
              <w:spacing w:after="0"/>
              <w:rPr>
                <w:sz w:val="20"/>
                <w:szCs w:val="20"/>
                <w:color w:val="auto"/>
              </w:rPr>
            </w:pPr>
          </w:p>
        </w:tc>
        <w:tc>
          <w:tcPr>
            <w:tcW w:w="180" w:type="dxa"/>
            <w:vAlign w:val="bottom"/>
            <w:tcBorders>
              <w:bottom w:val="single" w:sz="8" w:color="auto"/>
            </w:tcBorders>
            <w:shd w:val="clear" w:color="auto" w:fill="D2DCE5"/>
          </w:tcPr>
          <w:p>
            <w:pPr>
              <w:jc w:val="right"/>
              <w:ind w:right="9"/>
              <w:spacing w:after="0"/>
              <w:rPr>
                <w:sz w:val="20"/>
                <w:szCs w:val="20"/>
                <w:color w:val="auto"/>
              </w:rPr>
            </w:pPr>
            <w:r>
              <w:rPr>
                <w:rFonts w:ascii="Arial" w:cs="Arial" w:eastAsia="Arial" w:hAnsi="Arial"/>
                <w:sz w:val="14"/>
                <w:szCs w:val="14"/>
                <w:b w:val="1"/>
                <w:bCs w:val="1"/>
                <w:color w:val="131E29"/>
              </w:rPr>
              <w:t>$</w:t>
            </w:r>
          </w:p>
        </w:tc>
        <w:tc>
          <w:tcPr>
            <w:tcW w:w="16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290,920</w:t>
            </w:r>
          </w:p>
        </w:tc>
      </w:tr>
      <w:tr>
        <w:trPr>
          <w:trHeight w:val="20"/>
        </w:trPr>
        <w:tc>
          <w:tcPr>
            <w:tcW w:w="750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60" w:type="dxa"/>
            <w:vAlign w:val="bottom"/>
            <w:tcBorders>
              <w:top w:val="single" w:sz="8" w:color="D2DCE5"/>
              <w:bottom w:val="single" w:sz="8" w:color="auto"/>
            </w:tcBorders>
          </w:tcPr>
          <w:p>
            <w:pPr>
              <w:spacing w:after="0" w:line="20" w:lineRule="exact"/>
              <w:rPr>
                <w:sz w:val="1"/>
                <w:szCs w:val="1"/>
                <w:color w:val="auto"/>
              </w:rPr>
            </w:pPr>
          </w:p>
        </w:tc>
        <w:tc>
          <w:tcPr>
            <w:tcW w:w="164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80" w:type="dxa"/>
            <w:vAlign w:val="bottom"/>
            <w:tcBorders>
              <w:top w:val="single" w:sz="8" w:color="D2DCE5"/>
              <w:bottom w:val="single" w:sz="8" w:color="auto"/>
            </w:tcBorders>
          </w:tcPr>
          <w:p>
            <w:pPr>
              <w:spacing w:after="0" w:line="20" w:lineRule="exact"/>
              <w:rPr>
                <w:sz w:val="1"/>
                <w:szCs w:val="1"/>
                <w:color w:val="auto"/>
              </w:rPr>
            </w:pPr>
          </w:p>
        </w:tc>
        <w:tc>
          <w:tcPr>
            <w:tcW w:w="1620" w:type="dxa"/>
            <w:vAlign w:val="bottom"/>
            <w:tcBorders>
              <w:top w:val="single" w:sz="8" w:color="D2DCE5"/>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w:t>
      </w:r>
    </w:p>
    <w:p>
      <w:pPr>
        <w:spacing w:after="0" w:line="47" w:lineRule="exact"/>
        <w:rPr>
          <w:sz w:val="20"/>
          <w:szCs w:val="20"/>
          <w:color w:val="auto"/>
        </w:rPr>
      </w:pPr>
    </w:p>
    <w:p>
      <w:pPr>
        <w:ind w:left="60" w:hanging="55"/>
        <w:spacing w:after="0"/>
        <w:tabs>
          <w:tab w:leader="none" w:pos="60" w:val="left"/>
        </w:tabs>
        <w:numPr>
          <w:ilvl w:val="0"/>
          <w:numId w:val="56"/>
        </w:numPr>
        <w:rPr>
          <w:rFonts w:ascii="Arial" w:cs="Arial" w:eastAsia="Arial" w:hAnsi="Arial"/>
          <w:sz w:val="14"/>
          <w:szCs w:val="14"/>
          <w:color w:val="auto"/>
          <w:vertAlign w:val="superscript"/>
        </w:rPr>
      </w:pPr>
      <w:r>
        <w:rPr>
          <w:rFonts w:ascii="Arial" w:cs="Arial" w:eastAsia="Arial" w:hAnsi="Arial"/>
          <w:sz w:val="11"/>
          <w:szCs w:val="11"/>
          <w:color w:val="auto"/>
        </w:rPr>
        <w:t>Impact primarily related to state tax rates and adjustments from previous estimates upon finalization of the tax attributes subject to the TRA.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4" w:name="page125"/>
    <w:bookmarkEnd w:id="12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12 — Income Taxes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Our income tax expense consisted of the following: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131E29"/>
                <w:w w:val="99"/>
              </w:rPr>
              <w:t>Year Ended December 31,</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9"/>
        </w:trPr>
        <w:tc>
          <w:tcPr>
            <w:tcW w:w="6400" w:type="dxa"/>
            <w:vAlign w:val="bottom"/>
            <w:gridSpan w:val="4"/>
            <w:shd w:val="clear" w:color="auto" w:fill="D2DCE5"/>
          </w:tcPr>
          <w:p>
            <w:pPr>
              <w:ind w:left="20"/>
              <w:spacing w:after="0"/>
              <w:rPr>
                <w:sz w:val="20"/>
                <w:szCs w:val="20"/>
                <w:color w:val="auto"/>
              </w:rPr>
            </w:pPr>
            <w:r>
              <w:rPr>
                <w:rFonts w:ascii="Arial" w:cs="Arial" w:eastAsia="Arial" w:hAnsi="Arial"/>
                <w:sz w:val="14"/>
                <w:szCs w:val="14"/>
                <w:b w:val="1"/>
                <w:bCs w:val="1"/>
                <w:color w:val="131E29"/>
              </w:rPr>
              <w:t>Current tax provision</w:t>
            </w:r>
          </w:p>
        </w:tc>
        <w:tc>
          <w:tcPr>
            <w:tcW w:w="260" w:type="dxa"/>
            <w:vAlign w:val="bottom"/>
            <w:shd w:val="clear" w:color="auto" w:fill="D2DCE5"/>
          </w:tcPr>
          <w:p>
            <w:pPr>
              <w:spacing w:after="0"/>
              <w:rPr>
                <w:sz w:val="18"/>
                <w:szCs w:val="18"/>
                <w:color w:val="auto"/>
              </w:rPr>
            </w:pPr>
          </w:p>
        </w:tc>
        <w:tc>
          <w:tcPr>
            <w:tcW w:w="114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18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gridSpan w:val="4"/>
          </w:tcPr>
          <w:p>
            <w:pPr>
              <w:ind w:left="180"/>
              <w:spacing w:after="0"/>
              <w:rPr>
                <w:sz w:val="20"/>
                <w:szCs w:val="20"/>
                <w:color w:val="auto"/>
              </w:rPr>
            </w:pPr>
            <w:r>
              <w:rPr>
                <w:rFonts w:ascii="Arial" w:cs="Arial" w:eastAsia="Arial" w:hAnsi="Arial"/>
                <w:sz w:val="14"/>
                <w:szCs w:val="14"/>
                <w:color w:val="131E29"/>
              </w:rPr>
              <w:t>Federal</w:t>
            </w:r>
          </w:p>
        </w:tc>
        <w:tc>
          <w:tcPr>
            <w:tcW w:w="260" w:type="dxa"/>
            <w:vAlign w:val="bottom"/>
          </w:tcPr>
          <w:p>
            <w:pPr>
              <w:jc w:val="right"/>
              <w:ind w:right="89"/>
              <w:spacing w:after="0"/>
              <w:rPr>
                <w:sz w:val="20"/>
                <w:szCs w:val="20"/>
                <w:color w:val="auto"/>
              </w:rPr>
            </w:pPr>
            <w:r>
              <w:rPr>
                <w:rFonts w:ascii="Arial" w:cs="Arial" w:eastAsia="Arial" w:hAnsi="Arial"/>
                <w:sz w:val="14"/>
                <w:szCs w:val="14"/>
                <w:color w:val="131E29"/>
              </w:rPr>
              <w:t>$</w:t>
            </w: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131E29"/>
              </w:rPr>
              <w:t>396</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131E29"/>
              </w:rPr>
              <w:t>$</w:t>
            </w: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131E29"/>
              </w:rPr>
              <w:t>193</w:t>
            </w:r>
          </w:p>
        </w:tc>
        <w:tc>
          <w:tcPr>
            <w:tcW w:w="100" w:type="dxa"/>
            <w:vAlign w:val="bottom"/>
          </w:tcPr>
          <w:p>
            <w:pPr>
              <w:spacing w:after="0"/>
              <w:rPr>
                <w:sz w:val="17"/>
                <w:szCs w:val="17"/>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131E29"/>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131E29"/>
              </w:rPr>
              <w:t>181</w:t>
            </w:r>
          </w:p>
        </w:tc>
        <w:tc>
          <w:tcPr>
            <w:tcW w:w="0" w:type="dxa"/>
            <w:vAlign w:val="bottom"/>
          </w:tcPr>
          <w:p>
            <w:pPr>
              <w:spacing w:after="0"/>
              <w:rPr>
                <w:sz w:val="1"/>
                <w:szCs w:val="1"/>
                <w:color w:val="auto"/>
              </w:rPr>
            </w:pPr>
          </w:p>
        </w:tc>
      </w:tr>
      <w:tr>
        <w:trPr>
          <w:trHeight w:val="222"/>
        </w:trPr>
        <w:tc>
          <w:tcPr>
            <w:tcW w:w="6400" w:type="dxa"/>
            <w:vAlign w:val="bottom"/>
            <w:gridSpan w:val="4"/>
            <w:shd w:val="clear" w:color="auto" w:fill="D2DCE5"/>
          </w:tcPr>
          <w:p>
            <w:pPr>
              <w:ind w:left="180"/>
              <w:spacing w:after="0"/>
              <w:rPr>
                <w:sz w:val="20"/>
                <w:szCs w:val="20"/>
                <w:color w:val="auto"/>
              </w:rPr>
            </w:pPr>
            <w:r>
              <w:rPr>
                <w:rFonts w:ascii="Arial" w:cs="Arial" w:eastAsia="Arial" w:hAnsi="Arial"/>
                <w:sz w:val="14"/>
                <w:szCs w:val="14"/>
                <w:color w:val="131E29"/>
              </w:rPr>
              <w:t>State</w:t>
            </w:r>
          </w:p>
        </w:tc>
        <w:tc>
          <w:tcPr>
            <w:tcW w:w="260" w:type="dxa"/>
            <w:vAlign w:val="bottom"/>
            <w:tcBorders>
              <w:bottom w:val="single" w:sz="8" w:color="auto"/>
            </w:tcBorders>
            <w:shd w:val="clear" w:color="auto" w:fill="D2DCE5"/>
          </w:tcPr>
          <w:p>
            <w:pPr>
              <w:spacing w:after="0"/>
              <w:rPr>
                <w:sz w:val="19"/>
                <w:szCs w:val="19"/>
                <w:color w:val="auto"/>
              </w:rPr>
            </w:pPr>
          </w:p>
        </w:tc>
        <w:tc>
          <w:tcPr>
            <w:tcW w:w="1320" w:type="dxa"/>
            <w:vAlign w:val="bottom"/>
            <w:tcBorders>
              <w:bottom w:val="single" w:sz="8" w:color="auto"/>
            </w:tcBorders>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2,653</w:t>
            </w:r>
          </w:p>
        </w:tc>
        <w:tc>
          <w:tcPr>
            <w:tcW w:w="80" w:type="dxa"/>
            <w:vAlign w:val="bottom"/>
            <w:shd w:val="clear" w:color="auto" w:fill="D2DCE5"/>
          </w:tcPr>
          <w:p>
            <w:pPr>
              <w:spacing w:after="0"/>
              <w:rPr>
                <w:sz w:val="19"/>
                <w:szCs w:val="19"/>
                <w:color w:val="auto"/>
              </w:rPr>
            </w:pPr>
          </w:p>
        </w:tc>
        <w:tc>
          <w:tcPr>
            <w:tcW w:w="300" w:type="dxa"/>
            <w:vAlign w:val="bottom"/>
            <w:tcBorders>
              <w:bottom w:val="single" w:sz="8" w:color="auto"/>
            </w:tcBorders>
            <w:shd w:val="clear" w:color="auto" w:fill="D2DCE5"/>
          </w:tcPr>
          <w:p>
            <w:pPr>
              <w:spacing w:after="0"/>
              <w:rPr>
                <w:sz w:val="19"/>
                <w:szCs w:val="19"/>
                <w:color w:val="auto"/>
              </w:rPr>
            </w:pPr>
          </w:p>
        </w:tc>
        <w:tc>
          <w:tcPr>
            <w:tcW w:w="1260" w:type="dxa"/>
            <w:vAlign w:val="bottom"/>
            <w:tcBorders>
              <w:bottom w:val="single" w:sz="8" w:color="auto"/>
            </w:tcBorders>
            <w:gridSpan w:val="2"/>
            <w:shd w:val="clear" w:color="auto" w:fill="D2DCE5"/>
          </w:tcPr>
          <w:p>
            <w:pPr>
              <w:jc w:val="right"/>
              <w:ind w:right="60"/>
              <w:spacing w:after="0"/>
              <w:rPr>
                <w:sz w:val="20"/>
                <w:szCs w:val="20"/>
                <w:color w:val="auto"/>
              </w:rPr>
            </w:pPr>
            <w:r>
              <w:rPr>
                <w:rFonts w:ascii="Arial" w:cs="Arial" w:eastAsia="Arial" w:hAnsi="Arial"/>
                <w:sz w:val="14"/>
                <w:szCs w:val="14"/>
                <w:color w:val="131E29"/>
              </w:rPr>
              <w:t>844</w:t>
            </w:r>
          </w:p>
        </w:tc>
        <w:tc>
          <w:tcPr>
            <w:tcW w:w="100" w:type="dxa"/>
            <w:vAlign w:val="bottom"/>
            <w:shd w:val="clear" w:color="auto" w:fill="D2DCE5"/>
          </w:tcPr>
          <w:p>
            <w:pPr>
              <w:spacing w:after="0"/>
              <w:rPr>
                <w:sz w:val="19"/>
                <w:szCs w:val="19"/>
                <w:color w:val="auto"/>
              </w:rPr>
            </w:pPr>
          </w:p>
        </w:tc>
        <w:tc>
          <w:tcPr>
            <w:tcW w:w="340" w:type="dxa"/>
            <w:vAlign w:val="bottom"/>
            <w:tcBorders>
              <w:bottom w:val="single" w:sz="8" w:color="auto"/>
            </w:tcBorders>
            <w:shd w:val="clear" w:color="auto" w:fill="D2DCE5"/>
          </w:tcPr>
          <w:p>
            <w:pPr>
              <w:spacing w:after="0"/>
              <w:rPr>
                <w:sz w:val="19"/>
                <w:szCs w:val="19"/>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1,340</w:t>
            </w:r>
          </w:p>
        </w:tc>
        <w:tc>
          <w:tcPr>
            <w:tcW w:w="0" w:type="dxa"/>
            <w:vAlign w:val="bottom"/>
          </w:tcPr>
          <w:p>
            <w:pPr>
              <w:spacing w:after="0"/>
              <w:rPr>
                <w:sz w:val="1"/>
                <w:szCs w:val="1"/>
                <w:color w:val="auto"/>
              </w:rPr>
            </w:pPr>
          </w:p>
        </w:tc>
      </w:tr>
      <w:tr>
        <w:trPr>
          <w:trHeight w:val="193"/>
        </w:trPr>
        <w:tc>
          <w:tcPr>
            <w:tcW w:w="6400" w:type="dxa"/>
            <w:vAlign w:val="bottom"/>
            <w:gridSpan w:val="4"/>
          </w:tcPr>
          <w:p>
            <w:pPr>
              <w:ind w:left="20"/>
              <w:spacing w:after="0"/>
              <w:rPr>
                <w:sz w:val="20"/>
                <w:szCs w:val="20"/>
                <w:color w:val="auto"/>
              </w:rPr>
            </w:pPr>
            <w:r>
              <w:rPr>
                <w:rFonts w:ascii="Arial" w:cs="Arial" w:eastAsia="Arial" w:hAnsi="Arial"/>
                <w:sz w:val="14"/>
                <w:szCs w:val="14"/>
                <w:color w:val="131E29"/>
              </w:rPr>
              <w:t>Total current tax provision</w:t>
            </w:r>
          </w:p>
        </w:tc>
        <w:tc>
          <w:tcPr>
            <w:tcW w:w="260" w:type="dxa"/>
            <w:vAlign w:val="bottom"/>
          </w:tcPr>
          <w:p>
            <w:pPr>
              <w:spacing w:after="0"/>
              <w:rPr>
                <w:sz w:val="16"/>
                <w:szCs w:val="16"/>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131E29"/>
              </w:rPr>
              <w:t>3,049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131E29"/>
              </w:rPr>
              <w:t>1,037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1,521</w:t>
            </w:r>
          </w:p>
        </w:tc>
        <w:tc>
          <w:tcPr>
            <w:tcW w:w="0" w:type="dxa"/>
            <w:vAlign w:val="bottom"/>
          </w:tcPr>
          <w:p>
            <w:pPr>
              <w:spacing w:after="0"/>
              <w:rPr>
                <w:sz w:val="1"/>
                <w:szCs w:val="1"/>
                <w:color w:val="auto"/>
              </w:rPr>
            </w:pPr>
          </w:p>
        </w:tc>
      </w:tr>
      <w:tr>
        <w:trPr>
          <w:trHeight w:val="222"/>
        </w:trPr>
        <w:tc>
          <w:tcPr>
            <w:tcW w:w="60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6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260" w:type="dxa"/>
            <w:vAlign w:val="bottom"/>
            <w:shd w:val="clear" w:color="auto" w:fill="D2DCE5"/>
          </w:tcPr>
          <w:p>
            <w:pPr>
              <w:spacing w:after="0"/>
              <w:rPr>
                <w:sz w:val="19"/>
                <w:szCs w:val="19"/>
                <w:color w:val="auto"/>
              </w:rPr>
            </w:pPr>
          </w:p>
        </w:tc>
        <w:tc>
          <w:tcPr>
            <w:tcW w:w="114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18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400" w:type="dxa"/>
            <w:vAlign w:val="bottom"/>
            <w:gridSpan w:val="4"/>
          </w:tcPr>
          <w:p>
            <w:pPr>
              <w:ind w:left="20"/>
              <w:spacing w:after="0"/>
              <w:rPr>
                <w:sz w:val="20"/>
                <w:szCs w:val="20"/>
                <w:color w:val="auto"/>
              </w:rPr>
            </w:pPr>
            <w:r>
              <w:rPr>
                <w:rFonts w:ascii="Arial" w:cs="Arial" w:eastAsia="Arial" w:hAnsi="Arial"/>
                <w:sz w:val="14"/>
                <w:szCs w:val="14"/>
                <w:b w:val="1"/>
                <w:bCs w:val="1"/>
                <w:color w:val="131E29"/>
              </w:rPr>
              <w:t>Deferred tax expense (benefit)</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0" w:type="dxa"/>
            <w:vAlign w:val="bottom"/>
            <w:gridSpan w:val="4"/>
            <w:shd w:val="clear" w:color="auto" w:fill="D2DCE5"/>
          </w:tcPr>
          <w:p>
            <w:pPr>
              <w:ind w:left="180"/>
              <w:spacing w:after="0"/>
              <w:rPr>
                <w:sz w:val="20"/>
                <w:szCs w:val="20"/>
                <w:color w:val="auto"/>
              </w:rPr>
            </w:pPr>
            <w:r>
              <w:rPr>
                <w:rFonts w:ascii="Arial" w:cs="Arial" w:eastAsia="Arial" w:hAnsi="Arial"/>
                <w:sz w:val="14"/>
                <w:szCs w:val="14"/>
                <w:color w:val="131E29"/>
              </w:rPr>
              <w:t>Federal</w:t>
            </w:r>
          </w:p>
        </w:tc>
        <w:tc>
          <w:tcPr>
            <w:tcW w:w="260" w:type="dxa"/>
            <w:vAlign w:val="bottom"/>
            <w:shd w:val="clear" w:color="auto" w:fill="D2DCE5"/>
          </w:tcPr>
          <w:p>
            <w:pPr>
              <w:spacing w:after="0"/>
              <w:rPr>
                <w:sz w:val="18"/>
                <w:szCs w:val="18"/>
                <w:color w:val="auto"/>
              </w:rPr>
            </w:pPr>
          </w:p>
        </w:tc>
        <w:tc>
          <w:tcPr>
            <w:tcW w:w="132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8,520</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260" w:type="dxa"/>
            <w:vAlign w:val="bottom"/>
            <w:gridSpan w:val="2"/>
            <w:shd w:val="clear" w:color="auto" w:fill="D2DCE5"/>
          </w:tcPr>
          <w:p>
            <w:pPr>
              <w:jc w:val="right"/>
              <w:ind w:right="60"/>
              <w:spacing w:after="0"/>
              <w:rPr>
                <w:sz w:val="20"/>
                <w:szCs w:val="20"/>
                <w:color w:val="auto"/>
              </w:rPr>
            </w:pPr>
            <w:r>
              <w:rPr>
                <w:rFonts w:ascii="Arial" w:cs="Arial" w:eastAsia="Arial" w:hAnsi="Arial"/>
                <w:sz w:val="14"/>
                <w:szCs w:val="14"/>
                <w:color w:val="131E29"/>
              </w:rPr>
              <w:t>1,605</w:t>
            </w: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(6,081)</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D2DCE5"/>
            </w:tcBorders>
            <w:gridSpan w:val="4"/>
          </w:tcPr>
          <w:p>
            <w:pPr>
              <w:ind w:left="180"/>
              <w:spacing w:after="0"/>
              <w:rPr>
                <w:sz w:val="20"/>
                <w:szCs w:val="20"/>
                <w:color w:val="auto"/>
              </w:rPr>
            </w:pPr>
            <w:r>
              <w:rPr>
                <w:rFonts w:ascii="Arial" w:cs="Arial" w:eastAsia="Arial" w:hAnsi="Arial"/>
                <w:sz w:val="14"/>
                <w:szCs w:val="14"/>
                <w:color w:val="131E29"/>
              </w:rPr>
              <w:t>State</w:t>
            </w: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131E29"/>
              </w:rPr>
              <w:t>6,866</w:t>
            </w:r>
          </w:p>
        </w:tc>
        <w:tc>
          <w:tcPr>
            <w:tcW w:w="80" w:type="dxa"/>
            <w:vAlign w:val="bottom"/>
            <w:tcBorders>
              <w:bottom w:val="single" w:sz="8" w:color="D2DCE5"/>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131E29"/>
              </w:rPr>
              <w:t>4,325</w:t>
            </w:r>
          </w:p>
        </w:tc>
        <w:tc>
          <w:tcPr>
            <w:tcW w:w="100" w:type="dxa"/>
            <w:vAlign w:val="bottom"/>
            <w:tcBorders>
              <w:bottom w:val="single" w:sz="8" w:color="D2DCE5"/>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7,159</w:t>
            </w:r>
          </w:p>
        </w:tc>
        <w:tc>
          <w:tcPr>
            <w:tcW w:w="0" w:type="dxa"/>
            <w:vAlign w:val="bottom"/>
          </w:tcPr>
          <w:p>
            <w:pPr>
              <w:spacing w:after="0"/>
              <w:rPr>
                <w:sz w:val="1"/>
                <w:szCs w:val="1"/>
                <w:color w:val="auto"/>
              </w:rPr>
            </w:pPr>
          </w:p>
        </w:tc>
      </w:tr>
      <w:tr>
        <w:trPr>
          <w:trHeight w:val="212"/>
        </w:trPr>
        <w:tc>
          <w:tcPr>
            <w:tcW w:w="640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Total deferred tax provision</w:t>
            </w:r>
          </w:p>
        </w:tc>
        <w:tc>
          <w:tcPr>
            <w:tcW w:w="260" w:type="dxa"/>
            <w:vAlign w:val="bottom"/>
            <w:shd w:val="clear" w:color="auto" w:fill="D2DCE5"/>
          </w:tcPr>
          <w:p>
            <w:pPr>
              <w:spacing w:after="0"/>
              <w:rPr>
                <w:sz w:val="18"/>
                <w:szCs w:val="18"/>
                <w:color w:val="auto"/>
              </w:rPr>
            </w:pPr>
          </w:p>
        </w:tc>
        <w:tc>
          <w:tcPr>
            <w:tcW w:w="132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color w:val="131E29"/>
              </w:rPr>
              <w:t>15,386</w:t>
            </w: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260" w:type="dxa"/>
            <w:vAlign w:val="bottom"/>
            <w:gridSpan w:val="2"/>
            <w:shd w:val="clear" w:color="auto" w:fill="D2DCE5"/>
          </w:tcPr>
          <w:p>
            <w:pPr>
              <w:jc w:val="right"/>
              <w:ind w:right="60"/>
              <w:spacing w:after="0"/>
              <w:rPr>
                <w:sz w:val="20"/>
                <w:szCs w:val="20"/>
                <w:color w:val="auto"/>
              </w:rPr>
            </w:pPr>
            <w:r>
              <w:rPr>
                <w:rFonts w:ascii="Arial" w:cs="Arial" w:eastAsia="Arial" w:hAnsi="Arial"/>
                <w:sz w:val="14"/>
                <w:szCs w:val="14"/>
                <w:color w:val="131E29"/>
              </w:rPr>
              <w:t>5,930</w:t>
            </w: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1,078</w:t>
            </w:r>
          </w:p>
        </w:tc>
        <w:tc>
          <w:tcPr>
            <w:tcW w:w="0" w:type="dxa"/>
            <w:vAlign w:val="bottom"/>
          </w:tcPr>
          <w:p>
            <w:pPr>
              <w:spacing w:after="0"/>
              <w:rPr>
                <w:sz w:val="1"/>
                <w:szCs w:val="1"/>
                <w:color w:val="auto"/>
              </w:rPr>
            </w:pPr>
          </w:p>
        </w:tc>
      </w:tr>
      <w:tr>
        <w:trPr>
          <w:trHeight w:val="212"/>
        </w:trPr>
        <w:tc>
          <w:tcPr>
            <w:tcW w:w="6080" w:type="dxa"/>
            <w:vAlign w:val="bottom"/>
            <w:tcBorders>
              <w:bottom w:val="single" w:sz="8" w:color="D2DCE5"/>
            </w:tcBorders>
          </w:tcPr>
          <w:p>
            <w:pPr>
              <w:spacing w:after="0"/>
              <w:rPr>
                <w:sz w:val="18"/>
                <w:szCs w:val="18"/>
                <w:color w:val="auto"/>
              </w:rPr>
            </w:pPr>
          </w:p>
        </w:tc>
        <w:tc>
          <w:tcPr>
            <w:tcW w:w="80" w:type="dxa"/>
            <w:vAlign w:val="bottom"/>
            <w:tcBorders>
              <w:bottom w:val="single" w:sz="8" w:color="D2DCE5"/>
            </w:tcBorders>
          </w:tcPr>
          <w:p>
            <w:pPr>
              <w:spacing w:after="0"/>
              <w:rPr>
                <w:sz w:val="18"/>
                <w:szCs w:val="18"/>
                <w:color w:val="auto"/>
              </w:rPr>
            </w:pPr>
          </w:p>
        </w:tc>
        <w:tc>
          <w:tcPr>
            <w:tcW w:w="160" w:type="dxa"/>
            <w:vAlign w:val="bottom"/>
            <w:tcBorders>
              <w:bottom w:val="single" w:sz="8" w:color="D2DCE5"/>
            </w:tcBorders>
          </w:tcPr>
          <w:p>
            <w:pPr>
              <w:spacing w:after="0"/>
              <w:rPr>
                <w:sz w:val="18"/>
                <w:szCs w:val="18"/>
                <w:color w:val="auto"/>
              </w:rPr>
            </w:pPr>
          </w:p>
        </w:tc>
        <w:tc>
          <w:tcPr>
            <w:tcW w:w="80" w:type="dxa"/>
            <w:vAlign w:val="bottom"/>
            <w:tcBorders>
              <w:bottom w:val="single" w:sz="8" w:color="D2DCE5"/>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D2DCE5"/>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D2DCE5"/>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gridSpan w:val="4"/>
            <w:shd w:val="clear" w:color="auto" w:fill="D2DCE5"/>
          </w:tcPr>
          <w:p>
            <w:pPr>
              <w:ind w:left="20"/>
              <w:spacing w:after="0"/>
              <w:rPr>
                <w:sz w:val="20"/>
                <w:szCs w:val="20"/>
                <w:color w:val="auto"/>
              </w:rPr>
            </w:pPr>
            <w:r>
              <w:rPr>
                <w:rFonts w:ascii="Arial" w:cs="Arial" w:eastAsia="Arial" w:hAnsi="Arial"/>
                <w:sz w:val="14"/>
                <w:szCs w:val="14"/>
                <w:b w:val="1"/>
                <w:bCs w:val="1"/>
                <w:color w:val="131E29"/>
              </w:rPr>
              <w:t>Income tax expense</w:t>
            </w:r>
          </w:p>
        </w:tc>
        <w:tc>
          <w:tcPr>
            <w:tcW w:w="260" w:type="dxa"/>
            <w:vAlign w:val="bottom"/>
            <w:shd w:val="clear" w:color="auto" w:fill="D2DCE5"/>
          </w:tcPr>
          <w:p>
            <w:pPr>
              <w:jc w:val="right"/>
              <w:ind w:right="89"/>
              <w:spacing w:after="0"/>
              <w:rPr>
                <w:sz w:val="20"/>
                <w:szCs w:val="20"/>
                <w:color w:val="auto"/>
              </w:rPr>
            </w:pPr>
            <w:r>
              <w:rPr>
                <w:rFonts w:ascii="Arial" w:cs="Arial" w:eastAsia="Arial" w:hAnsi="Arial"/>
                <w:sz w:val="14"/>
                <w:szCs w:val="14"/>
                <w:b w:val="1"/>
                <w:bCs w:val="1"/>
                <w:color w:val="131E29"/>
              </w:rPr>
              <w:t>$</w:t>
            </w:r>
          </w:p>
        </w:tc>
        <w:tc>
          <w:tcPr>
            <w:tcW w:w="1320" w:type="dxa"/>
            <w:vAlign w:val="bottom"/>
            <w:gridSpan w:val="3"/>
            <w:shd w:val="clear" w:color="auto" w:fill="D2DCE5"/>
          </w:tcPr>
          <w:p>
            <w:pPr>
              <w:jc w:val="right"/>
              <w:ind w:right="60"/>
              <w:spacing w:after="0"/>
              <w:rPr>
                <w:sz w:val="20"/>
                <w:szCs w:val="20"/>
                <w:color w:val="auto"/>
              </w:rPr>
            </w:pPr>
            <w:r>
              <w:rPr>
                <w:rFonts w:ascii="Arial" w:cs="Arial" w:eastAsia="Arial" w:hAnsi="Arial"/>
                <w:sz w:val="14"/>
                <w:szCs w:val="14"/>
                <w:b w:val="1"/>
                <w:bCs w:val="1"/>
                <w:color w:val="131E29"/>
              </w:rPr>
              <w:t>18,435</w:t>
            </w:r>
          </w:p>
        </w:tc>
        <w:tc>
          <w:tcPr>
            <w:tcW w:w="380" w:type="dxa"/>
            <w:vAlign w:val="bottom"/>
            <w:gridSpan w:val="2"/>
            <w:shd w:val="clear" w:color="auto" w:fill="D2DCE5"/>
          </w:tcPr>
          <w:p>
            <w:pPr>
              <w:jc w:val="right"/>
              <w:ind w:right="200"/>
              <w:spacing w:after="0"/>
              <w:rPr>
                <w:sz w:val="20"/>
                <w:szCs w:val="20"/>
                <w:color w:val="auto"/>
              </w:rPr>
            </w:pPr>
            <w:r>
              <w:rPr>
                <w:rFonts w:ascii="Arial" w:cs="Arial" w:eastAsia="Arial" w:hAnsi="Arial"/>
                <w:sz w:val="14"/>
                <w:szCs w:val="14"/>
                <w:b w:val="1"/>
                <w:bCs w:val="1"/>
                <w:color w:val="131E29"/>
              </w:rPr>
              <w:t>$</w:t>
            </w:r>
          </w:p>
        </w:tc>
        <w:tc>
          <w:tcPr>
            <w:tcW w:w="1260" w:type="dxa"/>
            <w:vAlign w:val="bottom"/>
            <w:gridSpan w:val="2"/>
            <w:shd w:val="clear" w:color="auto" w:fill="D2DCE5"/>
          </w:tcPr>
          <w:p>
            <w:pPr>
              <w:jc w:val="right"/>
              <w:ind w:right="60"/>
              <w:spacing w:after="0"/>
              <w:rPr>
                <w:sz w:val="20"/>
                <w:szCs w:val="20"/>
                <w:color w:val="auto"/>
              </w:rPr>
            </w:pPr>
            <w:r>
              <w:rPr>
                <w:rFonts w:ascii="Arial" w:cs="Arial" w:eastAsia="Arial" w:hAnsi="Arial"/>
                <w:sz w:val="14"/>
                <w:szCs w:val="14"/>
                <w:b w:val="1"/>
                <w:bCs w:val="1"/>
                <w:color w:val="131E29"/>
              </w:rPr>
              <w:t>6,967</w:t>
            </w:r>
          </w:p>
        </w:tc>
        <w:tc>
          <w:tcPr>
            <w:tcW w:w="100" w:type="dxa"/>
            <w:vAlign w:val="bottom"/>
            <w:shd w:val="clear" w:color="auto" w:fill="D2DCE5"/>
          </w:tcPr>
          <w:p>
            <w:pPr>
              <w:spacing w:after="0"/>
              <w:rPr>
                <w:sz w:val="19"/>
                <w:szCs w:val="19"/>
                <w:color w:val="auto"/>
              </w:rPr>
            </w:pPr>
          </w:p>
        </w:tc>
        <w:tc>
          <w:tcPr>
            <w:tcW w:w="340" w:type="dxa"/>
            <w:vAlign w:val="bottom"/>
            <w:shd w:val="clear" w:color="auto" w:fill="D2DCE5"/>
          </w:tcPr>
          <w:p>
            <w:pPr>
              <w:jc w:val="right"/>
              <w:ind w:right="189"/>
              <w:spacing w:after="0"/>
              <w:rPr>
                <w:sz w:val="20"/>
                <w:szCs w:val="20"/>
                <w:color w:val="auto"/>
              </w:rPr>
            </w:pPr>
            <w:r>
              <w:rPr>
                <w:rFonts w:ascii="Arial" w:cs="Arial" w:eastAsia="Arial" w:hAnsi="Arial"/>
                <w:sz w:val="14"/>
                <w:szCs w:val="14"/>
                <w:b w:val="1"/>
                <w:bCs w:val="1"/>
                <w:color w:val="131E29"/>
                <w:w w:val="76"/>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2,599</w:t>
            </w:r>
          </w:p>
        </w:tc>
        <w:tc>
          <w:tcPr>
            <w:tcW w:w="0" w:type="dxa"/>
            <w:vAlign w:val="bottom"/>
          </w:tcPr>
          <w:p>
            <w:pPr>
              <w:spacing w:after="0"/>
              <w:rPr>
                <w:sz w:val="1"/>
                <w:szCs w:val="1"/>
                <w:color w:val="auto"/>
              </w:rPr>
            </w:pPr>
          </w:p>
        </w:tc>
      </w:tr>
      <w:tr>
        <w:trPr>
          <w:trHeight w:val="20"/>
        </w:trPr>
        <w:tc>
          <w:tcPr>
            <w:tcW w:w="6400" w:type="dxa"/>
            <w:vAlign w:val="bottom"/>
            <w:tcBorders>
              <w:top w:val="single" w:sz="8" w:color="D2DCE5"/>
              <w:bottom w:val="single" w:sz="8" w:color="D2DCE5"/>
            </w:tcBorders>
            <w:gridSpan w:val="4"/>
            <w:vMerge w:val="restart"/>
          </w:tcPr>
          <w:p>
            <w:pPr>
              <w:spacing w:after="0"/>
              <w:rPr>
                <w:sz w:val="20"/>
                <w:szCs w:val="20"/>
                <w:color w:val="auto"/>
              </w:rPr>
            </w:pPr>
            <w:r>
              <w:rPr>
                <w:rFonts w:ascii="Arial" w:cs="Arial" w:eastAsia="Arial" w:hAnsi="Arial"/>
                <w:sz w:val="14"/>
                <w:szCs w:val="14"/>
                <w:color w:val="131E29"/>
              </w:rPr>
              <w:t>Our effective income tax rate differs from the U.S. federal statutory income tax rate as itemized below:</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6400" w:type="dxa"/>
            <w:vAlign w:val="bottom"/>
            <w:gridSpan w:val="4"/>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131E29"/>
              </w:rPr>
              <w:t>Year Ended December 31,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080" w:type="dxa"/>
            <w:vAlign w:val="bottom"/>
            <w:tcBorders>
              <w:bottom w:val="single" w:sz="8" w:color="131E29"/>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9"/>
        </w:trPr>
        <w:tc>
          <w:tcPr>
            <w:tcW w:w="640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U.S. federal statutory income tax rate</w:t>
            </w:r>
          </w:p>
        </w:tc>
        <w:tc>
          <w:tcPr>
            <w:tcW w:w="260" w:type="dxa"/>
            <w:vAlign w:val="bottom"/>
            <w:shd w:val="clear" w:color="auto" w:fill="D2DCE5"/>
          </w:tcPr>
          <w:p>
            <w:pPr>
              <w:spacing w:after="0"/>
              <w:rPr>
                <w:sz w:val="18"/>
                <w:szCs w:val="18"/>
                <w:color w:val="auto"/>
              </w:rPr>
            </w:pPr>
          </w:p>
        </w:tc>
        <w:tc>
          <w:tcPr>
            <w:tcW w:w="114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21.0 %</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00" w:type="dxa"/>
            <w:vAlign w:val="bottom"/>
            <w:shd w:val="clear" w:color="auto" w:fill="D2DCE5"/>
          </w:tcPr>
          <w:p>
            <w:pPr>
              <w:spacing w:after="0"/>
              <w:rPr>
                <w:sz w:val="18"/>
                <w:szCs w:val="18"/>
                <w:color w:val="auto"/>
              </w:rPr>
            </w:pPr>
          </w:p>
        </w:tc>
        <w:tc>
          <w:tcPr>
            <w:tcW w:w="11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21.0 %</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40" w:type="dxa"/>
            <w:vAlign w:val="bottom"/>
            <w:shd w:val="clear" w:color="auto" w:fill="D2DCE5"/>
          </w:tcPr>
          <w:p>
            <w:pPr>
              <w:spacing w:after="0"/>
              <w:rPr>
                <w:sz w:val="18"/>
                <w:szCs w:val="18"/>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21.0 %</w:t>
            </w:r>
          </w:p>
        </w:tc>
        <w:tc>
          <w:tcPr>
            <w:tcW w:w="0" w:type="dxa"/>
            <w:vAlign w:val="bottom"/>
          </w:tcPr>
          <w:p>
            <w:pPr>
              <w:spacing w:after="0"/>
              <w:rPr>
                <w:sz w:val="1"/>
                <w:szCs w:val="1"/>
                <w:color w:val="auto"/>
              </w:rPr>
            </w:pPr>
          </w:p>
        </w:tc>
      </w:tr>
      <w:tr>
        <w:trPr>
          <w:trHeight w:val="202"/>
        </w:trPr>
        <w:tc>
          <w:tcPr>
            <w:tcW w:w="6400" w:type="dxa"/>
            <w:vAlign w:val="bottom"/>
            <w:gridSpan w:val="4"/>
          </w:tcPr>
          <w:p>
            <w:pPr>
              <w:ind w:left="20"/>
              <w:spacing w:after="0"/>
              <w:rPr>
                <w:sz w:val="20"/>
                <w:szCs w:val="20"/>
                <w:color w:val="auto"/>
              </w:rPr>
            </w:pPr>
            <w:r>
              <w:rPr>
                <w:rFonts w:ascii="Arial" w:cs="Arial" w:eastAsia="Arial" w:hAnsi="Arial"/>
                <w:sz w:val="14"/>
                <w:szCs w:val="14"/>
                <w:color w:val="131E29"/>
              </w:rPr>
              <w:t>Income allocable to non-controlling interests not subject to tax</w:t>
            </w:r>
          </w:p>
        </w:tc>
        <w:tc>
          <w:tcPr>
            <w:tcW w:w="26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131E29"/>
              </w:rPr>
              <w:t>(8.5)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131E29"/>
              </w:rPr>
              <w:t>6.3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131E29"/>
              </w:rPr>
              <w:t>(32.9)</w:t>
            </w:r>
          </w:p>
        </w:tc>
        <w:tc>
          <w:tcPr>
            <w:tcW w:w="0" w:type="dxa"/>
            <w:vAlign w:val="bottom"/>
          </w:tcPr>
          <w:p>
            <w:pPr>
              <w:spacing w:after="0"/>
              <w:rPr>
                <w:sz w:val="1"/>
                <w:szCs w:val="1"/>
                <w:color w:val="auto"/>
              </w:rPr>
            </w:pPr>
          </w:p>
        </w:tc>
      </w:tr>
      <w:tr>
        <w:trPr>
          <w:trHeight w:val="222"/>
        </w:trPr>
        <w:tc>
          <w:tcPr>
            <w:tcW w:w="640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State and local income taxes, net of federal benefit</w:t>
            </w:r>
          </w:p>
        </w:tc>
        <w:tc>
          <w:tcPr>
            <w:tcW w:w="260" w:type="dxa"/>
            <w:vAlign w:val="bottom"/>
            <w:shd w:val="clear" w:color="auto" w:fill="D2DCE5"/>
          </w:tcPr>
          <w:p>
            <w:pPr>
              <w:spacing w:after="0"/>
              <w:rPr>
                <w:sz w:val="19"/>
                <w:szCs w:val="19"/>
                <w:color w:val="auto"/>
              </w:rPr>
            </w:pPr>
          </w:p>
        </w:tc>
        <w:tc>
          <w:tcPr>
            <w:tcW w:w="114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5.3</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1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10.1</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1220" w:type="dxa"/>
            <w:vAlign w:val="bottom"/>
            <w:shd w:val="clear" w:color="auto" w:fill="D2DCE5"/>
          </w:tcPr>
          <w:p>
            <w:pPr>
              <w:jc w:val="right"/>
              <w:ind w:right="69"/>
              <w:spacing w:after="0"/>
              <w:rPr>
                <w:sz w:val="20"/>
                <w:szCs w:val="20"/>
                <w:color w:val="auto"/>
              </w:rPr>
            </w:pPr>
            <w:r>
              <w:rPr>
                <w:rFonts w:ascii="Arial" w:cs="Arial" w:eastAsia="Arial" w:hAnsi="Arial"/>
                <w:sz w:val="14"/>
                <w:szCs w:val="14"/>
                <w:color w:val="131E29"/>
              </w:rPr>
              <w:t>(9.5)</w:t>
            </w:r>
          </w:p>
        </w:tc>
        <w:tc>
          <w:tcPr>
            <w:tcW w:w="0" w:type="dxa"/>
            <w:vAlign w:val="bottom"/>
          </w:tcPr>
          <w:p>
            <w:pPr>
              <w:spacing w:after="0"/>
              <w:rPr>
                <w:sz w:val="1"/>
                <w:szCs w:val="1"/>
                <w:color w:val="auto"/>
              </w:rPr>
            </w:pPr>
          </w:p>
        </w:tc>
      </w:tr>
      <w:tr>
        <w:trPr>
          <w:trHeight w:val="202"/>
        </w:trPr>
        <w:tc>
          <w:tcPr>
            <w:tcW w:w="6400" w:type="dxa"/>
            <w:vAlign w:val="bottom"/>
            <w:gridSpan w:val="4"/>
          </w:tcPr>
          <w:p>
            <w:pPr>
              <w:ind w:left="20"/>
              <w:spacing w:after="0"/>
              <w:rPr>
                <w:sz w:val="20"/>
                <w:szCs w:val="20"/>
                <w:color w:val="auto"/>
              </w:rPr>
            </w:pPr>
            <w:r>
              <w:rPr>
                <w:rFonts w:ascii="Arial" w:cs="Arial" w:eastAsia="Arial" w:hAnsi="Arial"/>
                <w:sz w:val="14"/>
                <w:szCs w:val="14"/>
                <w:color w:val="131E29"/>
              </w:rPr>
              <w:t>State rate adjustment</w:t>
            </w:r>
          </w:p>
        </w:tc>
        <w:tc>
          <w:tcPr>
            <w:tcW w:w="26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131E29"/>
              </w:rPr>
              <w:t>5.9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131E29"/>
              </w:rPr>
              <w:t>17.5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69"/>
              <w:spacing w:after="0"/>
              <w:rPr>
                <w:sz w:val="20"/>
                <w:szCs w:val="20"/>
                <w:color w:val="auto"/>
              </w:rPr>
            </w:pPr>
            <w:r>
              <w:rPr>
                <w:rFonts w:ascii="Arial" w:cs="Arial" w:eastAsia="Arial" w:hAnsi="Arial"/>
                <w:sz w:val="14"/>
                <w:szCs w:val="14"/>
                <w:color w:val="131E29"/>
              </w:rPr>
              <w:t>(39.1)</w:t>
            </w:r>
          </w:p>
        </w:tc>
        <w:tc>
          <w:tcPr>
            <w:tcW w:w="0" w:type="dxa"/>
            <w:vAlign w:val="bottom"/>
          </w:tcPr>
          <w:p>
            <w:pPr>
              <w:spacing w:after="0"/>
              <w:rPr>
                <w:sz w:val="1"/>
                <w:szCs w:val="1"/>
                <w:color w:val="auto"/>
              </w:rPr>
            </w:pPr>
          </w:p>
        </w:tc>
      </w:tr>
      <w:tr>
        <w:trPr>
          <w:trHeight w:val="222"/>
        </w:trPr>
        <w:tc>
          <w:tcPr>
            <w:tcW w:w="640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Non-deductible compensation</w:t>
            </w:r>
          </w:p>
        </w:tc>
        <w:tc>
          <w:tcPr>
            <w:tcW w:w="260" w:type="dxa"/>
            <w:vAlign w:val="bottom"/>
            <w:shd w:val="clear" w:color="auto" w:fill="D2DCE5"/>
          </w:tcPr>
          <w:p>
            <w:pPr>
              <w:spacing w:after="0"/>
              <w:rPr>
                <w:sz w:val="19"/>
                <w:szCs w:val="19"/>
                <w:color w:val="auto"/>
              </w:rPr>
            </w:pPr>
          </w:p>
        </w:tc>
        <w:tc>
          <w:tcPr>
            <w:tcW w:w="1320" w:type="dxa"/>
            <w:vAlign w:val="bottom"/>
            <w:gridSpan w:val="3"/>
            <w:shd w:val="clear" w:color="auto" w:fill="D2DCE5"/>
          </w:tcPr>
          <w:p>
            <w:pPr>
              <w:jc w:val="right"/>
              <w:ind w:right="360"/>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1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0.7</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1220" w:type="dxa"/>
            <w:vAlign w:val="bottom"/>
            <w:shd w:val="clear" w:color="auto" w:fill="D2DCE5"/>
          </w:tcPr>
          <w:p>
            <w:pPr>
              <w:jc w:val="right"/>
              <w:ind w:right="69"/>
              <w:spacing w:after="0"/>
              <w:rPr>
                <w:sz w:val="20"/>
                <w:szCs w:val="20"/>
                <w:color w:val="auto"/>
              </w:rPr>
            </w:pPr>
            <w:r>
              <w:rPr>
                <w:rFonts w:ascii="Arial" w:cs="Arial" w:eastAsia="Arial" w:hAnsi="Arial"/>
                <w:sz w:val="14"/>
                <w:szCs w:val="14"/>
                <w:color w:val="131E29"/>
              </w:rPr>
              <w:t>(2.0)</w:t>
            </w:r>
          </w:p>
        </w:tc>
        <w:tc>
          <w:tcPr>
            <w:tcW w:w="0" w:type="dxa"/>
            <w:vAlign w:val="bottom"/>
          </w:tcPr>
          <w:p>
            <w:pPr>
              <w:spacing w:after="0"/>
              <w:rPr>
                <w:sz w:val="1"/>
                <w:szCs w:val="1"/>
                <w:color w:val="auto"/>
              </w:rPr>
            </w:pPr>
          </w:p>
        </w:tc>
      </w:tr>
      <w:tr>
        <w:trPr>
          <w:trHeight w:val="202"/>
        </w:trPr>
        <w:tc>
          <w:tcPr>
            <w:tcW w:w="6400" w:type="dxa"/>
            <w:vAlign w:val="bottom"/>
            <w:gridSpan w:val="4"/>
          </w:tcPr>
          <w:p>
            <w:pPr>
              <w:ind w:left="20"/>
              <w:spacing w:after="0"/>
              <w:rPr>
                <w:sz w:val="20"/>
                <w:szCs w:val="20"/>
                <w:color w:val="auto"/>
              </w:rPr>
            </w:pPr>
            <w:r>
              <w:rPr>
                <w:rFonts w:ascii="Arial" w:cs="Arial" w:eastAsia="Arial" w:hAnsi="Arial"/>
                <w:sz w:val="14"/>
                <w:szCs w:val="14"/>
                <w:color w:val="131E29"/>
              </w:rPr>
              <w:t>Tax credits</w:t>
            </w:r>
          </w:p>
        </w:tc>
        <w:tc>
          <w:tcPr>
            <w:tcW w:w="260" w:type="dxa"/>
            <w:vAlign w:val="bottom"/>
          </w:tcPr>
          <w:p>
            <w:pPr>
              <w:spacing w:after="0"/>
              <w:rPr>
                <w:sz w:val="17"/>
                <w:szCs w:val="17"/>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131E29"/>
              </w:rPr>
              <w:t>(5.2)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131E29"/>
              </w:rPr>
              <w:t>(12.9)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131E29"/>
              </w:rPr>
              <w:t>10.1</w:t>
            </w:r>
          </w:p>
        </w:tc>
        <w:tc>
          <w:tcPr>
            <w:tcW w:w="0" w:type="dxa"/>
            <w:vAlign w:val="bottom"/>
          </w:tcPr>
          <w:p>
            <w:pPr>
              <w:spacing w:after="0"/>
              <w:rPr>
                <w:sz w:val="1"/>
                <w:szCs w:val="1"/>
                <w:color w:val="auto"/>
              </w:rPr>
            </w:pPr>
          </w:p>
        </w:tc>
      </w:tr>
      <w:tr>
        <w:trPr>
          <w:trHeight w:val="222"/>
        </w:trPr>
        <w:tc>
          <w:tcPr>
            <w:tcW w:w="640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TRA adjustments</w:t>
            </w:r>
          </w:p>
        </w:tc>
        <w:tc>
          <w:tcPr>
            <w:tcW w:w="260" w:type="dxa"/>
            <w:vAlign w:val="bottom"/>
            <w:shd w:val="clear" w:color="auto" w:fill="D2DCE5"/>
          </w:tcPr>
          <w:p>
            <w:pPr>
              <w:spacing w:after="0"/>
              <w:rPr>
                <w:sz w:val="19"/>
                <w:szCs w:val="19"/>
                <w:color w:val="auto"/>
              </w:rPr>
            </w:pPr>
          </w:p>
        </w:tc>
        <w:tc>
          <w:tcPr>
            <w:tcW w:w="114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0.4</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1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0.2</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122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4.4</w:t>
            </w:r>
          </w:p>
        </w:tc>
        <w:tc>
          <w:tcPr>
            <w:tcW w:w="0" w:type="dxa"/>
            <w:vAlign w:val="bottom"/>
          </w:tcPr>
          <w:p>
            <w:pPr>
              <w:spacing w:after="0"/>
              <w:rPr>
                <w:sz w:val="1"/>
                <w:szCs w:val="1"/>
                <w:color w:val="auto"/>
              </w:rPr>
            </w:pPr>
          </w:p>
        </w:tc>
      </w:tr>
      <w:tr>
        <w:trPr>
          <w:trHeight w:val="202"/>
        </w:trPr>
        <w:tc>
          <w:tcPr>
            <w:tcW w:w="6400" w:type="dxa"/>
            <w:vAlign w:val="bottom"/>
            <w:gridSpan w:val="4"/>
          </w:tcPr>
          <w:p>
            <w:pPr>
              <w:ind w:left="20"/>
              <w:spacing w:after="0"/>
              <w:rPr>
                <w:sz w:val="20"/>
                <w:szCs w:val="20"/>
                <w:color w:val="auto"/>
              </w:rPr>
            </w:pPr>
            <w:r>
              <w:rPr>
                <w:rFonts w:ascii="Arial" w:cs="Arial" w:eastAsia="Arial" w:hAnsi="Arial"/>
                <w:sz w:val="14"/>
                <w:szCs w:val="14"/>
                <w:color w:val="131E29"/>
              </w:rPr>
              <w:t>Return-to-provision adjustments</w:t>
            </w:r>
          </w:p>
        </w:tc>
        <w:tc>
          <w:tcPr>
            <w:tcW w:w="26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131E29"/>
              </w:rPr>
              <w:t>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131E29"/>
              </w:rPr>
              <w:t>(5.4)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131E29"/>
              </w:rPr>
              <w:t>32.4</w:t>
            </w:r>
          </w:p>
        </w:tc>
        <w:tc>
          <w:tcPr>
            <w:tcW w:w="0" w:type="dxa"/>
            <w:vAlign w:val="bottom"/>
          </w:tcPr>
          <w:p>
            <w:pPr>
              <w:spacing w:after="0"/>
              <w:rPr>
                <w:sz w:val="1"/>
                <w:szCs w:val="1"/>
                <w:color w:val="auto"/>
              </w:rPr>
            </w:pPr>
          </w:p>
        </w:tc>
      </w:tr>
      <w:tr>
        <w:trPr>
          <w:trHeight w:val="222"/>
        </w:trPr>
        <w:tc>
          <w:tcPr>
            <w:tcW w:w="6400" w:type="dxa"/>
            <w:vAlign w:val="bottom"/>
            <w:gridSpan w:val="4"/>
            <w:shd w:val="clear" w:color="auto" w:fill="D2DCE5"/>
          </w:tcPr>
          <w:p>
            <w:pPr>
              <w:ind w:left="20"/>
              <w:spacing w:after="0"/>
              <w:rPr>
                <w:sz w:val="20"/>
                <w:szCs w:val="20"/>
                <w:color w:val="auto"/>
              </w:rPr>
            </w:pPr>
            <w:r>
              <w:rPr>
                <w:rFonts w:ascii="Arial" w:cs="Arial" w:eastAsia="Arial" w:hAnsi="Arial"/>
                <w:sz w:val="14"/>
                <w:szCs w:val="14"/>
                <w:color w:val="131E29"/>
              </w:rPr>
              <w:t>Stock-based compensation</w:t>
            </w:r>
          </w:p>
        </w:tc>
        <w:tc>
          <w:tcPr>
            <w:tcW w:w="260" w:type="dxa"/>
            <w:vAlign w:val="bottom"/>
            <w:shd w:val="clear" w:color="auto" w:fill="D2DCE5"/>
          </w:tcPr>
          <w:p>
            <w:pPr>
              <w:spacing w:after="0"/>
              <w:rPr>
                <w:sz w:val="19"/>
                <w:szCs w:val="19"/>
                <w:color w:val="auto"/>
              </w:rPr>
            </w:pPr>
          </w:p>
        </w:tc>
        <w:tc>
          <w:tcPr>
            <w:tcW w:w="114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0.3</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00" w:type="dxa"/>
            <w:vAlign w:val="bottom"/>
            <w:shd w:val="clear" w:color="auto" w:fill="D2DCE5"/>
          </w:tcPr>
          <w:p>
            <w:pPr>
              <w:spacing w:after="0"/>
              <w:rPr>
                <w:sz w:val="19"/>
                <w:szCs w:val="19"/>
                <w:color w:val="auto"/>
              </w:rPr>
            </w:pPr>
          </w:p>
        </w:tc>
        <w:tc>
          <w:tcPr>
            <w:tcW w:w="118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3.8</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40" w:type="dxa"/>
            <w:vAlign w:val="bottom"/>
            <w:shd w:val="clear" w:color="auto" w:fill="D2DCE5"/>
          </w:tcPr>
          <w:p>
            <w:pPr>
              <w:spacing w:after="0"/>
              <w:rPr>
                <w:sz w:val="19"/>
                <w:szCs w:val="19"/>
                <w:color w:val="auto"/>
              </w:rPr>
            </w:pPr>
          </w:p>
        </w:tc>
        <w:tc>
          <w:tcPr>
            <w:tcW w:w="1220" w:type="dxa"/>
            <w:vAlign w:val="bottom"/>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02"/>
        </w:trPr>
        <w:tc>
          <w:tcPr>
            <w:tcW w:w="6400" w:type="dxa"/>
            <w:vAlign w:val="bottom"/>
            <w:gridSpan w:val="4"/>
          </w:tcPr>
          <w:p>
            <w:pPr>
              <w:ind w:left="20"/>
              <w:spacing w:after="0"/>
              <w:rPr>
                <w:sz w:val="20"/>
                <w:szCs w:val="20"/>
                <w:color w:val="auto"/>
              </w:rPr>
            </w:pPr>
            <w:r>
              <w:rPr>
                <w:rFonts w:ascii="Arial" w:cs="Arial" w:eastAsia="Arial" w:hAnsi="Arial"/>
                <w:sz w:val="14"/>
                <w:szCs w:val="14"/>
                <w:color w:val="131E29"/>
              </w:rPr>
              <w:t>Other</w:t>
            </w:r>
          </w:p>
        </w:tc>
        <w:tc>
          <w:tcPr>
            <w:tcW w:w="26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color w:val="131E29"/>
              </w:rPr>
              <w:t>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color w:val="131E29"/>
              </w:rPr>
              <w:t>0.4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13"/>
        </w:trPr>
        <w:tc>
          <w:tcPr>
            <w:tcW w:w="616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Valuation allowance</w:t>
            </w:r>
          </w:p>
        </w:tc>
        <w:tc>
          <w:tcPr>
            <w:tcW w:w="240" w:type="dxa"/>
            <w:vAlign w:val="bottom"/>
            <w:tcBorders>
              <w:bottom w:val="single" w:sz="8" w:color="auto"/>
            </w:tcBorders>
            <w:gridSpan w:val="2"/>
            <w:shd w:val="clear" w:color="auto" w:fill="D2DCE5"/>
          </w:tcPr>
          <w:p>
            <w:pPr>
              <w:spacing w:after="0"/>
              <w:rPr>
                <w:sz w:val="18"/>
                <w:szCs w:val="18"/>
                <w:color w:val="auto"/>
              </w:rPr>
            </w:pPr>
          </w:p>
        </w:tc>
        <w:tc>
          <w:tcPr>
            <w:tcW w:w="260" w:type="dxa"/>
            <w:vAlign w:val="bottom"/>
            <w:tcBorders>
              <w:bottom w:val="single" w:sz="8" w:color="auto"/>
            </w:tcBorders>
            <w:shd w:val="clear" w:color="auto" w:fill="D2DCE5"/>
          </w:tcPr>
          <w:p>
            <w:pPr>
              <w:spacing w:after="0"/>
              <w:rPr>
                <w:sz w:val="18"/>
                <w:szCs w:val="18"/>
                <w:color w:val="auto"/>
              </w:rPr>
            </w:pPr>
          </w:p>
        </w:tc>
        <w:tc>
          <w:tcPr>
            <w:tcW w:w="1140" w:type="dxa"/>
            <w:vAlign w:val="bottom"/>
            <w:tcBorders>
              <w:bottom w:val="single" w:sz="8" w:color="auto"/>
            </w:tcBorders>
            <w:shd w:val="clear" w:color="auto" w:fill="D2DCE5"/>
          </w:tcPr>
          <w:p>
            <w:pPr>
              <w:jc w:val="right"/>
              <w:ind w:right="69"/>
              <w:spacing w:after="0"/>
              <w:rPr>
                <w:sz w:val="20"/>
                <w:szCs w:val="20"/>
                <w:color w:val="auto"/>
              </w:rPr>
            </w:pPr>
            <w:r>
              <w:rPr>
                <w:rFonts w:ascii="Arial" w:cs="Arial" w:eastAsia="Arial" w:hAnsi="Arial"/>
                <w:sz w:val="14"/>
                <w:szCs w:val="14"/>
                <w:color w:val="131E29"/>
              </w:rPr>
              <w:t>(0.2)</w:t>
            </w:r>
          </w:p>
        </w:tc>
        <w:tc>
          <w:tcPr>
            <w:tcW w:w="8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80" w:type="dxa"/>
            <w:vAlign w:val="bottom"/>
            <w:tcBorders>
              <w:bottom w:val="single" w:sz="8" w:color="auto"/>
            </w:tcBorders>
            <w:shd w:val="clear" w:color="auto" w:fill="D2DCE5"/>
          </w:tcPr>
          <w:p>
            <w:pPr>
              <w:spacing w:after="0"/>
              <w:rPr>
                <w:sz w:val="18"/>
                <w:szCs w:val="18"/>
                <w:color w:val="auto"/>
              </w:rPr>
            </w:pPr>
          </w:p>
        </w:tc>
        <w:tc>
          <w:tcPr>
            <w:tcW w:w="300" w:type="dxa"/>
            <w:vAlign w:val="bottom"/>
            <w:tcBorders>
              <w:bottom w:val="single" w:sz="8" w:color="auto"/>
            </w:tcBorders>
            <w:shd w:val="clear" w:color="auto" w:fill="D2DCE5"/>
          </w:tcPr>
          <w:p>
            <w:pPr>
              <w:spacing w:after="0"/>
              <w:rPr>
                <w:sz w:val="18"/>
                <w:szCs w:val="18"/>
                <w:color w:val="auto"/>
              </w:rPr>
            </w:pPr>
          </w:p>
        </w:tc>
        <w:tc>
          <w:tcPr>
            <w:tcW w:w="1180" w:type="dxa"/>
            <w:vAlign w:val="bottom"/>
            <w:tcBorders>
              <w:bottom w:val="single" w:sz="8" w:color="auto"/>
            </w:tcBorders>
            <w:shd w:val="clear" w:color="auto" w:fill="D2DCE5"/>
          </w:tcPr>
          <w:p>
            <w:pPr>
              <w:jc w:val="right"/>
              <w:ind w:right="69"/>
              <w:spacing w:after="0"/>
              <w:rPr>
                <w:sz w:val="20"/>
                <w:szCs w:val="20"/>
                <w:color w:val="auto"/>
              </w:rPr>
            </w:pPr>
            <w:r>
              <w:rPr>
                <w:rFonts w:ascii="Arial" w:cs="Arial" w:eastAsia="Arial" w:hAnsi="Arial"/>
                <w:sz w:val="14"/>
                <w:szCs w:val="14"/>
                <w:color w:val="131E29"/>
              </w:rPr>
              <w:t>(0.5)</w:t>
            </w:r>
          </w:p>
        </w:tc>
        <w:tc>
          <w:tcPr>
            <w:tcW w:w="80" w:type="dxa"/>
            <w:vAlign w:val="bottom"/>
            <w:shd w:val="clear" w:color="auto" w:fill="D2DCE5"/>
          </w:tcPr>
          <w:p>
            <w:pPr>
              <w:spacing w:after="0"/>
              <w:rPr>
                <w:sz w:val="18"/>
                <w:szCs w:val="18"/>
                <w:color w:val="auto"/>
              </w:rPr>
            </w:pPr>
          </w:p>
        </w:tc>
        <w:tc>
          <w:tcPr>
            <w:tcW w:w="100" w:type="dxa"/>
            <w:vAlign w:val="bottom"/>
            <w:tcBorders>
              <w:bottom w:val="single" w:sz="8" w:color="auto"/>
            </w:tcBorders>
            <w:shd w:val="clear" w:color="auto" w:fill="D2DCE5"/>
          </w:tcPr>
          <w:p>
            <w:pPr>
              <w:spacing w:after="0"/>
              <w:rPr>
                <w:sz w:val="18"/>
                <w:szCs w:val="18"/>
                <w:color w:val="auto"/>
              </w:rPr>
            </w:pPr>
          </w:p>
        </w:tc>
        <w:tc>
          <w:tcPr>
            <w:tcW w:w="340" w:type="dxa"/>
            <w:vAlign w:val="bottom"/>
            <w:tcBorders>
              <w:bottom w:val="single" w:sz="8" w:color="auto"/>
            </w:tcBorders>
            <w:shd w:val="clear" w:color="auto" w:fill="D2DCE5"/>
          </w:tcPr>
          <w:p>
            <w:pPr>
              <w:spacing w:after="0"/>
              <w:rPr>
                <w:sz w:val="18"/>
                <w:szCs w:val="18"/>
                <w:color w:val="auto"/>
              </w:rPr>
            </w:pPr>
          </w:p>
        </w:tc>
        <w:tc>
          <w:tcPr>
            <w:tcW w:w="1220" w:type="dxa"/>
            <w:vAlign w:val="bottom"/>
            <w:tcBorders>
              <w:bottom w:val="single" w:sz="8" w:color="auto"/>
            </w:tcBorders>
            <w:shd w:val="clear" w:color="auto" w:fill="D2DCE5"/>
          </w:tcPr>
          <w:p>
            <w:pPr>
              <w:jc w:val="right"/>
              <w:ind w:right="109"/>
              <w:spacing w:after="0"/>
              <w:rPr>
                <w:sz w:val="20"/>
                <w:szCs w:val="20"/>
                <w:color w:val="auto"/>
              </w:rPr>
            </w:pPr>
            <w:r>
              <w:rPr>
                <w:rFonts w:ascii="Arial" w:cs="Arial" w:eastAsia="Arial" w:hAnsi="Arial"/>
                <w:sz w:val="14"/>
                <w:szCs w:val="14"/>
                <w:color w:val="131E29"/>
              </w:rPr>
              <w:t>—</w:t>
            </w:r>
          </w:p>
        </w:tc>
        <w:tc>
          <w:tcPr>
            <w:tcW w:w="0" w:type="dxa"/>
            <w:vAlign w:val="bottom"/>
          </w:tcPr>
          <w:p>
            <w:pPr>
              <w:spacing w:after="0"/>
              <w:rPr>
                <w:sz w:val="1"/>
                <w:szCs w:val="1"/>
                <w:color w:val="auto"/>
              </w:rPr>
            </w:pPr>
          </w:p>
        </w:tc>
      </w:tr>
      <w:tr>
        <w:trPr>
          <w:trHeight w:val="212"/>
        </w:trPr>
        <w:tc>
          <w:tcPr>
            <w:tcW w:w="6400" w:type="dxa"/>
            <w:vAlign w:val="bottom"/>
            <w:gridSpan w:val="4"/>
          </w:tcPr>
          <w:p>
            <w:pPr>
              <w:ind w:left="140"/>
              <w:spacing w:after="0"/>
              <w:rPr>
                <w:sz w:val="20"/>
                <w:szCs w:val="20"/>
                <w:color w:val="auto"/>
              </w:rPr>
            </w:pPr>
            <w:r>
              <w:rPr>
                <w:rFonts w:ascii="Arial" w:cs="Arial" w:eastAsia="Arial" w:hAnsi="Arial"/>
                <w:sz w:val="14"/>
                <w:szCs w:val="14"/>
                <w:b w:val="1"/>
                <w:bCs w:val="1"/>
                <w:color w:val="131E29"/>
              </w:rPr>
              <w:t>Effective income tax rate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131E29"/>
              </w:rPr>
              <w:t>21.7 %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131E29"/>
              </w:rPr>
              <w:t>41.2 %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131E29"/>
              </w:rPr>
              <w:t>(15.6)%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5" w:name="page126"/>
    <w:bookmarkEnd w:id="12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gridSpan w:val="2"/>
          </w:tcPr>
          <w:p>
            <w:pPr>
              <w:spacing w:after="0"/>
              <w:rPr>
                <w:sz w:val="20"/>
                <w:szCs w:val="20"/>
                <w:color w:val="auto"/>
              </w:rPr>
            </w:pPr>
            <w:r>
              <w:rPr>
                <w:rFonts w:ascii="Arial" w:cs="Arial" w:eastAsia="Arial" w:hAnsi="Arial"/>
                <w:sz w:val="14"/>
                <w:szCs w:val="14"/>
                <w:color w:val="131E29"/>
              </w:rPr>
              <w:t>The components of our deferred tax assets are as follows:</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311"/>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December 31, 2024</w:t>
            </w:r>
          </w:p>
        </w:tc>
        <w:tc>
          <w:tcPr>
            <w:tcW w:w="80" w:type="dxa"/>
            <w:vAlign w:val="bottom"/>
            <w:tcBorders>
              <w:bottom w:val="single" w:sz="8" w:color="D2DCE5"/>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December 31, 2023</w:t>
            </w:r>
          </w:p>
        </w:tc>
      </w:tr>
      <w:tr>
        <w:trPr>
          <w:trHeight w:val="209"/>
        </w:trPr>
        <w:tc>
          <w:tcPr>
            <w:tcW w:w="748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Deferred tax assets</w:t>
            </w:r>
          </w:p>
        </w:tc>
        <w:tc>
          <w:tcPr>
            <w:tcW w:w="200" w:type="dxa"/>
            <w:vAlign w:val="bottom"/>
            <w:shd w:val="clear" w:color="auto" w:fill="D2DCE5"/>
          </w:tcPr>
          <w:p>
            <w:pPr>
              <w:spacing w:after="0"/>
              <w:rPr>
                <w:sz w:val="18"/>
                <w:szCs w:val="18"/>
                <w:color w:val="auto"/>
              </w:rPr>
            </w:pPr>
          </w:p>
        </w:tc>
        <w:tc>
          <w:tcPr>
            <w:tcW w:w="166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200" w:type="dxa"/>
            <w:vAlign w:val="bottom"/>
            <w:shd w:val="clear" w:color="auto" w:fill="D2DCE5"/>
          </w:tcPr>
          <w:p>
            <w:pPr>
              <w:spacing w:after="0"/>
              <w:rPr>
                <w:sz w:val="18"/>
                <w:szCs w:val="18"/>
                <w:color w:val="auto"/>
              </w:rPr>
            </w:pPr>
          </w:p>
        </w:tc>
        <w:tc>
          <w:tcPr>
            <w:tcW w:w="1660" w:type="dxa"/>
            <w:vAlign w:val="bottom"/>
            <w:shd w:val="clear" w:color="auto" w:fill="D2DCE5"/>
          </w:tcPr>
          <w:p>
            <w:pPr>
              <w:spacing w:after="0"/>
              <w:rPr>
                <w:sz w:val="18"/>
                <w:szCs w:val="18"/>
                <w:color w:val="auto"/>
              </w:rPr>
            </w:pPr>
          </w:p>
        </w:tc>
      </w:tr>
      <w:tr>
        <w:trPr>
          <w:trHeight w:val="202"/>
        </w:trPr>
        <w:tc>
          <w:tcPr>
            <w:tcW w:w="7480" w:type="dxa"/>
            <w:vAlign w:val="bottom"/>
            <w:gridSpan w:val="2"/>
          </w:tcPr>
          <w:p>
            <w:pPr>
              <w:ind w:left="180"/>
              <w:spacing w:after="0"/>
              <w:rPr>
                <w:sz w:val="20"/>
                <w:szCs w:val="20"/>
                <w:color w:val="auto"/>
              </w:rPr>
            </w:pPr>
            <w:r>
              <w:rPr>
                <w:rFonts w:ascii="Arial" w:cs="Arial" w:eastAsia="Arial" w:hAnsi="Arial"/>
                <w:sz w:val="14"/>
                <w:szCs w:val="14"/>
                <w:color w:val="131E29"/>
              </w:rPr>
              <w:t>Investment in Dutch Bros OpCo</w:t>
            </w:r>
          </w:p>
        </w:tc>
        <w:tc>
          <w:tcPr>
            <w:tcW w:w="200" w:type="dxa"/>
            <w:vAlign w:val="bottom"/>
          </w:tcPr>
          <w:p>
            <w:pPr>
              <w:jc w:val="right"/>
              <w:ind w:right="29"/>
              <w:spacing w:after="0"/>
              <w:rPr>
                <w:sz w:val="20"/>
                <w:szCs w:val="20"/>
                <w:color w:val="auto"/>
              </w:rPr>
            </w:pPr>
            <w:r>
              <w:rPr>
                <w:rFonts w:ascii="Arial" w:cs="Arial" w:eastAsia="Arial" w:hAnsi="Arial"/>
                <w:sz w:val="14"/>
                <w:szCs w:val="14"/>
                <w:color w:val="131E29"/>
              </w:rPr>
              <w:t>$</w:t>
            </w:r>
          </w:p>
        </w:tc>
        <w:tc>
          <w:tcPr>
            <w:tcW w:w="1660" w:type="dxa"/>
            <w:vAlign w:val="bottom"/>
          </w:tcPr>
          <w:p>
            <w:pPr>
              <w:jc w:val="right"/>
              <w:spacing w:after="0"/>
              <w:rPr>
                <w:sz w:val="20"/>
                <w:szCs w:val="20"/>
                <w:color w:val="auto"/>
              </w:rPr>
            </w:pPr>
            <w:r>
              <w:rPr>
                <w:rFonts w:ascii="Arial" w:cs="Arial" w:eastAsia="Arial" w:hAnsi="Arial"/>
                <w:sz w:val="14"/>
                <w:szCs w:val="14"/>
                <w:color w:val="131E29"/>
              </w:rPr>
              <w:t>638,110</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131E29"/>
              </w:rPr>
              <w:t>$</w:t>
            </w:r>
          </w:p>
        </w:tc>
        <w:tc>
          <w:tcPr>
            <w:tcW w:w="1660" w:type="dxa"/>
            <w:vAlign w:val="bottom"/>
          </w:tcPr>
          <w:p>
            <w:pPr>
              <w:jc w:val="right"/>
              <w:spacing w:after="0"/>
              <w:rPr>
                <w:sz w:val="20"/>
                <w:szCs w:val="20"/>
                <w:color w:val="auto"/>
              </w:rPr>
            </w:pPr>
            <w:r>
              <w:rPr>
                <w:rFonts w:ascii="Arial" w:cs="Arial" w:eastAsia="Arial" w:hAnsi="Arial"/>
                <w:sz w:val="14"/>
                <w:szCs w:val="14"/>
                <w:color w:val="131E29"/>
              </w:rPr>
              <w:t>346,172</w:t>
            </w:r>
          </w:p>
        </w:tc>
      </w:tr>
      <w:tr>
        <w:trPr>
          <w:trHeight w:val="222"/>
        </w:trPr>
        <w:tc>
          <w:tcPr>
            <w:tcW w:w="7480" w:type="dxa"/>
            <w:vAlign w:val="bottom"/>
            <w:gridSpan w:val="2"/>
            <w:shd w:val="clear" w:color="auto" w:fill="D2DCE5"/>
          </w:tcPr>
          <w:p>
            <w:pPr>
              <w:ind w:left="180"/>
              <w:spacing w:after="0"/>
              <w:rPr>
                <w:sz w:val="20"/>
                <w:szCs w:val="20"/>
                <w:color w:val="auto"/>
              </w:rPr>
            </w:pPr>
            <w:r>
              <w:rPr>
                <w:rFonts w:ascii="Arial" w:cs="Arial" w:eastAsia="Arial" w:hAnsi="Arial"/>
                <w:sz w:val="14"/>
                <w:szCs w:val="14"/>
                <w:color w:val="131E29"/>
              </w:rPr>
              <w:t>Net operating loss carryforwards</w:t>
            </w:r>
          </w:p>
        </w:tc>
        <w:tc>
          <w:tcPr>
            <w:tcW w:w="200" w:type="dxa"/>
            <w:vAlign w:val="bottom"/>
            <w:shd w:val="clear" w:color="auto" w:fill="D2DCE5"/>
          </w:tcPr>
          <w:p>
            <w:pPr>
              <w:spacing w:after="0"/>
              <w:rPr>
                <w:sz w:val="19"/>
                <w:szCs w:val="19"/>
                <w:color w:val="auto"/>
              </w:rPr>
            </w:pPr>
          </w:p>
        </w:tc>
        <w:tc>
          <w:tcPr>
            <w:tcW w:w="16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50,862</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6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34,988</w:t>
            </w:r>
          </w:p>
        </w:tc>
      </w:tr>
      <w:tr>
        <w:trPr>
          <w:trHeight w:val="202"/>
        </w:trPr>
        <w:tc>
          <w:tcPr>
            <w:tcW w:w="7480" w:type="dxa"/>
            <w:vAlign w:val="bottom"/>
            <w:gridSpan w:val="2"/>
          </w:tcPr>
          <w:p>
            <w:pPr>
              <w:ind w:left="180"/>
              <w:spacing w:after="0"/>
              <w:rPr>
                <w:sz w:val="20"/>
                <w:szCs w:val="20"/>
                <w:color w:val="auto"/>
              </w:rPr>
            </w:pPr>
            <w:r>
              <w:rPr>
                <w:rFonts w:ascii="Arial" w:cs="Arial" w:eastAsia="Arial" w:hAnsi="Arial"/>
                <w:sz w:val="14"/>
                <w:szCs w:val="14"/>
                <w:color w:val="131E29"/>
              </w:rPr>
              <w:t>Interest expense</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131E29"/>
              </w:rPr>
              <w:t>40,247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131E29"/>
              </w:rPr>
              <w:t>14,187</w:t>
            </w:r>
          </w:p>
        </w:tc>
      </w:tr>
      <w:tr>
        <w:trPr>
          <w:trHeight w:val="222"/>
        </w:trPr>
        <w:tc>
          <w:tcPr>
            <w:tcW w:w="7480" w:type="dxa"/>
            <w:vAlign w:val="bottom"/>
            <w:gridSpan w:val="2"/>
            <w:shd w:val="clear" w:color="auto" w:fill="D2DCE5"/>
          </w:tcPr>
          <w:p>
            <w:pPr>
              <w:ind w:left="180"/>
              <w:spacing w:after="0"/>
              <w:rPr>
                <w:sz w:val="20"/>
                <w:szCs w:val="20"/>
                <w:color w:val="auto"/>
              </w:rPr>
            </w:pPr>
            <w:r>
              <w:rPr>
                <w:rFonts w:ascii="Arial" w:cs="Arial" w:eastAsia="Arial" w:hAnsi="Arial"/>
                <w:sz w:val="14"/>
                <w:szCs w:val="14"/>
                <w:color w:val="131E29"/>
              </w:rPr>
              <w:t>Credit carryforwards</w:t>
            </w:r>
          </w:p>
        </w:tc>
        <w:tc>
          <w:tcPr>
            <w:tcW w:w="200" w:type="dxa"/>
            <w:vAlign w:val="bottom"/>
            <w:shd w:val="clear" w:color="auto" w:fill="D2DCE5"/>
          </w:tcPr>
          <w:p>
            <w:pPr>
              <w:spacing w:after="0"/>
              <w:rPr>
                <w:sz w:val="19"/>
                <w:szCs w:val="19"/>
                <w:color w:val="auto"/>
              </w:rPr>
            </w:pPr>
          </w:p>
        </w:tc>
        <w:tc>
          <w:tcPr>
            <w:tcW w:w="16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9,399</w:t>
            </w:r>
          </w:p>
        </w:tc>
        <w:tc>
          <w:tcPr>
            <w:tcW w:w="80" w:type="dxa"/>
            <w:vAlign w:val="bottom"/>
            <w:shd w:val="clear" w:color="auto" w:fill="D2DCE5"/>
          </w:tcPr>
          <w:p>
            <w:pPr>
              <w:spacing w:after="0"/>
              <w:rPr>
                <w:sz w:val="19"/>
                <w:szCs w:val="19"/>
                <w:color w:val="auto"/>
              </w:rPr>
            </w:pPr>
          </w:p>
        </w:tc>
        <w:tc>
          <w:tcPr>
            <w:tcW w:w="200" w:type="dxa"/>
            <w:vAlign w:val="bottom"/>
            <w:shd w:val="clear" w:color="auto" w:fill="D2DCE5"/>
          </w:tcPr>
          <w:p>
            <w:pPr>
              <w:spacing w:after="0"/>
              <w:rPr>
                <w:sz w:val="19"/>
                <w:szCs w:val="19"/>
                <w:color w:val="auto"/>
              </w:rPr>
            </w:pPr>
          </w:p>
        </w:tc>
        <w:tc>
          <w:tcPr>
            <w:tcW w:w="16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4,991</w:t>
            </w:r>
          </w:p>
        </w:tc>
      </w:tr>
      <w:tr>
        <w:trPr>
          <w:trHeight w:val="202"/>
        </w:trPr>
        <w:tc>
          <w:tcPr>
            <w:tcW w:w="7480" w:type="dxa"/>
            <w:vAlign w:val="bottom"/>
            <w:gridSpan w:val="2"/>
          </w:tcPr>
          <w:p>
            <w:pPr>
              <w:ind w:left="180"/>
              <w:spacing w:after="0"/>
              <w:rPr>
                <w:sz w:val="20"/>
                <w:szCs w:val="20"/>
                <w:color w:val="auto"/>
              </w:rPr>
            </w:pPr>
            <w:r>
              <w:rPr>
                <w:rFonts w:ascii="Arial" w:cs="Arial" w:eastAsia="Arial" w:hAnsi="Arial"/>
                <w:sz w:val="14"/>
                <w:szCs w:val="14"/>
                <w:color w:val="131E29"/>
              </w:rPr>
              <w:t>Charitable contribution carryforward</w:t>
            </w: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131E29"/>
              </w:rPr>
              <w:t>1,505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131E29"/>
              </w:rPr>
              <w:t>1,546</w:t>
            </w:r>
          </w:p>
        </w:tc>
      </w:tr>
      <w:tr>
        <w:trPr>
          <w:trHeight w:val="222"/>
        </w:trPr>
        <w:tc>
          <w:tcPr>
            <w:tcW w:w="7480" w:type="dxa"/>
            <w:vAlign w:val="bottom"/>
            <w:gridSpan w:val="2"/>
            <w:shd w:val="clear" w:color="auto" w:fill="D2DCE5"/>
          </w:tcPr>
          <w:p>
            <w:pPr>
              <w:ind w:left="180"/>
              <w:spacing w:after="0"/>
              <w:rPr>
                <w:sz w:val="20"/>
                <w:szCs w:val="20"/>
                <w:color w:val="auto"/>
              </w:rPr>
            </w:pPr>
            <w:r>
              <w:rPr>
                <w:rFonts w:ascii="Arial" w:cs="Arial" w:eastAsia="Arial" w:hAnsi="Arial"/>
                <w:sz w:val="14"/>
                <w:szCs w:val="14"/>
                <w:color w:val="131E29"/>
              </w:rPr>
              <w:t>Other</w:t>
            </w:r>
          </w:p>
        </w:tc>
        <w:tc>
          <w:tcPr>
            <w:tcW w:w="200" w:type="dxa"/>
            <w:vAlign w:val="bottom"/>
            <w:tcBorders>
              <w:bottom w:val="single" w:sz="8" w:color="auto"/>
            </w:tcBorders>
            <w:shd w:val="clear" w:color="auto" w:fill="D2DCE5"/>
          </w:tcPr>
          <w:p>
            <w:pPr>
              <w:spacing w:after="0"/>
              <w:rPr>
                <w:sz w:val="19"/>
                <w:szCs w:val="19"/>
                <w:color w:val="auto"/>
              </w:rPr>
            </w:pPr>
          </w:p>
        </w:tc>
        <w:tc>
          <w:tcPr>
            <w:tcW w:w="1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2,866</w:t>
            </w:r>
          </w:p>
        </w:tc>
        <w:tc>
          <w:tcPr>
            <w:tcW w:w="80" w:type="dxa"/>
            <w:vAlign w:val="bottom"/>
            <w:shd w:val="clear" w:color="auto" w:fill="D2DCE5"/>
          </w:tcPr>
          <w:p>
            <w:pPr>
              <w:spacing w:after="0"/>
              <w:rPr>
                <w:sz w:val="19"/>
                <w:szCs w:val="19"/>
                <w:color w:val="auto"/>
              </w:rPr>
            </w:pPr>
          </w:p>
        </w:tc>
        <w:tc>
          <w:tcPr>
            <w:tcW w:w="200" w:type="dxa"/>
            <w:vAlign w:val="bottom"/>
            <w:tcBorders>
              <w:bottom w:val="single" w:sz="8" w:color="auto"/>
            </w:tcBorders>
            <w:shd w:val="clear" w:color="auto" w:fill="D2DCE5"/>
          </w:tcPr>
          <w:p>
            <w:pPr>
              <w:spacing w:after="0"/>
              <w:rPr>
                <w:sz w:val="19"/>
                <w:szCs w:val="19"/>
                <w:color w:val="auto"/>
              </w:rPr>
            </w:pPr>
          </w:p>
        </w:tc>
        <w:tc>
          <w:tcPr>
            <w:tcW w:w="1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2,130</w:t>
            </w:r>
          </w:p>
        </w:tc>
      </w:tr>
      <w:tr>
        <w:trPr>
          <w:trHeight w:val="193"/>
        </w:trPr>
        <w:tc>
          <w:tcPr>
            <w:tcW w:w="7480" w:type="dxa"/>
            <w:vAlign w:val="bottom"/>
            <w:gridSpan w:val="2"/>
          </w:tcPr>
          <w:p>
            <w:pPr>
              <w:ind w:left="20"/>
              <w:spacing w:after="0"/>
              <w:rPr>
                <w:sz w:val="20"/>
                <w:szCs w:val="20"/>
                <w:color w:val="auto"/>
              </w:rPr>
            </w:pPr>
            <w:r>
              <w:rPr>
                <w:rFonts w:ascii="Arial" w:cs="Arial" w:eastAsia="Arial" w:hAnsi="Arial"/>
                <w:sz w:val="14"/>
                <w:szCs w:val="14"/>
                <w:color w:val="131E29"/>
              </w:rPr>
              <w:t>Total deferred tax assets</w:t>
            </w: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131E29"/>
              </w:rPr>
              <w:t>742,989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131E29"/>
              </w:rPr>
              <w:t>404,014</w:t>
            </w:r>
          </w:p>
        </w:tc>
      </w:tr>
      <w:tr>
        <w:trPr>
          <w:trHeight w:val="213"/>
        </w:trPr>
        <w:tc>
          <w:tcPr>
            <w:tcW w:w="748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valuation allowance</w:t>
            </w:r>
          </w:p>
        </w:tc>
        <w:tc>
          <w:tcPr>
            <w:tcW w:w="200" w:type="dxa"/>
            <w:vAlign w:val="bottom"/>
            <w:tcBorders>
              <w:bottom w:val="single" w:sz="8" w:color="auto"/>
            </w:tcBorders>
            <w:shd w:val="clear" w:color="auto" w:fill="D2DCE5"/>
          </w:tcPr>
          <w:p>
            <w:pPr>
              <w:spacing w:after="0"/>
              <w:rPr>
                <w:sz w:val="18"/>
                <w:szCs w:val="18"/>
                <w:color w:val="auto"/>
              </w:rPr>
            </w:pPr>
          </w:p>
        </w:tc>
        <w:tc>
          <w:tcPr>
            <w:tcW w:w="1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(863)</w:t>
            </w:r>
          </w:p>
        </w:tc>
        <w:tc>
          <w:tcPr>
            <w:tcW w:w="80" w:type="dxa"/>
            <w:vAlign w:val="bottom"/>
            <w:shd w:val="clear" w:color="auto" w:fill="D2DCE5"/>
          </w:tcPr>
          <w:p>
            <w:pPr>
              <w:spacing w:after="0"/>
              <w:rPr>
                <w:sz w:val="18"/>
                <w:szCs w:val="18"/>
                <w:color w:val="auto"/>
              </w:rPr>
            </w:pPr>
          </w:p>
        </w:tc>
        <w:tc>
          <w:tcPr>
            <w:tcW w:w="200" w:type="dxa"/>
            <w:vAlign w:val="bottom"/>
            <w:tcBorders>
              <w:bottom w:val="single" w:sz="8" w:color="auto"/>
            </w:tcBorders>
            <w:shd w:val="clear" w:color="auto" w:fill="D2DCE5"/>
          </w:tcPr>
          <w:p>
            <w:pPr>
              <w:spacing w:after="0"/>
              <w:rPr>
                <w:sz w:val="18"/>
                <w:szCs w:val="18"/>
                <w:color w:val="auto"/>
              </w:rPr>
            </w:pPr>
          </w:p>
        </w:tc>
        <w:tc>
          <w:tcPr>
            <w:tcW w:w="16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(1,019)</w:t>
            </w:r>
          </w:p>
        </w:tc>
      </w:tr>
      <w:tr>
        <w:trPr>
          <w:trHeight w:val="212"/>
        </w:trPr>
        <w:tc>
          <w:tcPr>
            <w:tcW w:w="7480" w:type="dxa"/>
            <w:vAlign w:val="bottom"/>
            <w:gridSpan w:val="2"/>
          </w:tcPr>
          <w:p>
            <w:pPr>
              <w:ind w:left="20"/>
              <w:spacing w:after="0"/>
              <w:rPr>
                <w:sz w:val="20"/>
                <w:szCs w:val="20"/>
                <w:color w:val="auto"/>
              </w:rPr>
            </w:pPr>
            <w:r>
              <w:rPr>
                <w:rFonts w:ascii="Arial" w:cs="Arial" w:eastAsia="Arial" w:hAnsi="Arial"/>
                <w:sz w:val="14"/>
                <w:szCs w:val="14"/>
                <w:b w:val="1"/>
                <w:bCs w:val="1"/>
                <w:color w:val="131E29"/>
              </w:rPr>
              <w:t>Net deferred tax assets</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131E2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742,126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131E2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402,995</w:t>
            </w:r>
          </w:p>
        </w:tc>
      </w:tr>
      <w:tr>
        <w:trPr>
          <w:trHeight w:val="20"/>
        </w:trPr>
        <w:tc>
          <w:tcPr>
            <w:tcW w:w="7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We recognize deferred tax assets to the extent, based on available evidence, that it is more-likely-than-not that they will be realized. In making such a determination, we consider all available positive and negative evidence, including future reversals of existing taxable temporary differences, projected future taxable income, tax planning strategies, and recent results of operations. For the years ended December 31, 2024 and 2023, we recorded a valuation allowance on our deferred tax assets, primarily related to charitable contributions, of which we do not expect to recognize benefit from in the foreseeable future. We have no deferred tax liabilities.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As of December 31, 2024, we had U.S. federal net operating losses of $208.3 million and tax credit carryforwards of approximately $9.4 million. Our federal net operating losses do not expire and tax credits will begin to expire in 2039, if not utilized. As of December 31, 2024, we had $133.4 million of state tax net operating losses and no state tax credits. Of the state tax net operating losses, $97.0 million will begin to expire in 2033 if not utilized and the remaining $36.4 million do not expire.</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There were no interest and penalties accrued for the three years ended December 31, 2024. We have assessed our tax positions taken and concluded there are no significant uncertain tax positions. We have no unrecognized tax benefits as of December 31, 2024 or 2023, that, if recognized, would affect the amount of income tax expense reported.</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file returns with the Internal Revenue Service and multiple state jurisdictions, which are subject to examination by the taxing authorities for years 2018 and later. The earlier tax years are subject to examination due to the utilization of net operating losses in recent tax years. None of our federal or state income tax returns are currently under examination by federal or state taxing authorities.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6" w:name="page127"/>
    <w:bookmarkEnd w:id="12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13 — Equity-Based Compensation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Equity Awards</w:t>
      </w:r>
    </w:p>
    <w:p>
      <w:pPr>
        <w:spacing w:after="0" w:line="92"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As of December 31, 2024, we had equity-based compensation awards outstanding consisting of time-based RSUs with three years service vesting periods. Awards currently outstanding vest under one of the following schedules:</w:t>
      </w:r>
    </w:p>
    <w:p>
      <w:pPr>
        <w:spacing w:after="0" w:line="35" w:lineRule="exact"/>
        <w:rPr>
          <w:sz w:val="20"/>
          <w:szCs w:val="20"/>
          <w:color w:val="auto"/>
        </w:rPr>
      </w:pPr>
    </w:p>
    <w:p>
      <w:pPr>
        <w:ind w:left="260" w:hanging="255"/>
        <w:spacing w:after="0"/>
        <w:tabs>
          <w:tab w:leader="none" w:pos="260" w:val="left"/>
        </w:tabs>
        <w:numPr>
          <w:ilvl w:val="0"/>
          <w:numId w:val="57"/>
        </w:numPr>
        <w:rPr>
          <w:rFonts w:ascii="Arial" w:cs="Arial" w:eastAsia="Arial" w:hAnsi="Arial"/>
          <w:sz w:val="14"/>
          <w:szCs w:val="14"/>
          <w:color w:val="131E29"/>
        </w:rPr>
      </w:pPr>
      <w:r>
        <w:rPr>
          <w:rFonts w:ascii="Arial" w:cs="Arial" w:eastAsia="Arial" w:hAnsi="Arial"/>
          <w:sz w:val="14"/>
          <w:szCs w:val="14"/>
          <w:color w:val="131E29"/>
        </w:rPr>
        <w:t>Approximately one-third installments on each first, second, and third anniversary of the vesting commencement date;</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57"/>
        </w:numPr>
        <w:rPr>
          <w:rFonts w:ascii="Arial" w:cs="Arial" w:eastAsia="Arial" w:hAnsi="Arial"/>
          <w:sz w:val="14"/>
          <w:szCs w:val="14"/>
          <w:color w:val="131E29"/>
        </w:rPr>
      </w:pPr>
      <w:r>
        <w:rPr>
          <w:rFonts w:ascii="Arial" w:cs="Arial" w:eastAsia="Arial" w:hAnsi="Arial"/>
          <w:sz w:val="14"/>
          <w:szCs w:val="14"/>
          <w:color w:val="131E29"/>
        </w:rPr>
        <w:t>50% each of the second and third anniversaries of the vesting commencement date; or</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57"/>
        </w:numPr>
        <w:rPr>
          <w:rFonts w:ascii="Arial" w:cs="Arial" w:eastAsia="Arial" w:hAnsi="Arial"/>
          <w:sz w:val="14"/>
          <w:szCs w:val="14"/>
          <w:color w:val="131E29"/>
        </w:rPr>
      </w:pPr>
      <w:r>
        <w:rPr>
          <w:rFonts w:ascii="Arial" w:cs="Arial" w:eastAsia="Arial" w:hAnsi="Arial"/>
          <w:sz w:val="14"/>
          <w:szCs w:val="14"/>
          <w:color w:val="131E29"/>
        </w:rPr>
        <w:t>100% vesting on the third anniversary of the vesting commencement date.</w:t>
      </w:r>
    </w:p>
    <w:p>
      <w:pPr>
        <w:sectPr>
          <w:pgSz w:w="11900" w:h="16838" w:orient="portrait"/>
          <w:cols w:equalWidth="0" w:num="1">
            <w:col w:w="11280"/>
          </w:cols>
          <w:pgMar w:left="300" w:top="133" w:right="319" w:bottom="1440" w:gutter="0" w:footer="0" w:header="0"/>
        </w:sectPr>
      </w:pP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Restricted Stock Awards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131E29"/>
        </w:rPr>
        <w:t>RSA activity was as follows:</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 except per share amounts)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31E29"/>
        </w:rPr>
        <w:t>Balance, December 31, 2023</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Vested</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131E29"/>
        </w:rPr>
        <w:t>Balance,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131E29"/>
              </w:rPr>
              <w:t>Restricted Stock</w:t>
            </w:r>
          </w:p>
        </w:tc>
        <w:tc>
          <w:tcPr>
            <w:tcW w:w="100" w:type="dxa"/>
            <w:vAlign w:val="bottom"/>
          </w:tcPr>
          <w:p>
            <w:pPr>
              <w:spacing w:after="0"/>
              <w:rPr>
                <w:sz w:val="14"/>
                <w:szCs w:val="14"/>
                <w:color w:val="auto"/>
              </w:rPr>
            </w:pPr>
          </w:p>
        </w:tc>
        <w:tc>
          <w:tcPr>
            <w:tcW w:w="2300" w:type="dxa"/>
            <w:vAlign w:val="bottom"/>
          </w:tcPr>
          <w:p>
            <w:pPr>
              <w:jc w:val="right"/>
              <w:ind w:right="29"/>
              <w:spacing w:after="0"/>
              <w:rPr>
                <w:sz w:val="20"/>
                <w:szCs w:val="20"/>
                <w:color w:val="auto"/>
              </w:rPr>
            </w:pPr>
            <w:r>
              <w:rPr>
                <w:rFonts w:ascii="Arial" w:cs="Arial" w:eastAsia="Arial" w:hAnsi="Arial"/>
                <w:sz w:val="14"/>
                <w:szCs w:val="14"/>
                <w:b w:val="1"/>
                <w:bCs w:val="1"/>
                <w:color w:val="131E29"/>
              </w:rPr>
              <w:t>Weighted-average grant date fair</w:t>
            </w:r>
          </w:p>
        </w:tc>
      </w:tr>
      <w:tr>
        <w:trPr>
          <w:trHeight w:val="200"/>
        </w:trPr>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131E29"/>
                <w:w w:val="98"/>
              </w:rPr>
              <w:t>Awards</w:t>
            </w:r>
          </w:p>
        </w:tc>
        <w:tc>
          <w:tcPr>
            <w:tcW w:w="100" w:type="dxa"/>
            <w:vAlign w:val="bottom"/>
          </w:tcPr>
          <w:p>
            <w:pPr>
              <w:spacing w:after="0"/>
              <w:rPr>
                <w:sz w:val="17"/>
                <w:szCs w:val="17"/>
                <w:color w:val="auto"/>
              </w:rPr>
            </w:pPr>
          </w:p>
        </w:tc>
        <w:tc>
          <w:tcPr>
            <w:tcW w:w="2300" w:type="dxa"/>
            <w:vAlign w:val="bottom"/>
          </w:tcPr>
          <w:p>
            <w:pPr>
              <w:jc w:val="right"/>
              <w:ind w:right="609"/>
              <w:spacing w:after="0"/>
              <w:rPr>
                <w:sz w:val="20"/>
                <w:szCs w:val="20"/>
                <w:color w:val="auto"/>
              </w:rPr>
            </w:pPr>
            <w:r>
              <w:rPr>
                <w:rFonts w:ascii="Arial" w:cs="Arial" w:eastAsia="Arial" w:hAnsi="Arial"/>
                <w:sz w:val="14"/>
                <w:szCs w:val="14"/>
                <w:b w:val="1"/>
                <w:bCs w:val="1"/>
                <w:color w:val="131E29"/>
              </w:rPr>
              <w:t>value per share</w:t>
            </w:r>
          </w:p>
        </w:tc>
      </w:tr>
      <w:tr>
        <w:trPr>
          <w:trHeight w:val="197"/>
        </w:trPr>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131E29"/>
              </w:rPr>
              <w:t>1,283</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131E29"/>
              </w:rPr>
              <w:t>$</w:t>
            </w:r>
          </w:p>
        </w:tc>
        <w:tc>
          <w:tcPr>
            <w:tcW w:w="23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131E29"/>
              </w:rPr>
              <w:t>23.00</w:t>
            </w:r>
          </w:p>
        </w:tc>
      </w:tr>
      <w:tr>
        <w:trPr>
          <w:trHeight w:val="214"/>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(1,283)</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23.00</w:t>
            </w:r>
          </w:p>
        </w:tc>
      </w:tr>
      <w:tr>
        <w:trPr>
          <w:trHeight w:val="206"/>
        </w:trPr>
        <w:tc>
          <w:tcPr>
            <w:tcW w:w="1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131E29"/>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131E29"/>
              </w:rPr>
              <w:t>$</w:t>
            </w:r>
          </w:p>
        </w:tc>
        <w:tc>
          <w:tcPr>
            <w:tcW w:w="2300" w:type="dxa"/>
            <w:vAlign w:val="bottom"/>
          </w:tcPr>
          <w:p>
            <w:pPr>
              <w:jc w:val="right"/>
              <w:spacing w:after="0"/>
              <w:rPr>
                <w:sz w:val="20"/>
                <w:szCs w:val="20"/>
                <w:color w:val="auto"/>
              </w:rPr>
            </w:pPr>
            <w:r>
              <w:rPr>
                <w:rFonts w:ascii="Arial" w:cs="Arial" w:eastAsia="Arial" w:hAnsi="Arial"/>
                <w:sz w:val="14"/>
                <w:szCs w:val="14"/>
                <w:b w:val="1"/>
                <w:bCs w:val="1"/>
                <w:color w:val="131E29"/>
              </w:rPr>
              <w:t>—</w:t>
            </w:r>
          </w:p>
        </w:tc>
      </w:tr>
      <w:tr>
        <w:trPr>
          <w:trHeight w:val="20"/>
        </w:trPr>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-4593590</wp:posOffset>
            </wp:positionH>
            <wp:positionV relativeFrom="paragraph">
              <wp:posOffset>-167640</wp:posOffset>
            </wp:positionV>
            <wp:extent cx="7161530" cy="154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61530" cy="154940"/>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-443865</wp:posOffset>
            </wp:positionV>
            <wp:extent cx="7161530" cy="1416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6520" w:space="720"/>
            <w:col w:w="4040"/>
          </w:cols>
          <w:pgMar w:left="300" w:top="133" w:right="31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006098"/>
        </w:rPr>
        <w:t>Restricted Stock Units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131E29"/>
        </w:rPr>
        <w:t>RSU activity was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Pr>
          <w:p>
            <w:pPr>
              <w:jc w:val="right"/>
              <w:ind w:right="29"/>
              <w:spacing w:after="0"/>
              <w:rPr>
                <w:sz w:val="20"/>
                <w:szCs w:val="20"/>
                <w:color w:val="auto"/>
              </w:rPr>
            </w:pPr>
            <w:r>
              <w:rPr>
                <w:rFonts w:ascii="Arial" w:cs="Arial" w:eastAsia="Arial" w:hAnsi="Arial"/>
                <w:sz w:val="14"/>
                <w:szCs w:val="14"/>
                <w:b w:val="1"/>
                <w:bCs w:val="1"/>
                <w:color w:val="131E29"/>
              </w:rPr>
              <w:t>Weighted-average grant date fair</w:t>
            </w:r>
          </w:p>
        </w:tc>
      </w:tr>
      <w:tr>
        <w:trPr>
          <w:trHeight w:val="200"/>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100" w:type="dxa"/>
            <w:vAlign w:val="bottom"/>
            <w:tcBorders>
              <w:bottom w:val="single" w:sz="8" w:color="D2DCE5"/>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Restricted Stock Units</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131E29"/>
              </w:rPr>
              <w:t>value per share</w:t>
            </w:r>
          </w:p>
        </w:tc>
      </w:tr>
      <w:tr>
        <w:trPr>
          <w:trHeight w:val="209"/>
        </w:trPr>
        <w:tc>
          <w:tcPr>
            <w:tcW w:w="724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2023</w:t>
            </w: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648</w:t>
            </w:r>
          </w:p>
        </w:tc>
        <w:tc>
          <w:tcPr>
            <w:tcW w:w="80" w:type="dxa"/>
            <w:vAlign w:val="bottom"/>
            <w:shd w:val="clear" w:color="auto" w:fill="D2DCE5"/>
          </w:tcPr>
          <w:p>
            <w:pPr>
              <w:spacing w:after="0"/>
              <w:rPr>
                <w:sz w:val="18"/>
                <w:szCs w:val="18"/>
                <w:color w:val="auto"/>
              </w:rPr>
            </w:pPr>
          </w:p>
        </w:tc>
        <w:tc>
          <w:tcPr>
            <w:tcW w:w="1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23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35.99</w:t>
            </w:r>
          </w:p>
        </w:tc>
      </w:tr>
      <w:tr>
        <w:trPr>
          <w:trHeight w:val="202"/>
        </w:trPr>
        <w:tc>
          <w:tcPr>
            <w:tcW w:w="7240" w:type="dxa"/>
            <w:vAlign w:val="bottom"/>
            <w:gridSpan w:val="2"/>
          </w:tcPr>
          <w:p>
            <w:pPr>
              <w:ind w:left="20"/>
              <w:spacing w:after="0"/>
              <w:rPr>
                <w:sz w:val="20"/>
                <w:szCs w:val="20"/>
                <w:color w:val="auto"/>
              </w:rPr>
            </w:pPr>
            <w:r>
              <w:rPr>
                <w:rFonts w:ascii="Arial" w:cs="Arial" w:eastAsia="Arial" w:hAnsi="Arial"/>
                <w:sz w:val="14"/>
                <w:szCs w:val="14"/>
                <w:color w:val="131E29"/>
              </w:rPr>
              <w:t>New grants</w:t>
            </w:r>
          </w:p>
        </w:tc>
        <w:tc>
          <w:tcPr>
            <w:tcW w:w="1560" w:type="dxa"/>
            <w:vAlign w:val="bottom"/>
          </w:tcPr>
          <w:p>
            <w:pPr>
              <w:jc w:val="right"/>
              <w:spacing w:after="0"/>
              <w:rPr>
                <w:sz w:val="20"/>
                <w:szCs w:val="20"/>
                <w:color w:val="auto"/>
              </w:rPr>
            </w:pPr>
            <w:r>
              <w:rPr>
                <w:rFonts w:ascii="Arial" w:cs="Arial" w:eastAsia="Arial" w:hAnsi="Arial"/>
                <w:sz w:val="14"/>
                <w:szCs w:val="14"/>
                <w:color w:val="131E29"/>
              </w:rPr>
              <w:t>846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4"/>
                <w:szCs w:val="14"/>
                <w:color w:val="131E29"/>
              </w:rPr>
              <w:t>31.21</w:t>
            </w:r>
          </w:p>
        </w:tc>
      </w:tr>
      <w:tr>
        <w:trPr>
          <w:trHeight w:val="222"/>
        </w:trPr>
        <w:tc>
          <w:tcPr>
            <w:tcW w:w="724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Vested</w:t>
            </w: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(119)</w:t>
            </w:r>
          </w:p>
        </w:tc>
        <w:tc>
          <w:tcPr>
            <w:tcW w:w="8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23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42.57</w:t>
            </w:r>
          </w:p>
        </w:tc>
      </w:tr>
      <w:tr>
        <w:trPr>
          <w:trHeight w:val="203"/>
        </w:trPr>
        <w:tc>
          <w:tcPr>
            <w:tcW w:w="724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Forfeitures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(164)</w:t>
            </w:r>
          </w:p>
        </w:tc>
        <w:tc>
          <w:tcPr>
            <w:tcW w:w="80" w:type="dxa"/>
            <w:vAlign w:val="bottom"/>
            <w:tcBorders>
              <w:bottom w:val="single" w:sz="8" w:color="D2DCE5"/>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33.21</w:t>
            </w:r>
          </w:p>
        </w:tc>
      </w:tr>
      <w:tr>
        <w:trPr>
          <w:trHeight w:val="237"/>
        </w:trPr>
        <w:tc>
          <w:tcPr>
            <w:tcW w:w="7240" w:type="dxa"/>
            <w:vAlign w:val="bottom"/>
            <w:tcBorders>
              <w:bottom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Balance, December 31, 2024</w:t>
            </w:r>
          </w:p>
        </w:tc>
        <w:tc>
          <w:tcPr>
            <w:tcW w:w="156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1,211</w:t>
            </w:r>
          </w:p>
        </w:tc>
        <w:tc>
          <w:tcPr>
            <w:tcW w:w="80" w:type="dxa"/>
            <w:vAlign w:val="bottom"/>
            <w:tcBorders>
              <w:bottom w:val="single" w:sz="8" w:color="D2DCE5"/>
            </w:tcBorders>
            <w:shd w:val="clear" w:color="auto" w:fill="D2DCE5"/>
          </w:tcPr>
          <w:p>
            <w:pPr>
              <w:spacing w:after="0"/>
              <w:rPr>
                <w:sz w:val="20"/>
                <w:szCs w:val="20"/>
                <w:color w:val="auto"/>
              </w:rPr>
            </w:pPr>
          </w:p>
        </w:tc>
        <w:tc>
          <w:tcPr>
            <w:tcW w:w="1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w:t>
            </w:r>
          </w:p>
        </w:tc>
        <w:tc>
          <w:tcPr>
            <w:tcW w:w="23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32.38</w:t>
            </w:r>
          </w:p>
        </w:tc>
      </w:tr>
      <w:tr>
        <w:trPr>
          <w:trHeight w:val="20"/>
        </w:trPr>
        <w:tc>
          <w:tcPr>
            <w:tcW w:w="714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D2DCE5"/>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bottom w:val="single" w:sz="8" w:color="auto"/>
            </w:tcBorders>
          </w:tcPr>
          <w:p>
            <w:pPr>
              <w:spacing w:after="0" w:line="20" w:lineRule="exact"/>
              <w:rPr>
                <w:sz w:val="1"/>
                <w:szCs w:val="1"/>
                <w:color w:val="auto"/>
              </w:rPr>
            </w:pPr>
          </w:p>
        </w:tc>
        <w:tc>
          <w:tcPr>
            <w:tcW w:w="2300" w:type="dxa"/>
            <w:vAlign w:val="bottom"/>
            <w:tcBorders>
              <w:top w:val="single" w:sz="8" w:color="D2DCE5"/>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131E29"/>
        </w:rPr>
        <w:t>Total release date fair value of vested RSAs and RSUs for the three years ended December 31, 2024 are presented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131E29"/>
              </w:rPr>
              <w:t>Year Ended December 31,</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0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4"/>
                <w:szCs w:val="14"/>
                <w:b w:val="1"/>
                <w:bCs w:val="1"/>
                <w:color w:val="131E29"/>
              </w:rPr>
              <w:t>2024</w:t>
            </w:r>
          </w:p>
        </w:tc>
        <w:tc>
          <w:tcPr>
            <w:tcW w:w="9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131E29"/>
              </w:rPr>
              <w:t>2023</w:t>
            </w: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131E29"/>
              </w:rPr>
              <w:t>2022</w:t>
            </w:r>
          </w:p>
        </w:tc>
        <w:tc>
          <w:tcPr>
            <w:tcW w:w="1020" w:type="dxa"/>
            <w:vAlign w:val="bottom"/>
            <w:tcBorders>
              <w:bottom w:val="single" w:sz="8" w:color="auto"/>
            </w:tcBorders>
          </w:tcPr>
          <w:p>
            <w:pPr>
              <w:spacing w:after="0"/>
              <w:rPr>
                <w:sz w:val="17"/>
                <w:szCs w:val="17"/>
                <w:color w:val="auto"/>
              </w:rPr>
            </w:pPr>
          </w:p>
        </w:tc>
      </w:tr>
      <w:tr>
        <w:trPr>
          <w:trHeight w:val="173"/>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131E29"/>
              </w:rPr>
              <w:t>WA vest date fair</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131E29"/>
              </w:rPr>
              <w:t>WA vest date fair</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right"/>
              <w:ind w:right="9"/>
              <w:spacing w:after="0"/>
              <w:rPr>
                <w:sz w:val="20"/>
                <w:szCs w:val="20"/>
                <w:color w:val="auto"/>
              </w:rPr>
            </w:pPr>
            <w:r>
              <w:rPr>
                <w:rFonts w:ascii="Arial" w:cs="Arial" w:eastAsia="Arial" w:hAnsi="Arial"/>
                <w:sz w:val="14"/>
                <w:szCs w:val="14"/>
                <w:b w:val="1"/>
                <w:bCs w:val="1"/>
                <w:color w:val="131E29"/>
              </w:rPr>
              <w:t>WA vest date fair</w:t>
            </w:r>
          </w:p>
        </w:tc>
      </w:tr>
      <w:tr>
        <w:trPr>
          <w:trHeight w:val="200"/>
        </w:trPr>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131E29"/>
              </w:rPr>
              <w:t>Awards/units</w:t>
            </w:r>
          </w:p>
        </w:tc>
        <w:tc>
          <w:tcPr>
            <w:tcW w:w="26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131E29"/>
              </w:rPr>
              <w:t>value</w:t>
            </w:r>
          </w:p>
        </w:tc>
        <w:tc>
          <w:tcPr>
            <w:tcW w:w="16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131E29"/>
              </w:rPr>
              <w:t>Awards/units</w:t>
            </w:r>
          </w:p>
        </w:tc>
        <w:tc>
          <w:tcPr>
            <w:tcW w:w="300" w:type="dxa"/>
            <w:vAlign w:val="bottom"/>
          </w:tcPr>
          <w:p>
            <w:pPr>
              <w:spacing w:after="0"/>
              <w:rPr>
                <w:sz w:val="17"/>
                <w:szCs w:val="17"/>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131E29"/>
              </w:rPr>
              <w:t>value</w:t>
            </w:r>
          </w:p>
        </w:tc>
        <w:tc>
          <w:tcPr>
            <w:tcW w:w="16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131E29"/>
              </w:rPr>
              <w:t>Awards/units</w:t>
            </w:r>
          </w:p>
        </w:tc>
        <w:tc>
          <w:tcPr>
            <w:tcW w:w="300" w:type="dxa"/>
            <w:vAlign w:val="bottom"/>
          </w:tcPr>
          <w:p>
            <w:pPr>
              <w:spacing w:after="0"/>
              <w:rPr>
                <w:sz w:val="17"/>
                <w:szCs w:val="17"/>
                <w:color w:val="auto"/>
              </w:rPr>
            </w:pPr>
          </w:p>
        </w:tc>
        <w:tc>
          <w:tcPr>
            <w:tcW w:w="1020" w:type="dxa"/>
            <w:vAlign w:val="bottom"/>
          </w:tcPr>
          <w:p>
            <w:pPr>
              <w:jc w:val="right"/>
              <w:ind w:right="409"/>
              <w:spacing w:after="0"/>
              <w:rPr>
                <w:sz w:val="20"/>
                <w:szCs w:val="20"/>
                <w:color w:val="auto"/>
              </w:rPr>
            </w:pPr>
            <w:r>
              <w:rPr>
                <w:rFonts w:ascii="Arial" w:cs="Arial" w:eastAsia="Arial" w:hAnsi="Arial"/>
                <w:sz w:val="14"/>
                <w:szCs w:val="14"/>
                <w:b w:val="1"/>
                <w:bCs w:val="1"/>
                <w:color w:val="131E29"/>
              </w:rPr>
              <w:t>value</w:t>
            </w:r>
          </w:p>
        </w:tc>
      </w:tr>
      <w:tr>
        <w:trPr>
          <w:trHeight w:val="209"/>
        </w:trPr>
        <w:tc>
          <w:tcPr>
            <w:tcW w:w="3100" w:type="dxa"/>
            <w:vAlign w:val="bottom"/>
            <w:tcBorders>
              <w:top w:val="single" w:sz="8" w:color="D2DCE5"/>
            </w:tcBorders>
            <w:gridSpan w:val="2"/>
            <w:shd w:val="clear" w:color="auto" w:fill="D2DCE5"/>
          </w:tcPr>
          <w:p>
            <w:pPr>
              <w:ind w:left="20"/>
              <w:spacing w:after="0"/>
              <w:rPr>
                <w:sz w:val="20"/>
                <w:szCs w:val="20"/>
                <w:color w:val="auto"/>
              </w:rPr>
            </w:pPr>
            <w:r>
              <w:rPr>
                <w:rFonts w:ascii="Arial" w:cs="Arial" w:eastAsia="Arial" w:hAnsi="Arial"/>
                <w:sz w:val="14"/>
                <w:szCs w:val="14"/>
                <w:color w:val="131E29"/>
              </w:rPr>
              <w:t>RSAs</w:t>
            </w:r>
          </w:p>
        </w:tc>
        <w:tc>
          <w:tcPr>
            <w:tcW w:w="14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w w:val="76"/>
              </w:rPr>
              <w:t>$</w:t>
            </w:r>
          </w:p>
        </w:tc>
        <w:tc>
          <w:tcPr>
            <w:tcW w:w="116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39,752</w:t>
            </w:r>
          </w:p>
        </w:tc>
        <w:tc>
          <w:tcPr>
            <w:tcW w:w="100" w:type="dxa"/>
            <w:vAlign w:val="bottom"/>
            <w:tcBorders>
              <w:top w:val="single" w:sz="8" w:color="D2DCE5"/>
            </w:tcBorders>
            <w:shd w:val="clear" w:color="auto" w:fill="D2DCE5"/>
          </w:tcPr>
          <w:p>
            <w:pPr>
              <w:spacing w:after="0"/>
              <w:rPr>
                <w:sz w:val="18"/>
                <w:szCs w:val="18"/>
                <w:color w:val="auto"/>
              </w:rPr>
            </w:pPr>
          </w:p>
        </w:tc>
        <w:tc>
          <w:tcPr>
            <w:tcW w:w="260" w:type="dxa"/>
            <w:vAlign w:val="bottom"/>
            <w:tcBorders>
              <w:top w:val="single" w:sz="8" w:color="auto"/>
            </w:tcBorders>
            <w:shd w:val="clear" w:color="auto" w:fill="D2DCE5"/>
          </w:tcPr>
          <w:p>
            <w:pPr>
              <w:spacing w:after="0"/>
              <w:rPr>
                <w:sz w:val="20"/>
                <w:szCs w:val="20"/>
                <w:color w:val="auto"/>
              </w:rPr>
            </w:pPr>
            <w:r>
              <w:rPr>
                <w:rFonts w:ascii="Arial" w:cs="Arial" w:eastAsia="Arial" w:hAnsi="Arial"/>
                <w:sz w:val="14"/>
                <w:szCs w:val="14"/>
                <w:color w:val="131E29"/>
              </w:rPr>
              <w:t>$</w:t>
            </w:r>
          </w:p>
        </w:tc>
        <w:tc>
          <w:tcPr>
            <w:tcW w:w="94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30.99</w:t>
            </w:r>
          </w:p>
        </w:tc>
        <w:tc>
          <w:tcPr>
            <w:tcW w:w="80" w:type="dxa"/>
            <w:vAlign w:val="bottom"/>
            <w:tcBorders>
              <w:top w:val="single" w:sz="8" w:color="D2DCE5"/>
            </w:tcBorders>
            <w:shd w:val="clear" w:color="auto" w:fill="D2DCE5"/>
          </w:tcPr>
          <w:p>
            <w:pPr>
              <w:spacing w:after="0"/>
              <w:rPr>
                <w:sz w:val="18"/>
                <w:szCs w:val="18"/>
                <w:color w:val="auto"/>
              </w:rPr>
            </w:pPr>
          </w:p>
        </w:tc>
        <w:tc>
          <w:tcPr>
            <w:tcW w:w="16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4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37,373</w:t>
            </w:r>
          </w:p>
        </w:tc>
        <w:tc>
          <w:tcPr>
            <w:tcW w:w="80" w:type="dxa"/>
            <w:vAlign w:val="bottom"/>
            <w:tcBorders>
              <w:top w:val="single" w:sz="8" w:color="D2DCE5"/>
            </w:tcBorders>
            <w:shd w:val="clear" w:color="auto" w:fill="D2DCE5"/>
          </w:tcPr>
          <w:p>
            <w:pPr>
              <w:spacing w:after="0"/>
              <w:rPr>
                <w:sz w:val="18"/>
                <w:szCs w:val="18"/>
                <w:color w:val="auto"/>
              </w:rPr>
            </w:pPr>
          </w:p>
        </w:tc>
        <w:tc>
          <w:tcPr>
            <w:tcW w:w="300" w:type="dxa"/>
            <w:vAlign w:val="bottom"/>
            <w:tcBorders>
              <w:top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27.36</w:t>
            </w:r>
          </w:p>
        </w:tc>
        <w:tc>
          <w:tcPr>
            <w:tcW w:w="80" w:type="dxa"/>
            <w:vAlign w:val="bottom"/>
            <w:tcBorders>
              <w:top w:val="single" w:sz="8" w:color="D2DCE5"/>
            </w:tcBorders>
            <w:shd w:val="clear" w:color="auto" w:fill="D2DCE5"/>
          </w:tcPr>
          <w:p>
            <w:pPr>
              <w:spacing w:after="0"/>
              <w:rPr>
                <w:sz w:val="18"/>
                <w:szCs w:val="18"/>
                <w:color w:val="auto"/>
              </w:rPr>
            </w:pPr>
          </w:p>
        </w:tc>
        <w:tc>
          <w:tcPr>
            <w:tcW w:w="16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16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69,604</w:t>
            </w:r>
          </w:p>
        </w:tc>
        <w:tc>
          <w:tcPr>
            <w:tcW w:w="80" w:type="dxa"/>
            <w:vAlign w:val="bottom"/>
            <w:tcBorders>
              <w:top w:val="single" w:sz="8" w:color="D2DCE5"/>
            </w:tcBorders>
            <w:shd w:val="clear" w:color="auto" w:fill="D2DCE5"/>
          </w:tcPr>
          <w:p>
            <w:pPr>
              <w:spacing w:after="0"/>
              <w:rPr>
                <w:sz w:val="18"/>
                <w:szCs w:val="18"/>
                <w:color w:val="auto"/>
              </w:rPr>
            </w:pPr>
          </w:p>
        </w:tc>
        <w:tc>
          <w:tcPr>
            <w:tcW w:w="300" w:type="dxa"/>
            <w:vAlign w:val="bottom"/>
            <w:tcBorders>
              <w:top w:val="single" w:sz="8" w:color="auto"/>
            </w:tcBorders>
            <w:shd w:val="clear" w:color="auto" w:fill="D2DCE5"/>
          </w:tcPr>
          <w:p>
            <w:pPr>
              <w:jc w:val="right"/>
              <w:ind w:right="129"/>
              <w:spacing w:after="0"/>
              <w:rPr>
                <w:sz w:val="20"/>
                <w:szCs w:val="20"/>
                <w:color w:val="auto"/>
              </w:rPr>
            </w:pPr>
            <w:r>
              <w:rPr>
                <w:rFonts w:ascii="Arial" w:cs="Arial" w:eastAsia="Arial" w:hAnsi="Arial"/>
                <w:sz w:val="14"/>
                <w:szCs w:val="14"/>
                <w:color w:val="131E29"/>
              </w:rPr>
              <w:t>$</w:t>
            </w:r>
          </w:p>
        </w:tc>
        <w:tc>
          <w:tcPr>
            <w:tcW w:w="1020" w:type="dxa"/>
            <w:vAlign w:val="bottom"/>
            <w:tcBorders>
              <w:top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52.22</w:t>
            </w:r>
          </w:p>
        </w:tc>
      </w:tr>
      <w:tr>
        <w:trPr>
          <w:trHeight w:val="193"/>
        </w:trPr>
        <w:tc>
          <w:tcPr>
            <w:tcW w:w="3100" w:type="dxa"/>
            <w:vAlign w:val="bottom"/>
            <w:gridSpan w:val="2"/>
          </w:tcPr>
          <w:p>
            <w:pPr>
              <w:ind w:left="20"/>
              <w:spacing w:after="0"/>
              <w:rPr>
                <w:sz w:val="20"/>
                <w:szCs w:val="20"/>
                <w:color w:val="auto"/>
              </w:rPr>
            </w:pPr>
            <w:r>
              <w:rPr>
                <w:rFonts w:ascii="Arial" w:cs="Arial" w:eastAsia="Arial" w:hAnsi="Arial"/>
                <w:sz w:val="14"/>
                <w:szCs w:val="14"/>
                <w:color w:val="131E29"/>
              </w:rPr>
              <w:t>RSUs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3,825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131E29"/>
              </w:rPr>
              <w:t>32.25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131E29"/>
              </w:rPr>
              <w:t>6,185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27.16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131E29"/>
              </w:rPr>
              <w:t>10,627</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131E29"/>
              </w:rPr>
              <w:t>51.59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Equity-Based Compensation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131E29"/>
        </w:rPr>
        <w:t>Equity-based compensation expense is recognized on a straight-line basis and is included in our consolidated statements of operations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r>
      <w:tr>
        <w:trPr>
          <w:trHeight w:val="209"/>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Cost of sales</w:t>
            </w: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887</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3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64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10,595</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39,222</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41,657</w:t>
            </w:r>
          </w:p>
        </w:tc>
      </w:tr>
      <w:tr>
        <w:trPr>
          <w:trHeight w:val="232"/>
        </w:trPr>
        <w:tc>
          <w:tcPr>
            <w:tcW w:w="6400" w:type="dxa"/>
            <w:vAlign w:val="bottom"/>
            <w:gridSpan w:val="2"/>
            <w:shd w:val="clear" w:color="auto" w:fill="D2DCE5"/>
          </w:tcPr>
          <w:p>
            <w:pPr>
              <w:ind w:left="100"/>
              <w:spacing w:after="0"/>
              <w:rPr>
                <w:sz w:val="20"/>
                <w:szCs w:val="20"/>
                <w:color w:val="auto"/>
              </w:rPr>
            </w:pPr>
            <w:r>
              <w:rPr>
                <w:rFonts w:ascii="Arial" w:cs="Arial" w:eastAsia="Arial" w:hAnsi="Arial"/>
                <w:sz w:val="14"/>
                <w:szCs w:val="14"/>
                <w:b w:val="1"/>
                <w:bCs w:val="1"/>
                <w:color w:val="131E29"/>
              </w:rPr>
              <w:t>Total stock-based compensation expense</w:t>
            </w: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11,482</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b w:val="1"/>
                <w:bCs w:val="1"/>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39,222</w:t>
            </w:r>
          </w:p>
        </w:tc>
        <w:tc>
          <w:tcPr>
            <w:tcW w:w="100" w:type="dxa"/>
            <w:vAlign w:val="bottom"/>
            <w:shd w:val="clear" w:color="auto" w:fill="D2DCE5"/>
          </w:tcPr>
          <w:p>
            <w:pPr>
              <w:spacing w:after="0"/>
              <w:rPr>
                <w:sz w:val="20"/>
                <w:szCs w:val="20"/>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41,657</w:t>
            </w:r>
          </w:p>
        </w:tc>
      </w:tr>
      <w:tr>
        <w:trPr>
          <w:trHeight w:val="20"/>
        </w:trPr>
        <w:tc>
          <w:tcPr>
            <w:tcW w:w="63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131E29"/>
        </w:rPr>
        <w:t>As of December 31, 2024, total unrecognized stock-based compensation related to unvested RSUs was $23.2 million, which will be recognized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72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1"/>
        </w:trPr>
        <w:tc>
          <w:tcPr>
            <w:tcW w:w="9620" w:type="dxa"/>
            <w:vAlign w:val="bottom"/>
            <w:tcBorders>
              <w:top w:val="single" w:sz="8" w:color="auto"/>
            </w:tcBorders>
            <w:shd w:val="clear" w:color="auto" w:fill="D2DCE5"/>
          </w:tcPr>
          <w:p>
            <w:pPr>
              <w:ind w:left="20"/>
              <w:spacing w:after="0"/>
              <w:rPr>
                <w:sz w:val="20"/>
                <w:szCs w:val="20"/>
                <w:color w:val="auto"/>
              </w:rPr>
            </w:pPr>
            <w:r>
              <w:rPr>
                <w:rFonts w:ascii="Arial" w:cs="Arial" w:eastAsia="Arial" w:hAnsi="Arial"/>
                <w:sz w:val="14"/>
                <w:szCs w:val="14"/>
                <w:color w:val="131E29"/>
              </w:rPr>
              <w:t>2025</w:t>
            </w:r>
          </w:p>
        </w:tc>
        <w:tc>
          <w:tcPr>
            <w:tcW w:w="100" w:type="dxa"/>
            <w:vAlign w:val="bottom"/>
            <w:tcBorders>
              <w:top w:val="single" w:sz="8" w:color="D2DCE5"/>
            </w:tcBorders>
            <w:shd w:val="clear" w:color="auto" w:fill="D2DCE5"/>
          </w:tcPr>
          <w:p>
            <w:pPr>
              <w:spacing w:after="0"/>
              <w:rPr>
                <w:sz w:val="18"/>
                <w:szCs w:val="18"/>
                <w:color w:val="auto"/>
              </w:rPr>
            </w:pPr>
          </w:p>
        </w:tc>
        <w:tc>
          <w:tcPr>
            <w:tcW w:w="580" w:type="dxa"/>
            <w:vAlign w:val="bottom"/>
            <w:tcBorders>
              <w:top w:val="single" w:sz="8" w:color="131E29"/>
            </w:tcBorders>
            <w:shd w:val="clear" w:color="auto" w:fill="D2DCE5"/>
          </w:tcPr>
          <w:p>
            <w:pPr>
              <w:jc w:val="right"/>
              <w:ind w:right="429"/>
              <w:spacing w:after="0"/>
              <w:rPr>
                <w:sz w:val="20"/>
                <w:szCs w:val="20"/>
                <w:color w:val="auto"/>
              </w:rPr>
            </w:pPr>
            <w:r>
              <w:rPr>
                <w:rFonts w:ascii="Arial" w:cs="Arial" w:eastAsia="Arial" w:hAnsi="Arial"/>
                <w:sz w:val="14"/>
                <w:szCs w:val="14"/>
                <w:color w:val="131E29"/>
                <w:w w:val="76"/>
              </w:rPr>
              <w:t>$</w:t>
            </w:r>
          </w:p>
        </w:tc>
        <w:tc>
          <w:tcPr>
            <w:tcW w:w="980" w:type="dxa"/>
            <w:vAlign w:val="bottom"/>
            <w:tcBorders>
              <w:top w:val="single" w:sz="8" w:color="131E29"/>
            </w:tcBorders>
            <w:shd w:val="clear" w:color="auto" w:fill="D2DCE5"/>
          </w:tcPr>
          <w:p>
            <w:pPr>
              <w:jc w:val="right"/>
              <w:spacing w:after="0"/>
              <w:rPr>
                <w:sz w:val="20"/>
                <w:szCs w:val="20"/>
                <w:color w:val="auto"/>
              </w:rPr>
            </w:pPr>
            <w:r>
              <w:rPr>
                <w:rFonts w:ascii="Arial" w:cs="Arial" w:eastAsia="Arial" w:hAnsi="Arial"/>
                <w:sz w:val="14"/>
                <w:szCs w:val="14"/>
                <w:color w:val="131E29"/>
              </w:rPr>
              <w:t>12,403</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2026</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8,751</w:t>
            </w:r>
          </w:p>
        </w:tc>
      </w:tr>
      <w:tr>
        <w:trPr>
          <w:trHeight w:val="222"/>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2027</w:t>
            </w:r>
          </w:p>
        </w:tc>
        <w:tc>
          <w:tcPr>
            <w:tcW w:w="100" w:type="dxa"/>
            <w:vAlign w:val="bottom"/>
            <w:shd w:val="clear" w:color="auto" w:fill="D2DCE5"/>
          </w:tcPr>
          <w:p>
            <w:pPr>
              <w:spacing w:after="0"/>
              <w:rPr>
                <w:sz w:val="19"/>
                <w:szCs w:val="19"/>
                <w:color w:val="auto"/>
              </w:rPr>
            </w:pPr>
          </w:p>
        </w:tc>
        <w:tc>
          <w:tcPr>
            <w:tcW w:w="580" w:type="dxa"/>
            <w:vAlign w:val="bottom"/>
            <w:shd w:val="clear" w:color="auto" w:fill="D2DCE5"/>
          </w:tcPr>
          <w:p>
            <w:pPr>
              <w:spacing w:after="0"/>
              <w:rPr>
                <w:sz w:val="19"/>
                <w:szCs w:val="19"/>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2,044</w:t>
            </w:r>
          </w:p>
        </w:tc>
      </w:tr>
      <w:tr>
        <w:trPr>
          <w:trHeight w:val="202"/>
        </w:trPr>
        <w:tc>
          <w:tcPr>
            <w:tcW w:w="9620" w:type="dxa"/>
            <w:vAlign w:val="bottom"/>
          </w:tcPr>
          <w:p>
            <w:pPr>
              <w:ind w:left="20"/>
              <w:spacing w:after="0"/>
              <w:rPr>
                <w:sz w:val="20"/>
                <w:szCs w:val="20"/>
                <w:color w:val="auto"/>
              </w:rPr>
            </w:pPr>
            <w:r>
              <w:rPr>
                <w:rFonts w:ascii="Arial" w:cs="Arial" w:eastAsia="Arial" w:hAnsi="Arial"/>
                <w:sz w:val="14"/>
                <w:szCs w:val="14"/>
                <w:color w:val="131E29"/>
              </w:rPr>
              <w:t>2028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131E29"/>
              </w:rPr>
              <w:t>—</w:t>
            </w:r>
          </w:p>
        </w:tc>
      </w:tr>
      <w:tr>
        <w:trPr>
          <w:trHeight w:val="222"/>
        </w:trPr>
        <w:tc>
          <w:tcPr>
            <w:tcW w:w="9620" w:type="dxa"/>
            <w:vAlign w:val="bottom"/>
            <w:shd w:val="clear" w:color="auto" w:fill="D2DCE5"/>
          </w:tcPr>
          <w:p>
            <w:pPr>
              <w:ind w:left="20"/>
              <w:spacing w:after="0"/>
              <w:rPr>
                <w:sz w:val="20"/>
                <w:szCs w:val="20"/>
                <w:color w:val="auto"/>
              </w:rPr>
            </w:pPr>
            <w:r>
              <w:rPr>
                <w:rFonts w:ascii="Arial" w:cs="Arial" w:eastAsia="Arial" w:hAnsi="Arial"/>
                <w:sz w:val="14"/>
                <w:szCs w:val="14"/>
                <w:color w:val="131E29"/>
              </w:rPr>
              <w:t>2029</w:t>
            </w:r>
          </w:p>
        </w:tc>
        <w:tc>
          <w:tcPr>
            <w:tcW w:w="100" w:type="dxa"/>
            <w:vAlign w:val="bottom"/>
            <w:shd w:val="clear" w:color="auto" w:fill="D2DCE5"/>
          </w:tcPr>
          <w:p>
            <w:pPr>
              <w:spacing w:after="0"/>
              <w:rPr>
                <w:sz w:val="19"/>
                <w:szCs w:val="19"/>
                <w:color w:val="auto"/>
              </w:rPr>
            </w:pPr>
          </w:p>
        </w:tc>
        <w:tc>
          <w:tcPr>
            <w:tcW w:w="580" w:type="dxa"/>
            <w:vAlign w:val="bottom"/>
            <w:shd w:val="clear" w:color="auto" w:fill="D2DCE5"/>
          </w:tcPr>
          <w:p>
            <w:pPr>
              <w:spacing w:after="0"/>
              <w:rPr>
                <w:sz w:val="19"/>
                <w:szCs w:val="19"/>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r>
        <w:trPr>
          <w:trHeight w:val="203"/>
        </w:trPr>
        <w:tc>
          <w:tcPr>
            <w:tcW w:w="972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Thereafter</w:t>
            </w: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r>
      <w:tr>
        <w:trPr>
          <w:trHeight w:val="237"/>
        </w:trPr>
        <w:tc>
          <w:tcPr>
            <w:tcW w:w="9720" w:type="dxa"/>
            <w:vAlign w:val="bottom"/>
            <w:tcBorders>
              <w:bottom w:val="single" w:sz="8" w:color="D2DCE5"/>
            </w:tcBorders>
            <w:gridSpan w:val="2"/>
            <w:shd w:val="clear" w:color="auto" w:fill="D2DCE5"/>
          </w:tcPr>
          <w:p>
            <w:pPr>
              <w:ind w:left="100"/>
              <w:spacing w:after="0"/>
              <w:rPr>
                <w:sz w:val="20"/>
                <w:szCs w:val="20"/>
                <w:color w:val="auto"/>
              </w:rPr>
            </w:pPr>
            <w:r>
              <w:rPr>
                <w:rFonts w:ascii="Arial" w:cs="Arial" w:eastAsia="Arial" w:hAnsi="Arial"/>
                <w:sz w:val="14"/>
                <w:szCs w:val="14"/>
                <w:b w:val="1"/>
                <w:bCs w:val="1"/>
                <w:color w:val="131E29"/>
              </w:rPr>
              <w:t>Total unrecognized stock-based compensation</w:t>
            </w:r>
          </w:p>
        </w:tc>
        <w:tc>
          <w:tcPr>
            <w:tcW w:w="580" w:type="dxa"/>
            <w:vAlign w:val="bottom"/>
            <w:tcBorders>
              <w:bottom w:val="single" w:sz="8" w:color="auto"/>
            </w:tcBorders>
            <w:shd w:val="clear" w:color="auto" w:fill="D2DCE5"/>
          </w:tcPr>
          <w:p>
            <w:pPr>
              <w:jc w:val="right"/>
              <w:ind w:right="429"/>
              <w:spacing w:after="0"/>
              <w:rPr>
                <w:sz w:val="20"/>
                <w:szCs w:val="20"/>
                <w:color w:val="auto"/>
              </w:rPr>
            </w:pPr>
            <w:r>
              <w:rPr>
                <w:rFonts w:ascii="Arial" w:cs="Arial" w:eastAsia="Arial" w:hAnsi="Arial"/>
                <w:sz w:val="14"/>
                <w:szCs w:val="14"/>
                <w:b w:val="1"/>
                <w:bCs w:val="1"/>
                <w:color w:val="131E29"/>
                <w:w w:val="76"/>
              </w:rPr>
              <w:t>$</w:t>
            </w:r>
          </w:p>
        </w:tc>
        <w:tc>
          <w:tcPr>
            <w:tcW w:w="9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b w:val="1"/>
                <w:bCs w:val="1"/>
                <w:color w:val="131E29"/>
              </w:rPr>
              <w:t>23,198</w:t>
            </w:r>
          </w:p>
        </w:tc>
      </w:tr>
      <w:tr>
        <w:trPr>
          <w:trHeight w:val="20"/>
        </w:trPr>
        <w:tc>
          <w:tcPr>
            <w:tcW w:w="9620" w:type="dxa"/>
            <w:vAlign w:val="bottom"/>
            <w:tcBorders>
              <w:top w:val="single" w:sz="8" w:color="D2DCE5"/>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580" w:type="dxa"/>
            <w:vAlign w:val="bottom"/>
            <w:tcBorders>
              <w:top w:val="single" w:sz="8" w:color="D2DCE5"/>
              <w:bottom w:val="single" w:sz="8" w:color="auto"/>
            </w:tcBorders>
          </w:tcPr>
          <w:p>
            <w:pPr>
              <w:spacing w:after="0" w:line="20" w:lineRule="exact"/>
              <w:rPr>
                <w:sz w:val="1"/>
                <w:szCs w:val="1"/>
                <w:color w:val="auto"/>
              </w:rPr>
            </w:pPr>
          </w:p>
        </w:tc>
        <w:tc>
          <w:tcPr>
            <w:tcW w:w="980" w:type="dxa"/>
            <w:vAlign w:val="bottom"/>
            <w:tcBorders>
              <w:top w:val="single" w:sz="8" w:color="D2DCE5"/>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14 — Employee Benefit Plans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Our 401(k) plan covers substantially all employees who meet certain requirements. Contributions to the 401(k) plan are determined by each participant by means of an elective compensation deferral, subject to annual limits. We match 100% of employee contributions, up to 4% of eligible compensation. The total employer matching contributions to the 401(k) plan recognized in our consolidated statements of operations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131E29"/>
              </w:rPr>
              <w:t>2024</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r>
      <w:tr>
        <w:trPr>
          <w:trHeight w:val="209"/>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Selling, general, and administrative expenses</w:t>
            </w:r>
          </w:p>
        </w:tc>
        <w:tc>
          <w:tcPr>
            <w:tcW w:w="1060" w:type="dxa"/>
            <w:vAlign w:val="bottom"/>
            <w:shd w:val="clear" w:color="auto" w:fill="D2DCE5"/>
          </w:tcPr>
          <w:p>
            <w:pPr>
              <w:jc w:val="right"/>
              <w:ind w:right="889"/>
              <w:spacing w:after="0"/>
              <w:rPr>
                <w:sz w:val="20"/>
                <w:szCs w:val="20"/>
                <w:color w:val="auto"/>
              </w:rPr>
            </w:pPr>
            <w:r>
              <w:rPr>
                <w:rFonts w:ascii="Arial" w:cs="Arial" w:eastAsia="Arial" w:hAnsi="Arial"/>
                <w:sz w:val="14"/>
                <w:szCs w:val="14"/>
                <w:color w:val="131E29"/>
              </w:rPr>
              <w:t>$</w:t>
            </w: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2,971</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2,341</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1,680</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15 — Non-Controlling Interests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Dutch Bros Inc. is the sole managing member of Dutch Bros OpCo, and, as a result, consolidates the financial results of Dutch Bros OpCo. We report a non-controlling interest representing the economic interest in the Dutch Bros OpCo held by the other members of Dutch Bros OpCo. The OpCo LLC Agreement provides that holders of Dutch Bros OpCo Class A common units may, from time to time, require Dutch Bros OpCo to redeem all or a portion of their Dutch Bros OpCo Class A common units for newly 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28" w:name="page129"/>
    <w:bookmarkEnd w:id="12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 summarizes the ownership interest in Dutch Bros OpCo¹:</w:t>
      </w:r>
    </w:p>
    <w:p>
      <w:pPr>
        <w:spacing w:after="0" w:line="399" w:lineRule="exact"/>
        <w:rPr>
          <w:sz w:val="20"/>
          <w:szCs w:val="20"/>
          <w:color w:val="auto"/>
        </w:rPr>
      </w:pPr>
    </w:p>
    <w:p>
      <w:pPr>
        <w:ind w:left="20"/>
        <w:spacing w:after="0"/>
        <w:rPr>
          <w:sz w:val="20"/>
          <w:szCs w:val="20"/>
          <w:color w:val="auto"/>
        </w:rPr>
      </w:pPr>
      <w:r>
        <w:rPr>
          <w:rFonts w:ascii="Arial" w:cs="Arial" w:eastAsia="Arial" w:hAnsi="Arial"/>
          <w:sz w:val="11"/>
          <w:szCs w:val="11"/>
          <w:color w:val="131E29"/>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1416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36"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Dutch Bros OpCo Class A common units held by Dutch Bros Inc.</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131E29"/>
        </w:rPr>
        <w:t>Dutch Bros OpCo Class A common units held by non-controlling interest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7161530" cy="154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131E29"/>
        </w:rPr>
        <w:t>Total Dutch Bros OpCo Class A common units outstanding</w:t>
      </w: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w:t>
      </w:r>
    </w:p>
    <w:p>
      <w:pPr>
        <w:spacing w:after="0" w:line="47" w:lineRule="exact"/>
        <w:rPr>
          <w:sz w:val="20"/>
          <w:szCs w:val="20"/>
          <w:color w:val="auto"/>
        </w:rPr>
      </w:pPr>
    </w:p>
    <w:p>
      <w:pPr>
        <w:ind w:left="60" w:hanging="55"/>
        <w:spacing w:after="0"/>
        <w:tabs>
          <w:tab w:leader="none" w:pos="60" w:val="left"/>
        </w:tabs>
        <w:numPr>
          <w:ilvl w:val="0"/>
          <w:numId w:val="58"/>
        </w:numPr>
        <w:rPr>
          <w:rFonts w:ascii="Arial" w:cs="Arial" w:eastAsia="Arial" w:hAnsi="Arial"/>
          <w:sz w:val="14"/>
          <w:szCs w:val="14"/>
          <w:color w:val="131E29"/>
          <w:vertAlign w:val="superscript"/>
        </w:rPr>
      </w:pPr>
      <w:r>
        <w:rPr>
          <w:rFonts w:ascii="Arial" w:cs="Arial" w:eastAsia="Arial" w:hAnsi="Arial"/>
          <w:sz w:val="11"/>
          <w:szCs w:val="11"/>
          <w:color w:val="131E29"/>
        </w:rPr>
        <w:t>Dutch Bros OpCo effected a recapitalization on February 7, 2025. Refer to NOTE 20 — Subsequent Events for additional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131E29"/>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28575</wp:posOffset>
            </wp:positionV>
            <wp:extent cx="2183130" cy="698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83130" cy="698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131E29"/>
              </w:rPr>
              <w:t>OpCo Units</w:t>
            </w:r>
          </w:p>
        </w:tc>
        <w:tc>
          <w:tcPr>
            <w:tcW w:w="1780" w:type="dxa"/>
            <w:vAlign w:val="bottom"/>
          </w:tcPr>
          <w:p>
            <w:pPr>
              <w:jc w:val="right"/>
              <w:ind w:right="369"/>
              <w:spacing w:after="0"/>
              <w:rPr>
                <w:sz w:val="20"/>
                <w:szCs w:val="20"/>
                <w:color w:val="auto"/>
              </w:rPr>
            </w:pPr>
            <w:r>
              <w:rPr>
                <w:rFonts w:ascii="Arial" w:cs="Arial" w:eastAsia="Arial" w:hAnsi="Arial"/>
                <w:sz w:val="14"/>
                <w:szCs w:val="14"/>
                <w:b w:val="1"/>
                <w:bCs w:val="1"/>
                <w:color w:val="131E29"/>
              </w:rPr>
              <w:t>Ownership %</w:t>
            </w:r>
          </w:p>
        </w:tc>
      </w:tr>
      <w:tr>
        <w:trPr>
          <w:trHeight w:val="189"/>
        </w:trPr>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115,432</w:t>
            </w:r>
          </w:p>
        </w:tc>
        <w:tc>
          <w:tcPr>
            <w:tcW w:w="100" w:type="dxa"/>
            <w:vAlign w:val="bottom"/>
          </w:tcPr>
          <w:p>
            <w:pPr>
              <w:spacing w:after="0"/>
              <w:rPr>
                <w:sz w:val="16"/>
                <w:szCs w:val="16"/>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131E29"/>
              </w:rPr>
              <w:t>65.1 %</w:t>
            </w:r>
          </w:p>
        </w:tc>
      </w:tr>
      <w:tr>
        <w:trPr>
          <w:trHeight w:val="222"/>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61,772</w:t>
            </w:r>
          </w:p>
        </w:tc>
        <w:tc>
          <w:tcPr>
            <w:tcW w:w="1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34.9 %</w:t>
            </w:r>
          </w:p>
        </w:tc>
      </w:tr>
      <w:tr>
        <w:trPr>
          <w:trHeight w:val="206"/>
        </w:trPr>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177,204</w:t>
            </w:r>
          </w:p>
        </w:tc>
        <w:tc>
          <w:tcPr>
            <w:tcW w:w="100" w:type="dxa"/>
            <w:vAlign w:val="bottom"/>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100.0 %</w:t>
            </w:r>
          </w:p>
        </w:tc>
      </w:tr>
      <w:tr>
        <w:trPr>
          <w:trHeight w:val="20"/>
        </w:trPr>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653" w:lineRule="exact"/>
        <w:rPr>
          <w:sz w:val="20"/>
          <w:szCs w:val="20"/>
          <w:color w:val="auto"/>
        </w:rPr>
      </w:pPr>
    </w:p>
    <w:p>
      <w:pPr>
        <w:sectPr>
          <w:pgSz w:w="11900" w:h="16838" w:orient="portrait"/>
          <w:cols w:equalWidth="0" w:num="2">
            <w:col w:w="7120" w:space="720"/>
            <w:col w:w="3440"/>
          </w:cols>
          <w:pgMar w:left="300" w:top="133" w:right="319" w:bottom="1440" w:gutter="0" w:footer="0" w:header="0"/>
        </w:sectPr>
      </w:pPr>
    </w:p>
    <w:p>
      <w:pPr>
        <w:spacing w:after="0"/>
        <w:rPr>
          <w:sz w:val="20"/>
          <w:szCs w:val="20"/>
          <w:color w:val="auto"/>
        </w:rPr>
      </w:pPr>
      <w:r>
        <w:rPr>
          <w:rFonts w:ascii="Arial" w:cs="Arial" w:eastAsia="Arial" w:hAnsi="Arial"/>
          <w:sz w:val="14"/>
          <w:szCs w:val="14"/>
          <w:color w:val="131E29"/>
        </w:rPr>
        <w:t>The following table summarizes the effect of changes in ownership of Dutch Bros OpCo on our equity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400" w:type="dxa"/>
            <w:vAlign w:val="bottom"/>
            <w:gridSpan w:val="2"/>
          </w:tcPr>
          <w:p>
            <w:pPr>
              <w:ind w:left="20"/>
              <w:spacing w:after="0"/>
              <w:rPr>
                <w:sz w:val="20"/>
                <w:szCs w:val="20"/>
                <w:color w:val="auto"/>
              </w:rPr>
            </w:pPr>
            <w:r>
              <w:rPr>
                <w:rFonts w:ascii="Arial" w:cs="Arial" w:eastAsia="Arial" w:hAnsi="Arial"/>
                <w:sz w:val="11"/>
                <w:szCs w:val="11"/>
                <w:color w:val="131E29"/>
              </w:rPr>
              <w:t>(in thousands)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320" w:type="dxa"/>
            <w:vAlign w:val="bottom"/>
            <w:tcBorders>
              <w:top w:val="single" w:sz="8" w:color="auto"/>
              <w:bottom w:val="single" w:sz="8" w:color="D2DCE5"/>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2024</w:t>
            </w:r>
          </w:p>
        </w:tc>
        <w:tc>
          <w:tcPr>
            <w:tcW w:w="6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D2DCE5"/>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top w:val="single" w:sz="8" w:color="auto"/>
              <w:bottom w:val="single" w:sz="8" w:color="D2DCE5"/>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r>
      <w:tr>
        <w:trPr>
          <w:trHeight w:val="209"/>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Net income (loss) attributable to Dutch Bros Inc.</w:t>
            </w:r>
          </w:p>
        </w:tc>
        <w:tc>
          <w:tcPr>
            <w:tcW w:w="980" w:type="dxa"/>
            <w:vAlign w:val="bottom"/>
            <w:shd w:val="clear" w:color="auto" w:fill="D2DCE5"/>
          </w:tcPr>
          <w:p>
            <w:pPr>
              <w:jc w:val="right"/>
              <w:ind w:right="809"/>
              <w:spacing w:after="0"/>
              <w:rPr>
                <w:sz w:val="20"/>
                <w:szCs w:val="20"/>
                <w:color w:val="auto"/>
              </w:rPr>
            </w:pPr>
            <w:r>
              <w:rPr>
                <w:rFonts w:ascii="Arial" w:cs="Arial" w:eastAsia="Arial" w:hAnsi="Arial"/>
                <w:sz w:val="14"/>
                <w:szCs w:val="14"/>
                <w:color w:val="131E29"/>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35,258</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1,718</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(4,753)</w:t>
            </w:r>
          </w:p>
        </w:tc>
      </w:tr>
      <w:tr>
        <w:trPr>
          <w:trHeight w:val="202"/>
        </w:trPr>
        <w:tc>
          <w:tcPr>
            <w:tcW w:w="6400" w:type="dxa"/>
            <w:vAlign w:val="bottom"/>
            <w:gridSpan w:val="2"/>
          </w:tcPr>
          <w:p>
            <w:pPr>
              <w:ind w:left="20"/>
              <w:spacing w:after="0"/>
              <w:rPr>
                <w:sz w:val="20"/>
                <w:szCs w:val="20"/>
                <w:color w:val="auto"/>
              </w:rPr>
            </w:pPr>
            <w:r>
              <w:rPr>
                <w:rFonts w:ascii="Arial" w:cs="Arial" w:eastAsia="Arial" w:hAnsi="Arial"/>
                <w:sz w:val="14"/>
                <w:szCs w:val="14"/>
                <w:color w:val="131E29"/>
              </w:rPr>
              <w:t>Other comprehensive income (loss):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2"/>
        </w:trPr>
        <w:tc>
          <w:tcPr>
            <w:tcW w:w="6400" w:type="dxa"/>
            <w:vAlign w:val="bottom"/>
            <w:gridSpan w:val="2"/>
            <w:shd w:val="clear" w:color="auto" w:fill="D2DCE5"/>
          </w:tcPr>
          <w:p>
            <w:pPr>
              <w:ind w:left="100"/>
              <w:spacing w:after="0"/>
              <w:rPr>
                <w:sz w:val="20"/>
                <w:szCs w:val="20"/>
                <w:color w:val="auto"/>
              </w:rPr>
            </w:pPr>
            <w:r>
              <w:rPr>
                <w:rFonts w:ascii="Arial" w:cs="Arial" w:eastAsia="Arial" w:hAnsi="Arial"/>
                <w:sz w:val="14"/>
                <w:szCs w:val="14"/>
                <w:color w:val="131E29"/>
              </w:rPr>
              <w:t>Unrealized gain (loss) on derivative securities, effective portion, net of income tax impacts</w:t>
            </w:r>
          </w:p>
        </w:tc>
        <w:tc>
          <w:tcPr>
            <w:tcW w:w="980" w:type="dxa"/>
            <w:vAlign w:val="bottom"/>
            <w:shd w:val="clear" w:color="auto" w:fill="D2DCE5"/>
          </w:tcPr>
          <w:p>
            <w:pPr>
              <w:spacing w:after="0"/>
              <w:rPr>
                <w:sz w:val="19"/>
                <w:szCs w:val="19"/>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84</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(269)</w:t>
            </w: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813</w:t>
            </w:r>
          </w:p>
        </w:tc>
      </w:tr>
      <w:tr>
        <w:trPr>
          <w:trHeight w:val="202"/>
        </w:trPr>
        <w:tc>
          <w:tcPr>
            <w:tcW w:w="6400" w:type="dxa"/>
            <w:vAlign w:val="bottom"/>
            <w:gridSpan w:val="2"/>
          </w:tcPr>
          <w:p>
            <w:pPr>
              <w:ind w:left="20"/>
              <w:spacing w:after="0"/>
              <w:rPr>
                <w:sz w:val="20"/>
                <w:szCs w:val="20"/>
                <w:color w:val="auto"/>
              </w:rPr>
            </w:pPr>
            <w:r>
              <w:rPr>
                <w:rFonts w:ascii="Arial" w:cs="Arial" w:eastAsia="Arial" w:hAnsi="Arial"/>
                <w:sz w:val="14"/>
                <w:szCs w:val="14"/>
                <w:color w:val="131E29"/>
              </w:rPr>
              <w:t>Transfers from (to) non-controlling interests:</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Decrease in accumulated deficit as a result of the adoption of ASC 842</w:t>
            </w:r>
          </w:p>
        </w:tc>
        <w:tc>
          <w:tcPr>
            <w:tcW w:w="980" w:type="dxa"/>
            <w:vAlign w:val="bottom"/>
            <w:shd w:val="clear" w:color="auto" w:fill="D2DCE5"/>
          </w:tcPr>
          <w:p>
            <w:pPr>
              <w:spacing w:after="0"/>
              <w:rPr>
                <w:sz w:val="19"/>
                <w:szCs w:val="19"/>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3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122</w:t>
            </w: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Increase in additional paid-in capital as a result of equity-based compensation</w:t>
            </w:r>
          </w:p>
        </w:tc>
        <w:tc>
          <w:tcPr>
            <w:tcW w:w="9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131E29"/>
              </w:rPr>
              <w:t>6,980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15,177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13,743</w:t>
            </w:r>
          </w:p>
        </w:tc>
      </w:tr>
      <w:tr>
        <w:trPr>
          <w:trHeight w:val="186"/>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Increase (decrease) in additional paid-in capital as a result of common stock issuances pursuant</w:t>
            </w:r>
          </w:p>
        </w:tc>
        <w:tc>
          <w:tcPr>
            <w:tcW w:w="980" w:type="dxa"/>
            <w:vAlign w:val="bottom"/>
            <w:shd w:val="clear" w:color="auto" w:fill="D2DCE5"/>
          </w:tcPr>
          <w:p>
            <w:pPr>
              <w:spacing w:after="0"/>
              <w:rPr>
                <w:sz w:val="16"/>
                <w:szCs w:val="16"/>
                <w:color w:val="auto"/>
              </w:rPr>
            </w:pPr>
          </w:p>
        </w:tc>
        <w:tc>
          <w:tcPr>
            <w:tcW w:w="60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60" w:type="dxa"/>
            <w:vAlign w:val="bottom"/>
            <w:shd w:val="clear" w:color="auto" w:fill="D2DCE5"/>
          </w:tcPr>
          <w:p>
            <w:pPr>
              <w:spacing w:after="0"/>
              <w:rPr>
                <w:sz w:val="16"/>
                <w:szCs w:val="16"/>
                <w:color w:val="auto"/>
              </w:rPr>
            </w:pPr>
          </w:p>
        </w:tc>
        <w:tc>
          <w:tcPr>
            <w:tcW w:w="12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60" w:type="dxa"/>
            <w:vAlign w:val="bottom"/>
            <w:shd w:val="clear" w:color="auto" w:fill="D2DCE5"/>
          </w:tcPr>
          <w:p>
            <w:pPr>
              <w:spacing w:after="0"/>
              <w:rPr>
                <w:sz w:val="16"/>
                <w:szCs w:val="16"/>
                <w:color w:val="auto"/>
              </w:rPr>
            </w:pPr>
          </w:p>
        </w:tc>
        <w:tc>
          <w:tcPr>
            <w:tcW w:w="1200" w:type="dxa"/>
            <w:vAlign w:val="bottom"/>
            <w:shd w:val="clear" w:color="auto" w:fill="D2DCE5"/>
          </w:tcPr>
          <w:p>
            <w:pPr>
              <w:spacing w:after="0"/>
              <w:rPr>
                <w:sz w:val="16"/>
                <w:szCs w:val="16"/>
                <w:color w:val="auto"/>
              </w:rPr>
            </w:pPr>
          </w:p>
        </w:tc>
      </w:tr>
      <w:tr>
        <w:trPr>
          <w:trHeight w:val="206"/>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to vesting of equity awards, net of stock withheld for tax</w:t>
            </w:r>
          </w:p>
        </w:tc>
        <w:tc>
          <w:tcPr>
            <w:tcW w:w="980" w:type="dxa"/>
            <w:vAlign w:val="bottom"/>
            <w:shd w:val="clear" w:color="auto" w:fill="D2DCE5"/>
          </w:tcPr>
          <w:p>
            <w:pPr>
              <w:spacing w:after="0"/>
              <w:rPr>
                <w:sz w:val="17"/>
                <w:szCs w:val="17"/>
                <w:color w:val="auto"/>
              </w:rPr>
            </w:pPr>
          </w:p>
        </w:tc>
        <w:tc>
          <w:tcPr>
            <w:tcW w:w="6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1,743</w:t>
            </w:r>
          </w:p>
        </w:tc>
        <w:tc>
          <w:tcPr>
            <w:tcW w:w="8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(661)</w:t>
            </w:r>
          </w:p>
        </w:tc>
        <w:tc>
          <w:tcPr>
            <w:tcW w:w="10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(1,145)</w:t>
            </w:r>
          </w:p>
        </w:tc>
      </w:tr>
      <w:tr>
        <w:trPr>
          <w:trHeight w:val="176"/>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Increase (decrease) in additional paid-in capital as a result of the acquisition of Dutch Bros OpCo</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6"/>
        </w:trPr>
        <w:tc>
          <w:tcPr>
            <w:tcW w:w="6400" w:type="dxa"/>
            <w:vAlign w:val="bottom"/>
            <w:tcBorders>
              <w:bottom w:val="single" w:sz="8" w:color="D2DCE5"/>
            </w:tcBorders>
            <w:gridSpan w:val="2"/>
          </w:tcPr>
          <w:p>
            <w:pPr>
              <w:ind w:left="140"/>
              <w:spacing w:after="0"/>
              <w:rPr>
                <w:sz w:val="20"/>
                <w:szCs w:val="20"/>
                <w:color w:val="auto"/>
              </w:rPr>
            </w:pPr>
            <w:r>
              <w:rPr>
                <w:rFonts w:ascii="Arial" w:cs="Arial" w:eastAsia="Arial" w:hAnsi="Arial"/>
                <w:sz w:val="14"/>
                <w:szCs w:val="14"/>
                <w:color w:val="131E29"/>
              </w:rPr>
              <w:t>Class A common units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115,989</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(158,152)</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9,410</w:t>
            </w:r>
          </w:p>
        </w:tc>
      </w:tr>
      <w:tr>
        <w:trPr>
          <w:trHeight w:val="232"/>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Total effect of changes in ownership interest on equity attributable to Dutch Bros Inc.</w:t>
            </w:r>
          </w:p>
        </w:tc>
        <w:tc>
          <w:tcPr>
            <w:tcW w:w="980" w:type="dxa"/>
            <w:vAlign w:val="bottom"/>
            <w:shd w:val="clear" w:color="auto" w:fill="D2DCE5"/>
          </w:tcPr>
          <w:p>
            <w:pPr>
              <w:jc w:val="right"/>
              <w:ind w:right="809"/>
              <w:spacing w:after="0"/>
              <w:rPr>
                <w:sz w:val="20"/>
                <w:szCs w:val="20"/>
                <w:color w:val="auto"/>
              </w:rPr>
            </w:pPr>
            <w:r>
              <w:rPr>
                <w:rFonts w:ascii="Arial" w:cs="Arial" w:eastAsia="Arial" w:hAnsi="Arial"/>
                <w:sz w:val="14"/>
                <w:szCs w:val="14"/>
                <w:b w:val="1"/>
                <w:bCs w:val="1"/>
                <w:color w:val="131E29"/>
              </w:rPr>
              <w:t>$</w:t>
            </w:r>
          </w:p>
        </w:tc>
        <w:tc>
          <w:tcPr>
            <w:tcW w:w="6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160,054</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b w:val="1"/>
                <w:bCs w:val="1"/>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(142,187)</w:t>
            </w:r>
          </w:p>
        </w:tc>
        <w:tc>
          <w:tcPr>
            <w:tcW w:w="100" w:type="dxa"/>
            <w:vAlign w:val="bottom"/>
            <w:shd w:val="clear" w:color="auto" w:fill="D2DCE5"/>
          </w:tcPr>
          <w:p>
            <w:pPr>
              <w:spacing w:after="0"/>
              <w:rPr>
                <w:sz w:val="20"/>
                <w:szCs w:val="20"/>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18,190</w:t>
            </w:r>
          </w:p>
        </w:tc>
      </w:tr>
      <w:tr>
        <w:trPr>
          <w:trHeight w:val="20"/>
        </w:trPr>
        <w:tc>
          <w:tcPr>
            <w:tcW w:w="63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weighted-average ownership percentage for the applicable reporting period is used to attribute net income to Dutch Bros Inc. and the non-controlling interest holders. The non-controlling interest holders’ weighted-average ownership percentage were as follows for the periods presented: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131E29"/>
              </w:rPr>
              <w:t>Year Ended December 31,</w:t>
            </w:r>
          </w:p>
        </w:tc>
        <w:tc>
          <w:tcPr>
            <w:tcW w:w="1540" w:type="dxa"/>
            <w:vAlign w:val="bottom"/>
            <w:tcBorders>
              <w:bottom w:val="single" w:sz="8" w:color="auto"/>
            </w:tcBorders>
          </w:tcPr>
          <w:p>
            <w:pPr>
              <w:spacing w:after="0"/>
              <w:rPr>
                <w:sz w:val="17"/>
                <w:szCs w:val="17"/>
                <w:color w:val="auto"/>
              </w:rPr>
            </w:pPr>
          </w:p>
        </w:tc>
      </w:tr>
      <w:tr>
        <w:trPr>
          <w:trHeight w:val="203"/>
        </w:trPr>
        <w:tc>
          <w:tcPr>
            <w:tcW w:w="616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11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131E29"/>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D2DCE5"/>
            </w:tcBorders>
          </w:tcPr>
          <w:p>
            <w:pPr>
              <w:spacing w:after="0"/>
              <w:rPr>
                <w:sz w:val="17"/>
                <w:szCs w:val="17"/>
                <w:color w:val="auto"/>
              </w:rPr>
            </w:pPr>
          </w:p>
        </w:tc>
        <w:tc>
          <w:tcPr>
            <w:tcW w:w="166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131E29"/>
              </w:rPr>
              <w:t>2023</w:t>
            </w:r>
          </w:p>
        </w:tc>
        <w:tc>
          <w:tcPr>
            <w:tcW w:w="80" w:type="dxa"/>
            <w:vAlign w:val="bottom"/>
            <w:tcBorders>
              <w:bottom w:val="single" w:sz="8" w:color="D2DCE5"/>
            </w:tcBorders>
          </w:tcPr>
          <w:p>
            <w:pPr>
              <w:spacing w:after="0"/>
              <w:rPr>
                <w:sz w:val="17"/>
                <w:szCs w:val="17"/>
                <w:color w:val="auto"/>
              </w:rPr>
            </w:pPr>
          </w:p>
        </w:tc>
        <w:tc>
          <w:tcPr>
            <w:tcW w:w="15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131E29"/>
              </w:rPr>
              <w:t>2022</w:t>
            </w:r>
          </w:p>
        </w:tc>
      </w:tr>
      <w:tr>
        <w:trPr>
          <w:trHeight w:val="209"/>
        </w:trPr>
        <w:tc>
          <w:tcPr>
            <w:tcW w:w="7340" w:type="dxa"/>
            <w:vAlign w:val="bottom"/>
            <w:gridSpan w:val="3"/>
            <w:shd w:val="clear" w:color="auto" w:fill="D2DCE5"/>
          </w:tcPr>
          <w:p>
            <w:pPr>
              <w:jc w:val="right"/>
              <w:ind w:right="2529"/>
              <w:spacing w:after="0"/>
              <w:rPr>
                <w:sz w:val="20"/>
                <w:szCs w:val="20"/>
                <w:color w:val="auto"/>
              </w:rPr>
            </w:pPr>
            <w:r>
              <w:rPr>
                <w:rFonts w:ascii="Arial" w:cs="Arial" w:eastAsia="Arial" w:hAnsi="Arial"/>
                <w:sz w:val="14"/>
                <w:szCs w:val="14"/>
                <w:color w:val="131E29"/>
              </w:rPr>
              <w:t>Weighted-average ownership percentage of non-controlling interest holders</w:t>
            </w:r>
          </w:p>
        </w:tc>
        <w:tc>
          <w:tcPr>
            <w:tcW w:w="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41.6 %</w:t>
            </w:r>
          </w:p>
        </w:tc>
        <w:tc>
          <w:tcPr>
            <w:tcW w:w="176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62.8 %</w:t>
            </w:r>
          </w:p>
        </w:tc>
        <w:tc>
          <w:tcPr>
            <w:tcW w:w="80" w:type="dxa"/>
            <w:vAlign w:val="bottom"/>
            <w:shd w:val="clear" w:color="auto" w:fill="D2DCE5"/>
          </w:tcPr>
          <w:p>
            <w:pPr>
              <w:spacing w:after="0"/>
              <w:rPr>
                <w:sz w:val="18"/>
                <w:szCs w:val="18"/>
                <w:color w:val="auto"/>
              </w:rPr>
            </w:pPr>
          </w:p>
        </w:tc>
        <w:tc>
          <w:tcPr>
            <w:tcW w:w="1540" w:type="dxa"/>
            <w:vAlign w:val="bottom"/>
            <w:shd w:val="clear" w:color="auto" w:fill="D2DCE5"/>
          </w:tcPr>
          <w:p>
            <w:pPr>
              <w:jc w:val="right"/>
              <w:ind w:right="489"/>
              <w:spacing w:after="0"/>
              <w:rPr>
                <w:sz w:val="20"/>
                <w:szCs w:val="20"/>
                <w:color w:val="auto"/>
              </w:rPr>
            </w:pPr>
            <w:r>
              <w:rPr>
                <w:rFonts w:ascii="Arial" w:cs="Arial" w:eastAsia="Arial" w:hAnsi="Arial"/>
                <w:sz w:val="14"/>
                <w:szCs w:val="14"/>
                <w:color w:val="131E29"/>
              </w:rPr>
              <w:t>67.8%</w:t>
            </w: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Under the OpCo LLC Agreement, Dutch Bros OpCo is required to make certain distributions to its members with regard to tax obligations. Such distributions paid to members were as follows for the periods presented, and no amounts were payable as of the periods then ended.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131E29"/>
                <w:w w:val="99"/>
              </w:rPr>
              <w:t>Year Ended December 31,</w:t>
            </w: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131E29"/>
              </w:rPr>
              <w:t>2024</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r>
      <w:tr>
        <w:trPr>
          <w:trHeight w:val="209"/>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Amounts paid to non-controlling interest holders</w:t>
            </w:r>
          </w:p>
        </w:tc>
        <w:tc>
          <w:tcPr>
            <w:tcW w:w="1060" w:type="dxa"/>
            <w:vAlign w:val="bottom"/>
            <w:shd w:val="clear" w:color="auto" w:fill="D2DCE5"/>
          </w:tcPr>
          <w:p>
            <w:pPr>
              <w:jc w:val="right"/>
              <w:ind w:right="889"/>
              <w:spacing w:after="0"/>
              <w:rPr>
                <w:sz w:val="20"/>
                <w:szCs w:val="20"/>
                <w:color w:val="auto"/>
              </w:rPr>
            </w:pPr>
            <w:r>
              <w:rPr>
                <w:rFonts w:ascii="Arial" w:cs="Arial" w:eastAsia="Arial" w:hAnsi="Arial"/>
                <w:sz w:val="14"/>
                <w:szCs w:val="14"/>
                <w:color w:val="131E29"/>
              </w:rPr>
              <w:t>$</w:t>
            </w: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1,888</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660" w:type="dxa"/>
            <w:vAlign w:val="bottom"/>
            <w:gridSpan w:val="3"/>
            <w:shd w:val="clear" w:color="auto" w:fill="D2DCE5"/>
          </w:tcPr>
          <w:p>
            <w:pPr>
              <w:ind w:left="1000"/>
              <w:spacing w:after="0"/>
              <w:rPr>
                <w:sz w:val="20"/>
                <w:szCs w:val="20"/>
                <w:color w:val="auto"/>
              </w:rPr>
            </w:pPr>
            <w:r>
              <w:rPr>
                <w:rFonts w:ascii="Arial" w:cs="Arial" w:eastAsia="Arial" w:hAnsi="Arial"/>
                <w:sz w:val="14"/>
                <w:szCs w:val="14"/>
                <w:color w:val="131E29"/>
              </w:rPr>
              <w:t>—  $</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16 — Income (Loss) Per Share</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tables set forth the numerators and denominators used to compute basic and diluted net income (loss) per share of Class A common stock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8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9"/>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Numerator:</w:t>
            </w:r>
          </w:p>
        </w:tc>
        <w:tc>
          <w:tcPr>
            <w:tcW w:w="36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Net income (loss)</w:t>
            </w:r>
          </w:p>
        </w:tc>
        <w:tc>
          <w:tcPr>
            <w:tcW w:w="360" w:type="dxa"/>
            <w:vAlign w:val="bottom"/>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tcPr>
          <w:p>
            <w:pPr>
              <w:jc w:val="right"/>
              <w:spacing w:after="0"/>
              <w:rPr>
                <w:sz w:val="20"/>
                <w:szCs w:val="20"/>
                <w:color w:val="auto"/>
              </w:rPr>
            </w:pPr>
            <w:r>
              <w:rPr>
                <w:rFonts w:ascii="Arial" w:cs="Arial" w:eastAsia="Arial" w:hAnsi="Arial"/>
                <w:sz w:val="14"/>
                <w:szCs w:val="14"/>
                <w:color w:val="131E29"/>
              </w:rPr>
              <w:t>66,450</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9,952</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(19,253)</w:t>
            </w:r>
          </w:p>
        </w:tc>
        <w:tc>
          <w:tcPr>
            <w:tcW w:w="0" w:type="dxa"/>
            <w:vAlign w:val="bottom"/>
          </w:tcPr>
          <w:p>
            <w:pPr>
              <w:spacing w:after="0"/>
              <w:rPr>
                <w:sz w:val="1"/>
                <w:szCs w:val="1"/>
                <w:color w:val="auto"/>
              </w:rPr>
            </w:pPr>
          </w:p>
        </w:tc>
      </w:tr>
      <w:tr>
        <w:trPr>
          <w:trHeight w:val="213"/>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Less: Net income (loss) attributable to non-controlling interests</w:t>
            </w:r>
          </w:p>
        </w:tc>
        <w:tc>
          <w:tcPr>
            <w:tcW w:w="360" w:type="dxa"/>
            <w:vAlign w:val="bottom"/>
            <w:tcBorders>
              <w:bottom w:val="single" w:sz="8" w:color="auto"/>
            </w:tcBorders>
            <w:shd w:val="clear" w:color="auto" w:fill="D2DCE5"/>
          </w:tcPr>
          <w:p>
            <w:pPr>
              <w:spacing w:after="0"/>
              <w:rPr>
                <w:sz w:val="18"/>
                <w:szCs w:val="18"/>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31,192</w:t>
            </w:r>
          </w:p>
        </w:tc>
        <w:tc>
          <w:tcPr>
            <w:tcW w:w="8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8,234</w:t>
            </w:r>
          </w:p>
        </w:tc>
        <w:tc>
          <w:tcPr>
            <w:tcW w:w="10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(14,500)</w:t>
            </w:r>
          </w:p>
        </w:tc>
        <w:tc>
          <w:tcPr>
            <w:tcW w:w="0" w:type="dxa"/>
            <w:vAlign w:val="bottom"/>
          </w:tcPr>
          <w:p>
            <w:pPr>
              <w:spacing w:after="0"/>
              <w:rPr>
                <w:sz w:val="1"/>
                <w:szCs w:val="1"/>
                <w:color w:val="auto"/>
              </w:rPr>
            </w:pPr>
          </w:p>
        </w:tc>
      </w:tr>
      <w:tr>
        <w:trPr>
          <w:trHeight w:val="212"/>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131E29"/>
              </w:rPr>
              <w:t>Net income (loss) attributable to Dutch Bros Inc.</w:t>
            </w:r>
          </w:p>
        </w:tc>
        <w:tc>
          <w:tcPr>
            <w:tcW w:w="360" w:type="dxa"/>
            <w:vAlign w:val="bottom"/>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131E29"/>
              </w:rPr>
              <w:t>35,258</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131E29"/>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131E29"/>
              </w:rPr>
              <w:t>1,718</w:t>
            </w:r>
          </w:p>
        </w:tc>
        <w:tc>
          <w:tcPr>
            <w:tcW w:w="100" w:type="dxa"/>
            <w:vAlign w:val="bottom"/>
          </w:tcPr>
          <w:p>
            <w:pPr>
              <w:spacing w:after="0"/>
              <w:rPr>
                <w:sz w:val="18"/>
                <w:szCs w:val="18"/>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131E29"/>
              </w:rPr>
              <w:t>(4,753)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28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9"/>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Basic net income (loss) per share attributable to common stockholders</w:t>
            </w:r>
          </w:p>
        </w:tc>
        <w:tc>
          <w:tcPr>
            <w:tcW w:w="36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400" w:type="dxa"/>
            <w:vAlign w:val="bottom"/>
            <w:gridSpan w:val="2"/>
          </w:tcPr>
          <w:p>
            <w:pPr>
              <w:ind w:left="100"/>
              <w:spacing w:after="0"/>
              <w:rPr>
                <w:sz w:val="20"/>
                <w:szCs w:val="20"/>
                <w:color w:val="auto"/>
              </w:rPr>
            </w:pPr>
            <w:r>
              <w:rPr>
                <w:rFonts w:ascii="Arial" w:cs="Arial" w:eastAsia="Arial" w:hAnsi="Arial"/>
                <w:sz w:val="14"/>
                <w:szCs w:val="14"/>
                <w:b w:val="1"/>
                <w:bCs w:val="1"/>
                <w:color w:val="131E29"/>
              </w:rPr>
              <w:t>Numerator: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400" w:type="dxa"/>
            <w:vAlign w:val="bottom"/>
            <w:gridSpan w:val="2"/>
            <w:shd w:val="clear" w:color="auto" w:fill="D2DCE5"/>
          </w:tcPr>
          <w:p>
            <w:pPr>
              <w:ind w:left="240"/>
              <w:spacing w:after="0"/>
              <w:rPr>
                <w:sz w:val="20"/>
                <w:szCs w:val="20"/>
                <w:color w:val="auto"/>
              </w:rPr>
            </w:pPr>
            <w:r>
              <w:rPr>
                <w:rFonts w:ascii="Arial" w:cs="Arial" w:eastAsia="Arial" w:hAnsi="Arial"/>
                <w:sz w:val="14"/>
                <w:szCs w:val="14"/>
                <w:color w:val="131E29"/>
              </w:rPr>
              <w:t>Net income (loss) attributable to Dutch Bros Inc.</w:t>
            </w: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35,258</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1,718</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(4,753)</w:t>
            </w:r>
          </w:p>
        </w:tc>
        <w:tc>
          <w:tcPr>
            <w:tcW w:w="0" w:type="dxa"/>
            <w:vAlign w:val="bottom"/>
          </w:tcPr>
          <w:p>
            <w:pPr>
              <w:spacing w:after="0"/>
              <w:rPr>
                <w:sz w:val="1"/>
                <w:szCs w:val="1"/>
                <w:color w:val="auto"/>
              </w:rPr>
            </w:pPr>
          </w:p>
        </w:tc>
      </w:tr>
      <w:tr>
        <w:trPr>
          <w:trHeight w:val="206"/>
        </w:trPr>
        <w:tc>
          <w:tcPr>
            <w:tcW w:w="6400" w:type="dxa"/>
            <w:vAlign w:val="bottom"/>
            <w:gridSpan w:val="2"/>
          </w:tcPr>
          <w:p>
            <w:pPr>
              <w:ind w:left="100"/>
              <w:spacing w:after="0"/>
              <w:rPr>
                <w:sz w:val="20"/>
                <w:szCs w:val="20"/>
                <w:color w:val="auto"/>
              </w:rPr>
            </w:pPr>
            <w:r>
              <w:rPr>
                <w:rFonts w:ascii="Arial" w:cs="Arial" w:eastAsia="Arial" w:hAnsi="Arial"/>
                <w:sz w:val="14"/>
                <w:szCs w:val="14"/>
                <w:b w:val="1"/>
                <w:bCs w:val="1"/>
                <w:color w:val="131E29"/>
              </w:rPr>
              <w:t>Denominator: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400" w:type="dxa"/>
            <w:vAlign w:val="bottom"/>
            <w:gridSpan w:val="2"/>
            <w:shd w:val="clear" w:color="auto" w:fill="D2DCE5"/>
          </w:tcPr>
          <w:p>
            <w:pPr>
              <w:ind w:left="240"/>
              <w:spacing w:after="0"/>
              <w:rPr>
                <w:sz w:val="20"/>
                <w:szCs w:val="20"/>
                <w:color w:val="auto"/>
              </w:rPr>
            </w:pPr>
            <w:r>
              <w:rPr>
                <w:rFonts w:ascii="Arial" w:cs="Arial" w:eastAsia="Arial" w:hAnsi="Arial"/>
                <w:sz w:val="14"/>
                <w:szCs w:val="14"/>
                <w:color w:val="131E29"/>
              </w:rPr>
              <w:t>Weighted-average number of shares of Class A and Class D common stock outstanding - basic ¹</w:t>
            </w:r>
          </w:p>
        </w:tc>
        <w:tc>
          <w:tcPr>
            <w:tcW w:w="360" w:type="dxa"/>
            <w:vAlign w:val="bottom"/>
            <w:tcBorders>
              <w:bottom w:val="single" w:sz="8" w:color="auto"/>
            </w:tcBorders>
            <w:shd w:val="clear" w:color="auto" w:fill="D2DCE5"/>
          </w:tcPr>
          <w:p>
            <w:pPr>
              <w:spacing w:after="0"/>
              <w:rPr>
                <w:sz w:val="18"/>
                <w:szCs w:val="18"/>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103,504</w:t>
            </w:r>
          </w:p>
        </w:tc>
        <w:tc>
          <w:tcPr>
            <w:tcW w:w="8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62,074</w:t>
            </w:r>
          </w:p>
        </w:tc>
        <w:tc>
          <w:tcPr>
            <w:tcW w:w="10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51,871</w:t>
            </w:r>
          </w:p>
        </w:tc>
        <w:tc>
          <w:tcPr>
            <w:tcW w:w="0" w:type="dxa"/>
            <w:vAlign w:val="bottom"/>
          </w:tcPr>
          <w:p>
            <w:pPr>
              <w:spacing w:after="0"/>
              <w:rPr>
                <w:sz w:val="1"/>
                <w:szCs w:val="1"/>
                <w:color w:val="auto"/>
              </w:rPr>
            </w:pPr>
          </w:p>
        </w:tc>
      </w:tr>
      <w:tr>
        <w:trPr>
          <w:trHeight w:val="74"/>
        </w:trPr>
        <w:tc>
          <w:tcPr>
            <w:tcW w:w="63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Basic net income (loss) per share attributable to common stockholders ¹</w:t>
            </w: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0.34</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b w:val="1"/>
                <w:bCs w:val="1"/>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0.03</w:t>
            </w:r>
          </w:p>
        </w:tc>
        <w:tc>
          <w:tcPr>
            <w:tcW w:w="100" w:type="dxa"/>
            <w:vAlign w:val="bottom"/>
            <w:shd w:val="clear" w:color="auto" w:fill="D2DCE5"/>
          </w:tcPr>
          <w:p>
            <w:pPr>
              <w:spacing w:after="0"/>
              <w:rPr>
                <w:sz w:val="20"/>
                <w:szCs w:val="20"/>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(0.09)</w:t>
            </w:r>
          </w:p>
        </w:tc>
        <w:tc>
          <w:tcPr>
            <w:tcW w:w="0" w:type="dxa"/>
            <w:vAlign w:val="bottom"/>
          </w:tcPr>
          <w:p>
            <w:pPr>
              <w:spacing w:after="0"/>
              <w:rPr>
                <w:sz w:val="1"/>
                <w:szCs w:val="1"/>
                <w:color w:val="auto"/>
              </w:rPr>
            </w:pPr>
          </w:p>
        </w:tc>
      </w:tr>
      <w:tr>
        <w:trPr>
          <w:trHeight w:val="20"/>
        </w:trPr>
        <w:tc>
          <w:tcPr>
            <w:tcW w:w="6320" w:type="dxa"/>
            <w:vAlign w:val="bottom"/>
            <w:tcBorders>
              <w:top w:val="single" w:sz="8" w:color="D2DCE5"/>
              <w:bottom w:val="single" w:sz="8" w:color="D2DCE5"/>
            </w:tcBorders>
            <w:vMerge w:val="restart"/>
          </w:tcPr>
          <w:p>
            <w:pPr>
              <w:spacing w:after="0"/>
              <w:rPr>
                <w:sz w:val="20"/>
                <w:szCs w:val="20"/>
                <w:color w:val="auto"/>
              </w:rPr>
            </w:pPr>
            <w:r>
              <w:rPr>
                <w:rFonts w:ascii="Arial" w:cs="Arial" w:eastAsia="Arial" w:hAnsi="Arial"/>
                <w:sz w:val="14"/>
                <w:szCs w:val="14"/>
                <w:color w:val="131E29"/>
              </w:rPr>
              <w:t>_______________</w:t>
            </w: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40" w:hanging="135"/>
        <w:spacing w:after="0" w:line="229" w:lineRule="auto"/>
        <w:tabs>
          <w:tab w:leader="none" w:pos="74" w:val="left"/>
        </w:tabs>
        <w:numPr>
          <w:ilvl w:val="0"/>
          <w:numId w:val="59"/>
        </w:numPr>
        <w:rPr>
          <w:rFonts w:ascii="Arial" w:cs="Arial" w:eastAsia="Arial" w:hAnsi="Arial"/>
          <w:sz w:val="15"/>
          <w:szCs w:val="15"/>
          <w:color w:val="131E29"/>
          <w:vertAlign w:val="superscript"/>
        </w:rPr>
      </w:pPr>
      <w:r>
        <w:rPr>
          <w:rFonts w:ascii="Arial" w:cs="Arial" w:eastAsia="Arial" w:hAnsi="Arial"/>
          <w:sz w:val="11"/>
          <w:szCs w:val="11"/>
          <w:color w:val="131E29"/>
        </w:rPr>
        <w:t>Class D common shares were included in net income per share and weighted-average number of shares calculations in periods prior to June 2024. As of June 2024, all Class D common shares were converted to Class A common shares.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0" w:name="page131"/>
    <w:bookmarkEnd w:id="13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5"/>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 except per share amounts)</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6"/>
              <w:spacing w:after="0"/>
              <w:rPr>
                <w:sz w:val="20"/>
                <w:szCs w:val="20"/>
                <w:color w:val="auto"/>
              </w:rPr>
            </w:pPr>
            <w:r>
              <w:rPr>
                <w:rFonts w:ascii="Arial" w:cs="Arial" w:eastAsia="Arial" w:hAnsi="Arial"/>
                <w:sz w:val="13"/>
                <w:szCs w:val="13"/>
                <w:b w:val="1"/>
                <w:bCs w:val="1"/>
                <w:color w:val="131E29"/>
              </w:rPr>
              <w:t>2022</w:t>
            </w:r>
          </w:p>
        </w:tc>
      </w:tr>
      <w:tr>
        <w:trPr>
          <w:trHeight w:val="206"/>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Diluted net income (loss) per share attributable to common stockholders</w:t>
            </w:r>
          </w:p>
        </w:tc>
        <w:tc>
          <w:tcPr>
            <w:tcW w:w="360" w:type="dxa"/>
            <w:vAlign w:val="bottom"/>
            <w:shd w:val="clear" w:color="auto" w:fill="D2DCE5"/>
          </w:tcPr>
          <w:p>
            <w:pPr>
              <w:spacing w:after="0"/>
              <w:rPr>
                <w:sz w:val="17"/>
                <w:szCs w:val="17"/>
                <w:color w:val="auto"/>
              </w:rPr>
            </w:pPr>
          </w:p>
        </w:tc>
        <w:tc>
          <w:tcPr>
            <w:tcW w:w="12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spacing w:after="0"/>
              <w:rPr>
                <w:sz w:val="17"/>
                <w:szCs w:val="17"/>
                <w:color w:val="auto"/>
              </w:rPr>
            </w:pPr>
          </w:p>
        </w:tc>
      </w:tr>
      <w:tr>
        <w:trPr>
          <w:trHeight w:val="206"/>
        </w:trPr>
        <w:tc>
          <w:tcPr>
            <w:tcW w:w="6400" w:type="dxa"/>
            <w:vAlign w:val="bottom"/>
            <w:gridSpan w:val="2"/>
          </w:tcPr>
          <w:p>
            <w:pPr>
              <w:ind w:left="140"/>
              <w:spacing w:after="0"/>
              <w:rPr>
                <w:sz w:val="20"/>
                <w:szCs w:val="20"/>
                <w:color w:val="auto"/>
              </w:rPr>
            </w:pPr>
            <w:r>
              <w:rPr>
                <w:rFonts w:ascii="Arial" w:cs="Arial" w:eastAsia="Arial" w:hAnsi="Arial"/>
                <w:sz w:val="14"/>
                <w:szCs w:val="14"/>
                <w:b w:val="1"/>
                <w:bCs w:val="1"/>
                <w:color w:val="131E29"/>
              </w:rPr>
              <w:t>Numerator: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8"/>
        </w:trPr>
        <w:tc>
          <w:tcPr>
            <w:tcW w:w="640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Undistributed net income (loss) for basic computation</w:t>
            </w: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35,258</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1,718</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216"/>
              <w:spacing w:after="0"/>
              <w:rPr>
                <w:sz w:val="20"/>
                <w:szCs w:val="20"/>
                <w:color w:val="auto"/>
              </w:rPr>
            </w:pPr>
            <w:r>
              <w:rPr>
                <w:rFonts w:ascii="Arial" w:cs="Arial" w:eastAsia="Arial" w:hAnsi="Arial"/>
                <w:sz w:val="13"/>
                <w:szCs w:val="13"/>
                <w:color w:val="131E29"/>
                <w:w w:val="82"/>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(4,753)</w:t>
            </w:r>
          </w:p>
        </w:tc>
      </w:tr>
      <w:tr>
        <w:trPr>
          <w:trHeight w:val="176"/>
        </w:trPr>
        <w:tc>
          <w:tcPr>
            <w:tcW w:w="6400" w:type="dxa"/>
            <w:vAlign w:val="bottom"/>
            <w:gridSpan w:val="2"/>
          </w:tcPr>
          <w:p>
            <w:pPr>
              <w:ind w:left="280"/>
              <w:spacing w:after="0"/>
              <w:rPr>
                <w:sz w:val="20"/>
                <w:szCs w:val="20"/>
                <w:color w:val="auto"/>
              </w:rPr>
            </w:pPr>
            <w:r>
              <w:rPr>
                <w:rFonts w:ascii="Arial" w:cs="Arial" w:eastAsia="Arial" w:hAnsi="Arial"/>
                <w:sz w:val="14"/>
                <w:szCs w:val="14"/>
                <w:color w:val="131E29"/>
              </w:rPr>
              <w:t>Increase in net income attributable to common stockholders upon conversion of potentially</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99"/>
        </w:trPr>
        <w:tc>
          <w:tcPr>
            <w:tcW w:w="640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dilutive instruments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110</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w:t>
            </w:r>
          </w:p>
        </w:tc>
      </w:tr>
      <w:tr>
        <w:trPr>
          <w:trHeight w:val="229"/>
        </w:trPr>
        <w:tc>
          <w:tcPr>
            <w:tcW w:w="6400" w:type="dxa"/>
            <w:vAlign w:val="bottom"/>
            <w:gridSpan w:val="2"/>
            <w:shd w:val="clear" w:color="auto" w:fill="D2DCE5"/>
          </w:tcPr>
          <w:p>
            <w:pPr>
              <w:ind w:left="180"/>
              <w:spacing w:after="0"/>
              <w:rPr>
                <w:sz w:val="20"/>
                <w:szCs w:val="20"/>
                <w:color w:val="auto"/>
              </w:rPr>
            </w:pPr>
            <w:r>
              <w:rPr>
                <w:rFonts w:ascii="Arial" w:cs="Arial" w:eastAsia="Arial" w:hAnsi="Arial"/>
                <w:sz w:val="14"/>
                <w:szCs w:val="14"/>
                <w:b w:val="1"/>
                <w:bCs w:val="1"/>
                <w:color w:val="131E29"/>
              </w:rPr>
              <w:t>Allocation of undistributed net income (loss)</w:t>
            </w: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35,368</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b w:val="1"/>
                <w:bCs w:val="1"/>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1,718</w:t>
            </w: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jc w:val="right"/>
              <w:ind w:right="216"/>
              <w:spacing w:after="0"/>
              <w:rPr>
                <w:sz w:val="20"/>
                <w:szCs w:val="20"/>
                <w:color w:val="auto"/>
              </w:rPr>
            </w:pPr>
            <w:r>
              <w:rPr>
                <w:rFonts w:ascii="Arial" w:cs="Arial" w:eastAsia="Arial" w:hAnsi="Arial"/>
                <w:sz w:val="13"/>
                <w:szCs w:val="13"/>
                <w:b w:val="1"/>
                <w:bCs w:val="1"/>
                <w:color w:val="131E29"/>
                <w:w w:val="82"/>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b w:val="1"/>
                <w:bCs w:val="1"/>
                <w:color w:val="131E29"/>
              </w:rPr>
              <w:t>(4,753)</w:t>
            </w:r>
          </w:p>
        </w:tc>
      </w:tr>
      <w:tr>
        <w:trPr>
          <w:trHeight w:val="20"/>
        </w:trPr>
        <w:tc>
          <w:tcPr>
            <w:tcW w:w="63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58"/>
        </w:trPr>
        <w:tc>
          <w:tcPr>
            <w:tcW w:w="63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1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b w:val="1"/>
                <w:bCs w:val="1"/>
                <w:color w:val="131E29"/>
              </w:rPr>
              <w:t>Denominator:</w:t>
            </w:r>
          </w:p>
        </w:tc>
        <w:tc>
          <w:tcPr>
            <w:tcW w:w="36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r>
      <w:tr>
        <w:trPr>
          <w:trHeight w:val="206"/>
        </w:trPr>
        <w:tc>
          <w:tcPr>
            <w:tcW w:w="6400" w:type="dxa"/>
            <w:vAlign w:val="bottom"/>
            <w:gridSpan w:val="2"/>
          </w:tcPr>
          <w:p>
            <w:pPr>
              <w:ind w:left="280"/>
              <w:spacing w:after="0"/>
              <w:rPr>
                <w:sz w:val="20"/>
                <w:szCs w:val="20"/>
                <w:color w:val="auto"/>
              </w:rPr>
            </w:pPr>
            <w:r>
              <w:rPr>
                <w:rFonts w:ascii="Arial" w:cs="Arial" w:eastAsia="Arial" w:hAnsi="Arial"/>
                <w:sz w:val="14"/>
                <w:szCs w:val="14"/>
                <w:color w:val="131E29"/>
              </w:rPr>
              <w:t>Number of shares used in basic computation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103,504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62,074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131E29"/>
              </w:rPr>
              <w:t>51,871</w:t>
            </w:r>
          </w:p>
        </w:tc>
      </w:tr>
      <w:tr>
        <w:trPr>
          <w:trHeight w:val="219"/>
        </w:trPr>
        <w:tc>
          <w:tcPr>
            <w:tcW w:w="6400" w:type="dxa"/>
            <w:vAlign w:val="bottom"/>
            <w:gridSpan w:val="2"/>
            <w:shd w:val="clear" w:color="auto" w:fill="D2DCE5"/>
          </w:tcPr>
          <w:p>
            <w:pPr>
              <w:ind w:left="280"/>
              <w:spacing w:after="0"/>
              <w:rPr>
                <w:sz w:val="20"/>
                <w:szCs w:val="20"/>
                <w:color w:val="auto"/>
              </w:rPr>
            </w:pPr>
            <w:r>
              <w:rPr>
                <w:rFonts w:ascii="Arial" w:cs="Arial" w:eastAsia="Arial" w:hAnsi="Arial"/>
                <w:sz w:val="14"/>
                <w:szCs w:val="14"/>
                <w:color w:val="131E29"/>
              </w:rPr>
              <w:t>Add: weighted-average effect of dilutive securities</w:t>
            </w: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spacing w:after="0"/>
              <w:rPr>
                <w:sz w:val="19"/>
                <w:szCs w:val="19"/>
                <w:color w:val="auto"/>
              </w:rPr>
            </w:pP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spacing w:after="0"/>
              <w:rPr>
                <w:sz w:val="19"/>
                <w:szCs w:val="19"/>
                <w:color w:val="auto"/>
              </w:rPr>
            </w:pP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spacing w:after="0"/>
              <w:rPr>
                <w:sz w:val="19"/>
                <w:szCs w:val="19"/>
                <w:color w:val="auto"/>
              </w:rPr>
            </w:pPr>
          </w:p>
        </w:tc>
      </w:tr>
      <w:tr>
        <w:trPr>
          <w:trHeight w:val="206"/>
        </w:trPr>
        <w:tc>
          <w:tcPr>
            <w:tcW w:w="6400" w:type="dxa"/>
            <w:vAlign w:val="bottom"/>
            <w:gridSpan w:val="2"/>
          </w:tcPr>
          <w:p>
            <w:pPr>
              <w:ind w:left="400"/>
              <w:spacing w:after="0"/>
              <w:rPr>
                <w:sz w:val="20"/>
                <w:szCs w:val="20"/>
                <w:color w:val="auto"/>
              </w:rPr>
            </w:pPr>
            <w:r>
              <w:rPr>
                <w:rFonts w:ascii="Arial" w:cs="Arial" w:eastAsia="Arial" w:hAnsi="Arial"/>
                <w:sz w:val="14"/>
                <w:szCs w:val="14"/>
                <w:color w:val="131E29"/>
              </w:rPr>
              <w:t>RSAs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12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131E29"/>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131E29"/>
              </w:rPr>
              <w:t>—</w:t>
            </w:r>
          </w:p>
        </w:tc>
      </w:tr>
      <w:tr>
        <w:trPr>
          <w:trHeight w:val="219"/>
        </w:trPr>
        <w:tc>
          <w:tcPr>
            <w:tcW w:w="6400" w:type="dxa"/>
            <w:vAlign w:val="bottom"/>
            <w:gridSpan w:val="2"/>
            <w:shd w:val="clear" w:color="auto" w:fill="D2DCE5"/>
          </w:tcPr>
          <w:p>
            <w:pPr>
              <w:ind w:left="400"/>
              <w:spacing w:after="0"/>
              <w:rPr>
                <w:sz w:val="20"/>
                <w:szCs w:val="20"/>
                <w:color w:val="auto"/>
              </w:rPr>
            </w:pPr>
            <w:r>
              <w:rPr>
                <w:rFonts w:ascii="Arial" w:cs="Arial" w:eastAsia="Arial" w:hAnsi="Arial"/>
                <w:sz w:val="14"/>
                <w:szCs w:val="14"/>
                <w:color w:val="131E29"/>
              </w:rPr>
              <w:t>RSUs</w:t>
            </w: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613</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300" w:type="dxa"/>
            <w:vAlign w:val="bottom"/>
            <w:gridSpan w:val="2"/>
            <w:shd w:val="clear" w:color="auto" w:fill="D2DCE5"/>
          </w:tcPr>
          <w:p>
            <w:pPr>
              <w:jc w:val="right"/>
              <w:ind w:right="160"/>
              <w:spacing w:after="0"/>
              <w:rPr>
                <w:sz w:val="20"/>
                <w:szCs w:val="20"/>
                <w:color w:val="auto"/>
              </w:rPr>
            </w:pPr>
            <w:r>
              <w:rPr>
                <w:rFonts w:ascii="Arial" w:cs="Arial" w:eastAsia="Arial" w:hAnsi="Arial"/>
                <w:sz w:val="14"/>
                <w:szCs w:val="14"/>
                <w:color w:val="131E29"/>
              </w:rPr>
              <w:t>—</w:t>
            </w: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w:t>
            </w:r>
          </w:p>
        </w:tc>
      </w:tr>
      <w:tr>
        <w:trPr>
          <w:trHeight w:val="156"/>
        </w:trPr>
        <w:tc>
          <w:tcPr>
            <w:tcW w:w="6400" w:type="dxa"/>
            <w:vAlign w:val="bottom"/>
            <w:gridSpan w:val="2"/>
          </w:tcPr>
          <w:p>
            <w:pPr>
              <w:ind w:left="280"/>
              <w:spacing w:after="0" w:line="157" w:lineRule="exact"/>
              <w:rPr>
                <w:sz w:val="20"/>
                <w:szCs w:val="20"/>
                <w:color w:val="auto"/>
              </w:rPr>
            </w:pPr>
            <w:r>
              <w:rPr>
                <w:rFonts w:ascii="Arial" w:cs="Arial" w:eastAsia="Arial" w:hAnsi="Arial"/>
                <w:sz w:val="14"/>
                <w:szCs w:val="14"/>
                <w:color w:val="131E29"/>
              </w:rPr>
              <w:t>Weighted-average number of shares of Class A and Class D common stock outstanding used to</w:t>
            </w:r>
          </w:p>
        </w:tc>
        <w:tc>
          <w:tcPr>
            <w:tcW w:w="3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99"/>
        </w:trPr>
        <w:tc>
          <w:tcPr>
            <w:tcW w:w="640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calculate diluted net income (loss) per share ¹</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104,129</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62,074</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131E29"/>
              </w:rPr>
              <w:t>51,871</w:t>
            </w:r>
          </w:p>
        </w:tc>
      </w:tr>
      <w:tr>
        <w:trPr>
          <w:trHeight w:val="229"/>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Diluted net income (loss) per share attributable to common stockholders ¹</w:t>
            </w:r>
          </w:p>
        </w:tc>
        <w:tc>
          <w:tcPr>
            <w:tcW w:w="360" w:type="dxa"/>
            <w:vAlign w:val="bottom"/>
            <w:shd w:val="clear" w:color="auto" w:fill="D2DCE5"/>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0.34</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b w:val="1"/>
                <w:bCs w:val="1"/>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0.03</w:t>
            </w: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jc w:val="right"/>
              <w:ind w:right="216"/>
              <w:spacing w:after="0"/>
              <w:rPr>
                <w:sz w:val="20"/>
                <w:szCs w:val="20"/>
                <w:color w:val="auto"/>
              </w:rPr>
            </w:pPr>
            <w:r>
              <w:rPr>
                <w:rFonts w:ascii="Arial" w:cs="Arial" w:eastAsia="Arial" w:hAnsi="Arial"/>
                <w:sz w:val="13"/>
                <w:szCs w:val="13"/>
                <w:b w:val="1"/>
                <w:bCs w:val="1"/>
                <w:color w:val="131E29"/>
                <w:w w:val="82"/>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3"/>
                <w:szCs w:val="13"/>
                <w:b w:val="1"/>
                <w:bCs w:val="1"/>
                <w:color w:val="131E29"/>
              </w:rPr>
              <w:t>(0.09)</w:t>
            </w:r>
          </w:p>
        </w:tc>
      </w:tr>
      <w:tr>
        <w:trPr>
          <w:trHeight w:val="20"/>
        </w:trPr>
        <w:tc>
          <w:tcPr>
            <w:tcW w:w="63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w:t>
      </w:r>
    </w:p>
    <w:p>
      <w:pPr>
        <w:spacing w:after="0" w:line="60" w:lineRule="exact"/>
        <w:rPr>
          <w:sz w:val="20"/>
          <w:szCs w:val="20"/>
          <w:color w:val="auto"/>
        </w:rPr>
      </w:pPr>
    </w:p>
    <w:p>
      <w:pPr>
        <w:ind w:left="140" w:hanging="135"/>
        <w:spacing w:after="0" w:line="221" w:lineRule="auto"/>
        <w:tabs>
          <w:tab w:leader="none" w:pos="74" w:val="left"/>
        </w:tabs>
        <w:numPr>
          <w:ilvl w:val="0"/>
          <w:numId w:val="60"/>
        </w:numPr>
        <w:rPr>
          <w:rFonts w:ascii="Arial" w:cs="Arial" w:eastAsia="Arial" w:hAnsi="Arial"/>
          <w:sz w:val="15"/>
          <w:szCs w:val="15"/>
          <w:color w:val="131E29"/>
          <w:vertAlign w:val="superscript"/>
        </w:rPr>
      </w:pPr>
      <w:r>
        <w:rPr>
          <w:rFonts w:ascii="Arial" w:cs="Arial" w:eastAsia="Arial" w:hAnsi="Arial"/>
          <w:sz w:val="11"/>
          <w:szCs w:val="11"/>
          <w:color w:val="131E29"/>
        </w:rPr>
        <w:t>Class D common shares were included in net income per share and weighted-average number of shares calculations in periods prior to June 2024. As of June 2024, all Class D common shares were converted to Class A common shares.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Class A common stock equivalents were excluded from diluted net income (loss) per share in the periods presented because they were anti-dilutive: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131E29"/>
                <w:w w:val="99"/>
              </w:rPr>
              <w:t>Year Ended December 31,</w:t>
            </w:r>
          </w:p>
        </w:tc>
        <w:tc>
          <w:tcPr>
            <w:tcW w:w="1560" w:type="dxa"/>
            <w:vAlign w:val="bottom"/>
            <w:tcBorders>
              <w:bottom w:val="single" w:sz="8" w:color="auto"/>
            </w:tcBorders>
          </w:tcPr>
          <w:p>
            <w:pPr>
              <w:spacing w:after="0"/>
              <w:rPr>
                <w:sz w:val="17"/>
                <w:szCs w:val="17"/>
                <w:color w:val="auto"/>
              </w:rPr>
            </w:pPr>
          </w:p>
        </w:tc>
      </w:tr>
      <w:tr>
        <w:trPr>
          <w:trHeight w:val="20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5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15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15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r>
      <w:tr>
        <w:trPr>
          <w:trHeight w:val="209"/>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RSAs</w:t>
            </w:r>
          </w:p>
        </w:tc>
        <w:tc>
          <w:tcPr>
            <w:tcW w:w="15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w:t>
            </w:r>
          </w:p>
        </w:tc>
        <w:tc>
          <w:tcPr>
            <w:tcW w:w="1640" w:type="dxa"/>
            <w:vAlign w:val="bottom"/>
            <w:gridSpan w:val="2"/>
            <w:shd w:val="clear" w:color="auto" w:fill="D2DCE5"/>
          </w:tcPr>
          <w:p>
            <w:pPr>
              <w:jc w:val="right"/>
              <w:spacing w:after="0"/>
              <w:rPr>
                <w:sz w:val="20"/>
                <w:szCs w:val="20"/>
                <w:color w:val="auto"/>
              </w:rPr>
            </w:pPr>
            <w:r>
              <w:rPr>
                <w:rFonts w:ascii="Arial" w:cs="Arial" w:eastAsia="Arial" w:hAnsi="Arial"/>
                <w:sz w:val="14"/>
                <w:szCs w:val="14"/>
                <w:color w:val="131E29"/>
              </w:rPr>
              <w:t>1,283</w:t>
            </w:r>
          </w:p>
        </w:tc>
        <w:tc>
          <w:tcPr>
            <w:tcW w:w="100" w:type="dxa"/>
            <w:vAlign w:val="bottom"/>
            <w:shd w:val="clear" w:color="auto" w:fill="D2DCE5"/>
          </w:tcPr>
          <w:p>
            <w:pPr>
              <w:spacing w:after="0"/>
              <w:rPr>
                <w:sz w:val="18"/>
                <w:szCs w:val="18"/>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2,667</w:t>
            </w:r>
          </w:p>
        </w:tc>
      </w:tr>
      <w:tr>
        <w:trPr>
          <w:trHeight w:val="203"/>
        </w:trPr>
        <w:tc>
          <w:tcPr>
            <w:tcW w:w="64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RSUs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90</w:t>
            </w:r>
          </w:p>
        </w:tc>
        <w:tc>
          <w:tcPr>
            <w:tcW w:w="80" w:type="dxa"/>
            <w:vAlign w:val="bottom"/>
            <w:tcBorders>
              <w:bottom w:val="single" w:sz="8" w:color="D2DCE5"/>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648</w:t>
            </w:r>
          </w:p>
        </w:tc>
        <w:tc>
          <w:tcPr>
            <w:tcW w:w="100" w:type="dxa"/>
            <w:vAlign w:val="bottom"/>
            <w:tcBorders>
              <w:bottom w:val="single" w:sz="8" w:color="D2DCE5"/>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583</w:t>
            </w:r>
          </w:p>
        </w:tc>
      </w:tr>
      <w:tr>
        <w:trPr>
          <w:trHeight w:val="23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b w:val="1"/>
                <w:bCs w:val="1"/>
                <w:color w:val="131E29"/>
              </w:rPr>
              <w:t>Total anti-dilutive securities</w:t>
            </w:r>
          </w:p>
        </w:tc>
        <w:tc>
          <w:tcPr>
            <w:tcW w:w="158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90</w:t>
            </w:r>
          </w:p>
        </w:tc>
        <w:tc>
          <w:tcPr>
            <w:tcW w:w="1640" w:type="dxa"/>
            <w:vAlign w:val="bottom"/>
            <w:gridSpan w:val="2"/>
            <w:shd w:val="clear" w:color="auto" w:fill="D2DCE5"/>
          </w:tcPr>
          <w:p>
            <w:pPr>
              <w:jc w:val="right"/>
              <w:spacing w:after="0"/>
              <w:rPr>
                <w:sz w:val="20"/>
                <w:szCs w:val="20"/>
                <w:color w:val="auto"/>
              </w:rPr>
            </w:pPr>
            <w:r>
              <w:rPr>
                <w:rFonts w:ascii="Arial" w:cs="Arial" w:eastAsia="Arial" w:hAnsi="Arial"/>
                <w:sz w:val="14"/>
                <w:szCs w:val="14"/>
                <w:b w:val="1"/>
                <w:bCs w:val="1"/>
                <w:color w:val="131E29"/>
              </w:rPr>
              <w:t>1,931</w:t>
            </w:r>
          </w:p>
        </w:tc>
        <w:tc>
          <w:tcPr>
            <w:tcW w:w="100" w:type="dxa"/>
            <w:vAlign w:val="bottom"/>
            <w:shd w:val="clear" w:color="auto" w:fill="D2DCE5"/>
          </w:tcPr>
          <w:p>
            <w:pPr>
              <w:spacing w:after="0"/>
              <w:rPr>
                <w:sz w:val="20"/>
                <w:szCs w:val="20"/>
                <w:color w:val="auto"/>
              </w:rPr>
            </w:pPr>
          </w:p>
        </w:tc>
        <w:tc>
          <w:tcPr>
            <w:tcW w:w="1560" w:type="dxa"/>
            <w:vAlign w:val="bottom"/>
            <w:shd w:val="clear" w:color="auto" w:fill="D2DCE5"/>
          </w:tcPr>
          <w:p>
            <w:pPr>
              <w:jc w:val="right"/>
              <w:spacing w:after="0"/>
              <w:rPr>
                <w:sz w:val="20"/>
                <w:szCs w:val="20"/>
                <w:color w:val="auto"/>
              </w:rPr>
            </w:pPr>
            <w:r>
              <w:rPr>
                <w:rFonts w:ascii="Arial" w:cs="Arial" w:eastAsia="Arial" w:hAnsi="Arial"/>
                <w:sz w:val="14"/>
                <w:szCs w:val="14"/>
                <w:b w:val="1"/>
                <w:bCs w:val="1"/>
                <w:color w:val="131E29"/>
              </w:rPr>
              <w:t>3,250</w:t>
            </w:r>
          </w:p>
        </w:tc>
      </w:tr>
      <w:tr>
        <w:trPr>
          <w:trHeight w:val="20"/>
        </w:trPr>
        <w:tc>
          <w:tcPr>
            <w:tcW w:w="63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17 —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Purchase Obligations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enter into fixed-price and price-to-be fixed green coffee purchase commitments. For both fixed-price and price-to-be fixed purchase commitments, we expect to take delivery of green coffee and to utilize the coffee in a reasonable period of time in the ordinary course of business. Such contracts are used for the normal purchases of green coffee and not for speculative purposes. We do not enter into futures contracts or other derivative instruments related to its green coffee purchase commitments.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Guarantees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periodically provide guarantees to franchise partners for lease payments. Annually, we determine if a liability needs to be recorded related to these guarantees. As of December 31, 2024 and December 31, 2023, we had guaranteed approximately $8.2 million and $1.4 million, respectively, in franchise partners’ lease payments and have not established a liability for these guarantees as any liability arising from the guarantees is not material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1" w:name="page132"/>
    <w:bookmarkEnd w:id="13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Legal Proceedings</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Company is a party to routine legal actions arising in the ordinary course of and incidental to its business. These claims, legal proceedings, and litigation principally arise from alleged casualty, employment, and other disputes.</w:t>
      </w:r>
    </w:p>
    <w:p>
      <w:pPr>
        <w:spacing w:after="0" w:line="3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Any claim, proceeding or litigation has an element of uncertainty, and an unfavorable outcome may have a material adverse effect on the Company’s financial condition, results of operations, or cash flows.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006098"/>
        </w:rPr>
        <w:t>Litigation Related to Securities Claims</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On November 3, 2023, plaintiff David Briggs filed a putative stockholder derivative lawsuit in the Delaware Court of Chancery (the Briggs Complaint). The Briggs Complaint named Dutch Bros Inc. as a nominal defendant and purported to bring claims on behalf of Dutch Bros Inc. against certain of Dutch Bros Inc.’s directors and executive officers for alleged breaches of their fiduciary duties in relation to substantially the same factual allegations as the putative class action lawsuit in the U.S. District Court for the Southern District of New York, captioned Douglas Rein, Individually and On Behalf of All Others Similarly Situated v. Dutch Bros, Inc. et al (Rein), which asserted claims under Sections 10(b) and 20(a) of the Securities Exchange Act of 1934, as amended (the Exchange Act), on behalf of a proposed class consisting of those who acquired Dutch Bros Inc.’s securities between November 10, 2021 and May 11, 2022. On June 24, 2024, the court in Rein granted the defendants’ motion to dismiss in its entirety, with prejudice, and the time for the lead plaintiff to file a notice of appeal of the court’s dismissal has elapsed.</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The Briggs Complaint primarily sought to recover for Dutch Bros Inc. compensatory damages for losses allegedly sustained by Dutch Bros Inc. related to the facts alleged, restitution, and equitable relief in the form of revisions to Dutch Bros Inc.’s governing documents. On July 9, 2024, the parties provided the court notice of the motion to dismiss ruling in Rein. On August 20, 2024, the parties filed, and the court entered, a stipulation and proposed order dismissing the case.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Liabilities Under Tax Receivable Agreements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Under the TRAs, Dutch Bros Inc. is contractually committed to pay the non-controlling interest holders 85% of the amount of any tax benefits that Dutch Bros Inc. actually realizes, or in some cases is deemed to realize, as a result of certain transactions. As of December 31, 2024, Dutch Bros Inc. recognized $627.8 million of liabilities related to its obligations under the TRAs.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18 — Related Party Transactions</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During the year ended December 31, 2024, we sold our airplane, hangar, and related equipment to our Co-Founder for approximately $9.5 million. The transactions resulted in total gains of approximately $1.3 million, reflected in the “Other income, net” line item of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2" w:name="page133"/>
    <w:bookmarkEnd w:id="132"/>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Dutch Bros Foundation is a not-for-profit organization founded by our company that provides philanthropy to coffee farmers and local communities. Our Co-Founder, Vice Chair, and Chief Legal Officer serve on the board of directors, and our Vice Chair serves as the President. Donations to the Foundation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10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131E29"/>
              </w:rPr>
              <w:t>2024</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r>
      <w:tr>
        <w:trPr>
          <w:trHeight w:val="209"/>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Donations to Dutch Bros Foundation</w:t>
            </w:r>
          </w:p>
        </w:tc>
        <w:tc>
          <w:tcPr>
            <w:tcW w:w="1060" w:type="dxa"/>
            <w:vAlign w:val="bottom"/>
            <w:shd w:val="clear" w:color="auto" w:fill="D2DCE5"/>
          </w:tcPr>
          <w:p>
            <w:pPr>
              <w:jc w:val="right"/>
              <w:ind w:right="889"/>
              <w:spacing w:after="0"/>
              <w:rPr>
                <w:sz w:val="20"/>
                <w:szCs w:val="20"/>
                <w:color w:val="auto"/>
              </w:rPr>
            </w:pPr>
            <w:r>
              <w:rPr>
                <w:rFonts w:ascii="Arial" w:cs="Arial" w:eastAsia="Arial" w:hAnsi="Arial"/>
                <w:sz w:val="14"/>
                <w:szCs w:val="14"/>
                <w:color w:val="131E29"/>
              </w:rPr>
              <w:t>$</w:t>
            </w:r>
          </w:p>
        </w:tc>
        <w:tc>
          <w:tcPr>
            <w:tcW w:w="5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4,250</w:t>
            </w:r>
          </w:p>
        </w:tc>
        <w:tc>
          <w:tcPr>
            <w:tcW w:w="440" w:type="dxa"/>
            <w:vAlign w:val="bottom"/>
            <w:gridSpan w:val="2"/>
            <w:shd w:val="clear" w:color="auto" w:fill="D2DCE5"/>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250</w:t>
            </w: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5,149</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19 — Segment Reporting</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Segment information is prepared on the same basis that our CEO, who is the CODM, manages the segments, evaluates financial results and makes key operating decisions. Our CEO evaluates financial performance based on two operating segments, which offer distinct products and services to different customers: Company-operated shops and Franchising and other. The Company-operated shops segment includes retail coffee shop sales to end consumers. The Franchising and other segment includes bean and product sales to franchise partners, initial franchise fees, royalties, and marketing fees related to the franchise partners, as well as sales of products through our website.</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accounting policies applied to company-operated shops and franchising and other segments are the same as described in the Significant Accounting Policies section of NOTE 2 — Basis of Presentation and Summary of Significant Accounting Policies.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CODM reviews segment performance and allocates resources based upon segment contribution, which is defined as segment gross profit before depreciation and amortization. Segment contribution is used to monitor and assess segment results compared to prior periods, forecasted results, and our annual operating plan.</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All segment revenue is earned in the United States. All intercompany sales amongst the Dutch Bros entities are fully eliminated in consolidation. Further, there are no intersegment revenues. The CODM does not evaluate operating segments using discrete asset information.</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Selling, general and administrative expenses primarily consist of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No changes have been made to our segments during the year ended December 31, 2024. In addition, no customer represented 10% or more of total revenue for the three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3" w:name="page134"/>
    <w:bookmarkEnd w:id="133"/>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131E29"/>
        </w:rPr>
        <w:t>Financial information for our reportable segments was as follows for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131E29"/>
                <w:w w:val="99"/>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131E29"/>
              </w:rPr>
              <w:t>2024</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2023</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131E29"/>
              </w:rPr>
              <w:t>2022</w:t>
            </w:r>
          </w:p>
        </w:tc>
        <w:tc>
          <w:tcPr>
            <w:tcW w:w="0" w:type="dxa"/>
            <w:vAlign w:val="bottom"/>
          </w:tcPr>
          <w:p>
            <w:pPr>
              <w:spacing w:after="0"/>
              <w:rPr>
                <w:sz w:val="1"/>
                <w:szCs w:val="1"/>
                <w:color w:val="auto"/>
              </w:rPr>
            </w:pPr>
          </w:p>
        </w:tc>
      </w:tr>
      <w:tr>
        <w:trPr>
          <w:trHeight w:val="209"/>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Revenues</w:t>
            </w:r>
          </w:p>
        </w:tc>
        <w:tc>
          <w:tcPr>
            <w:tcW w:w="36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60" w:type="dxa"/>
            <w:vAlign w:val="bottom"/>
          </w:tcPr>
          <w:p>
            <w:pPr>
              <w:jc w:val="right"/>
              <w:ind w:right="189"/>
              <w:spacing w:after="0"/>
              <w:rPr>
                <w:sz w:val="20"/>
                <w:szCs w:val="20"/>
                <w:color w:val="auto"/>
              </w:rPr>
            </w:pPr>
            <w:r>
              <w:rPr>
                <w:rFonts w:ascii="Arial" w:cs="Arial" w:eastAsia="Arial" w:hAnsi="Arial"/>
                <w:sz w:val="14"/>
                <w:szCs w:val="14"/>
                <w:color w:val="131E29"/>
              </w:rPr>
              <w:t>$</w:t>
            </w:r>
          </w:p>
        </w:tc>
        <w:tc>
          <w:tcPr>
            <w:tcW w:w="1220" w:type="dxa"/>
            <w:vAlign w:val="bottom"/>
          </w:tcPr>
          <w:p>
            <w:pPr>
              <w:jc w:val="right"/>
              <w:spacing w:after="0"/>
              <w:rPr>
                <w:sz w:val="20"/>
                <w:szCs w:val="20"/>
                <w:color w:val="auto"/>
              </w:rPr>
            </w:pPr>
            <w:r>
              <w:rPr>
                <w:rFonts w:ascii="Arial" w:cs="Arial" w:eastAsia="Arial" w:hAnsi="Arial"/>
                <w:sz w:val="14"/>
                <w:szCs w:val="14"/>
                <w:color w:val="131E29"/>
              </w:rPr>
              <w:t>1,165,830</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131E29"/>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857,939</w:t>
            </w:r>
          </w:p>
        </w:tc>
        <w:tc>
          <w:tcPr>
            <w:tcW w:w="100" w:type="dxa"/>
            <w:vAlign w:val="bottom"/>
          </w:tcPr>
          <w:p>
            <w:pPr>
              <w:spacing w:after="0"/>
              <w:rPr>
                <w:sz w:val="17"/>
                <w:szCs w:val="17"/>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131E29"/>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131E29"/>
              </w:rPr>
              <w:t>639,710</w:t>
            </w:r>
          </w:p>
        </w:tc>
        <w:tc>
          <w:tcPr>
            <w:tcW w:w="0" w:type="dxa"/>
            <w:vAlign w:val="bottom"/>
          </w:tcPr>
          <w:p>
            <w:pPr>
              <w:spacing w:after="0"/>
              <w:rPr>
                <w:sz w:val="1"/>
                <w:szCs w:val="1"/>
                <w:color w:val="auto"/>
              </w:rPr>
            </w:pPr>
          </w:p>
        </w:tc>
      </w:tr>
      <w:tr>
        <w:trPr>
          <w:trHeight w:val="22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60" w:type="dxa"/>
            <w:vAlign w:val="bottom"/>
            <w:tcBorders>
              <w:bottom w:val="single" w:sz="8" w:color="auto"/>
            </w:tcBorders>
            <w:shd w:val="clear" w:color="auto" w:fill="D2DCE5"/>
          </w:tcPr>
          <w:p>
            <w:pPr>
              <w:spacing w:after="0"/>
              <w:rPr>
                <w:sz w:val="19"/>
                <w:szCs w:val="19"/>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115,185</w:t>
            </w:r>
          </w:p>
        </w:tc>
        <w:tc>
          <w:tcPr>
            <w:tcW w:w="80" w:type="dxa"/>
            <w:vAlign w:val="bottom"/>
            <w:shd w:val="clear" w:color="auto" w:fill="D2DCE5"/>
          </w:tcPr>
          <w:p>
            <w:pPr>
              <w:spacing w:after="0"/>
              <w:rPr>
                <w:sz w:val="19"/>
                <w:szCs w:val="19"/>
                <w:color w:val="auto"/>
              </w:rPr>
            </w:pPr>
          </w:p>
        </w:tc>
        <w:tc>
          <w:tcPr>
            <w:tcW w:w="360" w:type="dxa"/>
            <w:vAlign w:val="bottom"/>
            <w:tcBorders>
              <w:bottom w:val="single" w:sz="8" w:color="auto"/>
            </w:tcBorders>
            <w:shd w:val="clear" w:color="auto" w:fill="D2DCE5"/>
          </w:tcPr>
          <w:p>
            <w:pPr>
              <w:spacing w:after="0"/>
              <w:rPr>
                <w:sz w:val="19"/>
                <w:szCs w:val="19"/>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107,837</w:t>
            </w:r>
          </w:p>
        </w:tc>
        <w:tc>
          <w:tcPr>
            <w:tcW w:w="100" w:type="dxa"/>
            <w:vAlign w:val="bottom"/>
            <w:shd w:val="clear" w:color="auto" w:fill="D2DCE5"/>
          </w:tcPr>
          <w:p>
            <w:pPr>
              <w:spacing w:after="0"/>
              <w:rPr>
                <w:sz w:val="19"/>
                <w:szCs w:val="19"/>
                <w:color w:val="auto"/>
              </w:rPr>
            </w:pPr>
          </w:p>
        </w:tc>
        <w:tc>
          <w:tcPr>
            <w:tcW w:w="360" w:type="dxa"/>
            <w:vAlign w:val="bottom"/>
            <w:tcBorders>
              <w:bottom w:val="single" w:sz="8" w:color="auto"/>
            </w:tcBorders>
            <w:shd w:val="clear" w:color="auto" w:fill="D2DCE5"/>
          </w:tcPr>
          <w:p>
            <w:pPr>
              <w:spacing w:after="0"/>
              <w:rPr>
                <w:sz w:val="19"/>
                <w:szCs w:val="19"/>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99,302</w:t>
            </w:r>
          </w:p>
        </w:tc>
        <w:tc>
          <w:tcPr>
            <w:tcW w:w="0" w:type="dxa"/>
            <w:vAlign w:val="bottom"/>
          </w:tcPr>
          <w:p>
            <w:pPr>
              <w:spacing w:after="0"/>
              <w:rPr>
                <w:sz w:val="1"/>
                <w:szCs w:val="1"/>
                <w:color w:val="auto"/>
              </w:rPr>
            </w:pPr>
          </w:p>
        </w:tc>
      </w:tr>
      <w:tr>
        <w:trPr>
          <w:trHeight w:val="193"/>
        </w:trPr>
        <w:tc>
          <w:tcPr>
            <w:tcW w:w="6400" w:type="dxa"/>
            <w:vAlign w:val="bottom"/>
            <w:tcBorders>
              <w:bottom w:val="single" w:sz="8" w:color="D2DCE5"/>
            </w:tcBorders>
            <w:gridSpan w:val="2"/>
          </w:tcPr>
          <w:p>
            <w:pPr>
              <w:ind w:left="280"/>
              <w:spacing w:after="0"/>
              <w:rPr>
                <w:sz w:val="20"/>
                <w:szCs w:val="20"/>
                <w:color w:val="auto"/>
              </w:rPr>
            </w:pPr>
            <w:r>
              <w:rPr>
                <w:rFonts w:ascii="Arial" w:cs="Arial" w:eastAsia="Arial" w:hAnsi="Arial"/>
                <w:sz w:val="14"/>
                <w:szCs w:val="14"/>
                <w:color w:val="131E29"/>
              </w:rPr>
              <w:t>Total revenues</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1,281,015</w:t>
            </w:r>
          </w:p>
        </w:tc>
        <w:tc>
          <w:tcPr>
            <w:tcW w:w="80" w:type="dxa"/>
            <w:vAlign w:val="bottom"/>
            <w:tcBorders>
              <w:bottom w:val="single" w:sz="8" w:color="D2DC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965,776</w:t>
            </w:r>
          </w:p>
        </w:tc>
        <w:tc>
          <w:tcPr>
            <w:tcW w:w="100" w:type="dxa"/>
            <w:vAlign w:val="bottom"/>
            <w:tcBorders>
              <w:bottom w:val="single" w:sz="8" w:color="D2DCE5"/>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739,012</w:t>
            </w:r>
          </w:p>
        </w:tc>
        <w:tc>
          <w:tcPr>
            <w:tcW w:w="0" w:type="dxa"/>
            <w:vAlign w:val="bottom"/>
          </w:tcPr>
          <w:p>
            <w:pPr>
              <w:spacing w:after="0"/>
              <w:rPr>
                <w:sz w:val="1"/>
                <w:szCs w:val="1"/>
                <w:color w:val="auto"/>
              </w:rPr>
            </w:pPr>
          </w:p>
        </w:tc>
      </w:tr>
      <w:tr>
        <w:trPr>
          <w:trHeight w:val="202"/>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Cost of sales</w:t>
            </w:r>
          </w:p>
        </w:tc>
        <w:tc>
          <w:tcPr>
            <w:tcW w:w="360" w:type="dxa"/>
            <w:vAlign w:val="bottom"/>
            <w:shd w:val="clear" w:color="auto" w:fill="D2DCE5"/>
          </w:tcPr>
          <w:p>
            <w:pPr>
              <w:spacing w:after="0"/>
              <w:rPr>
                <w:sz w:val="17"/>
                <w:szCs w:val="17"/>
                <w:color w:val="auto"/>
              </w:rPr>
            </w:pPr>
          </w:p>
        </w:tc>
        <w:tc>
          <w:tcPr>
            <w:tcW w:w="122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360" w:type="dxa"/>
            <w:vAlign w:val="bottom"/>
            <w:shd w:val="clear" w:color="auto" w:fill="D2DCE5"/>
          </w:tcPr>
          <w:p>
            <w:pPr>
              <w:spacing w:after="0"/>
              <w:rPr>
                <w:sz w:val="17"/>
                <w:szCs w:val="17"/>
                <w:color w:val="auto"/>
              </w:rPr>
            </w:pPr>
          </w:p>
        </w:tc>
        <w:tc>
          <w:tcPr>
            <w:tcW w:w="1200" w:type="dxa"/>
            <w:vAlign w:val="bottom"/>
            <w:shd w:val="clear" w:color="auto" w:fill="D2DCE5"/>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400" w:type="dxa"/>
            <w:vAlign w:val="bottom"/>
            <w:gridSpan w:val="2"/>
            <w:shd w:val="clear" w:color="auto" w:fill="D2DCE5"/>
          </w:tcPr>
          <w:p>
            <w:pPr>
              <w:ind w:left="240"/>
              <w:spacing w:after="0"/>
              <w:rPr>
                <w:sz w:val="20"/>
                <w:szCs w:val="20"/>
                <w:color w:val="auto"/>
              </w:rPr>
            </w:pPr>
            <w:r>
              <w:rPr>
                <w:rFonts w:ascii="Arial" w:cs="Arial" w:eastAsia="Arial" w:hAnsi="Arial"/>
                <w:sz w:val="14"/>
                <w:szCs w:val="14"/>
                <w:color w:val="131E29"/>
              </w:rPr>
              <w:t>Beverage, food &amp; packaging</w:t>
            </w: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296,752</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230,133</w:t>
            </w: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171,864</w:t>
            </w:r>
          </w:p>
        </w:tc>
        <w:tc>
          <w:tcPr>
            <w:tcW w:w="0" w:type="dxa"/>
            <w:vAlign w:val="bottom"/>
          </w:tcPr>
          <w:p>
            <w:pPr>
              <w:spacing w:after="0"/>
              <w:rPr>
                <w:sz w:val="1"/>
                <w:szCs w:val="1"/>
                <w:color w:val="auto"/>
              </w:rPr>
            </w:pPr>
          </w:p>
        </w:tc>
      </w:tr>
      <w:tr>
        <w:trPr>
          <w:trHeight w:val="202"/>
        </w:trPr>
        <w:tc>
          <w:tcPr>
            <w:tcW w:w="6400" w:type="dxa"/>
            <w:vAlign w:val="bottom"/>
            <w:gridSpan w:val="2"/>
          </w:tcPr>
          <w:p>
            <w:pPr>
              <w:ind w:left="240"/>
              <w:spacing w:after="0"/>
              <w:rPr>
                <w:sz w:val="20"/>
                <w:szCs w:val="20"/>
                <w:color w:val="auto"/>
              </w:rPr>
            </w:pPr>
            <w:r>
              <w:rPr>
                <w:rFonts w:ascii="Arial" w:cs="Arial" w:eastAsia="Arial" w:hAnsi="Arial"/>
                <w:sz w:val="14"/>
                <w:szCs w:val="14"/>
                <w:color w:val="131E29"/>
              </w:rPr>
              <w:t>Labor costs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315,805</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230,505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182,861</w:t>
            </w:r>
          </w:p>
        </w:tc>
        <w:tc>
          <w:tcPr>
            <w:tcW w:w="0" w:type="dxa"/>
            <w:vAlign w:val="bottom"/>
          </w:tcPr>
          <w:p>
            <w:pPr>
              <w:spacing w:after="0"/>
              <w:rPr>
                <w:sz w:val="1"/>
                <w:szCs w:val="1"/>
                <w:color w:val="auto"/>
              </w:rPr>
            </w:pPr>
          </w:p>
        </w:tc>
      </w:tr>
      <w:tr>
        <w:trPr>
          <w:trHeight w:val="222"/>
        </w:trPr>
        <w:tc>
          <w:tcPr>
            <w:tcW w:w="6400" w:type="dxa"/>
            <w:vAlign w:val="bottom"/>
            <w:gridSpan w:val="2"/>
            <w:shd w:val="clear" w:color="auto" w:fill="D2DCE5"/>
          </w:tcPr>
          <w:p>
            <w:pPr>
              <w:ind w:left="240"/>
              <w:spacing w:after="0"/>
              <w:rPr>
                <w:sz w:val="20"/>
                <w:szCs w:val="20"/>
                <w:color w:val="auto"/>
              </w:rPr>
            </w:pPr>
            <w:r>
              <w:rPr>
                <w:rFonts w:ascii="Arial" w:cs="Arial" w:eastAsia="Arial" w:hAnsi="Arial"/>
                <w:sz w:val="14"/>
                <w:szCs w:val="14"/>
                <w:color w:val="131E29"/>
              </w:rPr>
              <w:t>Occupancy &amp; other costs</w:t>
            </w: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191,372</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140,895</w:t>
            </w: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109,366</w:t>
            </w:r>
          </w:p>
        </w:tc>
        <w:tc>
          <w:tcPr>
            <w:tcW w:w="0" w:type="dxa"/>
            <w:vAlign w:val="bottom"/>
          </w:tcPr>
          <w:p>
            <w:pPr>
              <w:spacing w:after="0"/>
              <w:rPr>
                <w:sz w:val="1"/>
                <w:szCs w:val="1"/>
                <w:color w:val="auto"/>
              </w:rPr>
            </w:pPr>
          </w:p>
        </w:tc>
      </w:tr>
      <w:tr>
        <w:trPr>
          <w:trHeight w:val="202"/>
        </w:trPr>
        <w:tc>
          <w:tcPr>
            <w:tcW w:w="6400" w:type="dxa"/>
            <w:vAlign w:val="bottom"/>
            <w:gridSpan w:val="2"/>
          </w:tcPr>
          <w:p>
            <w:pPr>
              <w:ind w:left="240"/>
              <w:spacing w:after="0"/>
              <w:rPr>
                <w:sz w:val="20"/>
                <w:szCs w:val="20"/>
                <w:color w:val="auto"/>
              </w:rPr>
            </w:pPr>
            <w:r>
              <w:rPr>
                <w:rFonts w:ascii="Arial" w:cs="Arial" w:eastAsia="Arial" w:hAnsi="Arial"/>
                <w:sz w:val="14"/>
                <w:szCs w:val="14"/>
                <w:color w:val="131E29"/>
              </w:rPr>
              <w:t>Pre-opening costs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15,133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14,083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17,986</w:t>
            </w:r>
          </w:p>
        </w:tc>
        <w:tc>
          <w:tcPr>
            <w:tcW w:w="0" w:type="dxa"/>
            <w:vAlign w:val="bottom"/>
          </w:tcPr>
          <w:p>
            <w:pPr>
              <w:spacing w:after="0"/>
              <w:rPr>
                <w:sz w:val="1"/>
                <w:szCs w:val="1"/>
                <w:color w:val="auto"/>
              </w:rPr>
            </w:pPr>
          </w:p>
        </w:tc>
      </w:tr>
      <w:tr>
        <w:trPr>
          <w:trHeight w:val="222"/>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60" w:type="dxa"/>
            <w:vAlign w:val="bottom"/>
            <w:tcBorders>
              <w:bottom w:val="single" w:sz="8" w:color="auto"/>
            </w:tcBorders>
            <w:shd w:val="clear" w:color="auto" w:fill="D2DCE5"/>
          </w:tcPr>
          <w:p>
            <w:pPr>
              <w:spacing w:after="0"/>
              <w:rPr>
                <w:sz w:val="19"/>
                <w:szCs w:val="19"/>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30,100</w:t>
            </w:r>
          </w:p>
        </w:tc>
        <w:tc>
          <w:tcPr>
            <w:tcW w:w="80" w:type="dxa"/>
            <w:vAlign w:val="bottom"/>
            <w:shd w:val="clear" w:color="auto" w:fill="D2DCE5"/>
          </w:tcPr>
          <w:p>
            <w:pPr>
              <w:spacing w:after="0"/>
              <w:rPr>
                <w:sz w:val="19"/>
                <w:szCs w:val="19"/>
                <w:color w:val="auto"/>
              </w:rPr>
            </w:pPr>
          </w:p>
        </w:tc>
        <w:tc>
          <w:tcPr>
            <w:tcW w:w="360" w:type="dxa"/>
            <w:vAlign w:val="bottom"/>
            <w:tcBorders>
              <w:bottom w:val="single" w:sz="8" w:color="auto"/>
            </w:tcBorders>
            <w:shd w:val="clear" w:color="auto" w:fill="D2DCE5"/>
          </w:tcPr>
          <w:p>
            <w:pPr>
              <w:spacing w:after="0"/>
              <w:rPr>
                <w:sz w:val="19"/>
                <w:szCs w:val="19"/>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31,378</w:t>
            </w:r>
          </w:p>
        </w:tc>
        <w:tc>
          <w:tcPr>
            <w:tcW w:w="100" w:type="dxa"/>
            <w:vAlign w:val="bottom"/>
            <w:shd w:val="clear" w:color="auto" w:fill="D2DCE5"/>
          </w:tcPr>
          <w:p>
            <w:pPr>
              <w:spacing w:after="0"/>
              <w:rPr>
                <w:sz w:val="19"/>
                <w:szCs w:val="19"/>
                <w:color w:val="auto"/>
              </w:rPr>
            </w:pPr>
          </w:p>
        </w:tc>
        <w:tc>
          <w:tcPr>
            <w:tcW w:w="360" w:type="dxa"/>
            <w:vAlign w:val="bottom"/>
            <w:tcBorders>
              <w:bottom w:val="single" w:sz="8" w:color="auto"/>
            </w:tcBorders>
            <w:shd w:val="clear" w:color="auto" w:fill="D2DCE5"/>
          </w:tcPr>
          <w:p>
            <w:pPr>
              <w:spacing w:after="0"/>
              <w:rPr>
                <w:sz w:val="19"/>
                <w:szCs w:val="19"/>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34,007</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D2DCE5"/>
            </w:tcBorders>
            <w:gridSpan w:val="2"/>
          </w:tcPr>
          <w:p>
            <w:pPr>
              <w:ind w:left="280"/>
              <w:spacing w:after="0" w:line="203" w:lineRule="exact"/>
              <w:rPr>
                <w:sz w:val="20"/>
                <w:szCs w:val="20"/>
                <w:color w:val="auto"/>
              </w:rPr>
            </w:pPr>
            <w:r>
              <w:rPr>
                <w:rFonts w:ascii="Arial" w:cs="Arial" w:eastAsia="Arial" w:hAnsi="Arial"/>
                <w:sz w:val="14"/>
                <w:szCs w:val="14"/>
                <w:color w:val="131E29"/>
              </w:rPr>
              <w:t>Segment cost of sales</w:t>
            </w:r>
            <w:r>
              <w:rPr>
                <w:rFonts w:ascii="Arial" w:cs="Arial" w:eastAsia="Arial" w:hAnsi="Arial"/>
                <w:sz w:val="18"/>
                <w:szCs w:val="18"/>
                <w:color w:val="131E29"/>
                <w:vertAlign w:val="superscript"/>
              </w:rPr>
              <w:t>1</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849,162</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646,994</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516,084</w:t>
            </w:r>
          </w:p>
        </w:tc>
        <w:tc>
          <w:tcPr>
            <w:tcW w:w="0" w:type="dxa"/>
            <w:vAlign w:val="bottom"/>
          </w:tcPr>
          <w:p>
            <w:pPr>
              <w:spacing w:after="0"/>
              <w:rPr>
                <w:sz w:val="1"/>
                <w:szCs w:val="1"/>
                <w:color w:val="auto"/>
              </w:rPr>
            </w:pPr>
          </w:p>
        </w:tc>
      </w:tr>
      <w:tr>
        <w:trPr>
          <w:trHeight w:val="192"/>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b w:val="1"/>
                <w:bCs w:val="1"/>
                <w:color w:val="131E29"/>
              </w:rPr>
              <w:t>Segment contribution</w:t>
            </w:r>
          </w:p>
        </w:tc>
        <w:tc>
          <w:tcPr>
            <w:tcW w:w="360" w:type="dxa"/>
            <w:vAlign w:val="bottom"/>
            <w:shd w:val="clear" w:color="auto" w:fill="D2DCE5"/>
          </w:tcPr>
          <w:p>
            <w:pPr>
              <w:spacing w:after="0"/>
              <w:rPr>
                <w:sz w:val="16"/>
                <w:szCs w:val="16"/>
                <w:color w:val="auto"/>
              </w:rPr>
            </w:pPr>
          </w:p>
        </w:tc>
        <w:tc>
          <w:tcPr>
            <w:tcW w:w="122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360" w:type="dxa"/>
            <w:vAlign w:val="bottom"/>
            <w:shd w:val="clear" w:color="auto" w:fill="D2DCE5"/>
          </w:tcPr>
          <w:p>
            <w:pPr>
              <w:spacing w:after="0"/>
              <w:rPr>
                <w:sz w:val="16"/>
                <w:szCs w:val="16"/>
                <w:color w:val="auto"/>
              </w:rPr>
            </w:pPr>
          </w:p>
        </w:tc>
        <w:tc>
          <w:tcPr>
            <w:tcW w:w="12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360" w:type="dxa"/>
            <w:vAlign w:val="bottom"/>
            <w:shd w:val="clear" w:color="auto" w:fill="D2DCE5"/>
          </w:tcPr>
          <w:p>
            <w:pPr>
              <w:spacing w:after="0"/>
              <w:rPr>
                <w:sz w:val="16"/>
                <w:szCs w:val="16"/>
                <w:color w:val="auto"/>
              </w:rPr>
            </w:pPr>
          </w:p>
        </w:tc>
        <w:tc>
          <w:tcPr>
            <w:tcW w:w="1200" w:type="dxa"/>
            <w:vAlign w:val="bottom"/>
            <w:shd w:val="clear" w:color="auto" w:fill="D2DCE5"/>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00" w:type="dxa"/>
            <w:vAlign w:val="bottom"/>
            <w:gridSpan w:val="2"/>
          </w:tcPr>
          <w:p>
            <w:pPr>
              <w:ind w:left="140"/>
              <w:spacing w:after="0"/>
              <w:rPr>
                <w:sz w:val="20"/>
                <w:szCs w:val="20"/>
                <w:color w:val="auto"/>
              </w:rPr>
            </w:pPr>
            <w:r>
              <w:rPr>
                <w:rFonts w:ascii="Arial" w:cs="Arial" w:eastAsia="Arial" w:hAnsi="Arial"/>
                <w:sz w:val="14"/>
                <w:szCs w:val="14"/>
                <w:color w:val="131E29"/>
              </w:rPr>
              <w:t>Company-operated shops</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346,768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242,323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157,633</w:t>
            </w:r>
          </w:p>
        </w:tc>
        <w:tc>
          <w:tcPr>
            <w:tcW w:w="0" w:type="dxa"/>
            <w:vAlign w:val="bottom"/>
          </w:tcPr>
          <w:p>
            <w:pPr>
              <w:spacing w:after="0"/>
              <w:rPr>
                <w:sz w:val="1"/>
                <w:szCs w:val="1"/>
                <w:color w:val="auto"/>
              </w:rPr>
            </w:pPr>
          </w:p>
        </w:tc>
      </w:tr>
      <w:tr>
        <w:trPr>
          <w:trHeight w:val="213"/>
        </w:trPr>
        <w:tc>
          <w:tcPr>
            <w:tcW w:w="6400" w:type="dxa"/>
            <w:vAlign w:val="bottom"/>
            <w:gridSpan w:val="2"/>
            <w:shd w:val="clear" w:color="auto" w:fill="D2DCE5"/>
          </w:tcPr>
          <w:p>
            <w:pPr>
              <w:ind w:left="140"/>
              <w:spacing w:after="0"/>
              <w:rPr>
                <w:sz w:val="20"/>
                <w:szCs w:val="20"/>
                <w:color w:val="auto"/>
              </w:rPr>
            </w:pPr>
            <w:r>
              <w:rPr>
                <w:rFonts w:ascii="Arial" w:cs="Arial" w:eastAsia="Arial" w:hAnsi="Arial"/>
                <w:sz w:val="14"/>
                <w:szCs w:val="14"/>
                <w:color w:val="131E29"/>
              </w:rPr>
              <w:t>Franchising and other</w:t>
            </w:r>
          </w:p>
        </w:tc>
        <w:tc>
          <w:tcPr>
            <w:tcW w:w="360" w:type="dxa"/>
            <w:vAlign w:val="bottom"/>
            <w:tcBorders>
              <w:bottom w:val="single" w:sz="8" w:color="auto"/>
            </w:tcBorders>
            <w:shd w:val="clear" w:color="auto" w:fill="D2DCE5"/>
          </w:tcPr>
          <w:p>
            <w:pPr>
              <w:spacing w:after="0"/>
              <w:rPr>
                <w:sz w:val="18"/>
                <w:szCs w:val="18"/>
                <w:color w:val="auto"/>
              </w:rPr>
            </w:pPr>
          </w:p>
        </w:tc>
        <w:tc>
          <w:tcPr>
            <w:tcW w:w="122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85,085</w:t>
            </w:r>
          </w:p>
        </w:tc>
        <w:tc>
          <w:tcPr>
            <w:tcW w:w="8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76,459</w:t>
            </w:r>
          </w:p>
        </w:tc>
        <w:tc>
          <w:tcPr>
            <w:tcW w:w="100" w:type="dxa"/>
            <w:vAlign w:val="bottom"/>
            <w:shd w:val="clear" w:color="auto" w:fill="D2DCE5"/>
          </w:tcPr>
          <w:p>
            <w:pPr>
              <w:spacing w:after="0"/>
              <w:rPr>
                <w:sz w:val="18"/>
                <w:szCs w:val="18"/>
                <w:color w:val="auto"/>
              </w:rPr>
            </w:pPr>
          </w:p>
        </w:tc>
        <w:tc>
          <w:tcPr>
            <w:tcW w:w="360" w:type="dxa"/>
            <w:vAlign w:val="bottom"/>
            <w:tcBorders>
              <w:bottom w:val="single" w:sz="8" w:color="auto"/>
            </w:tcBorders>
            <w:shd w:val="clear" w:color="auto" w:fill="D2DCE5"/>
          </w:tcPr>
          <w:p>
            <w:pPr>
              <w:spacing w:after="0"/>
              <w:rPr>
                <w:sz w:val="18"/>
                <w:szCs w:val="18"/>
                <w:color w:val="auto"/>
              </w:rPr>
            </w:pPr>
          </w:p>
        </w:tc>
        <w:tc>
          <w:tcPr>
            <w:tcW w:w="12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65,295</w:t>
            </w:r>
          </w:p>
        </w:tc>
        <w:tc>
          <w:tcPr>
            <w:tcW w:w="0" w:type="dxa"/>
            <w:vAlign w:val="bottom"/>
          </w:tcPr>
          <w:p>
            <w:pPr>
              <w:spacing w:after="0"/>
              <w:rPr>
                <w:sz w:val="1"/>
                <w:szCs w:val="1"/>
                <w:color w:val="auto"/>
              </w:rPr>
            </w:pPr>
          </w:p>
        </w:tc>
      </w:tr>
      <w:tr>
        <w:trPr>
          <w:trHeight w:val="212"/>
        </w:trPr>
        <w:tc>
          <w:tcPr>
            <w:tcW w:w="6400" w:type="dxa"/>
            <w:vAlign w:val="bottom"/>
            <w:gridSpan w:val="2"/>
          </w:tcPr>
          <w:p>
            <w:pPr>
              <w:ind w:left="280"/>
              <w:spacing w:after="0"/>
              <w:rPr>
                <w:sz w:val="20"/>
                <w:szCs w:val="20"/>
                <w:color w:val="auto"/>
              </w:rPr>
            </w:pPr>
            <w:r>
              <w:rPr>
                <w:rFonts w:ascii="Arial" w:cs="Arial" w:eastAsia="Arial" w:hAnsi="Arial"/>
                <w:sz w:val="14"/>
                <w:szCs w:val="14"/>
                <w:b w:val="1"/>
                <w:bCs w:val="1"/>
                <w:color w:val="131E29"/>
              </w:rPr>
              <w:t>Total segment contribution</w:t>
            </w:r>
          </w:p>
        </w:tc>
        <w:tc>
          <w:tcPr>
            <w:tcW w:w="360" w:type="dxa"/>
            <w:vAlign w:val="bottom"/>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131E29"/>
              </w:rPr>
              <w:t>431,853</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131E29"/>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131E29"/>
              </w:rPr>
              <w:t>318,782</w:t>
            </w:r>
          </w:p>
        </w:tc>
        <w:tc>
          <w:tcPr>
            <w:tcW w:w="100" w:type="dxa"/>
            <w:vAlign w:val="bottom"/>
          </w:tcPr>
          <w:p>
            <w:pPr>
              <w:spacing w:after="0"/>
              <w:rPr>
                <w:sz w:val="18"/>
                <w:szCs w:val="18"/>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131E29"/>
              </w:rPr>
              <w:t>222,928</w:t>
            </w:r>
          </w:p>
        </w:tc>
        <w:tc>
          <w:tcPr>
            <w:tcW w:w="0" w:type="dxa"/>
            <w:vAlign w:val="bottom"/>
          </w:tcPr>
          <w:p>
            <w:pPr>
              <w:spacing w:after="0"/>
              <w:rPr>
                <w:sz w:val="1"/>
                <w:szCs w:val="1"/>
                <w:color w:val="auto"/>
              </w:rPr>
            </w:pPr>
          </w:p>
        </w:tc>
      </w:tr>
      <w:tr>
        <w:trPr>
          <w:trHeight w:val="20"/>
        </w:trPr>
        <w:tc>
          <w:tcPr>
            <w:tcW w:w="6320" w:type="dxa"/>
            <w:vAlign w:val="bottom"/>
            <w:tcBorders>
              <w:bottom w:val="single" w:sz="8" w:color="D2DCE5"/>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60" w:type="dxa"/>
            <w:vAlign w:val="bottom"/>
            <w:shd w:val="clear" w:color="auto" w:fill="D2DCE5"/>
          </w:tcPr>
          <w:p>
            <w:pPr>
              <w:spacing w:after="0"/>
              <w:rPr>
                <w:sz w:val="14"/>
                <w:szCs w:val="14"/>
                <w:color w:val="auto"/>
              </w:rPr>
            </w:pPr>
          </w:p>
        </w:tc>
        <w:tc>
          <w:tcPr>
            <w:tcW w:w="122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360" w:type="dxa"/>
            <w:vAlign w:val="bottom"/>
            <w:shd w:val="clear" w:color="auto" w:fill="D2DCE5"/>
          </w:tcPr>
          <w:p>
            <w:pPr>
              <w:spacing w:after="0"/>
              <w:rPr>
                <w:sz w:val="14"/>
                <w:szCs w:val="14"/>
                <w:color w:val="auto"/>
              </w:rPr>
            </w:pPr>
          </w:p>
        </w:tc>
        <w:tc>
          <w:tcPr>
            <w:tcW w:w="12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360" w:type="dxa"/>
            <w:vAlign w:val="bottom"/>
            <w:shd w:val="clear" w:color="auto" w:fill="D2DCE5"/>
          </w:tcPr>
          <w:p>
            <w:pPr>
              <w:spacing w:after="0"/>
              <w:rPr>
                <w:sz w:val="14"/>
                <w:szCs w:val="14"/>
                <w:color w:val="auto"/>
              </w:rPr>
            </w:pPr>
          </w:p>
        </w:tc>
        <w:tc>
          <w:tcPr>
            <w:tcW w:w="1200" w:type="dxa"/>
            <w:vAlign w:val="bottom"/>
            <w:shd w:val="clear" w:color="auto" w:fill="D2DCE5"/>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400" w:type="dxa"/>
            <w:vAlign w:val="bottom"/>
            <w:gridSpan w:val="2"/>
          </w:tcPr>
          <w:p>
            <w:pPr>
              <w:ind w:left="20"/>
              <w:spacing w:after="0"/>
              <w:rPr>
                <w:sz w:val="20"/>
                <w:szCs w:val="20"/>
                <w:color w:val="auto"/>
              </w:rPr>
            </w:pPr>
            <w:r>
              <w:rPr>
                <w:rFonts w:ascii="Arial" w:cs="Arial" w:eastAsia="Arial" w:hAnsi="Arial"/>
                <w:sz w:val="14"/>
                <w:szCs w:val="14"/>
                <w:color w:val="131E29"/>
              </w:rPr>
              <w:t>Segment depreciation and amortization</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(91,724)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(67,486)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(42,012)</w:t>
            </w:r>
          </w:p>
        </w:tc>
        <w:tc>
          <w:tcPr>
            <w:tcW w:w="0" w:type="dxa"/>
            <w:vAlign w:val="bottom"/>
          </w:tcPr>
          <w:p>
            <w:pPr>
              <w:spacing w:after="0"/>
              <w:rPr>
                <w:sz w:val="1"/>
                <w:szCs w:val="1"/>
                <w:color w:val="auto"/>
              </w:rPr>
            </w:pPr>
          </w:p>
        </w:tc>
      </w:tr>
      <w:tr>
        <w:trPr>
          <w:trHeight w:val="211"/>
        </w:trPr>
        <w:tc>
          <w:tcPr>
            <w:tcW w:w="63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20" w:type="dxa"/>
            <w:vAlign w:val="bottom"/>
            <w:shd w:val="clear" w:color="auto" w:fill="D2DCE5"/>
          </w:tcPr>
          <w:p>
            <w:pPr>
              <w:spacing w:after="0"/>
              <w:rPr>
                <w:sz w:val="18"/>
                <w:szCs w:val="18"/>
                <w:color w:val="auto"/>
              </w:rPr>
            </w:pPr>
          </w:p>
        </w:tc>
        <w:tc>
          <w:tcPr>
            <w:tcW w:w="8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c>
          <w:tcPr>
            <w:tcW w:w="100" w:type="dxa"/>
            <w:vAlign w:val="bottom"/>
            <w:shd w:val="clear" w:color="auto" w:fill="D2DCE5"/>
          </w:tcPr>
          <w:p>
            <w:pPr>
              <w:spacing w:after="0"/>
              <w:rPr>
                <w:sz w:val="18"/>
                <w:szCs w:val="18"/>
                <w:color w:val="auto"/>
              </w:rPr>
            </w:pPr>
          </w:p>
        </w:tc>
        <w:tc>
          <w:tcPr>
            <w:tcW w:w="360" w:type="dxa"/>
            <w:vAlign w:val="bottom"/>
            <w:shd w:val="clear" w:color="auto" w:fill="D2DCE5"/>
          </w:tcPr>
          <w:p>
            <w:pPr>
              <w:spacing w:after="0"/>
              <w:rPr>
                <w:sz w:val="18"/>
                <w:szCs w:val="18"/>
                <w:color w:val="auto"/>
              </w:rPr>
            </w:pPr>
          </w:p>
        </w:tc>
        <w:tc>
          <w:tcPr>
            <w:tcW w:w="1200" w:type="dxa"/>
            <w:vAlign w:val="bottom"/>
            <w:shd w:val="clear" w:color="auto" w:fill="D2DCE5"/>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00" w:type="dxa"/>
            <w:vAlign w:val="bottom"/>
            <w:gridSpan w:val="2"/>
          </w:tcPr>
          <w:p>
            <w:pPr>
              <w:ind w:left="20"/>
              <w:spacing w:after="0"/>
              <w:rPr>
                <w:sz w:val="20"/>
                <w:szCs w:val="20"/>
                <w:color w:val="auto"/>
              </w:rPr>
            </w:pPr>
            <w:r>
              <w:rPr>
                <w:rFonts w:ascii="Arial" w:cs="Arial" w:eastAsia="Arial" w:hAnsi="Arial"/>
                <w:sz w:val="14"/>
                <w:szCs w:val="14"/>
                <w:color w:val="131E29"/>
              </w:rPr>
              <w:t>Selling, general and administrative</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131E29"/>
              </w:rPr>
              <w:t>(234,036)</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(205,074)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131E29"/>
              </w:rPr>
              <w:t>(183,528)</w:t>
            </w:r>
          </w:p>
        </w:tc>
        <w:tc>
          <w:tcPr>
            <w:tcW w:w="0" w:type="dxa"/>
            <w:vAlign w:val="bottom"/>
          </w:tcPr>
          <w:p>
            <w:pPr>
              <w:spacing w:after="0"/>
              <w:rPr>
                <w:sz w:val="1"/>
                <w:szCs w:val="1"/>
                <w:color w:val="auto"/>
              </w:rPr>
            </w:pPr>
          </w:p>
        </w:tc>
      </w:tr>
      <w:tr>
        <w:trPr>
          <w:trHeight w:val="222"/>
        </w:trPr>
        <w:tc>
          <w:tcPr>
            <w:tcW w:w="64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Interest expense, net</w:t>
            </w:r>
          </w:p>
        </w:tc>
        <w:tc>
          <w:tcPr>
            <w:tcW w:w="360" w:type="dxa"/>
            <w:vAlign w:val="bottom"/>
            <w:shd w:val="clear" w:color="auto" w:fill="D2DCE5"/>
          </w:tcPr>
          <w:p>
            <w:pPr>
              <w:spacing w:after="0"/>
              <w:rPr>
                <w:sz w:val="19"/>
                <w:szCs w:val="19"/>
                <w:color w:val="auto"/>
              </w:rPr>
            </w:pPr>
          </w:p>
        </w:tc>
        <w:tc>
          <w:tcPr>
            <w:tcW w:w="122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(27,020)</w:t>
            </w:r>
          </w:p>
        </w:tc>
        <w:tc>
          <w:tcPr>
            <w:tcW w:w="8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(32,321)</w:t>
            </w:r>
          </w:p>
        </w:tc>
        <w:tc>
          <w:tcPr>
            <w:tcW w:w="100" w:type="dxa"/>
            <w:vAlign w:val="bottom"/>
            <w:shd w:val="clear" w:color="auto" w:fill="D2DCE5"/>
          </w:tcPr>
          <w:p>
            <w:pPr>
              <w:spacing w:after="0"/>
              <w:rPr>
                <w:sz w:val="19"/>
                <w:szCs w:val="19"/>
                <w:color w:val="auto"/>
              </w:rPr>
            </w:pPr>
          </w:p>
        </w:tc>
        <w:tc>
          <w:tcPr>
            <w:tcW w:w="360" w:type="dxa"/>
            <w:vAlign w:val="bottom"/>
            <w:shd w:val="clear" w:color="auto" w:fill="D2DCE5"/>
          </w:tcPr>
          <w:p>
            <w:pPr>
              <w:spacing w:after="0"/>
              <w:rPr>
                <w:sz w:val="19"/>
                <w:szCs w:val="19"/>
                <w:color w:val="auto"/>
              </w:rPr>
            </w:pPr>
          </w:p>
        </w:tc>
        <w:tc>
          <w:tcPr>
            <w:tcW w:w="12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(18,018)</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D2DCE5"/>
            </w:tcBorders>
            <w:gridSpan w:val="2"/>
          </w:tcPr>
          <w:p>
            <w:pPr>
              <w:ind w:left="20"/>
              <w:spacing w:after="0"/>
              <w:rPr>
                <w:sz w:val="20"/>
                <w:szCs w:val="20"/>
                <w:color w:val="auto"/>
              </w:rPr>
            </w:pPr>
            <w:r>
              <w:rPr>
                <w:rFonts w:ascii="Arial" w:cs="Arial" w:eastAsia="Arial" w:hAnsi="Arial"/>
                <w:sz w:val="14"/>
                <w:szCs w:val="14"/>
                <w:color w:val="131E29"/>
              </w:rPr>
              <w:t>Other income, net</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5,812</w:t>
            </w:r>
          </w:p>
        </w:tc>
        <w:tc>
          <w:tcPr>
            <w:tcW w:w="8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3,018</w:t>
            </w:r>
          </w:p>
        </w:tc>
        <w:tc>
          <w:tcPr>
            <w:tcW w:w="100" w:type="dxa"/>
            <w:vAlign w:val="bottom"/>
            <w:tcBorders>
              <w:bottom w:val="single" w:sz="8" w:color="D2DCE5"/>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131E29"/>
              </w:rPr>
              <w:t>3,976</w:t>
            </w:r>
          </w:p>
        </w:tc>
        <w:tc>
          <w:tcPr>
            <w:tcW w:w="0" w:type="dxa"/>
            <w:vAlign w:val="bottom"/>
          </w:tcPr>
          <w:p>
            <w:pPr>
              <w:spacing w:after="0"/>
              <w:rPr>
                <w:sz w:val="1"/>
                <w:szCs w:val="1"/>
                <w:color w:val="auto"/>
              </w:rPr>
            </w:pPr>
          </w:p>
        </w:tc>
      </w:tr>
      <w:tr>
        <w:trPr>
          <w:trHeight w:val="190"/>
        </w:trPr>
        <w:tc>
          <w:tcPr>
            <w:tcW w:w="6400" w:type="dxa"/>
            <w:vAlign w:val="bottom"/>
            <w:gridSpan w:val="2"/>
            <w:shd w:val="clear" w:color="auto" w:fill="D2DCE5"/>
          </w:tcPr>
          <w:p>
            <w:pPr>
              <w:ind w:left="280"/>
              <w:spacing w:after="0"/>
              <w:rPr>
                <w:sz w:val="20"/>
                <w:szCs w:val="20"/>
                <w:color w:val="auto"/>
              </w:rPr>
            </w:pPr>
            <w:r>
              <w:rPr>
                <w:rFonts w:ascii="Arial" w:cs="Arial" w:eastAsia="Arial" w:hAnsi="Arial"/>
                <w:sz w:val="14"/>
                <w:szCs w:val="14"/>
                <w:b w:val="1"/>
                <w:bCs w:val="1"/>
                <w:color w:val="131E29"/>
              </w:rPr>
              <w:t>Income (loss) before income taxes</w:t>
            </w:r>
          </w:p>
        </w:tc>
        <w:tc>
          <w:tcPr>
            <w:tcW w:w="360" w:type="dxa"/>
            <w:vAlign w:val="bottom"/>
            <w:vMerge w:val="restart"/>
            <w:shd w:val="clear" w:color="auto" w:fill="D2DCE5"/>
          </w:tcPr>
          <w:p>
            <w:pPr>
              <w:jc w:val="right"/>
              <w:ind w:right="189"/>
              <w:spacing w:after="0"/>
              <w:rPr>
                <w:sz w:val="20"/>
                <w:szCs w:val="20"/>
                <w:color w:val="auto"/>
              </w:rPr>
            </w:pPr>
            <w:r>
              <w:rPr>
                <w:rFonts w:ascii="Arial" w:cs="Arial" w:eastAsia="Arial" w:hAnsi="Arial"/>
                <w:sz w:val="14"/>
                <w:szCs w:val="14"/>
                <w:b w:val="1"/>
                <w:bCs w:val="1"/>
                <w:color w:val="131E29"/>
              </w:rPr>
              <w:t>$</w:t>
            </w:r>
          </w:p>
        </w:tc>
        <w:tc>
          <w:tcPr>
            <w:tcW w:w="122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rPr>
              <w:t>84,885</w:t>
            </w:r>
          </w:p>
        </w:tc>
        <w:tc>
          <w:tcPr>
            <w:tcW w:w="440" w:type="dxa"/>
            <w:vAlign w:val="bottom"/>
            <w:gridSpan w:val="2"/>
            <w:vMerge w:val="restart"/>
            <w:shd w:val="clear" w:color="auto" w:fill="D2DCE5"/>
          </w:tcPr>
          <w:p>
            <w:pPr>
              <w:jc w:val="right"/>
              <w:ind w:right="260"/>
              <w:spacing w:after="0"/>
              <w:rPr>
                <w:sz w:val="20"/>
                <w:szCs w:val="20"/>
                <w:color w:val="auto"/>
              </w:rPr>
            </w:pPr>
            <w:r>
              <w:rPr>
                <w:rFonts w:ascii="Arial" w:cs="Arial" w:eastAsia="Arial" w:hAnsi="Arial"/>
                <w:sz w:val="14"/>
                <w:szCs w:val="14"/>
                <w:b w:val="1"/>
                <w:bCs w:val="1"/>
                <w:color w:val="131E29"/>
              </w:rPr>
              <w:t>$</w:t>
            </w:r>
          </w:p>
        </w:tc>
        <w:tc>
          <w:tcPr>
            <w:tcW w:w="120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rPr>
              <w:t>16,919</w:t>
            </w:r>
          </w:p>
        </w:tc>
        <w:tc>
          <w:tcPr>
            <w:tcW w:w="100" w:type="dxa"/>
            <w:vAlign w:val="bottom"/>
            <w:shd w:val="clear" w:color="auto" w:fill="D2DCE5"/>
          </w:tcPr>
          <w:p>
            <w:pPr>
              <w:spacing w:after="0"/>
              <w:rPr>
                <w:sz w:val="16"/>
                <w:szCs w:val="16"/>
                <w:color w:val="auto"/>
              </w:rPr>
            </w:pPr>
          </w:p>
        </w:tc>
        <w:tc>
          <w:tcPr>
            <w:tcW w:w="360" w:type="dxa"/>
            <w:vAlign w:val="bottom"/>
            <w:vMerge w:val="restart"/>
            <w:shd w:val="clear" w:color="auto" w:fill="D2DCE5"/>
          </w:tcPr>
          <w:p>
            <w:pPr>
              <w:jc w:val="right"/>
              <w:ind w:right="209"/>
              <w:spacing w:after="0"/>
              <w:rPr>
                <w:sz w:val="20"/>
                <w:szCs w:val="20"/>
                <w:color w:val="auto"/>
              </w:rPr>
            </w:pPr>
            <w:r>
              <w:rPr>
                <w:rFonts w:ascii="Arial" w:cs="Arial" w:eastAsia="Arial" w:hAnsi="Arial"/>
                <w:sz w:val="14"/>
                <w:szCs w:val="14"/>
                <w:b w:val="1"/>
                <w:bCs w:val="1"/>
                <w:color w:val="131E29"/>
                <w:w w:val="76"/>
              </w:rPr>
              <w:t>$</w:t>
            </w:r>
          </w:p>
        </w:tc>
        <w:tc>
          <w:tcPr>
            <w:tcW w:w="1200" w:type="dxa"/>
            <w:vAlign w:val="bottom"/>
            <w:vMerge w:val="restart"/>
            <w:shd w:val="clear" w:color="auto" w:fill="D2DCE5"/>
          </w:tcPr>
          <w:p>
            <w:pPr>
              <w:jc w:val="right"/>
              <w:spacing w:after="0"/>
              <w:rPr>
                <w:sz w:val="20"/>
                <w:szCs w:val="20"/>
                <w:color w:val="auto"/>
              </w:rPr>
            </w:pPr>
            <w:r>
              <w:rPr>
                <w:rFonts w:ascii="Arial" w:cs="Arial" w:eastAsia="Arial" w:hAnsi="Arial"/>
                <w:sz w:val="14"/>
                <w:szCs w:val="14"/>
                <w:b w:val="1"/>
                <w:bCs w:val="1"/>
                <w:color w:val="131E29"/>
              </w:rPr>
              <w:t>(16,654)</w:t>
            </w:r>
          </w:p>
        </w:tc>
        <w:tc>
          <w:tcPr>
            <w:tcW w:w="0" w:type="dxa"/>
            <w:vAlign w:val="bottom"/>
          </w:tcPr>
          <w:p>
            <w:pPr>
              <w:spacing w:after="0"/>
              <w:rPr>
                <w:sz w:val="1"/>
                <w:szCs w:val="1"/>
                <w:color w:val="auto"/>
              </w:rPr>
            </w:pPr>
          </w:p>
        </w:tc>
      </w:tr>
      <w:tr>
        <w:trPr>
          <w:trHeight w:val="132"/>
        </w:trPr>
        <w:tc>
          <w:tcPr>
            <w:tcW w:w="632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360" w:type="dxa"/>
            <w:vAlign w:val="bottom"/>
            <w:vMerge w:val="continue"/>
            <w:shd w:val="clear" w:color="auto" w:fill="D2DCE5"/>
          </w:tcPr>
          <w:p>
            <w:pPr>
              <w:spacing w:after="0"/>
              <w:rPr>
                <w:sz w:val="11"/>
                <w:szCs w:val="11"/>
                <w:color w:val="auto"/>
              </w:rPr>
            </w:pPr>
          </w:p>
        </w:tc>
        <w:tc>
          <w:tcPr>
            <w:tcW w:w="1220" w:type="dxa"/>
            <w:vAlign w:val="bottom"/>
            <w:vMerge w:val="continue"/>
            <w:shd w:val="clear" w:color="auto" w:fill="D2DCE5"/>
          </w:tcPr>
          <w:p>
            <w:pPr>
              <w:spacing w:after="0"/>
              <w:rPr>
                <w:sz w:val="11"/>
                <w:szCs w:val="11"/>
                <w:color w:val="auto"/>
              </w:rPr>
            </w:pPr>
          </w:p>
        </w:tc>
        <w:tc>
          <w:tcPr>
            <w:tcW w:w="440" w:type="dxa"/>
            <w:vAlign w:val="bottom"/>
            <w:gridSpan w:val="2"/>
            <w:vMerge w:val="continue"/>
            <w:shd w:val="clear" w:color="auto" w:fill="D2DCE5"/>
          </w:tcPr>
          <w:p>
            <w:pPr>
              <w:spacing w:after="0"/>
              <w:rPr>
                <w:sz w:val="11"/>
                <w:szCs w:val="11"/>
                <w:color w:val="auto"/>
              </w:rPr>
            </w:pPr>
          </w:p>
        </w:tc>
        <w:tc>
          <w:tcPr>
            <w:tcW w:w="1200" w:type="dxa"/>
            <w:vAlign w:val="bottom"/>
            <w:vMerge w:val="continue"/>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360" w:type="dxa"/>
            <w:vAlign w:val="bottom"/>
            <w:vMerge w:val="continue"/>
            <w:shd w:val="clear" w:color="auto" w:fill="D2DCE5"/>
          </w:tcPr>
          <w:p>
            <w:pPr>
              <w:spacing w:after="0"/>
              <w:rPr>
                <w:sz w:val="11"/>
                <w:szCs w:val="11"/>
                <w:color w:val="auto"/>
              </w:rPr>
            </w:pPr>
          </w:p>
        </w:tc>
        <w:tc>
          <w:tcPr>
            <w:tcW w:w="1200" w:type="dxa"/>
            <w:vAlign w:val="bottom"/>
            <w:vMerge w:val="continue"/>
            <w:shd w:val="clear" w:color="auto" w:fill="D2DCE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D2DCE5"/>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2DCE5"/>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w:t>
      </w:r>
    </w:p>
    <w:p>
      <w:pPr>
        <w:spacing w:after="0" w:line="47" w:lineRule="exact"/>
        <w:rPr>
          <w:sz w:val="20"/>
          <w:szCs w:val="20"/>
          <w:color w:val="auto"/>
        </w:rPr>
      </w:pPr>
    </w:p>
    <w:p>
      <w:pPr>
        <w:ind w:left="60" w:hanging="55"/>
        <w:spacing w:after="0"/>
        <w:tabs>
          <w:tab w:leader="none" w:pos="60" w:val="left"/>
        </w:tabs>
        <w:numPr>
          <w:ilvl w:val="0"/>
          <w:numId w:val="61"/>
        </w:numPr>
        <w:rPr>
          <w:rFonts w:ascii="Arial" w:cs="Arial" w:eastAsia="Arial" w:hAnsi="Arial"/>
          <w:sz w:val="14"/>
          <w:szCs w:val="14"/>
          <w:color w:val="auto"/>
          <w:vertAlign w:val="superscript"/>
        </w:rPr>
      </w:pPr>
      <w:r>
        <w:rPr>
          <w:rFonts w:ascii="Arial" w:cs="Arial" w:eastAsia="Arial" w:hAnsi="Arial"/>
          <w:sz w:val="11"/>
          <w:szCs w:val="11"/>
          <w:color w:val="auto"/>
        </w:rPr>
        <w:t>Segment cost of sales for this presentation excludes impact of depreciation and amortization.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NOTE 20 — Subsequent Events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Credit Facility</w:t>
      </w:r>
    </w:p>
    <w:p>
      <w:pPr>
        <w:spacing w:after="0" w:line="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On February 4, 2025, we drew the remaining $50 million on our delayed draw term loan facility under the 2022 Credit Facility before this portion was set to expire on February 4, 2025. We expect to use the funds for general corporate purposes, including, but not limited to, building new shops.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098"/>
        </w:rPr>
        <w:t>Dutch Bros OpCo Recapitalization</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From time to time, Dutch Bros Inc. receives cash distributions from Dutch Bros OpCo pursuant to the OpCo LLC Agreement. Dutch Bros Inc. may then loan any cash in excess of its liabilities back to Dutch Bros OpCo for operations, under the open-ended balance Subordinated Intercompany Note, between Dutch Bros OpCo and Dutch Bros Inc., dated February 28, 2022 (the Intercompany Note).</w:t>
      </w:r>
    </w:p>
    <w:p>
      <w:pPr>
        <w:spacing w:after="0" w:line="49"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131E29"/>
        </w:rPr>
        <w:t>On February 7, 2025, Dutch Bros Inc. entered into a subscription agreement with Dutch Bros OpCo, pursuant to which Dutch Bros OpCo issued 51,942 newly authorized Dutch Bros OpCo Class A common units to Dutch Bros Inc. in exchange for satisfaction of the outstanding balance of the Intercompany Note, which at that time was approximately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4" w:name="page135"/>
    <w:bookmarkEnd w:id="134"/>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accordance with the OpCo LLC Agreement, all outstanding Dutch Bros OpCo Class A common units were then recapitalized through a reverse unit split (the Reverse Split) in order to maintain a one-to-one ratio between the number of Dutch Bros OpCo Class A common units owned by Dutch Bros Inc. and the number of outstanding shares of Class A common stock. Consequently, 15,734 outstanding shares of Class B common stock, and 1,220 outstanding shares of Class C common stock, that were paired with Dutch Bros OpCo Class A common units eliminated as a result of the Reverse Split, were cancelled.</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following tables reflect the changes in Dutch Bros OpCo ownership interest and Dutch Bros Inc.’s outstanding classes of common stock as a result of the Reverse Split on a pro forma basis as if they had occurred as of December 31, 2024:</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6098"/>
        </w:rPr>
        <w:t>Dutch Bros OpCo</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3"/>
                <w:szCs w:val="13"/>
                <w:b w:val="1"/>
                <w:bCs w:val="1"/>
                <w:color w:val="131E29"/>
              </w:rPr>
              <w:t>December 31, 2024</w:t>
            </w:r>
          </w:p>
        </w:tc>
        <w:tc>
          <w:tcPr>
            <w:tcW w:w="1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7"/>
              </w:rPr>
              <w:t>Capital Contribution</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7"/>
              </w:rPr>
              <w:t>Pre-Split</w:t>
            </w:r>
          </w:p>
        </w:tc>
        <w:tc>
          <w:tcPr>
            <w:tcW w:w="8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7"/>
              </w:rPr>
              <w:t>Reverse Split</w:t>
            </w:r>
          </w:p>
        </w:tc>
        <w:tc>
          <w:tcPr>
            <w:tcW w:w="80" w:type="dxa"/>
            <w:vAlign w:val="bottom"/>
          </w:tcPr>
          <w:p>
            <w:pPr>
              <w:spacing w:after="0"/>
              <w:rPr>
                <w:sz w:val="14"/>
                <w:szCs w:val="14"/>
                <w:color w:val="auto"/>
              </w:rPr>
            </w:pPr>
          </w:p>
        </w:tc>
        <w:tc>
          <w:tcPr>
            <w:tcW w:w="1980" w:type="dxa"/>
            <w:vAlign w:val="bottom"/>
            <w:tcBorders>
              <w:bottom w:val="single" w:sz="8" w:color="auto"/>
            </w:tcBorders>
            <w:gridSpan w:val="3"/>
          </w:tcPr>
          <w:p>
            <w:pPr>
              <w:ind w:left="440"/>
              <w:spacing w:after="0"/>
              <w:rPr>
                <w:sz w:val="20"/>
                <w:szCs w:val="20"/>
                <w:color w:val="auto"/>
              </w:rPr>
            </w:pPr>
            <w:r>
              <w:rPr>
                <w:rFonts w:ascii="Arial" w:cs="Arial" w:eastAsia="Arial" w:hAnsi="Arial"/>
                <w:sz w:val="13"/>
                <w:szCs w:val="13"/>
                <w:b w:val="1"/>
                <w:bCs w:val="1"/>
                <w:color w:val="131E29"/>
              </w:rPr>
              <w:t>Post Reverse Split</w:t>
            </w:r>
          </w:p>
        </w:tc>
      </w:tr>
      <w:tr>
        <w:trPr>
          <w:trHeight w:val="17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80" w:type="dxa"/>
            <w:vAlign w:val="bottom"/>
            <w:tcBorders>
              <w:bottom w:val="single" w:sz="8" w:color="D2DCE5"/>
            </w:tcBorders>
          </w:tcPr>
          <w:p>
            <w:pPr>
              <w:spacing w:after="0"/>
              <w:rPr>
                <w:sz w:val="15"/>
                <w:szCs w:val="15"/>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b w:val="1"/>
                <w:bCs w:val="1"/>
                <w:color w:val="131E29"/>
              </w:rPr>
              <w:t>OpCo Units</w:t>
            </w:r>
          </w:p>
        </w:tc>
        <w:tc>
          <w:tcPr>
            <w:tcW w:w="80" w:type="dxa"/>
            <w:vAlign w:val="bottom"/>
            <w:tcBorders>
              <w:bottom w:val="single" w:sz="8" w:color="D2DCE5"/>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3"/>
                <w:szCs w:val="13"/>
                <w:b w:val="1"/>
                <w:bCs w:val="1"/>
                <w:color w:val="131E29"/>
              </w:rPr>
              <w:t>%</w:t>
            </w:r>
          </w:p>
        </w:tc>
        <w:tc>
          <w:tcPr>
            <w:tcW w:w="100" w:type="dxa"/>
            <w:vAlign w:val="bottom"/>
            <w:tcBorders>
              <w:bottom w:val="single" w:sz="8" w:color="D2DCE5"/>
            </w:tcBorders>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7"/>
              </w:rPr>
              <w:t>OpCo Units</w:t>
            </w:r>
          </w:p>
        </w:tc>
        <w:tc>
          <w:tcPr>
            <w:tcW w:w="80" w:type="dxa"/>
            <w:vAlign w:val="bottom"/>
            <w:tcBorders>
              <w:bottom w:val="single" w:sz="8" w:color="D2DCE5"/>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7"/>
              </w:rPr>
              <w:t>OpCo Units</w:t>
            </w:r>
          </w:p>
        </w:tc>
        <w:tc>
          <w:tcPr>
            <w:tcW w:w="80" w:type="dxa"/>
            <w:vAlign w:val="bottom"/>
            <w:tcBorders>
              <w:bottom w:val="single" w:sz="8" w:color="D2DCE5"/>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7"/>
              </w:rPr>
              <w:t>OpCo Units</w:t>
            </w:r>
          </w:p>
        </w:tc>
        <w:tc>
          <w:tcPr>
            <w:tcW w:w="80" w:type="dxa"/>
            <w:vAlign w:val="bottom"/>
            <w:tcBorders>
              <w:bottom w:val="single" w:sz="8" w:color="D2DCE5"/>
            </w:tcBorders>
          </w:tcPr>
          <w:p>
            <w:pPr>
              <w:spacing w:after="0"/>
              <w:rPr>
                <w:sz w:val="15"/>
                <w:szCs w:val="15"/>
                <w:color w:val="auto"/>
              </w:rPr>
            </w:pPr>
          </w:p>
        </w:tc>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131E29"/>
              </w:rPr>
              <w:t>OpCo Units</w:t>
            </w:r>
          </w:p>
        </w:tc>
        <w:tc>
          <w:tcPr>
            <w:tcW w:w="80" w:type="dxa"/>
            <w:vAlign w:val="bottom"/>
            <w:tcBorders>
              <w:bottom w:val="single" w:sz="8" w:color="D2DCE5"/>
            </w:tcBorders>
          </w:tcPr>
          <w:p>
            <w:pPr>
              <w:spacing w:after="0"/>
              <w:rPr>
                <w:sz w:val="15"/>
                <w:szCs w:val="15"/>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3"/>
                <w:szCs w:val="13"/>
                <w:b w:val="1"/>
                <w:bCs w:val="1"/>
                <w:color w:val="131E29"/>
              </w:rPr>
              <w:t>%</w:t>
            </w:r>
          </w:p>
        </w:tc>
      </w:tr>
      <w:tr>
        <w:trPr>
          <w:trHeight w:val="153"/>
        </w:trPr>
        <w:tc>
          <w:tcPr>
            <w:tcW w:w="37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Dutch Bros OpCo Class A common units held by Dutch Bros</w:t>
            </w:r>
          </w:p>
        </w:tc>
        <w:tc>
          <w:tcPr>
            <w:tcW w:w="94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920" w:type="dxa"/>
            <w:vAlign w:val="bottom"/>
            <w:shd w:val="clear" w:color="auto" w:fill="D2DCE5"/>
          </w:tcPr>
          <w:p>
            <w:pPr>
              <w:spacing w:after="0"/>
              <w:rPr>
                <w:sz w:val="13"/>
                <w:szCs w:val="13"/>
                <w:color w:val="auto"/>
              </w:rPr>
            </w:pPr>
          </w:p>
        </w:tc>
        <w:tc>
          <w:tcPr>
            <w:tcW w:w="100" w:type="dxa"/>
            <w:vAlign w:val="bottom"/>
            <w:shd w:val="clear" w:color="auto" w:fill="D2DCE5"/>
          </w:tcPr>
          <w:p>
            <w:pPr>
              <w:spacing w:after="0"/>
              <w:rPr>
                <w:sz w:val="13"/>
                <w:szCs w:val="13"/>
                <w:color w:val="auto"/>
              </w:rPr>
            </w:pPr>
          </w:p>
        </w:tc>
        <w:tc>
          <w:tcPr>
            <w:tcW w:w="140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94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98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960" w:type="dxa"/>
            <w:vAlign w:val="bottom"/>
            <w:shd w:val="clear" w:color="auto" w:fill="D2DCE5"/>
          </w:tcPr>
          <w:p>
            <w:pPr>
              <w:spacing w:after="0"/>
              <w:rPr>
                <w:sz w:val="13"/>
                <w:szCs w:val="13"/>
                <w:color w:val="auto"/>
              </w:rPr>
            </w:pPr>
          </w:p>
        </w:tc>
        <w:tc>
          <w:tcPr>
            <w:tcW w:w="80" w:type="dxa"/>
            <w:vAlign w:val="bottom"/>
            <w:shd w:val="clear" w:color="auto" w:fill="D2DCE5"/>
          </w:tcPr>
          <w:p>
            <w:pPr>
              <w:spacing w:after="0"/>
              <w:rPr>
                <w:sz w:val="13"/>
                <w:szCs w:val="13"/>
                <w:color w:val="auto"/>
              </w:rPr>
            </w:pPr>
          </w:p>
        </w:tc>
        <w:tc>
          <w:tcPr>
            <w:tcW w:w="940" w:type="dxa"/>
            <w:vAlign w:val="bottom"/>
            <w:shd w:val="clear" w:color="auto" w:fill="D2DCE5"/>
          </w:tcPr>
          <w:p>
            <w:pPr>
              <w:spacing w:after="0"/>
              <w:rPr>
                <w:sz w:val="13"/>
                <w:szCs w:val="13"/>
                <w:color w:val="auto"/>
              </w:rPr>
            </w:pPr>
          </w:p>
        </w:tc>
      </w:tr>
      <w:tr>
        <w:trPr>
          <w:trHeight w:val="191"/>
        </w:trPr>
        <w:tc>
          <w:tcPr>
            <w:tcW w:w="3700" w:type="dxa"/>
            <w:vAlign w:val="bottom"/>
            <w:gridSpan w:val="2"/>
            <w:shd w:val="clear" w:color="auto" w:fill="D2DCE5"/>
          </w:tcPr>
          <w:p>
            <w:pPr>
              <w:ind w:left="20"/>
              <w:spacing w:after="0"/>
              <w:rPr>
                <w:sz w:val="20"/>
                <w:szCs w:val="20"/>
                <w:color w:val="auto"/>
              </w:rPr>
            </w:pPr>
            <w:r>
              <w:rPr>
                <w:rFonts w:ascii="Arial" w:cs="Arial" w:eastAsia="Arial" w:hAnsi="Arial"/>
                <w:sz w:val="13"/>
                <w:szCs w:val="13"/>
                <w:color w:val="131E29"/>
              </w:rPr>
              <w:t>Inc.</w:t>
            </w: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115,432</w:t>
            </w:r>
          </w:p>
        </w:tc>
        <w:tc>
          <w:tcPr>
            <w:tcW w:w="80" w:type="dxa"/>
            <w:vAlign w:val="bottom"/>
            <w:shd w:val="clear" w:color="auto" w:fill="D2DCE5"/>
          </w:tcPr>
          <w:p>
            <w:pPr>
              <w:spacing w:after="0"/>
              <w:rPr>
                <w:sz w:val="16"/>
                <w:szCs w:val="16"/>
                <w:color w:val="auto"/>
              </w:rPr>
            </w:pPr>
          </w:p>
        </w:tc>
        <w:tc>
          <w:tcPr>
            <w:tcW w:w="92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65.1 %</w:t>
            </w:r>
          </w:p>
        </w:tc>
        <w:tc>
          <w:tcPr>
            <w:tcW w:w="100" w:type="dxa"/>
            <w:vAlign w:val="bottom"/>
            <w:shd w:val="clear" w:color="auto" w:fill="D2DCE5"/>
          </w:tcPr>
          <w:p>
            <w:pPr>
              <w:spacing w:after="0"/>
              <w:rPr>
                <w:sz w:val="16"/>
                <w:szCs w:val="16"/>
                <w:color w:val="auto"/>
              </w:rPr>
            </w:pPr>
          </w:p>
        </w:tc>
        <w:tc>
          <w:tcPr>
            <w:tcW w:w="140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52</w:t>
            </w:r>
          </w:p>
        </w:tc>
        <w:tc>
          <w:tcPr>
            <w:tcW w:w="80" w:type="dxa"/>
            <w:vAlign w:val="bottom"/>
            <w:shd w:val="clear" w:color="auto" w:fill="D2DCE5"/>
          </w:tcPr>
          <w:p>
            <w:pPr>
              <w:spacing w:after="0"/>
              <w:rPr>
                <w:sz w:val="16"/>
                <w:szCs w:val="16"/>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115,484</w:t>
            </w:r>
          </w:p>
        </w:tc>
        <w:tc>
          <w:tcPr>
            <w:tcW w:w="80" w:type="dxa"/>
            <w:vAlign w:val="bottom"/>
            <w:shd w:val="clear" w:color="auto" w:fill="D2DCE5"/>
          </w:tcPr>
          <w:p>
            <w:pPr>
              <w:spacing w:after="0"/>
              <w:rPr>
                <w:sz w:val="16"/>
                <w:szCs w:val="16"/>
                <w:color w:val="auto"/>
              </w:rPr>
            </w:pPr>
          </w:p>
        </w:tc>
        <w:tc>
          <w:tcPr>
            <w:tcW w:w="98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(52)</w:t>
            </w:r>
          </w:p>
        </w:tc>
        <w:tc>
          <w:tcPr>
            <w:tcW w:w="80" w:type="dxa"/>
            <w:vAlign w:val="bottom"/>
            <w:shd w:val="clear" w:color="auto" w:fill="D2DCE5"/>
          </w:tcPr>
          <w:p>
            <w:pPr>
              <w:spacing w:after="0"/>
              <w:rPr>
                <w:sz w:val="16"/>
                <w:szCs w:val="16"/>
                <w:color w:val="auto"/>
              </w:rPr>
            </w:pPr>
          </w:p>
        </w:tc>
        <w:tc>
          <w:tcPr>
            <w:tcW w:w="960" w:type="dxa"/>
            <w:vAlign w:val="bottom"/>
            <w:shd w:val="clear" w:color="auto" w:fill="D2DCE5"/>
          </w:tcPr>
          <w:p>
            <w:pPr>
              <w:ind w:left="440"/>
              <w:spacing w:after="0"/>
              <w:rPr>
                <w:sz w:val="20"/>
                <w:szCs w:val="20"/>
                <w:color w:val="auto"/>
              </w:rPr>
            </w:pPr>
            <w:r>
              <w:rPr>
                <w:rFonts w:ascii="Arial" w:cs="Arial" w:eastAsia="Arial" w:hAnsi="Arial"/>
                <w:sz w:val="13"/>
                <w:szCs w:val="13"/>
                <w:color w:val="131E29"/>
              </w:rPr>
              <w:t>115,432</w:t>
            </w:r>
          </w:p>
        </w:tc>
        <w:tc>
          <w:tcPr>
            <w:tcW w:w="80" w:type="dxa"/>
            <w:vAlign w:val="bottom"/>
            <w:shd w:val="clear" w:color="auto" w:fill="D2DCE5"/>
          </w:tcPr>
          <w:p>
            <w:pPr>
              <w:spacing w:after="0"/>
              <w:rPr>
                <w:sz w:val="16"/>
                <w:szCs w:val="16"/>
                <w:color w:val="auto"/>
              </w:rPr>
            </w:pPr>
          </w:p>
        </w:tc>
        <w:tc>
          <w:tcPr>
            <w:tcW w:w="940" w:type="dxa"/>
            <w:vAlign w:val="bottom"/>
            <w:shd w:val="clear" w:color="auto" w:fill="D2DCE5"/>
          </w:tcPr>
          <w:p>
            <w:pPr>
              <w:jc w:val="right"/>
              <w:spacing w:after="0"/>
              <w:rPr>
                <w:sz w:val="20"/>
                <w:szCs w:val="20"/>
                <w:color w:val="auto"/>
              </w:rPr>
            </w:pPr>
            <w:r>
              <w:rPr>
                <w:rFonts w:ascii="Arial" w:cs="Arial" w:eastAsia="Arial" w:hAnsi="Arial"/>
                <w:sz w:val="13"/>
                <w:szCs w:val="13"/>
                <w:color w:val="131E29"/>
              </w:rPr>
              <w:t>65.2 %</w:t>
            </w:r>
          </w:p>
        </w:tc>
      </w:tr>
    </w:tbl>
    <w:p>
      <w:pPr>
        <w:spacing w:after="0" w:line="11" w:lineRule="exact"/>
        <w:rPr>
          <w:sz w:val="20"/>
          <w:szCs w:val="20"/>
          <w:color w:val="auto"/>
        </w:rPr>
      </w:pPr>
    </w:p>
    <w:p>
      <w:pPr>
        <w:sectPr>
          <w:pgSz w:w="11900" w:h="16838" w:orient="portrait"/>
          <w:cols w:equalWidth="0" w:num="1">
            <w:col w:w="11280"/>
          </w:cols>
          <w:pgMar w:left="300" w:top="133" w:right="319" w:bottom="1440" w:gutter="0" w:footer="0" w:header="0"/>
        </w:sectPr>
      </w:pPr>
    </w:p>
    <w:p>
      <w:pPr>
        <w:ind w:left="20"/>
        <w:spacing w:after="0" w:line="266" w:lineRule="auto"/>
        <w:rPr>
          <w:sz w:val="20"/>
          <w:szCs w:val="20"/>
          <w:color w:val="auto"/>
        </w:rPr>
      </w:pPr>
      <w:r>
        <w:rPr>
          <w:rFonts w:ascii="Arial" w:cs="Arial" w:eastAsia="Arial" w:hAnsi="Arial"/>
          <w:sz w:val="13"/>
          <w:szCs w:val="13"/>
          <w:color w:val="131E29"/>
        </w:rPr>
        <w:t>Dutch Bros OpCo Class A common units held by non-controlling interest holders</w:t>
      </w:r>
    </w:p>
    <w:p>
      <w:pPr>
        <w:spacing w:after="0" w:line="19" w:lineRule="exact"/>
        <w:rPr>
          <w:sz w:val="20"/>
          <w:szCs w:val="20"/>
          <w:color w:val="auto"/>
        </w:rPr>
      </w:pPr>
    </w:p>
    <w:p>
      <w:pPr>
        <w:ind w:left="140" w:right="100"/>
        <w:spacing w:after="0" w:line="276" w:lineRule="auto"/>
        <w:rPr>
          <w:sz w:val="20"/>
          <w:szCs w:val="20"/>
          <w:color w:val="auto"/>
        </w:rPr>
      </w:pPr>
      <w:r>
        <w:rPr>
          <w:rFonts w:ascii="Arial" w:cs="Arial" w:eastAsia="Arial" w:hAnsi="Arial"/>
          <w:sz w:val="13"/>
          <w:szCs w:val="13"/>
          <w:b w:val="1"/>
          <w:bCs w:val="1"/>
          <w:color w:val="131E29"/>
        </w:rPr>
        <w:t>Total Dutch Bros OpCo Class A common units outstanding</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940" w:type="dxa"/>
            <w:vAlign w:val="bottom"/>
          </w:tcPr>
          <w:p>
            <w:pPr>
              <w:jc w:val="right"/>
              <w:spacing w:after="0"/>
              <w:rPr>
                <w:sz w:val="20"/>
                <w:szCs w:val="20"/>
                <w:color w:val="auto"/>
              </w:rPr>
            </w:pPr>
            <w:r>
              <w:rPr>
                <w:rFonts w:ascii="Arial" w:cs="Arial" w:eastAsia="Arial" w:hAnsi="Arial"/>
                <w:sz w:val="13"/>
                <w:szCs w:val="13"/>
                <w:color w:val="131E29"/>
              </w:rPr>
              <w:t>61,772</w:t>
            </w:r>
          </w:p>
        </w:tc>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131E29"/>
              </w:rPr>
              <w:t>34.9 %</w:t>
            </w:r>
          </w:p>
        </w:tc>
        <w:tc>
          <w:tcPr>
            <w:tcW w:w="10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131E29"/>
              </w:rPr>
              <w:t>—</w:t>
            </w:r>
          </w:p>
        </w:tc>
        <w:tc>
          <w:tcPr>
            <w:tcW w:w="940" w:type="dxa"/>
            <w:vAlign w:val="bottom"/>
          </w:tcPr>
          <w:p>
            <w:pPr>
              <w:jc w:val="right"/>
              <w:spacing w:after="0"/>
              <w:rPr>
                <w:sz w:val="20"/>
                <w:szCs w:val="20"/>
                <w:color w:val="auto"/>
              </w:rPr>
            </w:pPr>
            <w:r>
              <w:rPr>
                <w:rFonts w:ascii="Arial" w:cs="Arial" w:eastAsia="Arial" w:hAnsi="Arial"/>
                <w:sz w:val="13"/>
                <w:szCs w:val="13"/>
                <w:color w:val="131E29"/>
              </w:rPr>
              <w:t>61,772</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131E29"/>
              </w:rPr>
              <w:t>(27)</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131E29"/>
              </w:rPr>
              <w:t>61,745</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131E29"/>
              </w:rPr>
              <w:t>34.8 %</w:t>
            </w:r>
          </w:p>
        </w:tc>
      </w:tr>
      <w:tr>
        <w:trPr>
          <w:trHeight w:val="312"/>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177,204</w:t>
            </w:r>
          </w:p>
        </w:tc>
        <w:tc>
          <w:tcPr>
            <w:tcW w:w="8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100.0 %</w:t>
            </w:r>
          </w:p>
        </w:tc>
        <w:tc>
          <w:tcPr>
            <w:tcW w:w="100" w:type="dxa"/>
            <w:vAlign w:val="bottom"/>
          </w:tcPr>
          <w:p>
            <w:pPr>
              <w:spacing w:after="0"/>
              <w:rPr>
                <w:sz w:val="24"/>
                <w:szCs w:val="24"/>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52</w:t>
            </w:r>
          </w:p>
        </w:tc>
        <w:tc>
          <w:tcPr>
            <w:tcW w:w="8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177,256</w:t>
            </w:r>
          </w:p>
        </w:tc>
        <w:tc>
          <w:tcPr>
            <w:tcW w:w="8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(79)</w:t>
            </w:r>
          </w:p>
        </w:tc>
        <w:tc>
          <w:tcPr>
            <w:tcW w:w="80" w:type="dxa"/>
            <w:vAlign w:val="bottom"/>
          </w:tcPr>
          <w:p>
            <w:pPr>
              <w:spacing w:after="0"/>
              <w:rPr>
                <w:sz w:val="24"/>
                <w:szCs w:val="2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177,177</w:t>
            </w:r>
          </w:p>
        </w:tc>
        <w:tc>
          <w:tcPr>
            <w:tcW w:w="80" w:type="dxa"/>
            <w:vAlign w:val="bottom"/>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131E29"/>
              </w:rPr>
              <w:t>100.0 %</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-234950</wp:posOffset>
            </wp:positionV>
            <wp:extent cx="7161530" cy="2222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640"/>
            <w:col w:w="7580"/>
          </w:cols>
          <w:pgMar w:left="300" w:top="133" w:right="31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00" w:type="dxa"/>
            <w:vAlign w:val="bottom"/>
            <w:gridSpan w:val="2"/>
          </w:tcPr>
          <w:p>
            <w:pPr>
              <w:ind w:left="20"/>
              <w:spacing w:after="0"/>
              <w:rPr>
                <w:sz w:val="20"/>
                <w:szCs w:val="20"/>
                <w:color w:val="auto"/>
              </w:rPr>
            </w:pPr>
            <w:r>
              <w:rPr>
                <w:rFonts w:ascii="Arial" w:cs="Arial" w:eastAsia="Arial" w:hAnsi="Arial"/>
                <w:sz w:val="14"/>
                <w:szCs w:val="14"/>
                <w:b w:val="1"/>
                <w:bCs w:val="1"/>
                <w:color w:val="006098"/>
              </w:rPr>
              <w:t>Dutch Bros Inc.</w:t>
            </w: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345"/>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131E29"/>
              </w:rPr>
              <w:t>(in thousands)</w:t>
            </w:r>
          </w:p>
        </w:tc>
        <w:tc>
          <w:tcPr>
            <w:tcW w:w="100" w:type="dxa"/>
            <w:vAlign w:val="bottom"/>
            <w:tcBorders>
              <w:bottom w:val="single" w:sz="8" w:color="D2DCE5"/>
            </w:tcBorders>
          </w:tcPr>
          <w:p>
            <w:pPr>
              <w:spacing w:after="0"/>
              <w:rPr>
                <w:sz w:val="24"/>
                <w:szCs w:val="24"/>
                <w:color w:val="auto"/>
              </w:rPr>
            </w:pPr>
          </w:p>
        </w:tc>
        <w:tc>
          <w:tcPr>
            <w:tcW w:w="180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December 31, 2024</w:t>
            </w:r>
          </w:p>
        </w:tc>
        <w:tc>
          <w:tcPr>
            <w:tcW w:w="80" w:type="dxa"/>
            <w:vAlign w:val="bottom"/>
            <w:tcBorders>
              <w:bottom w:val="single" w:sz="8" w:color="D2DCE5"/>
            </w:tcBorders>
          </w:tcPr>
          <w:p>
            <w:pPr>
              <w:spacing w:after="0"/>
              <w:rPr>
                <w:sz w:val="24"/>
                <w:szCs w:val="24"/>
                <w:color w:val="auto"/>
              </w:rPr>
            </w:pPr>
          </w:p>
        </w:tc>
        <w:tc>
          <w:tcPr>
            <w:tcW w:w="14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131E29"/>
              </w:rPr>
              <w:t>Reverse Split</w:t>
            </w:r>
          </w:p>
        </w:tc>
        <w:tc>
          <w:tcPr>
            <w:tcW w:w="80" w:type="dxa"/>
            <w:vAlign w:val="bottom"/>
            <w:tcBorders>
              <w:bottom w:val="single" w:sz="8" w:color="D2DCE5"/>
            </w:tcBorders>
          </w:tcPr>
          <w:p>
            <w:pPr>
              <w:spacing w:after="0"/>
              <w:rPr>
                <w:sz w:val="24"/>
                <w:szCs w:val="24"/>
                <w:color w:val="auto"/>
              </w:rPr>
            </w:pPr>
          </w:p>
        </w:tc>
        <w:tc>
          <w:tcPr>
            <w:tcW w:w="16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131E29"/>
              </w:rPr>
              <w:t>Post Reverse Split</w:t>
            </w:r>
          </w:p>
        </w:tc>
      </w:tr>
      <w:tr>
        <w:trPr>
          <w:trHeight w:val="209"/>
        </w:trPr>
        <w:tc>
          <w:tcPr>
            <w:tcW w:w="62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Class A common shares</w:t>
            </w:r>
          </w:p>
        </w:tc>
        <w:tc>
          <w:tcPr>
            <w:tcW w:w="180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115,432</w:t>
            </w:r>
          </w:p>
        </w:tc>
        <w:tc>
          <w:tcPr>
            <w:tcW w:w="80" w:type="dxa"/>
            <w:vAlign w:val="bottom"/>
            <w:shd w:val="clear" w:color="auto" w:fill="D2DCE5"/>
          </w:tcPr>
          <w:p>
            <w:pPr>
              <w:spacing w:after="0"/>
              <w:rPr>
                <w:sz w:val="18"/>
                <w:szCs w:val="18"/>
                <w:color w:val="auto"/>
              </w:rPr>
            </w:pPr>
          </w:p>
        </w:tc>
        <w:tc>
          <w:tcPr>
            <w:tcW w:w="1520" w:type="dxa"/>
            <w:vAlign w:val="bottom"/>
            <w:gridSpan w:val="2"/>
            <w:shd w:val="clear" w:color="auto" w:fill="D2DCE5"/>
          </w:tcPr>
          <w:p>
            <w:pPr>
              <w:ind w:left="1240"/>
              <w:spacing w:after="0"/>
              <w:rPr>
                <w:sz w:val="20"/>
                <w:szCs w:val="20"/>
                <w:color w:val="auto"/>
              </w:rPr>
            </w:pPr>
            <w:r>
              <w:rPr>
                <w:rFonts w:ascii="Arial" w:cs="Arial" w:eastAsia="Arial" w:hAnsi="Arial"/>
                <w:sz w:val="14"/>
                <w:szCs w:val="14"/>
                <w:color w:val="131E29"/>
              </w:rPr>
              <w:t>—</w:t>
            </w:r>
          </w:p>
        </w:tc>
        <w:tc>
          <w:tcPr>
            <w:tcW w:w="1680" w:type="dxa"/>
            <w:vAlign w:val="bottom"/>
            <w:shd w:val="clear" w:color="auto" w:fill="D2DCE5"/>
          </w:tcPr>
          <w:p>
            <w:pPr>
              <w:jc w:val="right"/>
              <w:spacing w:after="0"/>
              <w:rPr>
                <w:sz w:val="20"/>
                <w:szCs w:val="20"/>
                <w:color w:val="auto"/>
              </w:rPr>
            </w:pPr>
            <w:r>
              <w:rPr>
                <w:rFonts w:ascii="Arial" w:cs="Arial" w:eastAsia="Arial" w:hAnsi="Arial"/>
                <w:sz w:val="14"/>
                <w:szCs w:val="14"/>
                <w:color w:val="131E29"/>
              </w:rPr>
              <w:t>115,432</w:t>
            </w:r>
          </w:p>
        </w:tc>
      </w:tr>
      <w:tr>
        <w:trPr>
          <w:trHeight w:val="202"/>
        </w:trPr>
        <w:tc>
          <w:tcPr>
            <w:tcW w:w="6200" w:type="dxa"/>
            <w:vAlign w:val="bottom"/>
            <w:gridSpan w:val="2"/>
          </w:tcPr>
          <w:p>
            <w:pPr>
              <w:ind w:left="20"/>
              <w:spacing w:after="0"/>
              <w:rPr>
                <w:sz w:val="20"/>
                <w:szCs w:val="20"/>
                <w:color w:val="auto"/>
              </w:rPr>
            </w:pPr>
            <w:r>
              <w:rPr>
                <w:rFonts w:ascii="Arial" w:cs="Arial" w:eastAsia="Arial" w:hAnsi="Arial"/>
                <w:sz w:val="14"/>
                <w:szCs w:val="14"/>
                <w:color w:val="131E29"/>
              </w:rPr>
              <w:t>Class B common shares</w:t>
            </w:r>
          </w:p>
        </w:tc>
        <w:tc>
          <w:tcPr>
            <w:tcW w:w="1800" w:type="dxa"/>
            <w:vAlign w:val="bottom"/>
          </w:tcPr>
          <w:p>
            <w:pPr>
              <w:jc w:val="right"/>
              <w:spacing w:after="0"/>
              <w:rPr>
                <w:sz w:val="20"/>
                <w:szCs w:val="20"/>
                <w:color w:val="auto"/>
              </w:rPr>
            </w:pPr>
            <w:r>
              <w:rPr>
                <w:rFonts w:ascii="Arial" w:cs="Arial" w:eastAsia="Arial" w:hAnsi="Arial"/>
                <w:sz w:val="14"/>
                <w:szCs w:val="14"/>
                <w:color w:val="131E29"/>
              </w:rPr>
              <w:t>35,227</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131E29"/>
              </w:rPr>
              <w:t>(16)</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131E29"/>
              </w:rPr>
              <w:t>35,211</w:t>
            </w:r>
          </w:p>
        </w:tc>
      </w:tr>
      <w:tr>
        <w:trPr>
          <w:trHeight w:val="213"/>
        </w:trPr>
        <w:tc>
          <w:tcPr>
            <w:tcW w:w="6200" w:type="dxa"/>
            <w:vAlign w:val="bottom"/>
            <w:gridSpan w:val="2"/>
            <w:shd w:val="clear" w:color="auto" w:fill="D2DCE5"/>
          </w:tcPr>
          <w:p>
            <w:pPr>
              <w:ind w:left="20"/>
              <w:spacing w:after="0"/>
              <w:rPr>
                <w:sz w:val="20"/>
                <w:szCs w:val="20"/>
                <w:color w:val="auto"/>
              </w:rPr>
            </w:pPr>
            <w:r>
              <w:rPr>
                <w:rFonts w:ascii="Arial" w:cs="Arial" w:eastAsia="Arial" w:hAnsi="Arial"/>
                <w:sz w:val="14"/>
                <w:szCs w:val="14"/>
                <w:color w:val="131E29"/>
              </w:rPr>
              <w:t>Class C common shares</w:t>
            </w:r>
          </w:p>
        </w:tc>
        <w:tc>
          <w:tcPr>
            <w:tcW w:w="180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3,545</w:t>
            </w:r>
          </w:p>
        </w:tc>
        <w:tc>
          <w:tcPr>
            <w:tcW w:w="80" w:type="dxa"/>
            <w:vAlign w:val="bottom"/>
            <w:shd w:val="clear" w:color="auto" w:fill="D2DCE5"/>
          </w:tcPr>
          <w:p>
            <w:pPr>
              <w:spacing w:after="0"/>
              <w:rPr>
                <w:sz w:val="18"/>
                <w:szCs w:val="18"/>
                <w:color w:val="auto"/>
              </w:rPr>
            </w:pPr>
          </w:p>
        </w:tc>
        <w:tc>
          <w:tcPr>
            <w:tcW w:w="144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(1)</w:t>
            </w:r>
          </w:p>
        </w:tc>
        <w:tc>
          <w:tcPr>
            <w:tcW w:w="80" w:type="dxa"/>
            <w:vAlign w:val="bottom"/>
            <w:shd w:val="clear" w:color="auto" w:fill="D2DCE5"/>
          </w:tcPr>
          <w:p>
            <w:pPr>
              <w:spacing w:after="0"/>
              <w:rPr>
                <w:sz w:val="18"/>
                <w:szCs w:val="18"/>
                <w:color w:val="auto"/>
              </w:rPr>
            </w:pPr>
          </w:p>
        </w:tc>
        <w:tc>
          <w:tcPr>
            <w:tcW w:w="1680" w:type="dxa"/>
            <w:vAlign w:val="bottom"/>
            <w:tcBorders>
              <w:bottom w:val="single" w:sz="8" w:color="auto"/>
            </w:tcBorders>
            <w:shd w:val="clear" w:color="auto" w:fill="D2DCE5"/>
          </w:tcPr>
          <w:p>
            <w:pPr>
              <w:jc w:val="right"/>
              <w:spacing w:after="0"/>
              <w:rPr>
                <w:sz w:val="20"/>
                <w:szCs w:val="20"/>
                <w:color w:val="auto"/>
              </w:rPr>
            </w:pPr>
            <w:r>
              <w:rPr>
                <w:rFonts w:ascii="Arial" w:cs="Arial" w:eastAsia="Arial" w:hAnsi="Arial"/>
                <w:sz w:val="14"/>
                <w:szCs w:val="14"/>
                <w:color w:val="131E29"/>
              </w:rPr>
              <w:t>3,544</w:t>
            </w:r>
          </w:p>
        </w:tc>
      </w:tr>
      <w:tr>
        <w:trPr>
          <w:trHeight w:val="212"/>
        </w:trPr>
        <w:tc>
          <w:tcPr>
            <w:tcW w:w="6200" w:type="dxa"/>
            <w:vAlign w:val="bottom"/>
            <w:gridSpan w:val="2"/>
          </w:tcPr>
          <w:p>
            <w:pPr>
              <w:ind w:left="100"/>
              <w:spacing w:after="0"/>
              <w:rPr>
                <w:sz w:val="20"/>
                <w:szCs w:val="20"/>
                <w:color w:val="auto"/>
              </w:rPr>
            </w:pPr>
            <w:r>
              <w:rPr>
                <w:rFonts w:ascii="Arial" w:cs="Arial" w:eastAsia="Arial" w:hAnsi="Arial"/>
                <w:sz w:val="14"/>
                <w:szCs w:val="14"/>
                <w:b w:val="1"/>
                <w:bCs w:val="1"/>
                <w:color w:val="131E29"/>
              </w:rPr>
              <w:t>Total Dutch Bros Inc. common shares outstanding</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154,204</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(17)</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131E29"/>
              </w:rPr>
              <w:t>154,187</w:t>
            </w: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 CHANGES IN AND DISAGREEMENTS WITH ACCOUNTANTS ON ACCOUNTING AND FINANCIAL DISCLOSURE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9A.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Evaluation of Effectiveness of Disclosure Controls and Procedures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Based on an evaluation of the effectiveness of the Company’s disclosure controls and procedures, as defined in Rule 13(a)-15(e) of the Securities Exchange Act of 1934, as amended (the Exchange Act), as of December 31, 2024, the Company’s Chief Executive Officer (principal executive officer) and Chief Financial Officer (principal financial officer) have concluded that, as of the end of the period covered by this Form 10-K, the Company’s disclosure controls and procedures were effective at the reasonable assurance level.</w:t>
      </w:r>
    </w:p>
    <w:p>
      <w:pPr>
        <w:spacing w:after="0" w:line="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Changes in Internal Control over Financial Reporting</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There have been no changes during the quarter ended December 31, 2024 that have materially affected, or are reasonably likely to materially affect, our internal control over financial reporting.</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Management’s Report on Internal Control over Financial Reporting</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131E29"/>
        </w:rPr>
        <w:t>Management, including our principal executive officer and principal financial officer,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for external reporting purposes in accordance with U.S. GAAP and those policies and procedures that (1) pertain to the maintenance of records that, in reasonable detail, accurately and fairly reflect the transactions and dispositions of our company’s assets; (2) provide reasonable assurance that transactions are recorded as necessary to permit preparation of financial statements in accordance with generally accepted accounting principles, and that our company’s receipts and expenditures are being made in accordance with appropriate authorizations; and (3) provide reasonable assurance regarding prevention or timely detection of unauthorized acquisition, use, or disposition of assets that could have a material effect on our consolidated financial statements.</w:t>
      </w:r>
    </w:p>
    <w:p>
      <w:pPr>
        <w:spacing w:after="0" w:line="5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 xml:space="preserve">Management, under the supervision of our principal executive officer and principal financial officer, assessed the effectiveness of our internal control over financial reporting as of December 31, 2024, based on the framework established in </w:t>
      </w:r>
      <w:r>
        <w:rPr>
          <w:rFonts w:ascii="Arial" w:cs="Arial" w:eastAsia="Arial" w:hAnsi="Arial"/>
          <w:sz w:val="14"/>
          <w:szCs w:val="14"/>
          <w:i w:val="1"/>
          <w:iCs w:val="1"/>
          <w:color w:val="131E29"/>
        </w:rPr>
        <w:t>Internal Control — Integrated Framework (2013)</w:t>
      </w:r>
      <w:r>
        <w:rPr>
          <w:rFonts w:ascii="Arial" w:cs="Arial" w:eastAsia="Arial" w:hAnsi="Arial"/>
          <w:sz w:val="14"/>
          <w:szCs w:val="14"/>
          <w:color w:val="131E29"/>
        </w:rPr>
        <w:t xml:space="preserve"> issued by the Committee of Sponsoring Organizations of the Treadway Commission (COSO). Based upon this evaluation, our management concluded that our internal control over financial reporting was effective as of December 31, 2024.</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6" w:name="page137"/>
    <w:bookmarkEnd w:id="136"/>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effectiveness of our internal control over financial reporting as of December 31, 2024 has been audited by KPMG LLP, an independent registered public accounting firm, as stated in their report which is included in Item 8 of this Form 10-K.</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9B. 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Dutch Bros OpCo Fifth Amended and Restated Limited Liability Company Agreement</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131E29"/>
        </w:rPr>
        <w:t>On February 7, 2025, the Company and the Continuing Members amended and restated the Dutch Mafia Fourth Amended and Restated Limited Liability Company Agreement, dated May 16, 2024, to clarify the authority of the Company, as managing member of Dutch Bros OpCo (the Managing Member) to address situations in which the Company acquires or holds any amount of cash in excess of the monetary obligations Dutch Bros Inc. reasonably anticipates (Excess Cash), in order to preserve the intended economic principles of the UP-C structure. Such authority of the Managing Member includes, without limitation, causing Dutch Bros OpCo to, from time to time, issue additional Dutch Bros OpCo Class A common units without a corresponding issuance of additional shares of Class A Common Stock in circumstances in which Excess Cash (or amounts receivable pursuant to loans of Excess Cash to Dutch Bros OpCo) is used to purchase additional Dutch Bros OpCo Class A common units and to subsequently effect a reverse unit split as necessary to ensure that the number of Dutch Bros OpCo Class A common units held by the Company equals the number of shares of Class A Common Stock outstanding.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Class A Common Unit Issuance and Share Cancellation</w:t>
      </w:r>
    </w:p>
    <w:p>
      <w:pPr>
        <w:spacing w:after="0" w:line="12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September and December of 2024, Dutch Bros OpCo made cash distributions in the aggregate of approximately $3.5 million to Dutch Bros Inc. as required by the Fourth Amended and Restated Limited Liability Company Agreement of Dutch Bros OpCo. In accordance with the requirements of the 2022 Credit Facility, Dutch Bros Inc. loaned such amounts to Dutch Bros OpCo for operations pursuant to the open-ended balance Subordinated Intercompany Note between Dutch Bros OpCo and Dutch Bros Inc., dated February 28, 2022 (the Intercompany Note).</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On February 7, 2025, Dutch Bros Inc. entered into a subscription agreement with Dutch Bros OpCo pursuant to which Dutch Bros OpCo issued 51,942 newly authorized Dutch Bros OpCo Class A common units in exchange for satisfaction of the outstanding balance of the Intercompany Note, which at that time was approximately $3.5 million.</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accordance with the OpCo LLC Agreement, all outstanding Dutch Bros OpCo Class A common units were then recapitalized through a reverse unit split in order to maintain a one-to-one ratio between the number of Dutch Bros OpCo Class A common units owned by Dutch Bros Inc. and the number of outstanding shares of Class A common stock. Consequently, 15,734 outstanding shares of Class B common stock, and 1,220 outstanding shares of Class C common stock, that were paired with Dutch Bros OpCo Class A common units eliminated as a result of the reverse unit split, were cancelled.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00416B"/>
        </w:rPr>
        <w:t>Rule 10b5-1 Trading Arrangements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131E29"/>
        </w:rPr>
        <w:t>On November 22, 2024, entities controlled by Travis Boersma, our Co-Founder and Executive Chairman, adopted a Rule 10b5-1 trading arrangement (the Trading Plan), providing for the sale of up to 10,000,000 shares of our Class A common stock upon the exchange of Dutch Bros OpCo Class A common units pursuant to the terms of the OpCo LLC Agreement. The Trading Plan’s expiration date is February 21, 2026. The Trading Plan is intended to satisfy the affirmative defense conditions of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7" w:name="page138"/>
    <w:bookmarkEnd w:id="137"/>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9C. DISCLOSURE REGARDING FOREIGN JURISDICTIONS THAT PREVENT INSPECTIONS</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8" w:name="page139"/>
    <w:bookmarkEnd w:id="138"/>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61530" cy="806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10. DIRECTORS, EXECUTIVE OFFICERS AND CORPORATE GOVERNANCE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131E29"/>
        </w:rPr>
        <w:t>Information regarding our executive officers is included in “Information about our Executive Officers” section in Part I, Item I of this Form 10-K.</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131E29"/>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at https://investors.dutchbros.com/governance. Our Code of Business Conduct and Ethics is a “code of ethics,” as defined in Item 406(b) of Regulation S-K. We will make any legally required disclosures regarding amendments to, or waivers of, provisions for our Code of Business Conduct and Ethics on our website. The information contained on, or accessible from, our website is not part of this Form 10-K by reference or otherwise. We intend to satisfy the disclosure requirements under Item 5.05 of the SEC Form 8-K regarding an amendment to, or waiver from, a provision of our Code of Business Conduct and Ethics by posting such information on our website at the website address and location specified above.</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The remaining information required by this item will be included in our definitive Proxy Statement relating to our 2025 Annual Meeting of Stockholders, which will be filed with the SEC within 120 days of the end of our fiscal year ended December 31, 2024 (the 2025 Proxy Statement) and is incorporated herein by reference.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11. EXECUTIVE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The information required by this item will be included in the “Executive Compensation” section of the 2025 Proxy Statement and is incorporated herein by reference.</w:t>
      </w:r>
    </w:p>
    <w:p>
      <w:pPr>
        <w:spacing w:after="0" w:line="90" w:lineRule="exact"/>
        <w:rPr>
          <w:sz w:val="20"/>
          <w:szCs w:val="20"/>
          <w:color w:val="auto"/>
        </w:rPr>
      </w:pPr>
    </w:p>
    <w:p>
      <w:pPr>
        <w:ind w:right="1260"/>
        <w:spacing w:after="0" w:line="288" w:lineRule="auto"/>
        <w:rPr>
          <w:sz w:val="20"/>
          <w:szCs w:val="20"/>
          <w:color w:val="auto"/>
        </w:rPr>
      </w:pPr>
      <w:r>
        <w:rPr>
          <w:rFonts w:ascii="Arial" w:cs="Arial" w:eastAsia="Arial" w:hAnsi="Arial"/>
          <w:sz w:val="20"/>
          <w:szCs w:val="20"/>
          <w:b w:val="1"/>
          <w:bCs w:val="1"/>
          <w:color w:val="D7282F"/>
        </w:rPr>
        <w:t>ITEM 12. SECURITY OWNERSHIP OF CERTAIN BENEFICIAL OWNERS AND MANAGEMENT AND RELATED STOCKHOLDER MATTERS</w:t>
      </w:r>
    </w:p>
    <w:p>
      <w:pPr>
        <w:spacing w:after="0" w:line="57" w:lineRule="exact"/>
        <w:rPr>
          <w:sz w:val="20"/>
          <w:szCs w:val="20"/>
          <w:color w:val="auto"/>
        </w:rPr>
      </w:pPr>
    </w:p>
    <w:p>
      <w:pPr>
        <w:spacing w:after="0" w:line="290" w:lineRule="auto"/>
        <w:rPr>
          <w:sz w:val="20"/>
          <w:szCs w:val="20"/>
          <w:color w:val="auto"/>
        </w:rPr>
      </w:pPr>
      <w:r>
        <w:rPr>
          <w:rFonts w:ascii="Arial" w:cs="Arial" w:eastAsia="Arial" w:hAnsi="Arial"/>
          <w:sz w:val="14"/>
          <w:szCs w:val="14"/>
          <w:color w:val="131E29"/>
        </w:rPr>
        <w:t>The information required by this item will be included in the “Security Ownership of Certain Beneficial Owners and Management” section of the 2025 Proxy Statement and is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13. CERTAIN RELATIONSHIPS AND RELATED TRANSACTIONS, AND DIRECTOR INDEPENDENCE</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color w:val="131E29"/>
        </w:rPr>
        <w:t>The information required by this item will be included in the “Transactions with Related Persons” section of the 2025 Proxy Statement and is incorporated herein by reference.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14. PRINCIPAL ACCOUNTANT FEES AND SERVICES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131E29"/>
        </w:rPr>
        <w:t>Our independent registered public accounting firm is:</w:t>
      </w:r>
    </w:p>
    <w:p>
      <w:pPr>
        <w:spacing w:after="0" w:line="94" w:lineRule="exact"/>
        <w:rPr>
          <w:sz w:val="20"/>
          <w:szCs w:val="20"/>
          <w:color w:val="auto"/>
        </w:rPr>
      </w:pPr>
    </w:p>
    <w:p>
      <w:pPr>
        <w:ind w:left="260" w:hanging="255"/>
        <w:spacing w:after="0"/>
        <w:tabs>
          <w:tab w:leader="none" w:pos="260" w:val="left"/>
        </w:tabs>
        <w:numPr>
          <w:ilvl w:val="0"/>
          <w:numId w:val="62"/>
        </w:numPr>
        <w:rPr>
          <w:rFonts w:ascii="Arial" w:cs="Arial" w:eastAsia="Arial" w:hAnsi="Arial"/>
          <w:sz w:val="14"/>
          <w:szCs w:val="14"/>
          <w:color w:val="131E29"/>
        </w:rPr>
      </w:pPr>
      <w:r>
        <w:rPr>
          <w:rFonts w:ascii="Arial" w:cs="Arial" w:eastAsia="Arial" w:hAnsi="Arial"/>
          <w:sz w:val="14"/>
          <w:szCs w:val="14"/>
          <w:color w:val="131E29"/>
        </w:rPr>
        <w:t>Firm name: KPMG LLP</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62"/>
        </w:numPr>
        <w:rPr>
          <w:rFonts w:ascii="Arial" w:cs="Arial" w:eastAsia="Arial" w:hAnsi="Arial"/>
          <w:sz w:val="14"/>
          <w:szCs w:val="14"/>
          <w:color w:val="131E29"/>
        </w:rPr>
      </w:pPr>
      <w:r>
        <w:rPr>
          <w:rFonts w:ascii="Arial" w:cs="Arial" w:eastAsia="Arial" w:hAnsi="Arial"/>
          <w:sz w:val="14"/>
          <w:szCs w:val="14"/>
          <w:color w:val="131E29"/>
        </w:rPr>
        <w:t>Firm location: Portland, Oregon</w:t>
      </w:r>
    </w:p>
    <w:p>
      <w:pPr>
        <w:spacing w:after="0" w:line="51" w:lineRule="exact"/>
        <w:rPr>
          <w:rFonts w:ascii="Arial" w:cs="Arial" w:eastAsia="Arial" w:hAnsi="Arial"/>
          <w:sz w:val="14"/>
          <w:szCs w:val="14"/>
          <w:color w:val="131E29"/>
        </w:rPr>
      </w:pPr>
    </w:p>
    <w:p>
      <w:pPr>
        <w:ind w:left="260" w:hanging="255"/>
        <w:spacing w:after="0"/>
        <w:tabs>
          <w:tab w:leader="none" w:pos="260" w:val="left"/>
        </w:tabs>
        <w:numPr>
          <w:ilvl w:val="0"/>
          <w:numId w:val="62"/>
        </w:numPr>
        <w:rPr>
          <w:rFonts w:ascii="Arial" w:cs="Arial" w:eastAsia="Arial" w:hAnsi="Arial"/>
          <w:sz w:val="14"/>
          <w:szCs w:val="14"/>
          <w:color w:val="131E29"/>
        </w:rPr>
      </w:pPr>
      <w:r>
        <w:rPr>
          <w:rFonts w:ascii="Arial" w:cs="Arial" w:eastAsia="Arial" w:hAnsi="Arial"/>
          <w:sz w:val="14"/>
          <w:szCs w:val="14"/>
          <w:color w:val="131E29"/>
        </w:rPr>
        <w:t>Auditor Firm ID: 185</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 information required by this item will be included in the “Audit and Related Fees” section of the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39" w:name="page140"/>
    <w:bookmarkEnd w:id="139"/>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098"/>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161530" cy="806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15. EXHIBITS AND FINANCIAL STATEMENT SCHEDULES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131E29"/>
        </w:rPr>
        <w:t>(a) Exhibits.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131E29"/>
        </w:rPr>
        <w:t>The following exhibits are included herein or incorporated herein by reference: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ind w:left="700"/>
              <w:spacing w:after="0"/>
              <w:rPr>
                <w:sz w:val="20"/>
                <w:szCs w:val="20"/>
                <w:color w:val="auto"/>
              </w:rPr>
            </w:pPr>
            <w:r>
              <w:rPr>
                <w:rFonts w:ascii="Arial" w:cs="Arial" w:eastAsia="Arial" w:hAnsi="Arial"/>
                <w:sz w:val="11"/>
                <w:szCs w:val="11"/>
                <w:b w:val="1"/>
                <w:bCs w:val="1"/>
                <w:color w:val="131E29"/>
              </w:rPr>
              <w:t>Incorporated by Reference</w:t>
            </w:r>
          </w:p>
        </w:tc>
        <w:tc>
          <w:tcPr>
            <w:tcW w:w="1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131E29"/>
              </w:rPr>
              <w:t>Exhibit Number</w:t>
            </w:r>
          </w:p>
        </w:tc>
        <w:tc>
          <w:tcPr>
            <w:tcW w:w="80" w:type="dxa"/>
            <w:vAlign w:val="bottom"/>
            <w:tcBorders>
              <w:bottom w:val="single" w:sz="8" w:color="D2DCE5"/>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23"/>
          </w:tcPr>
          <w:p>
            <w:pPr>
              <w:spacing w:after="0"/>
              <w:rPr>
                <w:sz w:val="20"/>
                <w:szCs w:val="20"/>
                <w:color w:val="auto"/>
              </w:rPr>
            </w:pPr>
            <w:r>
              <w:rPr>
                <w:rFonts w:ascii="Arial" w:cs="Arial" w:eastAsia="Arial" w:hAnsi="Arial"/>
                <w:sz w:val="11"/>
                <w:szCs w:val="11"/>
                <w:b w:val="1"/>
                <w:bCs w:val="1"/>
                <w:color w:val="auto"/>
              </w:rPr>
              <w:t>Description</w:t>
            </w:r>
          </w:p>
        </w:tc>
        <w:tc>
          <w:tcPr>
            <w:tcW w:w="100" w:type="dxa"/>
            <w:vAlign w:val="bottom"/>
            <w:tcBorders>
              <w:bottom w:val="single" w:sz="8" w:color="D2DCE5"/>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Form</w:t>
            </w: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1"/>
                <w:szCs w:val="11"/>
                <w:b w:val="1"/>
                <w:bCs w:val="1"/>
                <w:color w:val="131E29"/>
              </w:rPr>
              <w:t>File No.</w:t>
            </w:r>
          </w:p>
        </w:tc>
        <w:tc>
          <w:tcPr>
            <w:tcW w:w="88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131E29"/>
              </w:rPr>
              <w:t>Exhibit</w:t>
            </w:r>
          </w:p>
        </w:tc>
        <w:tc>
          <w:tcPr>
            <w:tcW w:w="100" w:type="dxa"/>
            <w:vAlign w:val="bottom"/>
            <w:tcBorders>
              <w:bottom w:val="single" w:sz="8" w:color="D2DCE5"/>
            </w:tcBorders>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Filing Date</w:t>
            </w:r>
          </w:p>
        </w:tc>
        <w:tc>
          <w:tcPr>
            <w:tcW w:w="80" w:type="dxa"/>
            <w:vAlign w:val="bottom"/>
            <w:tcBorders>
              <w:bottom w:val="single" w:sz="8" w:color="D2DCE5"/>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Filed Herewith</w:t>
            </w:r>
          </w:p>
        </w:tc>
      </w:tr>
      <w:tr>
        <w:trPr>
          <w:trHeight w:val="167"/>
        </w:trPr>
        <w:tc>
          <w:tcPr>
            <w:tcW w:w="1080" w:type="dxa"/>
            <w:vAlign w:val="bottom"/>
            <w:shd w:val="clear" w:color="auto" w:fill="D2DCE5"/>
          </w:tcPr>
          <w:p>
            <w:pPr>
              <w:jc w:val="center"/>
              <w:spacing w:after="0" w:line="145" w:lineRule="exact"/>
              <w:rPr>
                <w:sz w:val="20"/>
                <w:szCs w:val="20"/>
                <w:color w:val="auto"/>
              </w:rPr>
            </w:pPr>
            <w:r>
              <w:rPr>
                <w:rFonts w:ascii="Arial" w:cs="Arial" w:eastAsia="Arial" w:hAnsi="Arial"/>
                <w:sz w:val="13"/>
                <w:szCs w:val="13"/>
                <w:color w:val="131E29"/>
                <w:w w:val="88"/>
              </w:rPr>
              <w:t>3.1</w:t>
            </w: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4380" w:type="dxa"/>
            <w:vAlign w:val="bottom"/>
            <w:gridSpan w:val="24"/>
            <w:shd w:val="clear" w:color="auto" w:fill="D2DCE5"/>
          </w:tcPr>
          <w:p>
            <w:pPr>
              <w:spacing w:after="0" w:line="145" w:lineRule="exact"/>
              <w:rPr>
                <w:rFonts w:ascii="Arial" w:cs="Arial" w:eastAsia="Arial" w:hAnsi="Arial"/>
                <w:sz w:val="13"/>
                <w:szCs w:val="13"/>
                <w:color w:val="auto"/>
              </w:rPr>
            </w:pPr>
            <w:hyperlink r:id="rId354">
              <w:r>
                <w:rPr>
                  <w:rFonts w:ascii="Arial" w:cs="Arial" w:eastAsia="Arial" w:hAnsi="Arial"/>
                  <w:sz w:val="13"/>
                  <w:szCs w:val="13"/>
                  <w:color w:val="auto"/>
                </w:rPr>
                <w:t>Amended and Restated Certificate of Incorporation of Registrant</w:t>
              </w:r>
            </w:hyperlink>
            <w:r>
              <w:rPr>
                <w:rFonts w:ascii="Arial" w:cs="Arial" w:eastAsia="Arial" w:hAnsi="Arial"/>
                <w:sz w:val="13"/>
                <w:szCs w:val="13"/>
                <w:color w:val="131E29"/>
              </w:rPr>
              <w:t>.</w:t>
            </w:r>
          </w:p>
        </w:tc>
        <w:tc>
          <w:tcPr>
            <w:tcW w:w="880" w:type="dxa"/>
            <w:vAlign w:val="bottom"/>
            <w:shd w:val="clear" w:color="auto" w:fill="D2DCE5"/>
          </w:tcPr>
          <w:p>
            <w:pPr>
              <w:jc w:val="center"/>
              <w:spacing w:after="0" w:line="145" w:lineRule="exact"/>
              <w:rPr>
                <w:sz w:val="20"/>
                <w:szCs w:val="20"/>
                <w:color w:val="auto"/>
              </w:rPr>
            </w:pPr>
            <w:r>
              <w:rPr>
                <w:rFonts w:ascii="Arial" w:cs="Arial" w:eastAsia="Arial" w:hAnsi="Arial"/>
                <w:sz w:val="13"/>
                <w:szCs w:val="13"/>
                <w:color w:val="131E29"/>
                <w:w w:val="98"/>
              </w:rPr>
              <w:t>8-K</w:t>
            </w:r>
          </w:p>
        </w:tc>
        <w:tc>
          <w:tcPr>
            <w:tcW w:w="1260" w:type="dxa"/>
            <w:vAlign w:val="bottom"/>
            <w:shd w:val="clear" w:color="auto" w:fill="D2DCE5"/>
          </w:tcPr>
          <w:p>
            <w:pPr>
              <w:jc w:val="center"/>
              <w:spacing w:after="0" w:line="145" w:lineRule="exact"/>
              <w:rPr>
                <w:sz w:val="20"/>
                <w:szCs w:val="20"/>
                <w:color w:val="auto"/>
              </w:rPr>
            </w:pPr>
            <w:r>
              <w:rPr>
                <w:rFonts w:ascii="Arial" w:cs="Arial" w:eastAsia="Arial" w:hAnsi="Arial"/>
                <w:sz w:val="13"/>
                <w:szCs w:val="13"/>
                <w:color w:val="131E29"/>
                <w:w w:val="96"/>
              </w:rPr>
              <w:t>001-40798</w:t>
            </w:r>
          </w:p>
        </w:tc>
        <w:tc>
          <w:tcPr>
            <w:tcW w:w="880" w:type="dxa"/>
            <w:vAlign w:val="bottom"/>
            <w:shd w:val="clear" w:color="auto" w:fill="D2DCE5"/>
          </w:tcPr>
          <w:p>
            <w:pPr>
              <w:jc w:val="center"/>
              <w:spacing w:after="0" w:line="145" w:lineRule="exact"/>
              <w:rPr>
                <w:sz w:val="20"/>
                <w:szCs w:val="20"/>
                <w:color w:val="auto"/>
              </w:rPr>
            </w:pPr>
            <w:r>
              <w:rPr>
                <w:rFonts w:ascii="Arial" w:cs="Arial" w:eastAsia="Arial" w:hAnsi="Arial"/>
                <w:sz w:val="13"/>
                <w:szCs w:val="13"/>
                <w:color w:val="131E29"/>
                <w:w w:val="99"/>
              </w:rPr>
              <w:t>3.1</w:t>
            </w:r>
          </w:p>
        </w:tc>
        <w:tc>
          <w:tcPr>
            <w:tcW w:w="100" w:type="dxa"/>
            <w:vAlign w:val="bottom"/>
            <w:shd w:val="clear" w:color="auto" w:fill="D2DCE5"/>
          </w:tcPr>
          <w:p>
            <w:pPr>
              <w:spacing w:after="0"/>
              <w:rPr>
                <w:sz w:val="14"/>
                <w:szCs w:val="14"/>
                <w:color w:val="auto"/>
              </w:rPr>
            </w:pPr>
          </w:p>
        </w:tc>
        <w:tc>
          <w:tcPr>
            <w:tcW w:w="1640" w:type="dxa"/>
            <w:vAlign w:val="bottom"/>
            <w:gridSpan w:val="2"/>
            <w:shd w:val="clear" w:color="auto" w:fill="D2DCE5"/>
          </w:tcPr>
          <w:p>
            <w:pPr>
              <w:jc w:val="center"/>
              <w:ind w:right="80"/>
              <w:spacing w:after="0" w:line="145" w:lineRule="exact"/>
              <w:rPr>
                <w:sz w:val="20"/>
                <w:szCs w:val="20"/>
                <w:color w:val="auto"/>
              </w:rPr>
            </w:pPr>
            <w:r>
              <w:rPr>
                <w:rFonts w:ascii="Arial" w:cs="Arial" w:eastAsia="Arial" w:hAnsi="Arial"/>
                <w:sz w:val="13"/>
                <w:szCs w:val="13"/>
                <w:color w:val="131E29"/>
                <w:w w:val="98"/>
              </w:rPr>
              <w:t>September 17, 2021</w:t>
            </w:r>
          </w:p>
        </w:tc>
        <w:tc>
          <w:tcPr>
            <w:tcW w:w="960" w:type="dxa"/>
            <w:vAlign w:val="bottom"/>
            <w:shd w:val="clear" w:color="auto" w:fill="D2DCE5"/>
          </w:tcPr>
          <w:p>
            <w:pPr>
              <w:spacing w:after="0"/>
              <w:rPr>
                <w:sz w:val="14"/>
                <w:szCs w:val="14"/>
                <w:color w:val="auto"/>
              </w:rPr>
            </w:pPr>
          </w:p>
        </w:tc>
      </w:tr>
      <w:tr>
        <w:trPr>
          <w:trHeight w:val="149"/>
        </w:trPr>
        <w:tc>
          <w:tcPr>
            <w:tcW w:w="10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88"/>
              </w:rPr>
              <w:t>3.2</w:t>
            </w: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3620" w:type="dxa"/>
            <w:vAlign w:val="bottom"/>
            <w:tcBorders>
              <w:top w:val="single" w:sz="8" w:color="auto"/>
            </w:tcBorders>
            <w:gridSpan w:val="12"/>
          </w:tcPr>
          <w:p>
            <w:pPr>
              <w:spacing w:after="0"/>
              <w:rPr>
                <w:rFonts w:ascii="Arial" w:cs="Arial" w:eastAsia="Arial" w:hAnsi="Arial"/>
                <w:sz w:val="13"/>
                <w:szCs w:val="13"/>
                <w:color w:val="auto"/>
              </w:rPr>
            </w:pPr>
            <w:hyperlink r:id="rId355">
              <w:r>
                <w:rPr>
                  <w:rFonts w:ascii="Arial" w:cs="Arial" w:eastAsia="Arial" w:hAnsi="Arial"/>
                  <w:sz w:val="13"/>
                  <w:szCs w:val="13"/>
                  <w:color w:val="auto"/>
                </w:rPr>
                <w:t>Amended and Restated Bylaws of Registrant</w:t>
              </w:r>
            </w:hyperlink>
            <w:r>
              <w:rPr>
                <w:rFonts w:ascii="Arial" w:cs="Arial" w:eastAsia="Arial" w:hAnsi="Arial"/>
                <w:sz w:val="13"/>
                <w:szCs w:val="13"/>
                <w:color w:val="131E29"/>
              </w:rPr>
              <w:t>.</w:t>
            </w:r>
          </w:p>
        </w:tc>
        <w:tc>
          <w:tcPr>
            <w:tcW w:w="760" w:type="dxa"/>
            <w:vAlign w:val="bottom"/>
            <w:tcBorders>
              <w:top w:val="single" w:sz="8" w:color="D2DCE5"/>
            </w:tcBorders>
            <w:gridSpan w:val="12"/>
          </w:tcPr>
          <w:p>
            <w:pPr>
              <w:spacing w:after="0"/>
              <w:rPr>
                <w:sz w:val="12"/>
                <w:szCs w:val="12"/>
                <w:color w:val="auto"/>
              </w:rPr>
            </w:pPr>
          </w:p>
        </w:tc>
        <w:tc>
          <w:tcPr>
            <w:tcW w:w="8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8"/>
              </w:rPr>
              <w:t>8-K</w:t>
            </w:r>
          </w:p>
        </w:tc>
        <w:tc>
          <w:tcPr>
            <w:tcW w:w="126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9"/>
              </w:rPr>
              <w:t>3.2</w:t>
            </w:r>
          </w:p>
        </w:tc>
        <w:tc>
          <w:tcPr>
            <w:tcW w:w="100" w:type="dxa"/>
            <w:vAlign w:val="bottom"/>
            <w:tcBorders>
              <w:top w:val="single" w:sz="8" w:color="D2DCE5"/>
            </w:tcBorders>
          </w:tcPr>
          <w:p>
            <w:pPr>
              <w:spacing w:after="0"/>
              <w:rPr>
                <w:sz w:val="12"/>
                <w:szCs w:val="12"/>
                <w:color w:val="auto"/>
              </w:rPr>
            </w:pPr>
          </w:p>
        </w:tc>
        <w:tc>
          <w:tcPr>
            <w:tcW w:w="1640" w:type="dxa"/>
            <w:vAlign w:val="bottom"/>
            <w:tcBorders>
              <w:top w:val="single" w:sz="8" w:color="D2DCE5"/>
            </w:tcBorders>
            <w:gridSpan w:val="2"/>
          </w:tcPr>
          <w:p>
            <w:pPr>
              <w:jc w:val="center"/>
              <w:ind w:right="80"/>
              <w:spacing w:after="0"/>
              <w:rPr>
                <w:sz w:val="20"/>
                <w:szCs w:val="20"/>
                <w:color w:val="auto"/>
              </w:rPr>
            </w:pPr>
            <w:r>
              <w:rPr>
                <w:rFonts w:ascii="Arial" w:cs="Arial" w:eastAsia="Arial" w:hAnsi="Arial"/>
                <w:sz w:val="13"/>
                <w:szCs w:val="13"/>
                <w:color w:val="131E29"/>
                <w:w w:val="98"/>
              </w:rPr>
              <w:t>September 17, 2021</w:t>
            </w:r>
          </w:p>
        </w:tc>
        <w:tc>
          <w:tcPr>
            <w:tcW w:w="960" w:type="dxa"/>
            <w:vAlign w:val="bottom"/>
            <w:tcBorders>
              <w:top w:val="single" w:sz="8" w:color="D2DCE5"/>
            </w:tcBorders>
          </w:tcPr>
          <w:p>
            <w:pPr>
              <w:spacing w:after="0"/>
              <w:rPr>
                <w:sz w:val="12"/>
                <w:szCs w:val="12"/>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1"/>
        </w:trPr>
        <w:tc>
          <w:tcPr>
            <w:tcW w:w="10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88"/>
              </w:rPr>
              <w:t>4.1</w:t>
            </w: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4380" w:type="dxa"/>
            <w:vAlign w:val="bottom"/>
            <w:gridSpan w:val="24"/>
            <w:shd w:val="clear" w:color="auto" w:fill="D2DCE5"/>
          </w:tcPr>
          <w:p>
            <w:pPr>
              <w:spacing w:after="0"/>
              <w:rPr>
                <w:rFonts w:ascii="Arial" w:cs="Arial" w:eastAsia="Arial" w:hAnsi="Arial"/>
                <w:sz w:val="13"/>
                <w:szCs w:val="13"/>
                <w:color w:val="auto"/>
              </w:rPr>
            </w:pPr>
            <w:hyperlink r:id="rId356">
              <w:r>
                <w:rPr>
                  <w:rFonts w:ascii="Arial" w:cs="Arial" w:eastAsia="Arial" w:hAnsi="Arial"/>
                  <w:sz w:val="13"/>
                  <w:szCs w:val="13"/>
                  <w:color w:val="auto"/>
                </w:rPr>
                <w:t>Form of Common Stock Certificate</w:t>
              </w:r>
            </w:hyperlink>
            <w:r>
              <w:rPr>
                <w:rFonts w:ascii="Arial" w:cs="Arial" w:eastAsia="Arial" w:hAnsi="Arial"/>
                <w:sz w:val="13"/>
                <w:szCs w:val="13"/>
                <w:color w:val="131E29"/>
              </w:rPr>
              <w:t>.</w:t>
            </w:r>
          </w:p>
        </w:tc>
        <w:tc>
          <w:tcPr>
            <w:tcW w:w="8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8"/>
              </w:rPr>
              <w:t>S-1/A</w:t>
            </w:r>
          </w:p>
        </w:tc>
        <w:tc>
          <w:tcPr>
            <w:tcW w:w="12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7"/>
              </w:rPr>
              <w:t>333-258988</w:t>
            </w:r>
          </w:p>
        </w:tc>
        <w:tc>
          <w:tcPr>
            <w:tcW w:w="8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9"/>
              </w:rPr>
              <w:t>4.1</w:t>
            </w:r>
          </w:p>
        </w:tc>
        <w:tc>
          <w:tcPr>
            <w:tcW w:w="100" w:type="dxa"/>
            <w:vAlign w:val="bottom"/>
            <w:shd w:val="clear" w:color="auto" w:fill="D2DCE5"/>
          </w:tcPr>
          <w:p>
            <w:pPr>
              <w:spacing w:after="0"/>
              <w:rPr>
                <w:sz w:val="14"/>
                <w:szCs w:val="14"/>
                <w:color w:val="auto"/>
              </w:rPr>
            </w:pPr>
          </w:p>
        </w:tc>
        <w:tc>
          <w:tcPr>
            <w:tcW w:w="1640" w:type="dxa"/>
            <w:vAlign w:val="bottom"/>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7"/>
              </w:rPr>
              <w:t>September 7, 2021</w:t>
            </w:r>
          </w:p>
        </w:tc>
        <w:tc>
          <w:tcPr>
            <w:tcW w:w="960" w:type="dxa"/>
            <w:vAlign w:val="bottom"/>
            <w:shd w:val="clear" w:color="auto" w:fill="D2DCE5"/>
          </w:tcPr>
          <w:p>
            <w:pPr>
              <w:spacing w:after="0"/>
              <w:rPr>
                <w:sz w:val="14"/>
                <w:szCs w:val="14"/>
                <w:color w:val="auto"/>
              </w:rPr>
            </w:pPr>
          </w:p>
        </w:tc>
      </w:tr>
      <w:tr>
        <w:trPr>
          <w:trHeight w:val="149"/>
        </w:trPr>
        <w:tc>
          <w:tcPr>
            <w:tcW w:w="10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88"/>
              </w:rPr>
              <w:t>4.2</w:t>
            </w: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1940" w:type="dxa"/>
            <w:vAlign w:val="bottom"/>
            <w:tcBorders>
              <w:top w:val="single" w:sz="8" w:color="auto"/>
            </w:tcBorders>
            <w:gridSpan w:val="6"/>
          </w:tcPr>
          <w:p>
            <w:pPr>
              <w:spacing w:after="0"/>
              <w:rPr>
                <w:rFonts w:ascii="Arial" w:cs="Arial" w:eastAsia="Arial" w:hAnsi="Arial"/>
                <w:sz w:val="13"/>
                <w:szCs w:val="13"/>
                <w:color w:val="auto"/>
              </w:rPr>
            </w:pPr>
            <w:hyperlink r:id="rId357">
              <w:r>
                <w:rPr>
                  <w:rFonts w:ascii="Arial" w:cs="Arial" w:eastAsia="Arial" w:hAnsi="Arial"/>
                  <w:sz w:val="13"/>
                  <w:szCs w:val="13"/>
                  <w:color w:val="auto"/>
                </w:rPr>
                <w:t>Description of Capital Stock</w:t>
              </w:r>
            </w:hyperlink>
            <w:r>
              <w:rPr>
                <w:rFonts w:ascii="Arial" w:cs="Arial" w:eastAsia="Arial" w:hAnsi="Arial"/>
                <w:sz w:val="13"/>
                <w:szCs w:val="13"/>
                <w:color w:val="131E29"/>
              </w:rPr>
              <w:t>.</w:t>
            </w:r>
          </w:p>
        </w:tc>
        <w:tc>
          <w:tcPr>
            <w:tcW w:w="2440" w:type="dxa"/>
            <w:vAlign w:val="bottom"/>
            <w:tcBorders>
              <w:top w:val="single" w:sz="8" w:color="D2DCE5"/>
            </w:tcBorders>
            <w:gridSpan w:val="18"/>
          </w:tcPr>
          <w:p>
            <w:pPr>
              <w:spacing w:after="0"/>
              <w:rPr>
                <w:sz w:val="12"/>
                <w:szCs w:val="12"/>
                <w:color w:val="auto"/>
              </w:rPr>
            </w:pPr>
          </w:p>
        </w:tc>
        <w:tc>
          <w:tcPr>
            <w:tcW w:w="8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4"/>
              </w:rPr>
              <w:t>10-K</w:t>
            </w:r>
          </w:p>
        </w:tc>
        <w:tc>
          <w:tcPr>
            <w:tcW w:w="126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9"/>
              </w:rPr>
              <w:t>4.2</w:t>
            </w:r>
          </w:p>
        </w:tc>
        <w:tc>
          <w:tcPr>
            <w:tcW w:w="100" w:type="dxa"/>
            <w:vAlign w:val="bottom"/>
            <w:tcBorders>
              <w:top w:val="single" w:sz="8" w:color="D2DCE5"/>
            </w:tcBorders>
          </w:tcPr>
          <w:p>
            <w:pPr>
              <w:spacing w:after="0"/>
              <w:rPr>
                <w:sz w:val="12"/>
                <w:szCs w:val="12"/>
                <w:color w:val="auto"/>
              </w:rPr>
            </w:pPr>
          </w:p>
        </w:tc>
        <w:tc>
          <w:tcPr>
            <w:tcW w:w="1640" w:type="dxa"/>
            <w:vAlign w:val="bottom"/>
            <w:tcBorders>
              <w:top w:val="single" w:sz="8" w:color="D2DCE5"/>
            </w:tcBorders>
            <w:gridSpan w:val="2"/>
          </w:tcPr>
          <w:p>
            <w:pPr>
              <w:jc w:val="center"/>
              <w:ind w:right="80"/>
              <w:spacing w:after="0"/>
              <w:rPr>
                <w:sz w:val="20"/>
                <w:szCs w:val="20"/>
                <w:color w:val="auto"/>
              </w:rPr>
            </w:pPr>
            <w:r>
              <w:rPr>
                <w:rFonts w:ascii="Arial" w:cs="Arial" w:eastAsia="Arial" w:hAnsi="Arial"/>
                <w:sz w:val="13"/>
                <w:szCs w:val="13"/>
                <w:color w:val="131E29"/>
                <w:w w:val="97"/>
              </w:rPr>
              <w:t>February 27, 2023</w:t>
            </w:r>
          </w:p>
        </w:tc>
        <w:tc>
          <w:tcPr>
            <w:tcW w:w="960" w:type="dxa"/>
            <w:vAlign w:val="bottom"/>
            <w:tcBorders>
              <w:top w:val="single" w:sz="8" w:color="D2DCE5"/>
            </w:tcBorders>
          </w:tcPr>
          <w:p>
            <w:pPr>
              <w:spacing w:after="0"/>
              <w:rPr>
                <w:sz w:val="12"/>
                <w:szCs w:val="12"/>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9"/>
        </w:trPr>
        <w:tc>
          <w:tcPr>
            <w:tcW w:w="108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20" w:type="dxa"/>
            <w:vAlign w:val="bottom"/>
            <w:shd w:val="clear" w:color="auto" w:fill="D2DCE5"/>
          </w:tcPr>
          <w:p>
            <w:pPr>
              <w:spacing w:after="0"/>
              <w:rPr>
                <w:sz w:val="12"/>
                <w:szCs w:val="12"/>
                <w:color w:val="auto"/>
              </w:rPr>
            </w:pPr>
          </w:p>
        </w:tc>
        <w:tc>
          <w:tcPr>
            <w:tcW w:w="4380" w:type="dxa"/>
            <w:vAlign w:val="bottom"/>
            <w:gridSpan w:val="24"/>
            <w:shd w:val="clear" w:color="auto" w:fill="D2DCE5"/>
          </w:tcPr>
          <w:p>
            <w:pPr>
              <w:spacing w:after="0"/>
              <w:rPr>
                <w:sz w:val="20"/>
                <w:szCs w:val="20"/>
                <w:color w:val="auto"/>
              </w:rPr>
            </w:pPr>
            <w:r>
              <w:rPr>
                <w:rFonts w:ascii="Arial" w:cs="Arial" w:eastAsia="Arial" w:hAnsi="Arial"/>
                <w:sz w:val="13"/>
                <w:szCs w:val="13"/>
                <w:color w:val="auto"/>
                <w:w w:val="99"/>
              </w:rPr>
              <w:t>Fifth Amended and Restated Limited Liability Company Agreement of Dutch</w:t>
            </w:r>
          </w:p>
        </w:tc>
        <w:tc>
          <w:tcPr>
            <w:tcW w:w="880" w:type="dxa"/>
            <w:vAlign w:val="bottom"/>
            <w:shd w:val="clear" w:color="auto" w:fill="D2DCE5"/>
          </w:tcPr>
          <w:p>
            <w:pPr>
              <w:spacing w:after="0"/>
              <w:rPr>
                <w:sz w:val="12"/>
                <w:szCs w:val="12"/>
                <w:color w:val="auto"/>
              </w:rPr>
            </w:pPr>
          </w:p>
        </w:tc>
        <w:tc>
          <w:tcPr>
            <w:tcW w:w="1260" w:type="dxa"/>
            <w:vAlign w:val="bottom"/>
            <w:shd w:val="clear" w:color="auto" w:fill="D2DCE5"/>
          </w:tcPr>
          <w:p>
            <w:pPr>
              <w:spacing w:after="0"/>
              <w:rPr>
                <w:sz w:val="12"/>
                <w:szCs w:val="12"/>
                <w:color w:val="auto"/>
              </w:rPr>
            </w:pPr>
          </w:p>
        </w:tc>
        <w:tc>
          <w:tcPr>
            <w:tcW w:w="88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56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960" w:type="dxa"/>
            <w:vAlign w:val="bottom"/>
            <w:shd w:val="clear" w:color="auto" w:fill="D2DCE5"/>
          </w:tcPr>
          <w:p>
            <w:pPr>
              <w:spacing w:after="0"/>
              <w:rPr>
                <w:sz w:val="12"/>
                <w:szCs w:val="12"/>
                <w:color w:val="auto"/>
              </w:rPr>
            </w:pPr>
          </w:p>
        </w:tc>
      </w:tr>
      <w:tr>
        <w:trPr>
          <w:trHeight w:val="167"/>
        </w:trPr>
        <w:tc>
          <w:tcPr>
            <w:tcW w:w="1080" w:type="dxa"/>
            <w:vAlign w:val="bottom"/>
            <w:tcBorders>
              <w:top w:val="single" w:sz="8" w:color="D2DCE5"/>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4"/>
              </w:rPr>
              <w:t>10.1</w:t>
            </w:r>
          </w:p>
        </w:tc>
        <w:tc>
          <w:tcPr>
            <w:tcW w:w="80" w:type="dxa"/>
            <w:vAlign w:val="bottom"/>
            <w:tcBorders>
              <w:top w:val="single" w:sz="8" w:color="D2DCE5"/>
              <w:bottom w:val="single" w:sz="8" w:color="D2DCE5"/>
            </w:tcBorders>
            <w:shd w:val="clear" w:color="auto" w:fill="D2DCE5"/>
          </w:tcPr>
          <w:p>
            <w:pPr>
              <w:spacing w:after="0"/>
              <w:rPr>
                <w:sz w:val="14"/>
                <w:szCs w:val="14"/>
                <w:color w:val="auto"/>
              </w:rPr>
            </w:pPr>
          </w:p>
        </w:tc>
        <w:tc>
          <w:tcPr>
            <w:tcW w:w="20" w:type="dxa"/>
            <w:vAlign w:val="bottom"/>
            <w:tcBorders>
              <w:top w:val="single" w:sz="8" w:color="D2DCE5"/>
              <w:bottom w:val="single" w:sz="8" w:color="D2DCE5"/>
            </w:tcBorders>
            <w:shd w:val="clear" w:color="auto" w:fill="D2DCE5"/>
          </w:tcPr>
          <w:p>
            <w:pPr>
              <w:spacing w:after="0"/>
              <w:rPr>
                <w:sz w:val="14"/>
                <w:szCs w:val="14"/>
                <w:color w:val="auto"/>
              </w:rPr>
            </w:pPr>
          </w:p>
        </w:tc>
        <w:tc>
          <w:tcPr>
            <w:tcW w:w="2040" w:type="dxa"/>
            <w:vAlign w:val="bottom"/>
            <w:tcBorders>
              <w:top w:val="single" w:sz="8" w:color="auto"/>
              <w:bottom w:val="single" w:sz="8" w:color="auto"/>
            </w:tcBorders>
            <w:gridSpan w:val="7"/>
            <w:shd w:val="clear" w:color="auto" w:fill="D2DCE5"/>
          </w:tcPr>
          <w:p>
            <w:pPr>
              <w:spacing w:after="0" w:line="118" w:lineRule="exact"/>
              <w:rPr>
                <w:sz w:val="20"/>
                <w:szCs w:val="20"/>
                <w:color w:val="auto"/>
              </w:rPr>
            </w:pPr>
            <w:r>
              <w:rPr>
                <w:rFonts w:ascii="Arial" w:cs="Arial" w:eastAsia="Arial" w:hAnsi="Arial"/>
                <w:sz w:val="13"/>
                <w:szCs w:val="13"/>
                <w:color w:val="auto"/>
                <w:w w:val="96"/>
              </w:rPr>
              <w:t>Mafia, LLC, dated February 7, 2025.</w:t>
            </w:r>
          </w:p>
        </w:tc>
        <w:tc>
          <w:tcPr>
            <w:tcW w:w="80" w:type="dxa"/>
            <w:vAlign w:val="bottom"/>
            <w:tcBorders>
              <w:top w:val="single" w:sz="8" w:color="auto"/>
              <w:bottom w:val="single" w:sz="8" w:color="D2DCE5"/>
            </w:tcBorders>
            <w:shd w:val="clear" w:color="auto" w:fill="D2DCE5"/>
          </w:tcPr>
          <w:p>
            <w:pPr>
              <w:spacing w:after="0"/>
              <w:rPr>
                <w:sz w:val="14"/>
                <w:szCs w:val="14"/>
                <w:color w:val="auto"/>
              </w:rPr>
            </w:pPr>
          </w:p>
        </w:tc>
        <w:tc>
          <w:tcPr>
            <w:tcW w:w="520" w:type="dxa"/>
            <w:vAlign w:val="bottom"/>
            <w:tcBorders>
              <w:top w:val="single" w:sz="8" w:color="auto"/>
              <w:bottom w:val="single" w:sz="8" w:color="D2DCE5"/>
            </w:tcBorders>
            <w:gridSpan w:val="2"/>
            <w:shd w:val="clear" w:color="auto" w:fill="D2DCE5"/>
          </w:tcPr>
          <w:p>
            <w:pPr>
              <w:spacing w:after="0"/>
              <w:rPr>
                <w:sz w:val="14"/>
                <w:szCs w:val="14"/>
                <w:color w:val="auto"/>
              </w:rPr>
            </w:pPr>
          </w:p>
        </w:tc>
        <w:tc>
          <w:tcPr>
            <w:tcW w:w="520" w:type="dxa"/>
            <w:vAlign w:val="bottom"/>
            <w:tcBorders>
              <w:top w:val="single" w:sz="8" w:color="auto"/>
              <w:bottom w:val="single" w:sz="8" w:color="D2DCE5"/>
            </w:tcBorders>
            <w:shd w:val="clear" w:color="auto" w:fill="D2DCE5"/>
          </w:tcPr>
          <w:p>
            <w:pPr>
              <w:spacing w:after="0"/>
              <w:rPr>
                <w:sz w:val="14"/>
                <w:szCs w:val="14"/>
                <w:color w:val="auto"/>
              </w:rPr>
            </w:pPr>
          </w:p>
        </w:tc>
        <w:tc>
          <w:tcPr>
            <w:tcW w:w="600" w:type="dxa"/>
            <w:vAlign w:val="bottom"/>
            <w:tcBorders>
              <w:top w:val="single" w:sz="8" w:color="auto"/>
              <w:bottom w:val="single" w:sz="8" w:color="D2DCE5"/>
            </w:tcBorders>
            <w:gridSpan w:val="2"/>
            <w:shd w:val="clear" w:color="auto" w:fill="D2DCE5"/>
          </w:tcPr>
          <w:p>
            <w:pPr>
              <w:spacing w:after="0"/>
              <w:rPr>
                <w:sz w:val="14"/>
                <w:szCs w:val="14"/>
                <w:color w:val="auto"/>
              </w:rPr>
            </w:pPr>
          </w:p>
        </w:tc>
        <w:tc>
          <w:tcPr>
            <w:tcW w:w="20" w:type="dxa"/>
            <w:vAlign w:val="bottom"/>
            <w:tcBorders>
              <w:top w:val="single" w:sz="8" w:color="auto"/>
              <w:bottom w:val="single" w:sz="8" w:color="D2DCE5"/>
            </w:tcBorders>
            <w:shd w:val="clear" w:color="auto" w:fill="D2DCE5"/>
          </w:tcPr>
          <w:p>
            <w:pPr>
              <w:spacing w:after="0"/>
              <w:rPr>
                <w:sz w:val="14"/>
                <w:szCs w:val="14"/>
                <w:color w:val="auto"/>
              </w:rPr>
            </w:pPr>
          </w:p>
        </w:tc>
        <w:tc>
          <w:tcPr>
            <w:tcW w:w="60" w:type="dxa"/>
            <w:vAlign w:val="bottom"/>
            <w:tcBorders>
              <w:top w:val="single" w:sz="8" w:color="auto"/>
              <w:bottom w:val="single" w:sz="8" w:color="D2DCE5"/>
            </w:tcBorders>
            <w:shd w:val="clear" w:color="auto" w:fill="D2DCE5"/>
          </w:tcPr>
          <w:p>
            <w:pPr>
              <w:spacing w:after="0"/>
              <w:rPr>
                <w:sz w:val="14"/>
                <w:szCs w:val="14"/>
                <w:color w:val="auto"/>
              </w:rPr>
            </w:pPr>
          </w:p>
        </w:tc>
        <w:tc>
          <w:tcPr>
            <w:tcW w:w="40" w:type="dxa"/>
            <w:vAlign w:val="bottom"/>
            <w:tcBorders>
              <w:top w:val="single" w:sz="8" w:color="auto"/>
              <w:bottom w:val="single" w:sz="8" w:color="D2DCE5"/>
            </w:tcBorders>
            <w:shd w:val="clear" w:color="auto" w:fill="D2DCE5"/>
          </w:tcPr>
          <w:p>
            <w:pPr>
              <w:spacing w:after="0"/>
              <w:rPr>
                <w:sz w:val="14"/>
                <w:szCs w:val="14"/>
                <w:color w:val="auto"/>
              </w:rPr>
            </w:pPr>
          </w:p>
        </w:tc>
        <w:tc>
          <w:tcPr>
            <w:tcW w:w="140" w:type="dxa"/>
            <w:vAlign w:val="bottom"/>
            <w:tcBorders>
              <w:top w:val="single" w:sz="8" w:color="auto"/>
              <w:bottom w:val="single" w:sz="8" w:color="D2DCE5"/>
            </w:tcBorders>
            <w:shd w:val="clear" w:color="auto" w:fill="D2DCE5"/>
          </w:tcPr>
          <w:p>
            <w:pPr>
              <w:spacing w:after="0"/>
              <w:rPr>
                <w:sz w:val="14"/>
                <w:szCs w:val="14"/>
                <w:color w:val="auto"/>
              </w:rPr>
            </w:pPr>
          </w:p>
        </w:tc>
        <w:tc>
          <w:tcPr>
            <w:tcW w:w="60" w:type="dxa"/>
            <w:vAlign w:val="bottom"/>
            <w:tcBorders>
              <w:top w:val="single" w:sz="8" w:color="auto"/>
              <w:bottom w:val="single" w:sz="8" w:color="D2DCE5"/>
            </w:tcBorders>
            <w:shd w:val="clear" w:color="auto" w:fill="D2DCE5"/>
          </w:tcPr>
          <w:p>
            <w:pPr>
              <w:spacing w:after="0"/>
              <w:rPr>
                <w:sz w:val="14"/>
                <w:szCs w:val="14"/>
                <w:color w:val="auto"/>
              </w:rPr>
            </w:pPr>
          </w:p>
        </w:tc>
        <w:tc>
          <w:tcPr>
            <w:tcW w:w="20" w:type="dxa"/>
            <w:vAlign w:val="bottom"/>
            <w:tcBorders>
              <w:top w:val="single" w:sz="8" w:color="auto"/>
              <w:bottom w:val="single" w:sz="8" w:color="D2DCE5"/>
            </w:tcBorders>
            <w:shd w:val="clear" w:color="auto" w:fill="D2DCE5"/>
          </w:tcPr>
          <w:p>
            <w:pPr>
              <w:spacing w:after="0"/>
              <w:rPr>
                <w:sz w:val="14"/>
                <w:szCs w:val="14"/>
                <w:color w:val="auto"/>
              </w:rPr>
            </w:pPr>
          </w:p>
        </w:tc>
        <w:tc>
          <w:tcPr>
            <w:tcW w:w="100" w:type="dxa"/>
            <w:vAlign w:val="bottom"/>
            <w:tcBorders>
              <w:top w:val="single" w:sz="8" w:color="auto"/>
              <w:bottom w:val="single" w:sz="8" w:color="D2DCE5"/>
            </w:tcBorders>
            <w:shd w:val="clear" w:color="auto" w:fill="D2DCE5"/>
          </w:tcPr>
          <w:p>
            <w:pPr>
              <w:spacing w:after="0"/>
              <w:rPr>
                <w:sz w:val="14"/>
                <w:szCs w:val="14"/>
                <w:color w:val="auto"/>
              </w:rPr>
            </w:pPr>
          </w:p>
        </w:tc>
        <w:tc>
          <w:tcPr>
            <w:tcW w:w="20" w:type="dxa"/>
            <w:vAlign w:val="bottom"/>
            <w:tcBorders>
              <w:top w:val="single" w:sz="8" w:color="auto"/>
              <w:bottom w:val="single" w:sz="8" w:color="D2DCE5"/>
            </w:tcBorders>
            <w:shd w:val="clear" w:color="auto" w:fill="D2DCE5"/>
          </w:tcPr>
          <w:p>
            <w:pPr>
              <w:spacing w:after="0"/>
              <w:rPr>
                <w:sz w:val="14"/>
                <w:szCs w:val="14"/>
                <w:color w:val="auto"/>
              </w:rPr>
            </w:pPr>
          </w:p>
        </w:tc>
        <w:tc>
          <w:tcPr>
            <w:tcW w:w="40" w:type="dxa"/>
            <w:vAlign w:val="bottom"/>
            <w:tcBorders>
              <w:top w:val="single" w:sz="8" w:color="auto"/>
              <w:bottom w:val="single" w:sz="8" w:color="D2DCE5"/>
            </w:tcBorders>
            <w:shd w:val="clear" w:color="auto" w:fill="D2DCE5"/>
          </w:tcPr>
          <w:p>
            <w:pPr>
              <w:spacing w:after="0"/>
              <w:rPr>
                <w:sz w:val="14"/>
                <w:szCs w:val="14"/>
                <w:color w:val="auto"/>
              </w:rPr>
            </w:pPr>
          </w:p>
        </w:tc>
        <w:tc>
          <w:tcPr>
            <w:tcW w:w="120" w:type="dxa"/>
            <w:vAlign w:val="bottom"/>
            <w:tcBorders>
              <w:top w:val="single" w:sz="8" w:color="D2DCE5"/>
              <w:bottom w:val="single" w:sz="8" w:color="D2DCE5"/>
            </w:tcBorders>
            <w:gridSpan w:val="2"/>
            <w:shd w:val="clear" w:color="auto" w:fill="D2DCE5"/>
          </w:tcPr>
          <w:p>
            <w:pPr>
              <w:spacing w:after="0"/>
              <w:rPr>
                <w:sz w:val="14"/>
                <w:szCs w:val="14"/>
                <w:color w:val="auto"/>
              </w:rPr>
            </w:pPr>
          </w:p>
        </w:tc>
        <w:tc>
          <w:tcPr>
            <w:tcW w:w="880" w:type="dxa"/>
            <w:vAlign w:val="bottom"/>
            <w:tcBorders>
              <w:top w:val="single" w:sz="8" w:color="D2DCE5"/>
              <w:bottom w:val="single" w:sz="8" w:color="D2DCE5"/>
            </w:tcBorders>
            <w:shd w:val="clear" w:color="auto" w:fill="D2DCE5"/>
          </w:tcPr>
          <w:p>
            <w:pPr>
              <w:spacing w:after="0"/>
              <w:rPr>
                <w:sz w:val="14"/>
                <w:szCs w:val="14"/>
                <w:color w:val="auto"/>
              </w:rPr>
            </w:pPr>
          </w:p>
        </w:tc>
        <w:tc>
          <w:tcPr>
            <w:tcW w:w="1260" w:type="dxa"/>
            <w:vAlign w:val="bottom"/>
            <w:tcBorders>
              <w:top w:val="single" w:sz="8" w:color="D2DCE5"/>
              <w:bottom w:val="single" w:sz="8" w:color="D2DCE5"/>
            </w:tcBorders>
            <w:shd w:val="clear" w:color="auto" w:fill="D2DCE5"/>
          </w:tcPr>
          <w:p>
            <w:pPr>
              <w:spacing w:after="0"/>
              <w:rPr>
                <w:sz w:val="14"/>
                <w:szCs w:val="14"/>
                <w:color w:val="auto"/>
              </w:rPr>
            </w:pPr>
          </w:p>
        </w:tc>
        <w:tc>
          <w:tcPr>
            <w:tcW w:w="880" w:type="dxa"/>
            <w:vAlign w:val="bottom"/>
            <w:tcBorders>
              <w:top w:val="single" w:sz="8" w:color="D2DCE5"/>
              <w:bottom w:val="single" w:sz="8" w:color="D2DCE5"/>
            </w:tcBorders>
            <w:shd w:val="clear" w:color="auto" w:fill="D2DCE5"/>
          </w:tcPr>
          <w:p>
            <w:pPr>
              <w:spacing w:after="0"/>
              <w:rPr>
                <w:sz w:val="14"/>
                <w:szCs w:val="14"/>
                <w:color w:val="auto"/>
              </w:rPr>
            </w:pPr>
          </w:p>
        </w:tc>
        <w:tc>
          <w:tcPr>
            <w:tcW w:w="100" w:type="dxa"/>
            <w:vAlign w:val="bottom"/>
            <w:tcBorders>
              <w:top w:val="single" w:sz="8" w:color="D2DCE5"/>
              <w:bottom w:val="single" w:sz="8" w:color="D2DCE5"/>
            </w:tcBorders>
            <w:shd w:val="clear" w:color="auto" w:fill="D2DCE5"/>
          </w:tcPr>
          <w:p>
            <w:pPr>
              <w:spacing w:after="0"/>
              <w:rPr>
                <w:sz w:val="14"/>
                <w:szCs w:val="14"/>
                <w:color w:val="auto"/>
              </w:rPr>
            </w:pPr>
          </w:p>
        </w:tc>
        <w:tc>
          <w:tcPr>
            <w:tcW w:w="1560" w:type="dxa"/>
            <w:vAlign w:val="bottom"/>
            <w:tcBorders>
              <w:top w:val="single" w:sz="8" w:color="D2DCE5"/>
              <w:bottom w:val="single" w:sz="8" w:color="D2DCE5"/>
            </w:tcBorders>
            <w:shd w:val="clear" w:color="auto" w:fill="D2DCE5"/>
          </w:tcPr>
          <w:p>
            <w:pPr>
              <w:spacing w:after="0"/>
              <w:rPr>
                <w:sz w:val="14"/>
                <w:szCs w:val="14"/>
                <w:color w:val="auto"/>
              </w:rPr>
            </w:pPr>
          </w:p>
        </w:tc>
        <w:tc>
          <w:tcPr>
            <w:tcW w:w="80" w:type="dxa"/>
            <w:vAlign w:val="bottom"/>
            <w:tcBorders>
              <w:top w:val="single" w:sz="8" w:color="D2DCE5"/>
              <w:bottom w:val="single" w:sz="8" w:color="D2DCE5"/>
            </w:tcBorders>
            <w:shd w:val="clear" w:color="auto" w:fill="D2DCE5"/>
          </w:tcPr>
          <w:p>
            <w:pPr>
              <w:spacing w:after="0"/>
              <w:rPr>
                <w:sz w:val="14"/>
                <w:szCs w:val="14"/>
                <w:color w:val="auto"/>
              </w:rPr>
            </w:pPr>
          </w:p>
        </w:tc>
        <w:tc>
          <w:tcPr>
            <w:tcW w:w="960" w:type="dxa"/>
            <w:vAlign w:val="bottom"/>
            <w:tcBorders>
              <w:top w:val="single" w:sz="8" w:color="D2DCE5"/>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1"/>
              </w:rPr>
              <w:t>X</w:t>
            </w:r>
          </w:p>
        </w:tc>
      </w:tr>
      <w:tr>
        <w:trPr>
          <w:trHeight w:val="149"/>
        </w:trPr>
        <w:tc>
          <w:tcPr>
            <w:tcW w:w="10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4"/>
              </w:rPr>
              <w:t>10.2</w:t>
            </w: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4380" w:type="dxa"/>
            <w:vAlign w:val="bottom"/>
            <w:tcBorders>
              <w:top w:val="single" w:sz="8" w:color="D2DCE5"/>
            </w:tcBorders>
            <w:gridSpan w:val="24"/>
          </w:tcPr>
          <w:p>
            <w:pPr>
              <w:spacing w:after="0"/>
              <w:rPr>
                <w:rFonts w:ascii="Arial" w:cs="Arial" w:eastAsia="Arial" w:hAnsi="Arial"/>
                <w:sz w:val="13"/>
                <w:szCs w:val="13"/>
                <w:color w:val="auto"/>
              </w:rPr>
            </w:pPr>
            <w:hyperlink r:id="rId358">
              <w:r>
                <w:rPr>
                  <w:rFonts w:ascii="Arial" w:cs="Arial" w:eastAsia="Arial" w:hAnsi="Arial"/>
                  <w:sz w:val="13"/>
                  <w:szCs w:val="13"/>
                  <w:color w:val="auto"/>
                </w:rPr>
                <w:t>Tax Receivable Agreement (Reorganization), dated September 14, 2021.</w:t>
              </w:r>
            </w:hyperlink>
          </w:p>
        </w:tc>
        <w:tc>
          <w:tcPr>
            <w:tcW w:w="8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8"/>
              </w:rPr>
              <w:t>8-K</w:t>
            </w:r>
          </w:p>
        </w:tc>
        <w:tc>
          <w:tcPr>
            <w:tcW w:w="126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6"/>
              </w:rPr>
              <w:t>001-40798</w:t>
            </w:r>
          </w:p>
        </w:tc>
        <w:tc>
          <w:tcPr>
            <w:tcW w:w="8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4"/>
              </w:rPr>
              <w:t>10.2</w:t>
            </w:r>
          </w:p>
        </w:tc>
        <w:tc>
          <w:tcPr>
            <w:tcW w:w="100" w:type="dxa"/>
            <w:vAlign w:val="bottom"/>
            <w:tcBorders>
              <w:top w:val="single" w:sz="8" w:color="D2DCE5"/>
            </w:tcBorders>
          </w:tcPr>
          <w:p>
            <w:pPr>
              <w:spacing w:after="0"/>
              <w:rPr>
                <w:sz w:val="12"/>
                <w:szCs w:val="12"/>
                <w:color w:val="auto"/>
              </w:rPr>
            </w:pPr>
          </w:p>
        </w:tc>
        <w:tc>
          <w:tcPr>
            <w:tcW w:w="1640" w:type="dxa"/>
            <w:vAlign w:val="bottom"/>
            <w:tcBorders>
              <w:top w:val="single" w:sz="8" w:color="D2DCE5"/>
            </w:tcBorders>
            <w:gridSpan w:val="2"/>
          </w:tcPr>
          <w:p>
            <w:pPr>
              <w:jc w:val="center"/>
              <w:ind w:right="80"/>
              <w:spacing w:after="0"/>
              <w:rPr>
                <w:sz w:val="20"/>
                <w:szCs w:val="20"/>
                <w:color w:val="auto"/>
              </w:rPr>
            </w:pPr>
            <w:r>
              <w:rPr>
                <w:rFonts w:ascii="Arial" w:cs="Arial" w:eastAsia="Arial" w:hAnsi="Arial"/>
                <w:sz w:val="13"/>
                <w:szCs w:val="13"/>
                <w:color w:val="131E29"/>
                <w:w w:val="98"/>
              </w:rPr>
              <w:t>September 17, 2021</w:t>
            </w:r>
          </w:p>
        </w:tc>
        <w:tc>
          <w:tcPr>
            <w:tcW w:w="960" w:type="dxa"/>
            <w:vAlign w:val="bottom"/>
            <w:tcBorders>
              <w:top w:val="single" w:sz="8" w:color="D2DCE5"/>
            </w:tcBorders>
          </w:tcPr>
          <w:p>
            <w:pPr>
              <w:spacing w:after="0"/>
              <w:rPr>
                <w:sz w:val="12"/>
                <w:szCs w:val="12"/>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9"/>
        </w:trPr>
        <w:tc>
          <w:tcPr>
            <w:tcW w:w="10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4"/>
              </w:rPr>
              <w:t>10.3</w:t>
            </w:r>
          </w:p>
        </w:tc>
        <w:tc>
          <w:tcPr>
            <w:tcW w:w="80" w:type="dxa"/>
            <w:vAlign w:val="bottom"/>
            <w:shd w:val="clear" w:color="auto" w:fill="D2DCE5"/>
          </w:tcPr>
          <w:p>
            <w:pPr>
              <w:spacing w:after="0"/>
              <w:rPr>
                <w:sz w:val="12"/>
                <w:szCs w:val="12"/>
                <w:color w:val="auto"/>
              </w:rPr>
            </w:pPr>
          </w:p>
        </w:tc>
        <w:tc>
          <w:tcPr>
            <w:tcW w:w="20" w:type="dxa"/>
            <w:vAlign w:val="bottom"/>
            <w:shd w:val="clear" w:color="auto" w:fill="D2DCE5"/>
          </w:tcPr>
          <w:p>
            <w:pPr>
              <w:spacing w:after="0"/>
              <w:rPr>
                <w:sz w:val="12"/>
                <w:szCs w:val="12"/>
                <w:color w:val="auto"/>
              </w:rPr>
            </w:pPr>
          </w:p>
        </w:tc>
        <w:tc>
          <w:tcPr>
            <w:tcW w:w="4380" w:type="dxa"/>
            <w:vAlign w:val="bottom"/>
            <w:gridSpan w:val="24"/>
            <w:shd w:val="clear" w:color="auto" w:fill="D2DCE5"/>
          </w:tcPr>
          <w:p>
            <w:pPr>
              <w:spacing w:after="0"/>
              <w:rPr>
                <w:rFonts w:ascii="Arial" w:cs="Arial" w:eastAsia="Arial" w:hAnsi="Arial"/>
                <w:sz w:val="13"/>
                <w:szCs w:val="13"/>
                <w:color w:val="auto"/>
              </w:rPr>
            </w:pPr>
            <w:hyperlink r:id="rId359">
              <w:r>
                <w:rPr>
                  <w:rFonts w:ascii="Arial" w:cs="Arial" w:eastAsia="Arial" w:hAnsi="Arial"/>
                  <w:sz w:val="13"/>
                  <w:szCs w:val="13"/>
                  <w:color w:val="auto"/>
                </w:rPr>
                <w:t>Tax Receivable Agreement (Exchanges), dated September 14, 2021.</w:t>
              </w:r>
            </w:hyperlink>
          </w:p>
        </w:tc>
        <w:tc>
          <w:tcPr>
            <w:tcW w:w="8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8"/>
              </w:rPr>
              <w:t>8-K</w:t>
            </w:r>
          </w:p>
        </w:tc>
        <w:tc>
          <w:tcPr>
            <w:tcW w:w="12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6"/>
              </w:rPr>
              <w:t>001-40798</w:t>
            </w:r>
          </w:p>
        </w:tc>
        <w:tc>
          <w:tcPr>
            <w:tcW w:w="8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4"/>
              </w:rPr>
              <w:t>10.3</w:t>
            </w:r>
          </w:p>
        </w:tc>
        <w:tc>
          <w:tcPr>
            <w:tcW w:w="100" w:type="dxa"/>
            <w:vAlign w:val="bottom"/>
            <w:shd w:val="clear" w:color="auto" w:fill="D2DCE5"/>
          </w:tcPr>
          <w:p>
            <w:pPr>
              <w:spacing w:after="0"/>
              <w:rPr>
                <w:sz w:val="12"/>
                <w:szCs w:val="12"/>
                <w:color w:val="auto"/>
              </w:rPr>
            </w:pPr>
          </w:p>
        </w:tc>
        <w:tc>
          <w:tcPr>
            <w:tcW w:w="1640" w:type="dxa"/>
            <w:vAlign w:val="bottom"/>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8"/>
              </w:rPr>
              <w:t>September 17, 2021</w:t>
            </w:r>
          </w:p>
        </w:tc>
        <w:tc>
          <w:tcPr>
            <w:tcW w:w="960" w:type="dxa"/>
            <w:vAlign w:val="bottom"/>
            <w:shd w:val="clear" w:color="auto" w:fill="D2DCE5"/>
          </w:tcPr>
          <w:p>
            <w:pPr>
              <w:spacing w:after="0"/>
              <w:rPr>
                <w:sz w:val="12"/>
                <w:szCs w:val="12"/>
                <w:color w:val="auto"/>
              </w:rPr>
            </w:pPr>
          </w:p>
        </w:tc>
      </w:tr>
      <w:tr>
        <w:trPr>
          <w:trHeight w:val="22"/>
        </w:trPr>
        <w:tc>
          <w:tcPr>
            <w:tcW w:w="108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080" w:type="dxa"/>
            <w:vAlign w:val="bottom"/>
            <w:tcBorders>
              <w:top w:val="single" w:sz="8" w:color="auto"/>
            </w:tcBorders>
            <w:shd w:val="clear" w:color="auto" w:fill="D2DCE5"/>
          </w:tcPr>
          <w:p>
            <w:pPr>
              <w:spacing w:after="0" w:line="20" w:lineRule="exact"/>
              <w:rPr>
                <w:sz w:val="1"/>
                <w:szCs w:val="1"/>
                <w:color w:val="auto"/>
              </w:rPr>
            </w:pPr>
          </w:p>
        </w:tc>
        <w:tc>
          <w:tcPr>
            <w:tcW w:w="140" w:type="dxa"/>
            <w:vAlign w:val="bottom"/>
            <w:tcBorders>
              <w:top w:val="single" w:sz="8" w:color="auto"/>
            </w:tcBorders>
            <w:shd w:val="clear" w:color="auto" w:fill="D2DCE5"/>
          </w:tcPr>
          <w:p>
            <w:pPr>
              <w:spacing w:after="0" w:line="20" w:lineRule="exact"/>
              <w:rPr>
                <w:sz w:val="1"/>
                <w:szCs w:val="1"/>
                <w:color w:val="auto"/>
              </w:rPr>
            </w:pPr>
          </w:p>
        </w:tc>
        <w:tc>
          <w:tcPr>
            <w:tcW w:w="320" w:type="dxa"/>
            <w:vAlign w:val="bottom"/>
            <w:tcBorders>
              <w:top w:val="single" w:sz="8" w:color="auto"/>
            </w:tcBorders>
            <w:shd w:val="clear" w:color="auto" w:fill="D2DCE5"/>
          </w:tcPr>
          <w:p>
            <w:pPr>
              <w:spacing w:after="0" w:line="20" w:lineRule="exact"/>
              <w:rPr>
                <w:sz w:val="1"/>
                <w:szCs w:val="1"/>
                <w:color w:val="auto"/>
              </w:rPr>
            </w:pPr>
          </w:p>
        </w:tc>
        <w:tc>
          <w:tcPr>
            <w:tcW w:w="20" w:type="dxa"/>
            <w:vAlign w:val="bottom"/>
            <w:tcBorders>
              <w:top w:val="single" w:sz="8" w:color="auto"/>
            </w:tcBorders>
            <w:shd w:val="clear" w:color="auto" w:fill="D2DCE5"/>
          </w:tcPr>
          <w:p>
            <w:pPr>
              <w:spacing w:after="0" w:line="20" w:lineRule="exact"/>
              <w:rPr>
                <w:sz w:val="1"/>
                <w:szCs w:val="1"/>
                <w:color w:val="auto"/>
              </w:rPr>
            </w:pPr>
          </w:p>
        </w:tc>
        <w:tc>
          <w:tcPr>
            <w:tcW w:w="180" w:type="dxa"/>
            <w:vAlign w:val="bottom"/>
            <w:tcBorders>
              <w:top w:val="single" w:sz="8" w:color="auto"/>
            </w:tcBorders>
            <w:shd w:val="clear" w:color="auto" w:fill="D2DCE5"/>
          </w:tcPr>
          <w:p>
            <w:pPr>
              <w:spacing w:after="0" w:line="20" w:lineRule="exact"/>
              <w:rPr>
                <w:sz w:val="1"/>
                <w:szCs w:val="1"/>
                <w:color w:val="auto"/>
              </w:rPr>
            </w:pPr>
          </w:p>
        </w:tc>
        <w:tc>
          <w:tcPr>
            <w:tcW w:w="200" w:type="dxa"/>
            <w:vAlign w:val="bottom"/>
            <w:tcBorders>
              <w:top w:val="single" w:sz="8" w:color="auto"/>
            </w:tcBorders>
            <w:shd w:val="clear" w:color="auto" w:fill="D2DCE5"/>
          </w:tcPr>
          <w:p>
            <w:pPr>
              <w:spacing w:after="0" w:line="20" w:lineRule="exact"/>
              <w:rPr>
                <w:sz w:val="1"/>
                <w:szCs w:val="1"/>
                <w:color w:val="auto"/>
              </w:rPr>
            </w:pPr>
          </w:p>
        </w:tc>
        <w:tc>
          <w:tcPr>
            <w:tcW w:w="100" w:type="dxa"/>
            <w:vAlign w:val="bottom"/>
            <w:tcBorders>
              <w:top w:val="single" w:sz="8" w:color="auto"/>
            </w:tcBorders>
            <w:shd w:val="clear" w:color="auto" w:fill="D2DCE5"/>
          </w:tcPr>
          <w:p>
            <w:pPr>
              <w:spacing w:after="0" w:line="20" w:lineRule="exact"/>
              <w:rPr>
                <w:sz w:val="1"/>
                <w:szCs w:val="1"/>
                <w:color w:val="auto"/>
              </w:rPr>
            </w:pPr>
          </w:p>
        </w:tc>
        <w:tc>
          <w:tcPr>
            <w:tcW w:w="80" w:type="dxa"/>
            <w:vAlign w:val="bottom"/>
            <w:tcBorders>
              <w:top w:val="single" w:sz="8" w:color="auto"/>
            </w:tcBorders>
            <w:shd w:val="clear" w:color="auto" w:fill="D2DCE5"/>
          </w:tcPr>
          <w:p>
            <w:pPr>
              <w:spacing w:after="0" w:line="20" w:lineRule="exact"/>
              <w:rPr>
                <w:sz w:val="1"/>
                <w:szCs w:val="1"/>
                <w:color w:val="auto"/>
              </w:rPr>
            </w:pPr>
          </w:p>
        </w:tc>
        <w:tc>
          <w:tcPr>
            <w:tcW w:w="400" w:type="dxa"/>
            <w:vAlign w:val="bottom"/>
            <w:tcBorders>
              <w:top w:val="single" w:sz="8" w:color="auto"/>
            </w:tcBorders>
            <w:shd w:val="clear" w:color="auto" w:fill="D2DCE5"/>
          </w:tcPr>
          <w:p>
            <w:pPr>
              <w:spacing w:after="0" w:line="20" w:lineRule="exact"/>
              <w:rPr>
                <w:sz w:val="1"/>
                <w:szCs w:val="1"/>
                <w:color w:val="auto"/>
              </w:rPr>
            </w:pPr>
          </w:p>
        </w:tc>
        <w:tc>
          <w:tcPr>
            <w:tcW w:w="120" w:type="dxa"/>
            <w:vAlign w:val="bottom"/>
            <w:tcBorders>
              <w:top w:val="single" w:sz="8" w:color="auto"/>
            </w:tcBorders>
            <w:shd w:val="clear" w:color="auto" w:fill="D2DCE5"/>
          </w:tcPr>
          <w:p>
            <w:pPr>
              <w:spacing w:after="0" w:line="20" w:lineRule="exact"/>
              <w:rPr>
                <w:sz w:val="1"/>
                <w:szCs w:val="1"/>
                <w:color w:val="auto"/>
              </w:rPr>
            </w:pPr>
          </w:p>
        </w:tc>
        <w:tc>
          <w:tcPr>
            <w:tcW w:w="520" w:type="dxa"/>
            <w:vAlign w:val="bottom"/>
            <w:tcBorders>
              <w:top w:val="single" w:sz="8" w:color="auto"/>
            </w:tcBorders>
            <w:shd w:val="clear" w:color="auto" w:fill="D2DCE5"/>
          </w:tcPr>
          <w:p>
            <w:pPr>
              <w:spacing w:after="0" w:line="20" w:lineRule="exact"/>
              <w:rPr>
                <w:sz w:val="1"/>
                <w:szCs w:val="1"/>
                <w:color w:val="auto"/>
              </w:rPr>
            </w:pPr>
          </w:p>
        </w:tc>
        <w:tc>
          <w:tcPr>
            <w:tcW w:w="460" w:type="dxa"/>
            <w:vAlign w:val="bottom"/>
            <w:tcBorders>
              <w:top w:val="single" w:sz="8" w:color="auto"/>
            </w:tcBorders>
            <w:shd w:val="clear" w:color="auto" w:fill="D2DCE5"/>
          </w:tcPr>
          <w:p>
            <w:pPr>
              <w:spacing w:after="0" w:line="20" w:lineRule="exact"/>
              <w:rPr>
                <w:sz w:val="1"/>
                <w:szCs w:val="1"/>
                <w:color w:val="auto"/>
              </w:rPr>
            </w:pPr>
          </w:p>
        </w:tc>
        <w:tc>
          <w:tcPr>
            <w:tcW w:w="140" w:type="dxa"/>
            <w:vAlign w:val="bottom"/>
            <w:tcBorders>
              <w:top w:val="single" w:sz="8" w:color="auto"/>
            </w:tcBorders>
            <w:shd w:val="clear" w:color="auto" w:fill="D2DCE5"/>
          </w:tcPr>
          <w:p>
            <w:pPr>
              <w:spacing w:after="0" w:line="20" w:lineRule="exact"/>
              <w:rPr>
                <w:sz w:val="1"/>
                <w:szCs w:val="1"/>
                <w:color w:val="auto"/>
              </w:rPr>
            </w:pPr>
          </w:p>
        </w:tc>
        <w:tc>
          <w:tcPr>
            <w:tcW w:w="20" w:type="dxa"/>
            <w:vAlign w:val="bottom"/>
            <w:tcBorders>
              <w:top w:val="single" w:sz="8" w:color="auto"/>
            </w:tcBorders>
            <w:shd w:val="clear" w:color="auto" w:fill="D2DCE5"/>
          </w:tcPr>
          <w:p>
            <w:pPr>
              <w:spacing w:after="0" w:line="20" w:lineRule="exact"/>
              <w:rPr>
                <w:sz w:val="1"/>
                <w:szCs w:val="1"/>
                <w:color w:val="auto"/>
              </w:rPr>
            </w:pPr>
          </w:p>
        </w:tc>
        <w:tc>
          <w:tcPr>
            <w:tcW w:w="60" w:type="dxa"/>
            <w:vAlign w:val="bottom"/>
            <w:tcBorders>
              <w:top w:val="single" w:sz="8" w:color="auto"/>
            </w:tcBorders>
            <w:shd w:val="clear" w:color="auto" w:fill="D2DCE5"/>
          </w:tcPr>
          <w:p>
            <w:pPr>
              <w:spacing w:after="0" w:line="20" w:lineRule="exact"/>
              <w:rPr>
                <w:sz w:val="1"/>
                <w:szCs w:val="1"/>
                <w:color w:val="auto"/>
              </w:rPr>
            </w:pPr>
          </w:p>
        </w:tc>
        <w:tc>
          <w:tcPr>
            <w:tcW w:w="40" w:type="dxa"/>
            <w:vAlign w:val="bottom"/>
            <w:tcBorders>
              <w:top w:val="single" w:sz="8" w:color="auto"/>
            </w:tcBorders>
            <w:shd w:val="clear" w:color="auto" w:fill="D2DCE5"/>
          </w:tcPr>
          <w:p>
            <w:pPr>
              <w:spacing w:after="0" w:line="20" w:lineRule="exact"/>
              <w:rPr>
                <w:sz w:val="1"/>
                <w:szCs w:val="1"/>
                <w:color w:val="auto"/>
              </w:rPr>
            </w:pPr>
          </w:p>
        </w:tc>
        <w:tc>
          <w:tcPr>
            <w:tcW w:w="140" w:type="dxa"/>
            <w:vAlign w:val="bottom"/>
            <w:tcBorders>
              <w:top w:val="single" w:sz="8" w:color="D2DCE5"/>
            </w:tcBorders>
            <w:shd w:val="clear" w:color="auto" w:fill="D2DCE5"/>
          </w:tcPr>
          <w:p>
            <w:pPr>
              <w:spacing w:after="0" w:line="20" w:lineRule="exact"/>
              <w:rPr>
                <w:sz w:val="1"/>
                <w:szCs w:val="1"/>
                <w:color w:val="auto"/>
              </w:rPr>
            </w:pPr>
          </w:p>
        </w:tc>
        <w:tc>
          <w:tcPr>
            <w:tcW w:w="6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880" w:type="dxa"/>
            <w:vAlign w:val="bottom"/>
            <w:tcBorders>
              <w:top w:val="single" w:sz="8" w:color="D2DCE5"/>
            </w:tcBorders>
            <w:shd w:val="clear" w:color="auto" w:fill="D2DCE5"/>
          </w:tcPr>
          <w:p>
            <w:pPr>
              <w:spacing w:after="0" w:line="20" w:lineRule="exact"/>
              <w:rPr>
                <w:sz w:val="1"/>
                <w:szCs w:val="1"/>
                <w:color w:val="auto"/>
              </w:rPr>
            </w:pPr>
          </w:p>
        </w:tc>
        <w:tc>
          <w:tcPr>
            <w:tcW w:w="1260" w:type="dxa"/>
            <w:vAlign w:val="bottom"/>
            <w:tcBorders>
              <w:top w:val="single" w:sz="8" w:color="D2DCE5"/>
            </w:tcBorders>
            <w:shd w:val="clear" w:color="auto" w:fill="D2DCE5"/>
          </w:tcPr>
          <w:p>
            <w:pPr>
              <w:spacing w:after="0" w:line="20" w:lineRule="exact"/>
              <w:rPr>
                <w:sz w:val="1"/>
                <w:szCs w:val="1"/>
                <w:color w:val="auto"/>
              </w:rPr>
            </w:pPr>
          </w:p>
        </w:tc>
        <w:tc>
          <w:tcPr>
            <w:tcW w:w="88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56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960" w:type="dxa"/>
            <w:vAlign w:val="bottom"/>
            <w:tcBorders>
              <w:top w:val="single" w:sz="8" w:color="D2DCE5"/>
            </w:tcBorders>
            <w:shd w:val="clear" w:color="auto" w:fill="D2DCE5"/>
          </w:tcPr>
          <w:p>
            <w:pPr>
              <w:spacing w:after="0" w:line="20" w:lineRule="exact"/>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20" w:type="dxa"/>
            <w:vAlign w:val="bottom"/>
            <w:tcBorders>
              <w:bottom w:val="single" w:sz="8" w:color="auto"/>
            </w:tcBorders>
            <w:gridSpan w:val="21"/>
          </w:tcPr>
          <w:p>
            <w:pPr>
              <w:spacing w:after="0"/>
              <w:rPr>
                <w:rFonts w:ascii="Arial" w:cs="Arial" w:eastAsia="Arial" w:hAnsi="Arial"/>
                <w:sz w:val="13"/>
                <w:szCs w:val="13"/>
                <w:color w:val="auto"/>
                <w:w w:val="98"/>
              </w:rPr>
            </w:pPr>
            <w:hyperlink r:id="rId360">
              <w:r>
                <w:rPr>
                  <w:rFonts w:ascii="Arial" w:cs="Arial" w:eastAsia="Arial" w:hAnsi="Arial"/>
                  <w:sz w:val="13"/>
                  <w:szCs w:val="13"/>
                  <w:color w:val="auto"/>
                  <w:w w:val="98"/>
                </w:rPr>
                <w:t>Amended and Restated Registration Rights Agreement, by and among the</w:t>
              </w:r>
            </w:hyperlink>
          </w:p>
        </w:tc>
        <w:tc>
          <w:tcPr>
            <w:tcW w:w="160" w:type="dxa"/>
            <w:vAlign w:val="bottom"/>
            <w:gridSpan w:val="3"/>
          </w:tcPr>
          <w:p>
            <w:pPr>
              <w:spacing w:after="0"/>
              <w:rPr>
                <w:sz w:val="12"/>
                <w:szCs w:val="12"/>
                <w:color w:val="auto"/>
              </w:rPr>
            </w:pP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29"/>
        </w:trPr>
        <w:tc>
          <w:tcPr>
            <w:tcW w:w="1080" w:type="dxa"/>
            <w:vAlign w:val="bottom"/>
          </w:tcPr>
          <w:p>
            <w:pPr>
              <w:jc w:val="center"/>
              <w:spacing w:after="0" w:line="129" w:lineRule="exact"/>
              <w:rPr>
                <w:sz w:val="20"/>
                <w:szCs w:val="20"/>
                <w:color w:val="auto"/>
              </w:rPr>
            </w:pPr>
            <w:r>
              <w:rPr>
                <w:rFonts w:ascii="Arial" w:cs="Arial" w:eastAsia="Arial" w:hAnsi="Arial"/>
                <w:sz w:val="13"/>
                <w:szCs w:val="13"/>
                <w:color w:val="131E29"/>
                <w:w w:val="94"/>
              </w:rPr>
              <w:t>10.4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780" w:type="dxa"/>
            <w:vAlign w:val="bottom"/>
            <w:tcBorders>
              <w:bottom w:val="single" w:sz="8" w:color="auto"/>
            </w:tcBorders>
            <w:gridSpan w:val="14"/>
          </w:tcPr>
          <w:p>
            <w:pPr>
              <w:spacing w:after="0" w:line="118" w:lineRule="exact"/>
              <w:rPr>
                <w:rFonts w:ascii="Arial" w:cs="Arial" w:eastAsia="Arial" w:hAnsi="Arial"/>
                <w:sz w:val="13"/>
                <w:szCs w:val="13"/>
                <w:color w:val="auto"/>
                <w:w w:val="97"/>
              </w:rPr>
            </w:pPr>
            <w:hyperlink r:id="rId360">
              <w:r>
                <w:rPr>
                  <w:rFonts w:ascii="Arial" w:cs="Arial" w:eastAsia="Arial" w:hAnsi="Arial"/>
                  <w:sz w:val="13"/>
                  <w:szCs w:val="13"/>
                  <w:color w:val="auto"/>
                  <w:w w:val="97"/>
                </w:rPr>
                <w:t>Registrant and the Investors party thereto, dated October 31, 2023.</w:t>
              </w:r>
            </w:hyperlink>
          </w:p>
        </w:tc>
        <w:tc>
          <w:tcPr>
            <w:tcW w:w="6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80" w:type="dxa"/>
            <w:vAlign w:val="bottom"/>
            <w:gridSpan w:val="4"/>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3"/>
                <w:szCs w:val="13"/>
                <w:color w:val="131E29"/>
                <w:w w:val="94"/>
              </w:rPr>
              <w:t>10-K</w:t>
            </w:r>
          </w:p>
        </w:tc>
        <w:tc>
          <w:tcPr>
            <w:tcW w:w="1260" w:type="dxa"/>
            <w:vAlign w:val="bottom"/>
          </w:tcPr>
          <w:p>
            <w:pPr>
              <w:jc w:val="center"/>
              <w:spacing w:after="0" w:line="129" w:lineRule="exact"/>
              <w:rPr>
                <w:sz w:val="20"/>
                <w:szCs w:val="20"/>
                <w:color w:val="auto"/>
              </w:rPr>
            </w:pPr>
            <w:r>
              <w:rPr>
                <w:rFonts w:ascii="Arial" w:cs="Arial" w:eastAsia="Arial" w:hAnsi="Arial"/>
                <w:sz w:val="13"/>
                <w:szCs w:val="13"/>
                <w:color w:val="131E29"/>
                <w:w w:val="96"/>
              </w:rPr>
              <w:t>001-40798</w:t>
            </w:r>
          </w:p>
        </w:tc>
        <w:tc>
          <w:tcPr>
            <w:tcW w:w="880" w:type="dxa"/>
            <w:vAlign w:val="bottom"/>
          </w:tcPr>
          <w:p>
            <w:pPr>
              <w:jc w:val="center"/>
              <w:spacing w:after="0" w:line="129" w:lineRule="exact"/>
              <w:rPr>
                <w:sz w:val="20"/>
                <w:szCs w:val="20"/>
                <w:color w:val="auto"/>
              </w:rPr>
            </w:pPr>
            <w:r>
              <w:rPr>
                <w:rFonts w:ascii="Arial" w:cs="Arial" w:eastAsia="Arial" w:hAnsi="Arial"/>
                <w:sz w:val="13"/>
                <w:szCs w:val="13"/>
                <w:color w:val="131E29"/>
                <w:w w:val="94"/>
              </w:rPr>
              <w:t>10.4</w:t>
            </w: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29" w:lineRule="exact"/>
              <w:rPr>
                <w:sz w:val="20"/>
                <w:szCs w:val="20"/>
                <w:color w:val="auto"/>
              </w:rPr>
            </w:pPr>
            <w:r>
              <w:rPr>
                <w:rFonts w:ascii="Arial" w:cs="Arial" w:eastAsia="Arial" w:hAnsi="Arial"/>
                <w:sz w:val="13"/>
                <w:szCs w:val="13"/>
                <w:color w:val="131E29"/>
                <w:w w:val="97"/>
              </w:rPr>
              <w:t>February 23, 2024</w:t>
            </w:r>
          </w:p>
        </w:tc>
        <w:tc>
          <w:tcPr>
            <w:tcW w:w="960" w:type="dxa"/>
            <w:vAlign w:val="bottom"/>
          </w:tcPr>
          <w:p>
            <w:pPr>
              <w:spacing w:after="0"/>
              <w:rPr>
                <w:sz w:val="11"/>
                <w:szCs w:val="11"/>
                <w:color w:val="auto"/>
              </w:rPr>
            </w:pPr>
          </w:p>
        </w:tc>
      </w:tr>
      <w:tr>
        <w:trPr>
          <w:trHeight w:val="3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1"/>
        </w:trPr>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4"/>
              </w:rPr>
              <w:t>10.5</w:t>
            </w:r>
          </w:p>
        </w:tc>
        <w:tc>
          <w:tcPr>
            <w:tcW w:w="80" w:type="dxa"/>
            <w:vAlign w:val="bottom"/>
            <w:tcBorders>
              <w:bottom w:val="single" w:sz="8" w:color="D2DCE5"/>
            </w:tcBorders>
            <w:shd w:val="clear" w:color="auto" w:fill="D2DCE5"/>
          </w:tcPr>
          <w:p>
            <w:pPr>
              <w:spacing w:after="0"/>
              <w:rPr>
                <w:sz w:val="14"/>
                <w:szCs w:val="14"/>
                <w:color w:val="auto"/>
              </w:rPr>
            </w:pPr>
          </w:p>
        </w:tc>
        <w:tc>
          <w:tcPr>
            <w:tcW w:w="20" w:type="dxa"/>
            <w:vAlign w:val="bottom"/>
            <w:tcBorders>
              <w:bottom w:val="single" w:sz="8" w:color="D2DCE5"/>
            </w:tcBorders>
            <w:shd w:val="clear" w:color="auto" w:fill="D2DCE5"/>
          </w:tcPr>
          <w:p>
            <w:pPr>
              <w:spacing w:after="0"/>
              <w:rPr>
                <w:sz w:val="14"/>
                <w:szCs w:val="14"/>
                <w:color w:val="auto"/>
              </w:rPr>
            </w:pPr>
          </w:p>
        </w:tc>
        <w:tc>
          <w:tcPr>
            <w:tcW w:w="3160" w:type="dxa"/>
            <w:vAlign w:val="bottom"/>
            <w:tcBorders>
              <w:bottom w:val="single" w:sz="8" w:color="auto"/>
            </w:tcBorders>
            <w:gridSpan w:val="11"/>
            <w:shd w:val="clear" w:color="auto" w:fill="D2DCE5"/>
          </w:tcPr>
          <w:p>
            <w:pPr>
              <w:spacing w:after="0"/>
              <w:rPr>
                <w:rFonts w:ascii="Arial" w:cs="Arial" w:eastAsia="Arial" w:hAnsi="Arial"/>
                <w:sz w:val="13"/>
                <w:szCs w:val="13"/>
                <w:color w:val="auto"/>
                <w:w w:val="97"/>
              </w:rPr>
            </w:pPr>
            <w:hyperlink r:id="rId361">
              <w:r>
                <w:rPr>
                  <w:rFonts w:ascii="Arial" w:cs="Arial" w:eastAsia="Arial" w:hAnsi="Arial"/>
                  <w:sz w:val="13"/>
                  <w:szCs w:val="13"/>
                  <w:color w:val="auto"/>
                  <w:w w:val="97"/>
                </w:rPr>
                <w:t>Form of Director and Officer Indemnification Agreement.</w:t>
              </w:r>
            </w:hyperlink>
          </w:p>
        </w:tc>
        <w:tc>
          <w:tcPr>
            <w:tcW w:w="1220" w:type="dxa"/>
            <w:vAlign w:val="bottom"/>
            <w:tcBorders>
              <w:bottom w:val="single" w:sz="8" w:color="D2DCE5"/>
            </w:tcBorders>
            <w:gridSpan w:val="13"/>
            <w:shd w:val="clear" w:color="auto" w:fill="D2DCE5"/>
          </w:tcPr>
          <w:p>
            <w:pPr>
              <w:spacing w:after="0"/>
              <w:rPr>
                <w:sz w:val="14"/>
                <w:szCs w:val="14"/>
                <w:color w:val="auto"/>
              </w:rPr>
            </w:pPr>
          </w:p>
        </w:tc>
        <w:tc>
          <w:tcPr>
            <w:tcW w:w="8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8"/>
              </w:rPr>
              <w:t>S-1</w:t>
            </w:r>
          </w:p>
        </w:tc>
        <w:tc>
          <w:tcPr>
            <w:tcW w:w="12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7"/>
              </w:rPr>
              <w:t>333-258988</w:t>
            </w:r>
          </w:p>
        </w:tc>
        <w:tc>
          <w:tcPr>
            <w:tcW w:w="8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4"/>
              </w:rPr>
              <w:t>10.2</w:t>
            </w:r>
          </w:p>
        </w:tc>
        <w:tc>
          <w:tcPr>
            <w:tcW w:w="100" w:type="dxa"/>
            <w:vAlign w:val="bottom"/>
            <w:tcBorders>
              <w:bottom w:val="single" w:sz="8" w:color="D2DCE5"/>
            </w:tcBorders>
            <w:shd w:val="clear" w:color="auto" w:fill="D2DCE5"/>
          </w:tcPr>
          <w:p>
            <w:pPr>
              <w:spacing w:after="0"/>
              <w:rPr>
                <w:sz w:val="14"/>
                <w:szCs w:val="14"/>
                <w:color w:val="auto"/>
              </w:rPr>
            </w:pPr>
          </w:p>
        </w:tc>
        <w:tc>
          <w:tcPr>
            <w:tcW w:w="1640" w:type="dxa"/>
            <w:vAlign w:val="bottom"/>
            <w:tcBorders>
              <w:bottom w:val="single" w:sz="8" w:color="D2DCE5"/>
            </w:tcBorders>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7"/>
              </w:rPr>
              <w:t>August 20, 2021</w:t>
            </w:r>
          </w:p>
        </w:tc>
        <w:tc>
          <w:tcPr>
            <w:tcW w:w="960" w:type="dxa"/>
            <w:vAlign w:val="bottom"/>
            <w:tcBorders>
              <w:bottom w:val="single" w:sz="8" w:color="D2DCE5"/>
            </w:tcBorders>
            <w:shd w:val="clear" w:color="auto" w:fill="D2DCE5"/>
          </w:tcPr>
          <w:p>
            <w:pPr>
              <w:spacing w:after="0"/>
              <w:rPr>
                <w:sz w:val="14"/>
                <w:szCs w:val="14"/>
                <w:color w:val="auto"/>
              </w:rPr>
            </w:pPr>
          </w:p>
        </w:tc>
      </w:tr>
      <w:tr>
        <w:trPr>
          <w:trHeight w:val="149"/>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10.6†</w:t>
            </w:r>
          </w:p>
        </w:tc>
        <w:tc>
          <w:tcPr>
            <w:tcW w:w="20" w:type="dxa"/>
            <w:vAlign w:val="bottom"/>
          </w:tcPr>
          <w:p>
            <w:pPr>
              <w:spacing w:after="0"/>
              <w:rPr>
                <w:sz w:val="12"/>
                <w:szCs w:val="12"/>
                <w:color w:val="auto"/>
              </w:rPr>
            </w:pPr>
          </w:p>
        </w:tc>
        <w:tc>
          <w:tcPr>
            <w:tcW w:w="4380" w:type="dxa"/>
            <w:vAlign w:val="bottom"/>
            <w:gridSpan w:val="24"/>
          </w:tcPr>
          <w:p>
            <w:pPr>
              <w:spacing w:after="0"/>
              <w:rPr>
                <w:rFonts w:ascii="Arial" w:cs="Arial" w:eastAsia="Arial" w:hAnsi="Arial"/>
                <w:sz w:val="13"/>
                <w:szCs w:val="13"/>
                <w:color w:val="auto"/>
              </w:rPr>
            </w:pPr>
            <w:hyperlink r:id="rId362">
              <w:r>
                <w:rPr>
                  <w:rFonts w:ascii="Arial" w:cs="Arial" w:eastAsia="Arial" w:hAnsi="Arial"/>
                  <w:sz w:val="13"/>
                  <w:szCs w:val="13"/>
                  <w:color w:val="auto"/>
                </w:rPr>
                <w:t>2021 Equity Incentive Plan.</w:t>
              </w:r>
            </w:hyperlink>
          </w:p>
        </w:tc>
        <w:tc>
          <w:tcPr>
            <w:tcW w:w="880" w:type="dxa"/>
            <w:vAlign w:val="bottom"/>
          </w:tcPr>
          <w:p>
            <w:pPr>
              <w:jc w:val="center"/>
              <w:spacing w:after="0"/>
              <w:rPr>
                <w:sz w:val="20"/>
                <w:szCs w:val="20"/>
                <w:color w:val="auto"/>
              </w:rPr>
            </w:pPr>
            <w:r>
              <w:rPr>
                <w:rFonts w:ascii="Arial" w:cs="Arial" w:eastAsia="Arial" w:hAnsi="Arial"/>
                <w:sz w:val="13"/>
                <w:szCs w:val="13"/>
                <w:color w:val="131E29"/>
                <w:w w:val="98"/>
              </w:rPr>
              <w:t>S-8</w:t>
            </w:r>
          </w:p>
        </w:tc>
        <w:tc>
          <w:tcPr>
            <w:tcW w:w="1260" w:type="dxa"/>
            <w:vAlign w:val="bottom"/>
          </w:tcPr>
          <w:p>
            <w:pPr>
              <w:jc w:val="center"/>
              <w:spacing w:after="0"/>
              <w:rPr>
                <w:sz w:val="20"/>
                <w:szCs w:val="20"/>
                <w:color w:val="auto"/>
              </w:rPr>
            </w:pPr>
            <w:r>
              <w:rPr>
                <w:rFonts w:ascii="Arial" w:cs="Arial" w:eastAsia="Arial" w:hAnsi="Arial"/>
                <w:sz w:val="13"/>
                <w:szCs w:val="13"/>
                <w:color w:val="131E29"/>
                <w:w w:val="97"/>
              </w:rPr>
              <w:t>333-259618</w:t>
            </w:r>
          </w:p>
        </w:tc>
        <w:tc>
          <w:tcPr>
            <w:tcW w:w="880" w:type="dxa"/>
            <w:vAlign w:val="bottom"/>
          </w:tcPr>
          <w:p>
            <w:pPr>
              <w:jc w:val="center"/>
              <w:spacing w:after="0"/>
              <w:rPr>
                <w:sz w:val="20"/>
                <w:szCs w:val="20"/>
                <w:color w:val="auto"/>
              </w:rPr>
            </w:pPr>
            <w:r>
              <w:rPr>
                <w:rFonts w:ascii="Arial" w:cs="Arial" w:eastAsia="Arial" w:hAnsi="Arial"/>
                <w:sz w:val="13"/>
                <w:szCs w:val="13"/>
                <w:color w:val="131E29"/>
                <w:w w:val="94"/>
              </w:rPr>
              <w:t>99.1</w:t>
            </w:r>
          </w:p>
        </w:tc>
        <w:tc>
          <w:tcPr>
            <w:tcW w:w="100" w:type="dxa"/>
            <w:vAlign w:val="bottom"/>
          </w:tcPr>
          <w:p>
            <w:pPr>
              <w:spacing w:after="0"/>
              <w:rPr>
                <w:sz w:val="12"/>
                <w:szCs w:val="12"/>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September 17, 2021</w:t>
            </w:r>
          </w:p>
        </w:tc>
        <w:tc>
          <w:tcPr>
            <w:tcW w:w="960" w:type="dxa"/>
            <w:vAlign w:val="bottom"/>
          </w:tcPr>
          <w:p>
            <w:pPr>
              <w:spacing w:after="0"/>
              <w:rPr>
                <w:sz w:val="12"/>
                <w:szCs w:val="12"/>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9"/>
        </w:trPr>
        <w:tc>
          <w:tcPr>
            <w:tcW w:w="108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20" w:type="dxa"/>
            <w:vAlign w:val="bottom"/>
            <w:tcBorders>
              <w:bottom w:val="single" w:sz="8" w:color="D2DCE5"/>
            </w:tcBorders>
            <w:shd w:val="clear" w:color="auto" w:fill="D2DCE5"/>
          </w:tcPr>
          <w:p>
            <w:pPr>
              <w:spacing w:after="0"/>
              <w:rPr>
                <w:sz w:val="12"/>
                <w:szCs w:val="12"/>
                <w:color w:val="auto"/>
              </w:rPr>
            </w:pPr>
          </w:p>
        </w:tc>
        <w:tc>
          <w:tcPr>
            <w:tcW w:w="4200" w:type="dxa"/>
            <w:vAlign w:val="bottom"/>
            <w:tcBorders>
              <w:bottom w:val="single" w:sz="8" w:color="auto"/>
            </w:tcBorders>
            <w:gridSpan w:val="20"/>
            <w:shd w:val="clear" w:color="auto" w:fill="D2DCE5"/>
          </w:tcPr>
          <w:p>
            <w:pPr>
              <w:spacing w:after="0"/>
              <w:rPr>
                <w:rFonts w:ascii="Arial" w:cs="Arial" w:eastAsia="Arial" w:hAnsi="Arial"/>
                <w:sz w:val="13"/>
                <w:szCs w:val="13"/>
                <w:color w:val="auto"/>
                <w:w w:val="97"/>
              </w:rPr>
            </w:pPr>
            <w:hyperlink r:id="rId363">
              <w:r>
                <w:rPr>
                  <w:rFonts w:ascii="Arial" w:cs="Arial" w:eastAsia="Arial" w:hAnsi="Arial"/>
                  <w:sz w:val="13"/>
                  <w:szCs w:val="13"/>
                  <w:color w:val="auto"/>
                  <w:w w:val="97"/>
                </w:rPr>
                <w:t>Form of Stock Option Grant Notice, Stock Option Agreement and Notice of</w:t>
              </w:r>
            </w:hyperlink>
          </w:p>
        </w:tc>
        <w:tc>
          <w:tcPr>
            <w:tcW w:w="180" w:type="dxa"/>
            <w:vAlign w:val="bottom"/>
            <w:tcBorders>
              <w:bottom w:val="single" w:sz="8" w:color="D2DCE5"/>
            </w:tcBorders>
            <w:gridSpan w:val="4"/>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260" w:type="dxa"/>
            <w:vAlign w:val="bottom"/>
            <w:tcBorders>
              <w:bottom w:val="single" w:sz="8" w:color="D2DCE5"/>
            </w:tcBorders>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56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960" w:type="dxa"/>
            <w:vAlign w:val="bottom"/>
            <w:tcBorders>
              <w:bottom w:val="single" w:sz="8" w:color="D2DCE5"/>
            </w:tcBorders>
            <w:shd w:val="clear" w:color="auto" w:fill="D2DCE5"/>
          </w:tcPr>
          <w:p>
            <w:pPr>
              <w:spacing w:after="0"/>
              <w:rPr>
                <w:sz w:val="12"/>
                <w:szCs w:val="12"/>
                <w:color w:val="auto"/>
              </w:rPr>
            </w:pPr>
          </w:p>
        </w:tc>
      </w:tr>
      <w:tr>
        <w:trPr>
          <w:trHeight w:val="167"/>
        </w:trPr>
        <w:tc>
          <w:tcPr>
            <w:tcW w:w="1160" w:type="dxa"/>
            <w:vAlign w:val="bottom"/>
            <w:tcBorders>
              <w:bottom w:val="single" w:sz="8" w:color="D2DCE5"/>
            </w:tcBorders>
            <w:gridSpan w:val="2"/>
            <w:shd w:val="clear" w:color="auto" w:fill="D2DCE5"/>
          </w:tcPr>
          <w:p>
            <w:pPr>
              <w:jc w:val="center"/>
              <w:ind w:right="80"/>
              <w:spacing w:after="0" w:line="129" w:lineRule="exact"/>
              <w:rPr>
                <w:sz w:val="20"/>
                <w:szCs w:val="20"/>
                <w:color w:val="auto"/>
              </w:rPr>
            </w:pPr>
            <w:r>
              <w:rPr>
                <w:rFonts w:ascii="Arial" w:cs="Arial" w:eastAsia="Arial" w:hAnsi="Arial"/>
                <w:sz w:val="13"/>
                <w:szCs w:val="13"/>
                <w:color w:val="131E29"/>
                <w:w w:val="98"/>
              </w:rPr>
              <w:t>10.7†</w:t>
            </w:r>
          </w:p>
        </w:tc>
        <w:tc>
          <w:tcPr>
            <w:tcW w:w="20" w:type="dxa"/>
            <w:vAlign w:val="bottom"/>
            <w:tcBorders>
              <w:bottom w:val="single" w:sz="8" w:color="D2DCE5"/>
            </w:tcBorders>
            <w:shd w:val="clear" w:color="auto" w:fill="D2DCE5"/>
          </w:tcPr>
          <w:p>
            <w:pPr>
              <w:spacing w:after="0"/>
              <w:rPr>
                <w:sz w:val="14"/>
                <w:szCs w:val="14"/>
                <w:color w:val="auto"/>
              </w:rPr>
            </w:pPr>
          </w:p>
        </w:tc>
        <w:tc>
          <w:tcPr>
            <w:tcW w:w="2640" w:type="dxa"/>
            <w:vAlign w:val="bottom"/>
            <w:tcBorders>
              <w:bottom w:val="single" w:sz="8" w:color="auto"/>
            </w:tcBorders>
            <w:gridSpan w:val="10"/>
            <w:shd w:val="clear" w:color="auto" w:fill="D2DCE5"/>
          </w:tcPr>
          <w:p>
            <w:pPr>
              <w:spacing w:after="0" w:line="118" w:lineRule="exact"/>
              <w:rPr>
                <w:rFonts w:ascii="Arial" w:cs="Arial" w:eastAsia="Arial" w:hAnsi="Arial"/>
                <w:sz w:val="13"/>
                <w:szCs w:val="13"/>
                <w:color w:val="auto"/>
                <w:w w:val="97"/>
              </w:rPr>
            </w:pPr>
            <w:hyperlink r:id="rId363">
              <w:r>
                <w:rPr>
                  <w:rFonts w:ascii="Arial" w:cs="Arial" w:eastAsia="Arial" w:hAnsi="Arial"/>
                  <w:sz w:val="13"/>
                  <w:szCs w:val="13"/>
                  <w:color w:val="auto"/>
                  <w:w w:val="97"/>
                </w:rPr>
                <w:t>Exercise under the 2021 Equity Incentive Plan.</w:t>
              </w:r>
            </w:hyperlink>
          </w:p>
        </w:tc>
        <w:tc>
          <w:tcPr>
            <w:tcW w:w="1120" w:type="dxa"/>
            <w:vAlign w:val="bottom"/>
            <w:tcBorders>
              <w:bottom w:val="single" w:sz="8" w:color="D2DCE5"/>
            </w:tcBorders>
            <w:gridSpan w:val="3"/>
            <w:shd w:val="clear" w:color="auto" w:fill="D2DCE5"/>
          </w:tcPr>
          <w:p>
            <w:pPr>
              <w:spacing w:after="0"/>
              <w:rPr>
                <w:sz w:val="14"/>
                <w:szCs w:val="14"/>
                <w:color w:val="auto"/>
              </w:rPr>
            </w:pPr>
          </w:p>
        </w:tc>
        <w:tc>
          <w:tcPr>
            <w:tcW w:w="80" w:type="dxa"/>
            <w:vAlign w:val="bottom"/>
            <w:tcBorders>
              <w:bottom w:val="single" w:sz="8" w:color="D2DCE5"/>
            </w:tcBorders>
            <w:gridSpan w:val="2"/>
            <w:shd w:val="clear" w:color="auto" w:fill="D2DCE5"/>
          </w:tcPr>
          <w:p>
            <w:pPr>
              <w:spacing w:after="0"/>
              <w:rPr>
                <w:sz w:val="14"/>
                <w:szCs w:val="14"/>
                <w:color w:val="auto"/>
              </w:rPr>
            </w:pPr>
          </w:p>
        </w:tc>
        <w:tc>
          <w:tcPr>
            <w:tcW w:w="180" w:type="dxa"/>
            <w:vAlign w:val="bottom"/>
            <w:tcBorders>
              <w:bottom w:val="single" w:sz="8" w:color="D2DCE5"/>
            </w:tcBorders>
            <w:gridSpan w:val="2"/>
            <w:shd w:val="clear" w:color="auto" w:fill="D2DCE5"/>
          </w:tcPr>
          <w:p>
            <w:pPr>
              <w:spacing w:after="0"/>
              <w:rPr>
                <w:sz w:val="14"/>
                <w:szCs w:val="14"/>
                <w:color w:val="auto"/>
              </w:rPr>
            </w:pPr>
          </w:p>
        </w:tc>
        <w:tc>
          <w:tcPr>
            <w:tcW w:w="60" w:type="dxa"/>
            <w:vAlign w:val="bottom"/>
            <w:tcBorders>
              <w:bottom w:val="single" w:sz="8" w:color="D2DCE5"/>
            </w:tcBorders>
            <w:shd w:val="clear" w:color="auto" w:fill="D2DCE5"/>
          </w:tcPr>
          <w:p>
            <w:pPr>
              <w:spacing w:after="0"/>
              <w:rPr>
                <w:sz w:val="14"/>
                <w:szCs w:val="14"/>
                <w:color w:val="auto"/>
              </w:rPr>
            </w:pPr>
          </w:p>
        </w:tc>
        <w:tc>
          <w:tcPr>
            <w:tcW w:w="300" w:type="dxa"/>
            <w:vAlign w:val="bottom"/>
            <w:tcBorders>
              <w:bottom w:val="single" w:sz="8" w:color="D2DCE5"/>
            </w:tcBorders>
            <w:gridSpan w:val="6"/>
            <w:shd w:val="clear" w:color="auto" w:fill="D2DCE5"/>
          </w:tcPr>
          <w:p>
            <w:pPr>
              <w:spacing w:after="0"/>
              <w:rPr>
                <w:sz w:val="14"/>
                <w:szCs w:val="14"/>
                <w:color w:val="auto"/>
              </w:rPr>
            </w:pPr>
          </w:p>
        </w:tc>
        <w:tc>
          <w:tcPr>
            <w:tcW w:w="880" w:type="dxa"/>
            <w:vAlign w:val="bottom"/>
            <w:tcBorders>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8"/>
              </w:rPr>
              <w:t>S-1/A</w:t>
            </w:r>
          </w:p>
        </w:tc>
        <w:tc>
          <w:tcPr>
            <w:tcW w:w="1260" w:type="dxa"/>
            <w:vAlign w:val="bottom"/>
            <w:tcBorders>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7"/>
              </w:rPr>
              <w:t>333-258988</w:t>
            </w:r>
          </w:p>
        </w:tc>
        <w:tc>
          <w:tcPr>
            <w:tcW w:w="880" w:type="dxa"/>
            <w:vAlign w:val="bottom"/>
            <w:tcBorders>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4"/>
              </w:rPr>
              <w:t>10.8</w:t>
            </w:r>
          </w:p>
        </w:tc>
        <w:tc>
          <w:tcPr>
            <w:tcW w:w="100" w:type="dxa"/>
            <w:vAlign w:val="bottom"/>
            <w:tcBorders>
              <w:bottom w:val="single" w:sz="8" w:color="D2DCE5"/>
            </w:tcBorders>
            <w:shd w:val="clear" w:color="auto" w:fill="D2DCE5"/>
          </w:tcPr>
          <w:p>
            <w:pPr>
              <w:spacing w:after="0"/>
              <w:rPr>
                <w:sz w:val="14"/>
                <w:szCs w:val="14"/>
                <w:color w:val="auto"/>
              </w:rPr>
            </w:pPr>
          </w:p>
        </w:tc>
        <w:tc>
          <w:tcPr>
            <w:tcW w:w="1640" w:type="dxa"/>
            <w:vAlign w:val="bottom"/>
            <w:tcBorders>
              <w:bottom w:val="single" w:sz="8" w:color="D2DCE5"/>
            </w:tcBorders>
            <w:gridSpan w:val="2"/>
            <w:shd w:val="clear" w:color="auto" w:fill="D2DCE5"/>
          </w:tcPr>
          <w:p>
            <w:pPr>
              <w:jc w:val="center"/>
              <w:ind w:right="80"/>
              <w:spacing w:after="0" w:line="129" w:lineRule="exact"/>
              <w:rPr>
                <w:sz w:val="20"/>
                <w:szCs w:val="20"/>
                <w:color w:val="auto"/>
              </w:rPr>
            </w:pPr>
            <w:r>
              <w:rPr>
                <w:rFonts w:ascii="Arial" w:cs="Arial" w:eastAsia="Arial" w:hAnsi="Arial"/>
                <w:sz w:val="13"/>
                <w:szCs w:val="13"/>
                <w:color w:val="131E29"/>
                <w:w w:val="97"/>
              </w:rPr>
              <w:t>September 7, 2021</w:t>
            </w:r>
          </w:p>
        </w:tc>
        <w:tc>
          <w:tcPr>
            <w:tcW w:w="960" w:type="dxa"/>
            <w:vAlign w:val="bottom"/>
            <w:tcBorders>
              <w:bottom w:val="single" w:sz="8" w:color="D2DCE5"/>
            </w:tcBorders>
            <w:shd w:val="clear" w:color="auto" w:fill="D2DCE5"/>
          </w:tcPr>
          <w:p>
            <w:pPr>
              <w:spacing w:after="0"/>
              <w:rPr>
                <w:sz w:val="14"/>
                <w:szCs w:val="14"/>
                <w:color w:val="auto"/>
              </w:rPr>
            </w:pPr>
          </w:p>
        </w:tc>
      </w:tr>
      <w:tr>
        <w:trPr>
          <w:trHeight w:val="149"/>
        </w:trPr>
        <w:tc>
          <w:tcPr>
            <w:tcW w:w="1080" w:type="dxa"/>
            <w:vAlign w:val="bottom"/>
            <w:tcBorders>
              <w:top w:val="single" w:sz="8" w:color="D2DCE5"/>
            </w:tcBorders>
          </w:tcPr>
          <w:p>
            <w:pPr>
              <w:spacing w:after="0"/>
              <w:rPr>
                <w:sz w:val="12"/>
                <w:szCs w:val="12"/>
                <w:color w:val="auto"/>
              </w:rPr>
            </w:pP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4080" w:type="dxa"/>
            <w:vAlign w:val="bottom"/>
            <w:tcBorders>
              <w:top w:val="single" w:sz="8" w:color="D2DCE5"/>
              <w:bottom w:val="single" w:sz="8" w:color="auto"/>
            </w:tcBorders>
            <w:gridSpan w:val="18"/>
          </w:tcPr>
          <w:p>
            <w:pPr>
              <w:spacing w:after="0"/>
              <w:rPr>
                <w:rFonts w:ascii="Arial" w:cs="Arial" w:eastAsia="Arial" w:hAnsi="Arial"/>
                <w:sz w:val="13"/>
                <w:szCs w:val="13"/>
                <w:color w:val="auto"/>
                <w:w w:val="97"/>
              </w:rPr>
            </w:pPr>
            <w:hyperlink r:id="rId364">
              <w:r>
                <w:rPr>
                  <w:rFonts w:ascii="Arial" w:cs="Arial" w:eastAsia="Arial" w:hAnsi="Arial"/>
                  <w:sz w:val="13"/>
                  <w:szCs w:val="13"/>
                  <w:color w:val="auto"/>
                  <w:w w:val="97"/>
                </w:rPr>
                <w:t>Form of RSU Award Grant Notice and Award Agreement under the 2021</w:t>
              </w:r>
            </w:hyperlink>
          </w:p>
        </w:tc>
        <w:tc>
          <w:tcPr>
            <w:tcW w:w="300" w:type="dxa"/>
            <w:vAlign w:val="bottom"/>
            <w:tcBorders>
              <w:top w:val="single" w:sz="8" w:color="D2DCE5"/>
            </w:tcBorders>
            <w:gridSpan w:val="6"/>
          </w:tcPr>
          <w:p>
            <w:pPr>
              <w:spacing w:after="0"/>
              <w:rPr>
                <w:sz w:val="12"/>
                <w:szCs w:val="12"/>
                <w:color w:val="auto"/>
              </w:rPr>
            </w:pPr>
          </w:p>
        </w:tc>
        <w:tc>
          <w:tcPr>
            <w:tcW w:w="880" w:type="dxa"/>
            <w:vAlign w:val="bottom"/>
            <w:tcBorders>
              <w:top w:val="single" w:sz="8" w:color="D2DCE5"/>
            </w:tcBorders>
          </w:tcPr>
          <w:p>
            <w:pPr>
              <w:spacing w:after="0"/>
              <w:rPr>
                <w:sz w:val="12"/>
                <w:szCs w:val="12"/>
                <w:color w:val="auto"/>
              </w:rPr>
            </w:pPr>
          </w:p>
        </w:tc>
        <w:tc>
          <w:tcPr>
            <w:tcW w:w="1260" w:type="dxa"/>
            <w:vAlign w:val="bottom"/>
            <w:tcBorders>
              <w:top w:val="single" w:sz="8" w:color="D2DCE5"/>
            </w:tcBorders>
          </w:tcPr>
          <w:p>
            <w:pPr>
              <w:spacing w:after="0"/>
              <w:rPr>
                <w:sz w:val="12"/>
                <w:szCs w:val="12"/>
                <w:color w:val="auto"/>
              </w:rPr>
            </w:pPr>
          </w:p>
        </w:tc>
        <w:tc>
          <w:tcPr>
            <w:tcW w:w="880" w:type="dxa"/>
            <w:vAlign w:val="bottom"/>
            <w:tcBorders>
              <w:top w:val="single" w:sz="8" w:color="D2DCE5"/>
            </w:tcBorders>
          </w:tcPr>
          <w:p>
            <w:pPr>
              <w:spacing w:after="0"/>
              <w:rPr>
                <w:sz w:val="12"/>
                <w:szCs w:val="12"/>
                <w:color w:val="auto"/>
              </w:rPr>
            </w:pPr>
          </w:p>
        </w:tc>
        <w:tc>
          <w:tcPr>
            <w:tcW w:w="100" w:type="dxa"/>
            <w:vAlign w:val="bottom"/>
            <w:tcBorders>
              <w:top w:val="single" w:sz="8" w:color="D2DCE5"/>
            </w:tcBorders>
          </w:tcPr>
          <w:p>
            <w:pPr>
              <w:spacing w:after="0"/>
              <w:rPr>
                <w:sz w:val="12"/>
                <w:szCs w:val="12"/>
                <w:color w:val="auto"/>
              </w:rPr>
            </w:pPr>
          </w:p>
        </w:tc>
        <w:tc>
          <w:tcPr>
            <w:tcW w:w="1560" w:type="dxa"/>
            <w:vAlign w:val="bottom"/>
            <w:tcBorders>
              <w:top w:val="single" w:sz="8" w:color="D2DCE5"/>
            </w:tcBorders>
          </w:tcPr>
          <w:p>
            <w:pPr>
              <w:spacing w:after="0"/>
              <w:rPr>
                <w:sz w:val="12"/>
                <w:szCs w:val="12"/>
                <w:color w:val="auto"/>
              </w:rPr>
            </w:pPr>
          </w:p>
        </w:tc>
        <w:tc>
          <w:tcPr>
            <w:tcW w:w="80" w:type="dxa"/>
            <w:vAlign w:val="bottom"/>
            <w:tcBorders>
              <w:top w:val="single" w:sz="8" w:color="D2DCE5"/>
            </w:tcBorders>
          </w:tcPr>
          <w:p>
            <w:pPr>
              <w:spacing w:after="0"/>
              <w:rPr>
                <w:sz w:val="12"/>
                <w:szCs w:val="12"/>
                <w:color w:val="auto"/>
              </w:rPr>
            </w:pPr>
          </w:p>
        </w:tc>
        <w:tc>
          <w:tcPr>
            <w:tcW w:w="960" w:type="dxa"/>
            <w:vAlign w:val="bottom"/>
            <w:tcBorders>
              <w:top w:val="single" w:sz="8" w:color="D2DCE5"/>
            </w:tcBorders>
          </w:tcPr>
          <w:p>
            <w:pPr>
              <w:spacing w:after="0"/>
              <w:rPr>
                <w:sz w:val="12"/>
                <w:szCs w:val="12"/>
                <w:color w:val="auto"/>
              </w:rPr>
            </w:pPr>
          </w:p>
        </w:tc>
      </w:tr>
      <w:tr>
        <w:trPr>
          <w:trHeight w:val="129"/>
        </w:trPr>
        <w:tc>
          <w:tcPr>
            <w:tcW w:w="1160" w:type="dxa"/>
            <w:vAlign w:val="bottom"/>
            <w:gridSpan w:val="2"/>
          </w:tcPr>
          <w:p>
            <w:pPr>
              <w:jc w:val="center"/>
              <w:ind w:right="80"/>
              <w:spacing w:after="0" w:line="129" w:lineRule="exact"/>
              <w:rPr>
                <w:sz w:val="20"/>
                <w:szCs w:val="20"/>
                <w:color w:val="auto"/>
              </w:rPr>
            </w:pPr>
            <w:r>
              <w:rPr>
                <w:rFonts w:ascii="Arial" w:cs="Arial" w:eastAsia="Arial" w:hAnsi="Arial"/>
                <w:sz w:val="13"/>
                <w:szCs w:val="13"/>
                <w:color w:val="131E29"/>
                <w:w w:val="98"/>
              </w:rPr>
              <w:t>10.8†</w:t>
            </w:r>
          </w:p>
        </w:tc>
        <w:tc>
          <w:tcPr>
            <w:tcW w:w="20" w:type="dxa"/>
            <w:vAlign w:val="bottom"/>
          </w:tcPr>
          <w:p>
            <w:pPr>
              <w:spacing w:after="0"/>
              <w:rPr>
                <w:sz w:val="11"/>
                <w:szCs w:val="11"/>
                <w:color w:val="auto"/>
              </w:rPr>
            </w:pPr>
          </w:p>
        </w:tc>
        <w:tc>
          <w:tcPr>
            <w:tcW w:w="1220" w:type="dxa"/>
            <w:vAlign w:val="bottom"/>
            <w:tcBorders>
              <w:bottom w:val="single" w:sz="8" w:color="auto"/>
            </w:tcBorders>
            <w:gridSpan w:val="2"/>
          </w:tcPr>
          <w:p>
            <w:pPr>
              <w:spacing w:after="0" w:line="118" w:lineRule="exact"/>
              <w:rPr>
                <w:rFonts w:ascii="Arial" w:cs="Arial" w:eastAsia="Arial" w:hAnsi="Arial"/>
                <w:sz w:val="13"/>
                <w:szCs w:val="13"/>
                <w:color w:val="auto"/>
                <w:w w:val="95"/>
              </w:rPr>
            </w:pPr>
            <w:hyperlink r:id="rId364">
              <w:r>
                <w:rPr>
                  <w:rFonts w:ascii="Arial" w:cs="Arial" w:eastAsia="Arial" w:hAnsi="Arial"/>
                  <w:sz w:val="13"/>
                  <w:szCs w:val="13"/>
                  <w:color w:val="auto"/>
                  <w:w w:val="95"/>
                </w:rPr>
                <w:t>Equity Incentive Plan.</w:t>
              </w:r>
            </w:hyperlink>
          </w:p>
        </w:tc>
        <w:tc>
          <w:tcPr>
            <w:tcW w:w="520" w:type="dxa"/>
            <w:vAlign w:val="bottom"/>
            <w:gridSpan w:val="3"/>
          </w:tcPr>
          <w:p>
            <w:pPr>
              <w:spacing w:after="0"/>
              <w:rPr>
                <w:sz w:val="11"/>
                <w:szCs w:val="11"/>
                <w:color w:val="auto"/>
              </w:rPr>
            </w:pPr>
          </w:p>
        </w:tc>
        <w:tc>
          <w:tcPr>
            <w:tcW w:w="380" w:type="dxa"/>
            <w:vAlign w:val="bottom"/>
            <w:gridSpan w:val="3"/>
          </w:tcPr>
          <w:p>
            <w:pPr>
              <w:spacing w:after="0"/>
              <w:rPr>
                <w:sz w:val="11"/>
                <w:szCs w:val="11"/>
                <w:color w:val="auto"/>
              </w:rPr>
            </w:pPr>
          </w:p>
        </w:tc>
        <w:tc>
          <w:tcPr>
            <w:tcW w:w="1640" w:type="dxa"/>
            <w:vAlign w:val="bottom"/>
            <w:gridSpan w:val="5"/>
          </w:tcPr>
          <w:p>
            <w:pPr>
              <w:spacing w:after="0"/>
              <w:rPr>
                <w:sz w:val="11"/>
                <w:szCs w:val="11"/>
                <w:color w:val="auto"/>
              </w:rPr>
            </w:pPr>
          </w:p>
        </w:tc>
        <w:tc>
          <w:tcPr>
            <w:tcW w:w="80" w:type="dxa"/>
            <w:vAlign w:val="bottom"/>
            <w:gridSpan w:val="2"/>
          </w:tcPr>
          <w:p>
            <w:pPr>
              <w:spacing w:after="0"/>
              <w:rPr>
                <w:sz w:val="11"/>
                <w:szCs w:val="11"/>
                <w:color w:val="auto"/>
              </w:rPr>
            </w:pPr>
          </w:p>
        </w:tc>
        <w:tc>
          <w:tcPr>
            <w:tcW w:w="180" w:type="dxa"/>
            <w:vAlign w:val="bottom"/>
            <w:gridSpan w:val="2"/>
          </w:tcPr>
          <w:p>
            <w:pPr>
              <w:spacing w:after="0"/>
              <w:rPr>
                <w:sz w:val="11"/>
                <w:szCs w:val="11"/>
                <w:color w:val="auto"/>
              </w:rPr>
            </w:pPr>
          </w:p>
        </w:tc>
        <w:tc>
          <w:tcPr>
            <w:tcW w:w="360" w:type="dxa"/>
            <w:vAlign w:val="bottom"/>
            <w:gridSpan w:val="7"/>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3"/>
                <w:szCs w:val="13"/>
                <w:color w:val="131E29"/>
                <w:w w:val="98"/>
              </w:rPr>
              <w:t>S-1/A</w:t>
            </w:r>
          </w:p>
        </w:tc>
        <w:tc>
          <w:tcPr>
            <w:tcW w:w="1260" w:type="dxa"/>
            <w:vAlign w:val="bottom"/>
          </w:tcPr>
          <w:p>
            <w:pPr>
              <w:jc w:val="center"/>
              <w:spacing w:after="0" w:line="129" w:lineRule="exact"/>
              <w:rPr>
                <w:sz w:val="20"/>
                <w:szCs w:val="20"/>
                <w:color w:val="auto"/>
              </w:rPr>
            </w:pPr>
            <w:r>
              <w:rPr>
                <w:rFonts w:ascii="Arial" w:cs="Arial" w:eastAsia="Arial" w:hAnsi="Arial"/>
                <w:sz w:val="13"/>
                <w:szCs w:val="13"/>
                <w:color w:val="131E29"/>
                <w:w w:val="97"/>
              </w:rPr>
              <w:t>333-258988</w:t>
            </w:r>
          </w:p>
        </w:tc>
        <w:tc>
          <w:tcPr>
            <w:tcW w:w="880" w:type="dxa"/>
            <w:vAlign w:val="bottom"/>
          </w:tcPr>
          <w:p>
            <w:pPr>
              <w:jc w:val="center"/>
              <w:spacing w:after="0" w:line="129" w:lineRule="exact"/>
              <w:rPr>
                <w:sz w:val="20"/>
                <w:szCs w:val="20"/>
                <w:color w:val="auto"/>
              </w:rPr>
            </w:pPr>
            <w:r>
              <w:rPr>
                <w:rFonts w:ascii="Arial" w:cs="Arial" w:eastAsia="Arial" w:hAnsi="Arial"/>
                <w:sz w:val="13"/>
                <w:szCs w:val="13"/>
                <w:color w:val="131E29"/>
                <w:w w:val="94"/>
              </w:rPr>
              <w:t>10.9</w:t>
            </w: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29" w:lineRule="exact"/>
              <w:rPr>
                <w:sz w:val="20"/>
                <w:szCs w:val="20"/>
                <w:color w:val="auto"/>
              </w:rPr>
            </w:pPr>
            <w:r>
              <w:rPr>
                <w:rFonts w:ascii="Arial" w:cs="Arial" w:eastAsia="Arial" w:hAnsi="Arial"/>
                <w:sz w:val="13"/>
                <w:szCs w:val="13"/>
                <w:color w:val="131E29"/>
                <w:w w:val="97"/>
              </w:rPr>
              <w:t>September 7, 2021</w:t>
            </w:r>
          </w:p>
        </w:tc>
        <w:tc>
          <w:tcPr>
            <w:tcW w:w="960" w:type="dxa"/>
            <w:vAlign w:val="bottom"/>
          </w:tcPr>
          <w:p>
            <w:pPr>
              <w:spacing w:after="0"/>
              <w:rPr>
                <w:sz w:val="11"/>
                <w:szCs w:val="11"/>
                <w:color w:val="auto"/>
              </w:rPr>
            </w:pPr>
          </w:p>
        </w:tc>
      </w:tr>
      <w:tr>
        <w:trPr>
          <w:trHeight w:val="3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49"/>
        </w:trPr>
        <w:tc>
          <w:tcPr>
            <w:tcW w:w="108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20" w:type="dxa"/>
            <w:vAlign w:val="bottom"/>
            <w:tcBorders>
              <w:bottom w:val="single" w:sz="8" w:color="D2DCE5"/>
            </w:tcBorders>
            <w:shd w:val="clear" w:color="auto" w:fill="D2DCE5"/>
          </w:tcPr>
          <w:p>
            <w:pPr>
              <w:spacing w:after="0"/>
              <w:rPr>
                <w:sz w:val="12"/>
                <w:szCs w:val="12"/>
                <w:color w:val="auto"/>
              </w:rPr>
            </w:pPr>
          </w:p>
        </w:tc>
        <w:tc>
          <w:tcPr>
            <w:tcW w:w="4020" w:type="dxa"/>
            <w:vAlign w:val="bottom"/>
            <w:tcBorders>
              <w:bottom w:val="single" w:sz="8" w:color="auto"/>
            </w:tcBorders>
            <w:gridSpan w:val="17"/>
            <w:shd w:val="clear" w:color="auto" w:fill="D2DCE5"/>
          </w:tcPr>
          <w:p>
            <w:pPr>
              <w:spacing w:after="0"/>
              <w:rPr>
                <w:rFonts w:ascii="Arial" w:cs="Arial" w:eastAsia="Arial" w:hAnsi="Arial"/>
                <w:sz w:val="13"/>
                <w:szCs w:val="13"/>
                <w:color w:val="auto"/>
                <w:w w:val="97"/>
              </w:rPr>
            </w:pPr>
            <w:hyperlink r:id="rId365">
              <w:r>
                <w:rPr>
                  <w:rFonts w:ascii="Arial" w:cs="Arial" w:eastAsia="Arial" w:hAnsi="Arial"/>
                  <w:sz w:val="13"/>
                  <w:szCs w:val="13"/>
                  <w:color w:val="auto"/>
                  <w:w w:val="97"/>
                </w:rPr>
                <w:t>Form of Restricted Stock Grant Notice and Restricted Stock Agreement</w:t>
              </w:r>
            </w:hyperlink>
          </w:p>
        </w:tc>
        <w:tc>
          <w:tcPr>
            <w:tcW w:w="360" w:type="dxa"/>
            <w:vAlign w:val="bottom"/>
            <w:tcBorders>
              <w:bottom w:val="single" w:sz="8" w:color="D2DCE5"/>
            </w:tcBorders>
            <w:gridSpan w:val="7"/>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260" w:type="dxa"/>
            <w:vAlign w:val="bottom"/>
            <w:tcBorders>
              <w:bottom w:val="single" w:sz="8" w:color="D2DCE5"/>
            </w:tcBorders>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56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960" w:type="dxa"/>
            <w:vAlign w:val="bottom"/>
            <w:tcBorders>
              <w:bottom w:val="single" w:sz="8" w:color="D2DCE5"/>
            </w:tcBorders>
            <w:shd w:val="clear" w:color="auto" w:fill="D2DCE5"/>
          </w:tcPr>
          <w:p>
            <w:pPr>
              <w:spacing w:after="0"/>
              <w:rPr>
                <w:sz w:val="12"/>
                <w:szCs w:val="12"/>
                <w:color w:val="auto"/>
              </w:rPr>
            </w:pPr>
          </w:p>
        </w:tc>
      </w:tr>
      <w:tr>
        <w:trPr>
          <w:trHeight w:val="162"/>
        </w:trPr>
        <w:tc>
          <w:tcPr>
            <w:tcW w:w="1160" w:type="dxa"/>
            <w:vAlign w:val="bottom"/>
            <w:tcBorders>
              <w:bottom w:val="single" w:sz="8" w:color="D2DCE5"/>
            </w:tcBorders>
            <w:gridSpan w:val="2"/>
            <w:shd w:val="clear" w:color="auto" w:fill="D2DCE5"/>
          </w:tcPr>
          <w:p>
            <w:pPr>
              <w:jc w:val="center"/>
              <w:ind w:right="80"/>
              <w:spacing w:after="0" w:line="118" w:lineRule="exact"/>
              <w:rPr>
                <w:sz w:val="20"/>
                <w:szCs w:val="20"/>
                <w:color w:val="auto"/>
              </w:rPr>
            </w:pPr>
            <w:r>
              <w:rPr>
                <w:rFonts w:ascii="Arial" w:cs="Arial" w:eastAsia="Arial" w:hAnsi="Arial"/>
                <w:sz w:val="13"/>
                <w:szCs w:val="13"/>
                <w:color w:val="131E29"/>
                <w:w w:val="98"/>
              </w:rPr>
              <w:t>10.9†</w:t>
            </w:r>
          </w:p>
        </w:tc>
        <w:tc>
          <w:tcPr>
            <w:tcW w:w="20" w:type="dxa"/>
            <w:vAlign w:val="bottom"/>
            <w:tcBorders>
              <w:bottom w:val="single" w:sz="8" w:color="D2DCE5"/>
            </w:tcBorders>
            <w:shd w:val="clear" w:color="auto" w:fill="D2DCE5"/>
          </w:tcPr>
          <w:p>
            <w:pPr>
              <w:spacing w:after="0"/>
              <w:rPr>
                <w:sz w:val="14"/>
                <w:szCs w:val="14"/>
                <w:color w:val="auto"/>
              </w:rPr>
            </w:pPr>
          </w:p>
        </w:tc>
        <w:tc>
          <w:tcPr>
            <w:tcW w:w="2120" w:type="dxa"/>
            <w:vAlign w:val="bottom"/>
            <w:tcBorders>
              <w:bottom w:val="single" w:sz="8" w:color="auto"/>
            </w:tcBorders>
            <w:gridSpan w:val="8"/>
            <w:shd w:val="clear" w:color="auto" w:fill="D2DCE5"/>
          </w:tcPr>
          <w:p>
            <w:pPr>
              <w:spacing w:after="0" w:line="118" w:lineRule="exact"/>
              <w:rPr>
                <w:rFonts w:ascii="Arial" w:cs="Arial" w:eastAsia="Arial" w:hAnsi="Arial"/>
                <w:sz w:val="13"/>
                <w:szCs w:val="13"/>
                <w:color w:val="auto"/>
                <w:w w:val="97"/>
              </w:rPr>
            </w:pPr>
            <w:hyperlink r:id="rId365">
              <w:r>
                <w:rPr>
                  <w:rFonts w:ascii="Arial" w:cs="Arial" w:eastAsia="Arial" w:hAnsi="Arial"/>
                  <w:sz w:val="13"/>
                  <w:szCs w:val="13"/>
                  <w:color w:val="auto"/>
                  <w:w w:val="97"/>
                </w:rPr>
                <w:t>under the 2021 Equity Incentive Plan.</w:t>
              </w:r>
            </w:hyperlink>
          </w:p>
        </w:tc>
        <w:tc>
          <w:tcPr>
            <w:tcW w:w="2260" w:type="dxa"/>
            <w:vAlign w:val="bottom"/>
            <w:tcBorders>
              <w:bottom w:val="single" w:sz="8" w:color="D2DCE5"/>
            </w:tcBorders>
            <w:gridSpan w:val="16"/>
            <w:shd w:val="clear" w:color="auto" w:fill="D2DCE5"/>
          </w:tcPr>
          <w:p>
            <w:pPr>
              <w:spacing w:after="0"/>
              <w:rPr>
                <w:sz w:val="14"/>
                <w:szCs w:val="14"/>
                <w:color w:val="auto"/>
              </w:rPr>
            </w:pPr>
          </w:p>
        </w:tc>
        <w:tc>
          <w:tcPr>
            <w:tcW w:w="880" w:type="dxa"/>
            <w:vAlign w:val="bottom"/>
            <w:tcBorders>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8"/>
              </w:rPr>
              <w:t>S-1/A</w:t>
            </w:r>
          </w:p>
        </w:tc>
        <w:tc>
          <w:tcPr>
            <w:tcW w:w="1260" w:type="dxa"/>
            <w:vAlign w:val="bottom"/>
            <w:tcBorders>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7"/>
              </w:rPr>
              <w:t>333-258988</w:t>
            </w:r>
          </w:p>
        </w:tc>
        <w:tc>
          <w:tcPr>
            <w:tcW w:w="880" w:type="dxa"/>
            <w:vAlign w:val="bottom"/>
            <w:tcBorders>
              <w:bottom w:val="single" w:sz="8" w:color="D2DCE5"/>
            </w:tcBorders>
            <w:shd w:val="clear" w:color="auto" w:fill="D2DCE5"/>
          </w:tcPr>
          <w:p>
            <w:pPr>
              <w:jc w:val="center"/>
              <w:spacing w:after="0" w:line="118" w:lineRule="exact"/>
              <w:rPr>
                <w:sz w:val="20"/>
                <w:szCs w:val="20"/>
                <w:color w:val="auto"/>
              </w:rPr>
            </w:pPr>
            <w:r>
              <w:rPr>
                <w:rFonts w:ascii="Arial" w:cs="Arial" w:eastAsia="Arial" w:hAnsi="Arial"/>
                <w:sz w:val="13"/>
                <w:szCs w:val="13"/>
                <w:color w:val="131E29"/>
                <w:w w:val="94"/>
              </w:rPr>
              <w:t>10.1</w:t>
            </w:r>
          </w:p>
        </w:tc>
        <w:tc>
          <w:tcPr>
            <w:tcW w:w="100" w:type="dxa"/>
            <w:vAlign w:val="bottom"/>
            <w:tcBorders>
              <w:bottom w:val="single" w:sz="8" w:color="D2DCE5"/>
            </w:tcBorders>
            <w:shd w:val="clear" w:color="auto" w:fill="D2DCE5"/>
          </w:tcPr>
          <w:p>
            <w:pPr>
              <w:spacing w:after="0"/>
              <w:rPr>
                <w:sz w:val="14"/>
                <w:szCs w:val="14"/>
                <w:color w:val="auto"/>
              </w:rPr>
            </w:pPr>
          </w:p>
        </w:tc>
        <w:tc>
          <w:tcPr>
            <w:tcW w:w="1640" w:type="dxa"/>
            <w:vAlign w:val="bottom"/>
            <w:tcBorders>
              <w:bottom w:val="single" w:sz="8" w:color="D2DCE5"/>
            </w:tcBorders>
            <w:gridSpan w:val="2"/>
            <w:shd w:val="clear" w:color="auto" w:fill="D2DCE5"/>
          </w:tcPr>
          <w:p>
            <w:pPr>
              <w:jc w:val="center"/>
              <w:ind w:right="80"/>
              <w:spacing w:after="0" w:line="118" w:lineRule="exact"/>
              <w:rPr>
                <w:sz w:val="20"/>
                <w:szCs w:val="20"/>
                <w:color w:val="auto"/>
              </w:rPr>
            </w:pPr>
            <w:r>
              <w:rPr>
                <w:rFonts w:ascii="Arial" w:cs="Arial" w:eastAsia="Arial" w:hAnsi="Arial"/>
                <w:sz w:val="13"/>
                <w:szCs w:val="13"/>
                <w:color w:val="131E29"/>
                <w:w w:val="97"/>
              </w:rPr>
              <w:t>September 7, 2021</w:t>
            </w:r>
          </w:p>
        </w:tc>
        <w:tc>
          <w:tcPr>
            <w:tcW w:w="960" w:type="dxa"/>
            <w:vAlign w:val="bottom"/>
            <w:tcBorders>
              <w:bottom w:val="single" w:sz="8" w:color="D2DCE5"/>
            </w:tcBorders>
            <w:shd w:val="clear" w:color="auto" w:fill="D2DCE5"/>
          </w:tcPr>
          <w:p>
            <w:pPr>
              <w:spacing w:after="0"/>
              <w:rPr>
                <w:sz w:val="14"/>
                <w:szCs w:val="14"/>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gridSpan w:val="24"/>
          </w:tcPr>
          <w:p>
            <w:pPr>
              <w:spacing w:after="0"/>
              <w:rPr>
                <w:rFonts w:ascii="Arial" w:cs="Arial" w:eastAsia="Arial" w:hAnsi="Arial"/>
                <w:sz w:val="13"/>
                <w:szCs w:val="13"/>
                <w:color w:val="auto"/>
              </w:rPr>
            </w:pPr>
            <w:hyperlink r:id="rId366">
              <w:r>
                <w:rPr>
                  <w:rFonts w:ascii="Arial" w:cs="Arial" w:eastAsia="Arial" w:hAnsi="Arial"/>
                  <w:sz w:val="13"/>
                  <w:szCs w:val="13"/>
                  <w:color w:val="auto"/>
                </w:rPr>
                <w:t xml:space="preserve">Advisor Agreement, dated September 3, 2024, by and between </w:t>
              </w:r>
            </w:hyperlink>
            <w:r>
              <w:rPr>
                <w:rFonts w:ascii="Arial" w:cs="Arial" w:eastAsia="Arial" w:hAnsi="Arial"/>
                <w:sz w:val="13"/>
                <w:szCs w:val="13"/>
                <w:color w:val="auto"/>
              </w:rPr>
              <w:t>the</w:t>
            </w:r>
          </w:p>
        </w:tc>
        <w:tc>
          <w:tcPr>
            <w:tcW w:w="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10.10†</w:t>
            </w:r>
          </w:p>
        </w:tc>
        <w:tc>
          <w:tcPr>
            <w:tcW w:w="20" w:type="dxa"/>
            <w:vAlign w:val="bottom"/>
          </w:tcPr>
          <w:p>
            <w:pPr>
              <w:spacing w:after="0"/>
              <w:rPr>
                <w:sz w:val="11"/>
                <w:szCs w:val="11"/>
                <w:color w:val="auto"/>
              </w:rPr>
            </w:pPr>
          </w:p>
        </w:tc>
        <w:tc>
          <w:tcPr>
            <w:tcW w:w="3760" w:type="dxa"/>
            <w:vAlign w:val="bottom"/>
            <w:tcBorders>
              <w:top w:val="single" w:sz="8" w:color="auto"/>
            </w:tcBorders>
            <w:gridSpan w:val="13"/>
          </w:tcPr>
          <w:p>
            <w:pPr>
              <w:spacing w:after="0" w:line="118" w:lineRule="exact"/>
              <w:rPr>
                <w:rFonts w:ascii="Arial" w:cs="Arial" w:eastAsia="Arial" w:hAnsi="Arial"/>
                <w:sz w:val="13"/>
                <w:szCs w:val="13"/>
                <w:color w:val="auto"/>
              </w:rPr>
            </w:pPr>
            <w:hyperlink r:id="rId366">
              <w:r>
                <w:rPr>
                  <w:rFonts w:ascii="Arial" w:cs="Arial" w:eastAsia="Arial" w:hAnsi="Arial"/>
                  <w:sz w:val="13"/>
                  <w:szCs w:val="13"/>
                  <w:color w:val="auto"/>
                </w:rPr>
                <w:t>Company and Charles Jemley.</w:t>
              </w:r>
            </w:hyperlink>
          </w:p>
        </w:tc>
        <w:tc>
          <w:tcPr>
            <w:tcW w:w="620" w:type="dxa"/>
            <w:vAlign w:val="bottom"/>
            <w:gridSpan w:val="11"/>
          </w:tcPr>
          <w:p>
            <w:pPr>
              <w:spacing w:after="0"/>
              <w:rPr>
                <w:sz w:val="11"/>
                <w:szCs w:val="11"/>
                <w:color w:val="auto"/>
              </w:rPr>
            </w:pPr>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rPr>
              <w:t>10-Q</w:t>
            </w:r>
          </w:p>
        </w:tc>
        <w:tc>
          <w:tcPr>
            <w:tcW w:w="1260" w:type="dxa"/>
            <w:vAlign w:val="bottom"/>
          </w:tcPr>
          <w:p>
            <w:pPr>
              <w:jc w:val="center"/>
              <w:spacing w:after="0" w:line="118" w:lineRule="exact"/>
              <w:rPr>
                <w:sz w:val="20"/>
                <w:szCs w:val="20"/>
                <w:color w:val="auto"/>
              </w:rPr>
            </w:pPr>
            <w:r>
              <w:rPr>
                <w:rFonts w:ascii="Arial" w:cs="Arial" w:eastAsia="Arial" w:hAnsi="Arial"/>
                <w:sz w:val="13"/>
                <w:szCs w:val="13"/>
                <w:color w:val="131E29"/>
                <w:w w:val="96"/>
              </w:rPr>
              <w:t>001-40798</w:t>
            </w:r>
          </w:p>
        </w:tc>
        <w:tc>
          <w:tcPr>
            <w:tcW w:w="880" w:type="dxa"/>
            <w:vAlign w:val="bottom"/>
          </w:tcPr>
          <w:p>
            <w:pPr>
              <w:jc w:val="center"/>
              <w:spacing w:after="0" w:line="118" w:lineRule="exact"/>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w w:val="97"/>
              </w:rPr>
              <w:t>November 7, 2024</w:t>
            </w:r>
          </w:p>
        </w:tc>
        <w:tc>
          <w:tcPr>
            <w:tcW w:w="960" w:type="dxa"/>
            <w:vAlign w:val="bottom"/>
          </w:tcPr>
          <w:p>
            <w:pPr>
              <w:spacing w:after="0"/>
              <w:rPr>
                <w:sz w:val="11"/>
                <w:szCs w:val="11"/>
                <w:color w:val="auto"/>
              </w:rPr>
            </w:pPr>
          </w:p>
        </w:tc>
      </w:tr>
      <w:tr>
        <w:trPr>
          <w:trHeight w:val="3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49"/>
        </w:trPr>
        <w:tc>
          <w:tcPr>
            <w:tcW w:w="108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20" w:type="dxa"/>
            <w:vAlign w:val="bottom"/>
            <w:tcBorders>
              <w:bottom w:val="single" w:sz="8" w:color="D2DCE5"/>
            </w:tcBorders>
            <w:shd w:val="clear" w:color="auto" w:fill="D2DCE5"/>
          </w:tcPr>
          <w:p>
            <w:pPr>
              <w:spacing w:after="0"/>
              <w:rPr>
                <w:sz w:val="12"/>
                <w:szCs w:val="12"/>
                <w:color w:val="auto"/>
              </w:rPr>
            </w:pPr>
          </w:p>
        </w:tc>
        <w:tc>
          <w:tcPr>
            <w:tcW w:w="3840" w:type="dxa"/>
            <w:vAlign w:val="bottom"/>
            <w:tcBorders>
              <w:bottom w:val="single" w:sz="8" w:color="auto"/>
            </w:tcBorders>
            <w:gridSpan w:val="15"/>
            <w:shd w:val="clear" w:color="auto" w:fill="D2DCE5"/>
          </w:tcPr>
          <w:p>
            <w:pPr>
              <w:spacing w:after="0"/>
              <w:rPr>
                <w:rFonts w:ascii="Arial" w:cs="Arial" w:eastAsia="Arial" w:hAnsi="Arial"/>
                <w:sz w:val="13"/>
                <w:szCs w:val="13"/>
                <w:color w:val="auto"/>
                <w:w w:val="97"/>
              </w:rPr>
            </w:pPr>
            <w:hyperlink r:id="rId367">
              <w:r>
                <w:rPr>
                  <w:rFonts w:ascii="Arial" w:cs="Arial" w:eastAsia="Arial" w:hAnsi="Arial"/>
                  <w:sz w:val="13"/>
                  <w:szCs w:val="13"/>
                  <w:color w:val="auto"/>
                  <w:w w:val="97"/>
                </w:rPr>
                <w:t>Offer Letter by and between Stephen Gillett and the Company dated</w:t>
              </w:r>
            </w:hyperlink>
          </w:p>
        </w:tc>
        <w:tc>
          <w:tcPr>
            <w:tcW w:w="540" w:type="dxa"/>
            <w:vAlign w:val="bottom"/>
            <w:tcBorders>
              <w:bottom w:val="single" w:sz="8" w:color="D2DCE5"/>
            </w:tcBorders>
            <w:gridSpan w:val="9"/>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260" w:type="dxa"/>
            <w:vAlign w:val="bottom"/>
            <w:tcBorders>
              <w:bottom w:val="single" w:sz="8" w:color="D2DCE5"/>
            </w:tcBorders>
            <w:shd w:val="clear" w:color="auto" w:fill="D2DCE5"/>
          </w:tcPr>
          <w:p>
            <w:pPr>
              <w:spacing w:after="0"/>
              <w:rPr>
                <w:sz w:val="12"/>
                <w:szCs w:val="12"/>
                <w:color w:val="auto"/>
              </w:rPr>
            </w:pPr>
          </w:p>
        </w:tc>
        <w:tc>
          <w:tcPr>
            <w:tcW w:w="88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56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960" w:type="dxa"/>
            <w:vAlign w:val="bottom"/>
            <w:tcBorders>
              <w:bottom w:val="single" w:sz="8" w:color="D2DCE5"/>
            </w:tcBorders>
            <w:shd w:val="clear" w:color="auto" w:fill="D2DCE5"/>
          </w:tcPr>
          <w:p>
            <w:pPr>
              <w:spacing w:after="0"/>
              <w:rPr>
                <w:sz w:val="12"/>
                <w:szCs w:val="12"/>
                <w:color w:val="auto"/>
              </w:rPr>
            </w:pPr>
          </w:p>
        </w:tc>
      </w:tr>
      <w:tr>
        <w:trPr>
          <w:trHeight w:val="129"/>
        </w:trPr>
        <w:tc>
          <w:tcPr>
            <w:tcW w:w="1160" w:type="dxa"/>
            <w:vAlign w:val="bottom"/>
            <w:tcBorders>
              <w:bottom w:val="single" w:sz="8" w:color="D2DCE5"/>
            </w:tcBorders>
            <w:gridSpan w:val="2"/>
            <w:shd w:val="clear" w:color="auto" w:fill="D2DCE5"/>
          </w:tcPr>
          <w:p>
            <w:pPr>
              <w:jc w:val="center"/>
              <w:ind w:right="60"/>
              <w:spacing w:after="0" w:line="129" w:lineRule="exact"/>
              <w:rPr>
                <w:sz w:val="20"/>
                <w:szCs w:val="20"/>
                <w:color w:val="auto"/>
              </w:rPr>
            </w:pPr>
            <w:r>
              <w:rPr>
                <w:rFonts w:ascii="Arial" w:cs="Arial" w:eastAsia="Arial" w:hAnsi="Arial"/>
                <w:sz w:val="13"/>
                <w:szCs w:val="13"/>
                <w:color w:val="131E29"/>
                <w:w w:val="95"/>
              </w:rPr>
              <w:t>10.11†</w:t>
            </w:r>
          </w:p>
        </w:tc>
        <w:tc>
          <w:tcPr>
            <w:tcW w:w="20" w:type="dxa"/>
            <w:vAlign w:val="bottom"/>
            <w:tcBorders>
              <w:bottom w:val="single" w:sz="8" w:color="D2DCE5"/>
            </w:tcBorders>
            <w:shd w:val="clear" w:color="auto" w:fill="D2DCE5"/>
          </w:tcPr>
          <w:p>
            <w:pPr>
              <w:spacing w:after="0"/>
              <w:rPr>
                <w:sz w:val="11"/>
                <w:szCs w:val="11"/>
                <w:color w:val="auto"/>
              </w:rPr>
            </w:pPr>
          </w:p>
        </w:tc>
        <w:tc>
          <w:tcPr>
            <w:tcW w:w="1080" w:type="dxa"/>
            <w:vAlign w:val="bottom"/>
            <w:tcBorders>
              <w:bottom w:val="single" w:sz="8" w:color="auto"/>
            </w:tcBorders>
            <w:shd w:val="clear" w:color="auto" w:fill="D2DCE5"/>
          </w:tcPr>
          <w:p>
            <w:pPr>
              <w:spacing w:after="0" w:line="118" w:lineRule="exact"/>
              <w:rPr>
                <w:rFonts w:ascii="Arial" w:cs="Arial" w:eastAsia="Arial" w:hAnsi="Arial"/>
                <w:sz w:val="13"/>
                <w:szCs w:val="13"/>
                <w:color w:val="auto"/>
                <w:w w:val="95"/>
              </w:rPr>
            </w:pPr>
            <w:hyperlink r:id="rId367">
              <w:r>
                <w:rPr>
                  <w:rFonts w:ascii="Arial" w:cs="Arial" w:eastAsia="Arial" w:hAnsi="Arial"/>
                  <w:sz w:val="13"/>
                  <w:szCs w:val="13"/>
                  <w:color w:val="auto"/>
                  <w:w w:val="95"/>
                </w:rPr>
                <w:t>November 5, 2021.</w:t>
              </w:r>
            </w:hyperlink>
          </w:p>
        </w:tc>
        <w:tc>
          <w:tcPr>
            <w:tcW w:w="3300" w:type="dxa"/>
            <w:vAlign w:val="bottom"/>
            <w:tcBorders>
              <w:bottom w:val="single" w:sz="8" w:color="D2DCE5"/>
            </w:tcBorders>
            <w:gridSpan w:val="23"/>
            <w:shd w:val="clear" w:color="auto" w:fill="D2DCE5"/>
          </w:tcPr>
          <w:p>
            <w:pPr>
              <w:spacing w:after="0"/>
              <w:rPr>
                <w:sz w:val="11"/>
                <w:szCs w:val="11"/>
                <w:color w:val="auto"/>
              </w:rPr>
            </w:pPr>
          </w:p>
        </w:tc>
        <w:tc>
          <w:tcPr>
            <w:tcW w:w="880" w:type="dxa"/>
            <w:vAlign w:val="bottom"/>
            <w:tcBorders>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8"/>
              </w:rPr>
              <w:t>8-K</w:t>
            </w:r>
          </w:p>
        </w:tc>
        <w:tc>
          <w:tcPr>
            <w:tcW w:w="1260" w:type="dxa"/>
            <w:vAlign w:val="bottom"/>
            <w:tcBorders>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6"/>
              </w:rPr>
              <w:t>001-40798</w:t>
            </w:r>
          </w:p>
        </w:tc>
        <w:tc>
          <w:tcPr>
            <w:tcW w:w="880" w:type="dxa"/>
            <w:vAlign w:val="bottom"/>
            <w:tcBorders>
              <w:bottom w:val="single" w:sz="8" w:color="D2DCE5"/>
            </w:tcBorders>
            <w:shd w:val="clear" w:color="auto" w:fill="D2DCE5"/>
          </w:tcPr>
          <w:p>
            <w:pPr>
              <w:jc w:val="center"/>
              <w:spacing w:after="0" w:line="129" w:lineRule="exact"/>
              <w:rPr>
                <w:sz w:val="20"/>
                <w:szCs w:val="20"/>
                <w:color w:val="auto"/>
              </w:rPr>
            </w:pPr>
            <w:r>
              <w:rPr>
                <w:rFonts w:ascii="Arial" w:cs="Arial" w:eastAsia="Arial" w:hAnsi="Arial"/>
                <w:sz w:val="13"/>
                <w:szCs w:val="13"/>
                <w:color w:val="131E29"/>
                <w:w w:val="94"/>
              </w:rPr>
              <w:t>10.1</w:t>
            </w:r>
          </w:p>
        </w:tc>
        <w:tc>
          <w:tcPr>
            <w:tcW w:w="100" w:type="dxa"/>
            <w:vAlign w:val="bottom"/>
            <w:tcBorders>
              <w:bottom w:val="single" w:sz="8" w:color="D2DCE5"/>
            </w:tcBorders>
            <w:shd w:val="clear" w:color="auto" w:fill="D2DCE5"/>
          </w:tcPr>
          <w:p>
            <w:pPr>
              <w:spacing w:after="0"/>
              <w:rPr>
                <w:sz w:val="11"/>
                <w:szCs w:val="11"/>
                <w:color w:val="auto"/>
              </w:rPr>
            </w:pPr>
          </w:p>
        </w:tc>
        <w:tc>
          <w:tcPr>
            <w:tcW w:w="1640" w:type="dxa"/>
            <w:vAlign w:val="bottom"/>
            <w:tcBorders>
              <w:bottom w:val="single" w:sz="8" w:color="D2DCE5"/>
            </w:tcBorders>
            <w:gridSpan w:val="2"/>
            <w:shd w:val="clear" w:color="auto" w:fill="D2DCE5"/>
          </w:tcPr>
          <w:p>
            <w:pPr>
              <w:jc w:val="center"/>
              <w:ind w:right="80"/>
              <w:spacing w:after="0" w:line="129" w:lineRule="exact"/>
              <w:rPr>
                <w:sz w:val="20"/>
                <w:szCs w:val="20"/>
                <w:color w:val="auto"/>
              </w:rPr>
            </w:pPr>
            <w:r>
              <w:rPr>
                <w:rFonts w:ascii="Arial" w:cs="Arial" w:eastAsia="Arial" w:hAnsi="Arial"/>
                <w:sz w:val="13"/>
                <w:szCs w:val="13"/>
                <w:color w:val="131E29"/>
                <w:w w:val="98"/>
              </w:rPr>
              <w:t>December 15, 2021</w:t>
            </w:r>
          </w:p>
        </w:tc>
        <w:tc>
          <w:tcPr>
            <w:tcW w:w="960" w:type="dxa"/>
            <w:vAlign w:val="bottom"/>
            <w:tcBorders>
              <w:bottom w:val="single" w:sz="8" w:color="D2DCE5"/>
            </w:tcBorders>
            <w:shd w:val="clear" w:color="auto" w:fill="D2DCE5"/>
          </w:tcPr>
          <w:p>
            <w:pPr>
              <w:spacing w:after="0"/>
              <w:rPr>
                <w:sz w:val="11"/>
                <w:szCs w:val="11"/>
                <w:color w:val="auto"/>
              </w:rPr>
            </w:pPr>
          </w:p>
        </w:tc>
      </w:tr>
      <w:tr>
        <w:trPr>
          <w:trHeight w:val="33"/>
        </w:trPr>
        <w:tc>
          <w:tcPr>
            <w:tcW w:w="108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20" w:type="dxa"/>
            <w:vAlign w:val="bottom"/>
            <w:shd w:val="clear" w:color="auto" w:fill="D2DCE5"/>
          </w:tcPr>
          <w:p>
            <w:pPr>
              <w:spacing w:after="0"/>
              <w:rPr>
                <w:sz w:val="2"/>
                <w:szCs w:val="2"/>
                <w:color w:val="auto"/>
              </w:rPr>
            </w:pPr>
          </w:p>
        </w:tc>
        <w:tc>
          <w:tcPr>
            <w:tcW w:w="1080" w:type="dxa"/>
            <w:vAlign w:val="bottom"/>
            <w:shd w:val="clear" w:color="auto" w:fill="D2DCE5"/>
          </w:tcPr>
          <w:p>
            <w:pPr>
              <w:spacing w:after="0"/>
              <w:rPr>
                <w:sz w:val="2"/>
                <w:szCs w:val="2"/>
                <w:color w:val="auto"/>
              </w:rPr>
            </w:pPr>
          </w:p>
        </w:tc>
        <w:tc>
          <w:tcPr>
            <w:tcW w:w="140" w:type="dxa"/>
            <w:vAlign w:val="bottom"/>
            <w:shd w:val="clear" w:color="auto" w:fill="D2DCE5"/>
          </w:tcPr>
          <w:p>
            <w:pPr>
              <w:spacing w:after="0"/>
              <w:rPr>
                <w:sz w:val="2"/>
                <w:szCs w:val="2"/>
                <w:color w:val="auto"/>
              </w:rPr>
            </w:pPr>
          </w:p>
        </w:tc>
        <w:tc>
          <w:tcPr>
            <w:tcW w:w="320" w:type="dxa"/>
            <w:vAlign w:val="bottom"/>
            <w:shd w:val="clear" w:color="auto" w:fill="D2DCE5"/>
          </w:tcPr>
          <w:p>
            <w:pPr>
              <w:spacing w:after="0"/>
              <w:rPr>
                <w:sz w:val="2"/>
                <w:szCs w:val="2"/>
                <w:color w:val="auto"/>
              </w:rPr>
            </w:pPr>
          </w:p>
        </w:tc>
        <w:tc>
          <w:tcPr>
            <w:tcW w:w="20" w:type="dxa"/>
            <w:vAlign w:val="bottom"/>
            <w:shd w:val="clear" w:color="auto" w:fill="D2DCE5"/>
          </w:tcPr>
          <w:p>
            <w:pPr>
              <w:spacing w:after="0"/>
              <w:rPr>
                <w:sz w:val="2"/>
                <w:szCs w:val="2"/>
                <w:color w:val="auto"/>
              </w:rPr>
            </w:pPr>
          </w:p>
        </w:tc>
        <w:tc>
          <w:tcPr>
            <w:tcW w:w="180" w:type="dxa"/>
            <w:vAlign w:val="bottom"/>
            <w:shd w:val="clear" w:color="auto" w:fill="D2DCE5"/>
          </w:tcPr>
          <w:p>
            <w:pPr>
              <w:spacing w:after="0"/>
              <w:rPr>
                <w:sz w:val="2"/>
                <w:szCs w:val="2"/>
                <w:color w:val="auto"/>
              </w:rPr>
            </w:pPr>
          </w:p>
        </w:tc>
        <w:tc>
          <w:tcPr>
            <w:tcW w:w="20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400" w:type="dxa"/>
            <w:vAlign w:val="bottom"/>
            <w:shd w:val="clear" w:color="auto" w:fill="D2DCE5"/>
          </w:tcPr>
          <w:p>
            <w:pPr>
              <w:spacing w:after="0"/>
              <w:rPr>
                <w:sz w:val="2"/>
                <w:szCs w:val="2"/>
                <w:color w:val="auto"/>
              </w:rPr>
            </w:pPr>
          </w:p>
        </w:tc>
        <w:tc>
          <w:tcPr>
            <w:tcW w:w="120" w:type="dxa"/>
            <w:vAlign w:val="bottom"/>
            <w:shd w:val="clear" w:color="auto" w:fill="D2DCE5"/>
          </w:tcPr>
          <w:p>
            <w:pPr>
              <w:spacing w:after="0"/>
              <w:rPr>
                <w:sz w:val="2"/>
                <w:szCs w:val="2"/>
                <w:color w:val="auto"/>
              </w:rPr>
            </w:pPr>
          </w:p>
        </w:tc>
        <w:tc>
          <w:tcPr>
            <w:tcW w:w="520" w:type="dxa"/>
            <w:vAlign w:val="bottom"/>
            <w:shd w:val="clear" w:color="auto" w:fill="D2DCE5"/>
          </w:tcPr>
          <w:p>
            <w:pPr>
              <w:spacing w:after="0"/>
              <w:rPr>
                <w:sz w:val="2"/>
                <w:szCs w:val="2"/>
                <w:color w:val="auto"/>
              </w:rPr>
            </w:pPr>
          </w:p>
        </w:tc>
        <w:tc>
          <w:tcPr>
            <w:tcW w:w="460" w:type="dxa"/>
            <w:vAlign w:val="bottom"/>
            <w:shd w:val="clear" w:color="auto" w:fill="D2DCE5"/>
          </w:tcPr>
          <w:p>
            <w:pPr>
              <w:spacing w:after="0"/>
              <w:rPr>
                <w:sz w:val="2"/>
                <w:szCs w:val="2"/>
                <w:color w:val="auto"/>
              </w:rPr>
            </w:pPr>
          </w:p>
        </w:tc>
        <w:tc>
          <w:tcPr>
            <w:tcW w:w="140" w:type="dxa"/>
            <w:vAlign w:val="bottom"/>
            <w:shd w:val="clear" w:color="auto" w:fill="D2DCE5"/>
          </w:tcPr>
          <w:p>
            <w:pPr>
              <w:spacing w:after="0"/>
              <w:rPr>
                <w:sz w:val="2"/>
                <w:szCs w:val="2"/>
                <w:color w:val="auto"/>
              </w:rPr>
            </w:pPr>
          </w:p>
        </w:tc>
        <w:tc>
          <w:tcPr>
            <w:tcW w:w="20" w:type="dxa"/>
            <w:vAlign w:val="bottom"/>
            <w:shd w:val="clear" w:color="auto" w:fill="D2DCE5"/>
          </w:tcPr>
          <w:p>
            <w:pPr>
              <w:spacing w:after="0"/>
              <w:rPr>
                <w:sz w:val="2"/>
                <w:szCs w:val="2"/>
                <w:color w:val="auto"/>
              </w:rPr>
            </w:pPr>
          </w:p>
        </w:tc>
        <w:tc>
          <w:tcPr>
            <w:tcW w:w="60" w:type="dxa"/>
            <w:vAlign w:val="bottom"/>
            <w:shd w:val="clear" w:color="auto" w:fill="D2DCE5"/>
          </w:tcPr>
          <w:p>
            <w:pPr>
              <w:spacing w:after="0"/>
              <w:rPr>
                <w:sz w:val="2"/>
                <w:szCs w:val="2"/>
                <w:color w:val="auto"/>
              </w:rPr>
            </w:pPr>
          </w:p>
        </w:tc>
        <w:tc>
          <w:tcPr>
            <w:tcW w:w="40" w:type="dxa"/>
            <w:vAlign w:val="bottom"/>
            <w:shd w:val="clear" w:color="auto" w:fill="D2DCE5"/>
          </w:tcPr>
          <w:p>
            <w:pPr>
              <w:spacing w:after="0"/>
              <w:rPr>
                <w:sz w:val="2"/>
                <w:szCs w:val="2"/>
                <w:color w:val="auto"/>
              </w:rPr>
            </w:pPr>
          </w:p>
        </w:tc>
        <w:tc>
          <w:tcPr>
            <w:tcW w:w="140" w:type="dxa"/>
            <w:vAlign w:val="bottom"/>
            <w:shd w:val="clear" w:color="auto" w:fill="D2DCE5"/>
          </w:tcPr>
          <w:p>
            <w:pPr>
              <w:spacing w:after="0"/>
              <w:rPr>
                <w:sz w:val="2"/>
                <w:szCs w:val="2"/>
                <w:color w:val="auto"/>
              </w:rPr>
            </w:pPr>
          </w:p>
        </w:tc>
        <w:tc>
          <w:tcPr>
            <w:tcW w:w="60" w:type="dxa"/>
            <w:vAlign w:val="bottom"/>
            <w:shd w:val="clear" w:color="auto" w:fill="D2DCE5"/>
          </w:tcPr>
          <w:p>
            <w:pPr>
              <w:spacing w:after="0"/>
              <w:rPr>
                <w:sz w:val="2"/>
                <w:szCs w:val="2"/>
                <w:color w:val="auto"/>
              </w:rPr>
            </w:pPr>
          </w:p>
        </w:tc>
        <w:tc>
          <w:tcPr>
            <w:tcW w:w="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20" w:type="dxa"/>
            <w:vAlign w:val="bottom"/>
            <w:shd w:val="clear" w:color="auto" w:fill="D2DCE5"/>
          </w:tcPr>
          <w:p>
            <w:pPr>
              <w:spacing w:after="0"/>
              <w:rPr>
                <w:sz w:val="2"/>
                <w:szCs w:val="2"/>
                <w:color w:val="auto"/>
              </w:rPr>
            </w:pPr>
          </w:p>
        </w:tc>
        <w:tc>
          <w:tcPr>
            <w:tcW w:w="40" w:type="dxa"/>
            <w:vAlign w:val="bottom"/>
            <w:shd w:val="clear" w:color="auto" w:fill="D2DCE5"/>
          </w:tcPr>
          <w:p>
            <w:pPr>
              <w:spacing w:after="0"/>
              <w:rPr>
                <w:sz w:val="2"/>
                <w:szCs w:val="2"/>
                <w:color w:val="auto"/>
              </w:rPr>
            </w:pPr>
          </w:p>
        </w:tc>
        <w:tc>
          <w:tcPr>
            <w:tcW w:w="2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880" w:type="dxa"/>
            <w:vAlign w:val="bottom"/>
            <w:shd w:val="clear" w:color="auto" w:fill="D2DCE5"/>
          </w:tcPr>
          <w:p>
            <w:pPr>
              <w:spacing w:after="0"/>
              <w:rPr>
                <w:sz w:val="2"/>
                <w:szCs w:val="2"/>
                <w:color w:val="auto"/>
              </w:rPr>
            </w:pPr>
          </w:p>
        </w:tc>
        <w:tc>
          <w:tcPr>
            <w:tcW w:w="1260" w:type="dxa"/>
            <w:vAlign w:val="bottom"/>
            <w:shd w:val="clear" w:color="auto" w:fill="D2DCE5"/>
          </w:tcPr>
          <w:p>
            <w:pPr>
              <w:spacing w:after="0"/>
              <w:rPr>
                <w:sz w:val="2"/>
                <w:szCs w:val="2"/>
                <w:color w:val="auto"/>
              </w:rPr>
            </w:pPr>
          </w:p>
        </w:tc>
        <w:tc>
          <w:tcPr>
            <w:tcW w:w="880" w:type="dxa"/>
            <w:vAlign w:val="bottom"/>
            <w:shd w:val="clear" w:color="auto" w:fill="D2DCE5"/>
          </w:tcPr>
          <w:p>
            <w:pPr>
              <w:spacing w:after="0"/>
              <w:rPr>
                <w:sz w:val="2"/>
                <w:szCs w:val="2"/>
                <w:color w:val="auto"/>
              </w:rPr>
            </w:pPr>
          </w:p>
        </w:tc>
        <w:tc>
          <w:tcPr>
            <w:tcW w:w="100" w:type="dxa"/>
            <w:vAlign w:val="bottom"/>
            <w:shd w:val="clear" w:color="auto" w:fill="D2DCE5"/>
          </w:tcPr>
          <w:p>
            <w:pPr>
              <w:spacing w:after="0"/>
              <w:rPr>
                <w:sz w:val="2"/>
                <w:szCs w:val="2"/>
                <w:color w:val="auto"/>
              </w:rPr>
            </w:pPr>
          </w:p>
        </w:tc>
        <w:tc>
          <w:tcPr>
            <w:tcW w:w="1560" w:type="dxa"/>
            <w:vAlign w:val="bottom"/>
            <w:shd w:val="clear" w:color="auto" w:fill="D2DCE5"/>
          </w:tcPr>
          <w:p>
            <w:pPr>
              <w:spacing w:after="0"/>
              <w:rPr>
                <w:sz w:val="2"/>
                <w:szCs w:val="2"/>
                <w:color w:val="auto"/>
              </w:rPr>
            </w:pPr>
          </w:p>
        </w:tc>
        <w:tc>
          <w:tcPr>
            <w:tcW w:w="80" w:type="dxa"/>
            <w:vAlign w:val="bottom"/>
            <w:shd w:val="clear" w:color="auto" w:fill="D2DCE5"/>
          </w:tcPr>
          <w:p>
            <w:pPr>
              <w:spacing w:after="0"/>
              <w:rPr>
                <w:sz w:val="2"/>
                <w:szCs w:val="2"/>
                <w:color w:val="auto"/>
              </w:rPr>
            </w:pPr>
          </w:p>
        </w:tc>
        <w:tc>
          <w:tcPr>
            <w:tcW w:w="960" w:type="dxa"/>
            <w:vAlign w:val="bottom"/>
            <w:shd w:val="clear" w:color="auto" w:fill="D2DCE5"/>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66675</wp:posOffset>
            </wp:positionV>
            <wp:extent cx="7186930"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0" w:name="page141"/>
    <w:bookmarkEnd w:id="140"/>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60" w:type="dxa"/>
            <w:vAlign w:val="bottom"/>
            <w:gridSpan w:val="2"/>
          </w:tcPr>
          <w:p>
            <w:pPr>
              <w:ind w:left="120"/>
              <w:spacing w:after="0"/>
              <w:rPr>
                <w:sz w:val="20"/>
                <w:szCs w:val="20"/>
                <w:color w:val="auto"/>
              </w:rPr>
            </w:pPr>
            <w:r>
              <w:rPr>
                <w:rFonts w:ascii="Arial" w:cs="Arial" w:eastAsia="Arial" w:hAnsi="Arial"/>
                <w:sz w:val="11"/>
                <w:szCs w:val="11"/>
                <w:b w:val="1"/>
                <w:bCs w:val="1"/>
                <w:color w:val="131E29"/>
              </w:rPr>
              <w:t>Exhibit Number</w:t>
            </w:r>
          </w:p>
        </w:tc>
        <w:tc>
          <w:tcPr>
            <w:tcW w:w="20" w:type="dxa"/>
            <w:vAlign w:val="bottom"/>
          </w:tcPr>
          <w:p>
            <w:pPr>
              <w:spacing w:after="0"/>
              <w:rPr>
                <w:sz w:val="13"/>
                <w:szCs w:val="13"/>
                <w:color w:val="auto"/>
              </w:rPr>
            </w:pPr>
          </w:p>
        </w:tc>
        <w:tc>
          <w:tcPr>
            <w:tcW w:w="4280" w:type="dxa"/>
            <w:vAlign w:val="bottom"/>
            <w:gridSpan w:val="26"/>
          </w:tcPr>
          <w:p>
            <w:pPr>
              <w:spacing w:after="0"/>
              <w:rPr>
                <w:sz w:val="20"/>
                <w:szCs w:val="20"/>
                <w:color w:val="auto"/>
              </w:rPr>
            </w:pPr>
            <w:r>
              <w:rPr>
                <w:rFonts w:ascii="Arial" w:cs="Arial" w:eastAsia="Arial" w:hAnsi="Arial"/>
                <w:sz w:val="11"/>
                <w:szCs w:val="11"/>
                <w:b w:val="1"/>
                <w:bCs w:val="1"/>
                <w:color w:val="auto"/>
              </w:rPr>
              <w:t>Description</w:t>
            </w:r>
          </w:p>
        </w:tc>
      </w:tr>
      <w:tr>
        <w:trPr>
          <w:trHeight w:val="145"/>
        </w:trPr>
        <w:tc>
          <w:tcPr>
            <w:tcW w:w="10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920" w:type="dxa"/>
            <w:vAlign w:val="bottom"/>
            <w:tcBorders>
              <w:top w:val="single" w:sz="8" w:color="auto"/>
              <w:bottom w:val="single" w:sz="8" w:color="auto"/>
            </w:tcBorders>
            <w:gridSpan w:val="14"/>
          </w:tcPr>
          <w:p>
            <w:pPr>
              <w:spacing w:after="0" w:line="145" w:lineRule="exact"/>
              <w:rPr>
                <w:rFonts w:ascii="Arial" w:cs="Arial" w:eastAsia="Arial" w:hAnsi="Arial"/>
                <w:sz w:val="13"/>
                <w:szCs w:val="13"/>
                <w:color w:val="auto"/>
                <w:w w:val="97"/>
              </w:rPr>
            </w:pPr>
            <w:hyperlink r:id="rId370">
              <w:r>
                <w:rPr>
                  <w:rFonts w:ascii="Arial" w:cs="Arial" w:eastAsia="Arial" w:hAnsi="Arial"/>
                  <w:sz w:val="13"/>
                  <w:szCs w:val="13"/>
                  <w:color w:val="auto"/>
                  <w:w w:val="97"/>
                </w:rPr>
                <w:t>Amended and Restated Credit Agreement by and between JPMorgan</w:t>
              </w:r>
            </w:hyperlink>
          </w:p>
        </w:tc>
        <w:tc>
          <w:tcPr>
            <w:tcW w:w="360" w:type="dxa"/>
            <w:vAlign w:val="bottom"/>
            <w:tcBorders>
              <w:top w:val="single" w:sz="8" w:color="auto"/>
            </w:tcBorders>
            <w:gridSpan w:val="12"/>
          </w:tcPr>
          <w:p>
            <w:pPr>
              <w:spacing w:after="0"/>
              <w:rPr>
                <w:sz w:val="12"/>
                <w:szCs w:val="12"/>
                <w:color w:val="auto"/>
              </w:rPr>
            </w:pPr>
          </w:p>
        </w:tc>
      </w:tr>
      <w:tr>
        <w:trPr>
          <w:trHeight w:val="129"/>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20" w:type="dxa"/>
            <w:vAlign w:val="bottom"/>
            <w:tcBorders>
              <w:bottom w:val="single" w:sz="8" w:color="auto"/>
            </w:tcBorders>
            <w:gridSpan w:val="23"/>
          </w:tcPr>
          <w:p>
            <w:pPr>
              <w:spacing w:after="0" w:line="129" w:lineRule="exact"/>
              <w:rPr>
                <w:rFonts w:ascii="Arial" w:cs="Arial" w:eastAsia="Arial" w:hAnsi="Arial"/>
                <w:sz w:val="13"/>
                <w:szCs w:val="13"/>
                <w:color w:val="auto"/>
                <w:w w:val="97"/>
              </w:rPr>
            </w:pPr>
            <w:hyperlink r:id="rId370">
              <w:r>
                <w:rPr>
                  <w:rFonts w:ascii="Arial" w:cs="Arial" w:eastAsia="Arial" w:hAnsi="Arial"/>
                  <w:sz w:val="13"/>
                  <w:szCs w:val="13"/>
                  <w:color w:val="auto"/>
                  <w:w w:val="97"/>
                </w:rPr>
                <w:t>Chase Bank, N.A., the Company, and the other parties listed therein, dated</w:t>
              </w:r>
            </w:hyperlink>
          </w:p>
        </w:tc>
        <w:tc>
          <w:tcPr>
            <w:tcW w:w="60" w:type="dxa"/>
            <w:vAlign w:val="bottom"/>
            <w:gridSpan w:val="3"/>
          </w:tcPr>
          <w:p>
            <w:pPr>
              <w:spacing w:after="0"/>
              <w:rPr>
                <w:sz w:val="11"/>
                <w:szCs w:val="11"/>
                <w:color w:val="auto"/>
              </w:rPr>
            </w:pP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8"/>
              </w:rPr>
              <w:t>10.12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Borders>
              <w:bottom w:val="single" w:sz="8" w:color="auto"/>
            </w:tcBorders>
            <w:gridSpan w:val="6"/>
          </w:tcPr>
          <w:p>
            <w:pPr>
              <w:spacing w:after="0" w:line="139" w:lineRule="exact"/>
              <w:rPr>
                <w:rFonts w:ascii="Arial" w:cs="Arial" w:eastAsia="Arial" w:hAnsi="Arial"/>
                <w:sz w:val="13"/>
                <w:szCs w:val="13"/>
                <w:color w:val="auto"/>
                <w:w w:val="96"/>
              </w:rPr>
            </w:pPr>
            <w:hyperlink r:id="rId370">
              <w:r>
                <w:rPr>
                  <w:rFonts w:ascii="Arial" w:cs="Arial" w:eastAsia="Arial" w:hAnsi="Arial"/>
                  <w:sz w:val="13"/>
                  <w:szCs w:val="13"/>
                  <w:color w:val="auto"/>
                  <w:w w:val="96"/>
                </w:rPr>
                <w:t>February 28, 2022.</w:t>
              </w:r>
            </w:hyperlink>
          </w:p>
        </w:tc>
        <w:tc>
          <w:tcPr>
            <w:tcW w:w="3200" w:type="dxa"/>
            <w:vAlign w:val="bottom"/>
            <w:gridSpan w:val="20"/>
          </w:tcPr>
          <w:p>
            <w:pPr>
              <w:spacing w:after="0"/>
              <w:rPr>
                <w:sz w:val="12"/>
                <w:szCs w:val="12"/>
                <w:color w:val="auto"/>
              </w:rPr>
            </w:pPr>
          </w:p>
        </w:tc>
      </w:t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60" w:type="dxa"/>
            <w:vAlign w:val="bottom"/>
            <w:tcBorders>
              <w:bottom w:val="single" w:sz="8" w:color="auto"/>
            </w:tcBorders>
            <w:gridSpan w:val="16"/>
          </w:tcPr>
          <w:p>
            <w:pPr>
              <w:spacing w:after="0"/>
              <w:rPr>
                <w:rFonts w:ascii="Arial" w:cs="Arial" w:eastAsia="Arial" w:hAnsi="Arial"/>
                <w:sz w:val="13"/>
                <w:szCs w:val="13"/>
                <w:color w:val="auto"/>
                <w:w w:val="98"/>
              </w:rPr>
            </w:pPr>
            <w:hyperlink r:id="rId371">
              <w:r>
                <w:rPr>
                  <w:rFonts w:ascii="Arial" w:cs="Arial" w:eastAsia="Arial" w:hAnsi="Arial"/>
                  <w:sz w:val="13"/>
                  <w:szCs w:val="13"/>
                  <w:color w:val="auto"/>
                  <w:w w:val="98"/>
                </w:rPr>
                <w:t>Amendment No. 1 to Credit Agreement, dated August 4, 2023, by and</w:t>
              </w:r>
            </w:hyperlink>
          </w:p>
        </w:tc>
        <w:tc>
          <w:tcPr>
            <w:tcW w:w="320" w:type="dxa"/>
            <w:vAlign w:val="bottom"/>
            <w:gridSpan w:val="10"/>
          </w:tcPr>
          <w:p>
            <w:pPr>
              <w:spacing w:after="0"/>
              <w:rPr>
                <w:sz w:val="14"/>
                <w:szCs w:val="14"/>
                <w:color w:val="auto"/>
              </w:rPr>
            </w:pPr>
          </w:p>
        </w:tc>
      </w:tr>
      <w:tr>
        <w:trPr>
          <w:trHeight w:val="129"/>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40" w:type="dxa"/>
            <w:vAlign w:val="bottom"/>
            <w:tcBorders>
              <w:bottom w:val="single" w:sz="8" w:color="auto"/>
            </w:tcBorders>
            <w:gridSpan w:val="24"/>
          </w:tcPr>
          <w:p>
            <w:pPr>
              <w:spacing w:after="0" w:line="129" w:lineRule="exact"/>
              <w:rPr>
                <w:rFonts w:ascii="Arial" w:cs="Arial" w:eastAsia="Arial" w:hAnsi="Arial"/>
                <w:sz w:val="13"/>
                <w:szCs w:val="13"/>
                <w:color w:val="auto"/>
                <w:w w:val="97"/>
              </w:rPr>
            </w:pPr>
            <w:hyperlink r:id="rId371">
              <w:r>
                <w:rPr>
                  <w:rFonts w:ascii="Arial" w:cs="Arial" w:eastAsia="Arial" w:hAnsi="Arial"/>
                  <w:sz w:val="13"/>
                  <w:szCs w:val="13"/>
                  <w:color w:val="auto"/>
                  <w:w w:val="97"/>
                </w:rPr>
                <w:t>among Dutch Bros., LLC, DB Management Co., DB Franchising USA, LLC,</w:t>
              </w:r>
            </w:hyperlink>
          </w:p>
        </w:tc>
        <w:tc>
          <w:tcPr>
            <w:tcW w:w="40" w:type="dxa"/>
            <w:vAlign w:val="bottom"/>
            <w:gridSpan w:val="2"/>
          </w:tcPr>
          <w:p>
            <w:pPr>
              <w:spacing w:after="0"/>
              <w:rPr>
                <w:sz w:val="11"/>
                <w:szCs w:val="11"/>
                <w:color w:val="auto"/>
              </w:rPr>
            </w:pPr>
          </w:p>
        </w:tc>
      </w:tr>
      <w:tr>
        <w:trPr>
          <w:trHeight w:val="13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40" w:type="dxa"/>
            <w:vAlign w:val="bottom"/>
            <w:tcBorders>
              <w:bottom w:val="single" w:sz="8" w:color="auto"/>
            </w:tcBorders>
            <w:gridSpan w:val="15"/>
          </w:tcPr>
          <w:p>
            <w:pPr>
              <w:spacing w:after="0" w:line="139" w:lineRule="exact"/>
              <w:rPr>
                <w:rFonts w:ascii="Arial" w:cs="Arial" w:eastAsia="Arial" w:hAnsi="Arial"/>
                <w:sz w:val="13"/>
                <w:szCs w:val="13"/>
                <w:color w:val="auto"/>
                <w:w w:val="97"/>
              </w:rPr>
            </w:pPr>
            <w:hyperlink r:id="rId371">
              <w:r>
                <w:rPr>
                  <w:rFonts w:ascii="Arial" w:cs="Arial" w:eastAsia="Arial" w:hAnsi="Arial"/>
                  <w:sz w:val="13"/>
                  <w:szCs w:val="13"/>
                  <w:color w:val="auto"/>
                  <w:w w:val="97"/>
                </w:rPr>
                <w:t>Boersma Bros. LLC, the other Loan Parties party thereto, the financial</w:t>
              </w:r>
            </w:hyperlink>
          </w:p>
        </w:tc>
        <w:tc>
          <w:tcPr>
            <w:tcW w:w="340" w:type="dxa"/>
            <w:vAlign w:val="bottom"/>
            <w:gridSpan w:val="11"/>
          </w:tcPr>
          <w:p>
            <w:pPr>
              <w:spacing w:after="0"/>
              <w:rPr>
                <w:sz w:val="12"/>
                <w:szCs w:val="12"/>
                <w:color w:val="auto"/>
              </w:rPr>
            </w:pPr>
          </w:p>
        </w:tc>
      </w:tr>
      <w:tr>
        <w:trPr>
          <w:trHeight w:val="129"/>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tcBorders>
              <w:bottom w:val="single" w:sz="8" w:color="auto"/>
            </w:tcBorders>
            <w:gridSpan w:val="13"/>
          </w:tcPr>
          <w:p>
            <w:pPr>
              <w:spacing w:after="0" w:line="129" w:lineRule="exact"/>
              <w:rPr>
                <w:rFonts w:ascii="Arial" w:cs="Arial" w:eastAsia="Arial" w:hAnsi="Arial"/>
                <w:sz w:val="13"/>
                <w:szCs w:val="13"/>
                <w:color w:val="auto"/>
                <w:w w:val="97"/>
              </w:rPr>
            </w:pPr>
            <w:hyperlink r:id="rId371">
              <w:r>
                <w:rPr>
                  <w:rFonts w:ascii="Arial" w:cs="Arial" w:eastAsia="Arial" w:hAnsi="Arial"/>
                  <w:sz w:val="13"/>
                  <w:szCs w:val="13"/>
                  <w:color w:val="auto"/>
                  <w:w w:val="97"/>
                </w:rPr>
                <w:t>institutions party thereto, and J.P. Morgan Chase Bank, N.A. as</w:t>
              </w:r>
            </w:hyperlink>
          </w:p>
        </w:tc>
        <w:tc>
          <w:tcPr>
            <w:tcW w:w="720" w:type="dxa"/>
            <w:vAlign w:val="bottom"/>
            <w:gridSpan w:val="13"/>
          </w:tcPr>
          <w:p>
            <w:pPr>
              <w:spacing w:after="0"/>
              <w:rPr>
                <w:sz w:val="11"/>
                <w:szCs w:val="11"/>
                <w:color w:val="auto"/>
              </w:rPr>
            </w:pP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8"/>
              </w:rPr>
              <w:t>10.13</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Borders>
              <w:bottom w:val="single" w:sz="8" w:color="auto"/>
            </w:tcBorders>
            <w:gridSpan w:val="9"/>
          </w:tcPr>
          <w:p>
            <w:pPr>
              <w:spacing w:after="0" w:line="139" w:lineRule="exact"/>
              <w:rPr>
                <w:rFonts w:ascii="Arial" w:cs="Arial" w:eastAsia="Arial" w:hAnsi="Arial"/>
                <w:sz w:val="13"/>
                <w:szCs w:val="13"/>
                <w:color w:val="auto"/>
                <w:w w:val="96"/>
              </w:rPr>
            </w:pPr>
            <w:hyperlink r:id="rId371">
              <w:r>
                <w:rPr>
                  <w:rFonts w:ascii="Arial" w:cs="Arial" w:eastAsia="Arial" w:hAnsi="Arial"/>
                  <w:sz w:val="13"/>
                  <w:szCs w:val="13"/>
                  <w:color w:val="auto"/>
                  <w:w w:val="96"/>
                </w:rPr>
                <w:t>Administrative Agent.</w:t>
              </w:r>
            </w:hyperlink>
          </w:p>
        </w:tc>
        <w:tc>
          <w:tcPr>
            <w:tcW w:w="3080" w:type="dxa"/>
            <w:vAlign w:val="bottom"/>
            <w:gridSpan w:val="17"/>
          </w:tcPr>
          <w:p>
            <w:pPr>
              <w:spacing w:after="0"/>
              <w:rPr>
                <w:sz w:val="12"/>
                <w:szCs w:val="12"/>
                <w:color w:val="auto"/>
              </w:rPr>
            </w:pPr>
          </w:p>
        </w:tc>
      </w:t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6"/>
          </w:tcPr>
          <w:p>
            <w:pPr>
              <w:spacing w:after="0"/>
              <w:rPr>
                <w:rFonts w:ascii="Arial" w:cs="Arial" w:eastAsia="Arial" w:hAnsi="Arial"/>
                <w:sz w:val="13"/>
                <w:szCs w:val="13"/>
                <w:color w:val="auto"/>
                <w:w w:val="98"/>
              </w:rPr>
            </w:pPr>
            <w:hyperlink r:id="rId372">
              <w:r>
                <w:rPr>
                  <w:rFonts w:ascii="Arial" w:cs="Arial" w:eastAsia="Arial" w:hAnsi="Arial"/>
                  <w:sz w:val="13"/>
                  <w:szCs w:val="13"/>
                  <w:color w:val="auto"/>
                  <w:w w:val="98"/>
                </w:rPr>
                <w:t>Offer Letter by and between Ann M. Miller and the Company, dated August</w:t>
              </w:r>
            </w:hyperlink>
          </w:p>
        </w:tc>
      </w:tr>
      <w:tr>
        <w:trPr>
          <w:trHeight w:val="129"/>
        </w:trPr>
        <w:tc>
          <w:tcPr>
            <w:tcW w:w="1160" w:type="dxa"/>
            <w:vAlign w:val="bottom"/>
            <w:gridSpan w:val="2"/>
          </w:tcPr>
          <w:p>
            <w:pPr>
              <w:jc w:val="center"/>
              <w:ind w:right="80"/>
              <w:spacing w:after="0" w:line="129" w:lineRule="exact"/>
              <w:rPr>
                <w:sz w:val="20"/>
                <w:szCs w:val="20"/>
                <w:color w:val="auto"/>
              </w:rPr>
            </w:pPr>
            <w:r>
              <w:rPr>
                <w:rFonts w:ascii="Arial" w:cs="Arial" w:eastAsia="Arial" w:hAnsi="Arial"/>
                <w:sz w:val="13"/>
                <w:szCs w:val="13"/>
                <w:color w:val="131E29"/>
              </w:rPr>
              <w:t>10.14†</w:t>
            </w:r>
          </w:p>
        </w:tc>
        <w:tc>
          <w:tcPr>
            <w:tcW w:w="20" w:type="dxa"/>
            <w:vAlign w:val="bottom"/>
          </w:tcPr>
          <w:p>
            <w:pPr>
              <w:spacing w:after="0"/>
              <w:rPr>
                <w:sz w:val="11"/>
                <w:szCs w:val="11"/>
                <w:color w:val="auto"/>
              </w:rPr>
            </w:pPr>
          </w:p>
        </w:tc>
        <w:tc>
          <w:tcPr>
            <w:tcW w:w="520" w:type="dxa"/>
            <w:vAlign w:val="bottom"/>
            <w:tcBorders>
              <w:top w:val="single" w:sz="8" w:color="auto"/>
              <w:bottom w:val="single" w:sz="8" w:color="auto"/>
            </w:tcBorders>
          </w:tcPr>
          <w:p>
            <w:pPr>
              <w:spacing w:after="0" w:line="118" w:lineRule="exact"/>
              <w:rPr>
                <w:rFonts w:ascii="Arial" w:cs="Arial" w:eastAsia="Arial" w:hAnsi="Arial"/>
                <w:sz w:val="13"/>
                <w:szCs w:val="13"/>
                <w:color w:val="auto"/>
                <w:w w:val="92"/>
              </w:rPr>
            </w:pPr>
            <w:hyperlink r:id="rId372">
              <w:r>
                <w:rPr>
                  <w:rFonts w:ascii="Arial" w:cs="Arial" w:eastAsia="Arial" w:hAnsi="Arial"/>
                  <w:sz w:val="13"/>
                  <w:szCs w:val="13"/>
                  <w:color w:val="auto"/>
                  <w:w w:val="92"/>
                </w:rPr>
                <w:t>12, 2022.</w:t>
              </w:r>
            </w:hyperlink>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26"/>
          </w:tcPr>
          <w:p>
            <w:pPr>
              <w:spacing w:after="0"/>
              <w:rPr>
                <w:rFonts w:ascii="Arial" w:cs="Arial" w:eastAsia="Arial" w:hAnsi="Arial"/>
                <w:sz w:val="13"/>
                <w:szCs w:val="13"/>
                <w:color w:val="auto"/>
                <w:w w:val="98"/>
              </w:rPr>
            </w:pPr>
            <w:hyperlink r:id="rId373">
              <w:r>
                <w:rPr>
                  <w:rFonts w:ascii="Arial" w:cs="Arial" w:eastAsia="Arial" w:hAnsi="Arial"/>
                  <w:sz w:val="13"/>
                  <w:szCs w:val="13"/>
                  <w:color w:val="auto"/>
                  <w:w w:val="98"/>
                </w:rPr>
                <w:t>Amended Offer Letter by and between Christine Barone and the Company,</w:t>
              </w:r>
            </w:hyperlink>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10.15†</w:t>
            </w:r>
          </w:p>
        </w:tc>
        <w:tc>
          <w:tcPr>
            <w:tcW w:w="20" w:type="dxa"/>
            <w:vAlign w:val="bottom"/>
          </w:tcPr>
          <w:p>
            <w:pPr>
              <w:spacing w:after="0"/>
              <w:rPr>
                <w:sz w:val="11"/>
                <w:szCs w:val="11"/>
                <w:color w:val="auto"/>
              </w:rPr>
            </w:pPr>
          </w:p>
        </w:tc>
        <w:tc>
          <w:tcPr>
            <w:tcW w:w="4200" w:type="dxa"/>
            <w:vAlign w:val="bottom"/>
            <w:tcBorders>
              <w:top w:val="single" w:sz="8" w:color="auto"/>
            </w:tcBorders>
            <w:gridSpan w:val="22"/>
          </w:tcPr>
          <w:p>
            <w:pPr>
              <w:spacing w:after="0" w:line="118" w:lineRule="exact"/>
              <w:rPr>
                <w:rFonts w:ascii="Arial" w:cs="Arial" w:eastAsia="Arial" w:hAnsi="Arial"/>
                <w:sz w:val="13"/>
                <w:szCs w:val="13"/>
                <w:color w:val="auto"/>
              </w:rPr>
            </w:pPr>
            <w:hyperlink r:id="rId373">
              <w:r>
                <w:rPr>
                  <w:rFonts w:ascii="Arial" w:cs="Arial" w:eastAsia="Arial" w:hAnsi="Arial"/>
                  <w:sz w:val="13"/>
                  <w:szCs w:val="13"/>
                  <w:color w:val="auto"/>
                </w:rPr>
                <w:t>dated December 27, 2023.</w:t>
              </w:r>
            </w:hyperlink>
          </w:p>
        </w:tc>
        <w:tc>
          <w:tcPr>
            <w:tcW w:w="80" w:type="dxa"/>
            <w:vAlign w:val="bottom"/>
            <w:gridSpan w:val="4"/>
          </w:tcPr>
          <w:p>
            <w:pPr>
              <w:spacing w:after="0"/>
              <w:rPr>
                <w:sz w:val="11"/>
                <w:szCs w:val="1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auto"/>
            </w:tcBorders>
            <w:gridSpan w:val="21"/>
          </w:tcPr>
          <w:p>
            <w:pPr>
              <w:spacing w:after="0"/>
              <w:rPr>
                <w:rFonts w:ascii="Arial" w:cs="Arial" w:eastAsia="Arial" w:hAnsi="Arial"/>
                <w:sz w:val="13"/>
                <w:szCs w:val="13"/>
                <w:color w:val="auto"/>
                <w:w w:val="97"/>
              </w:rPr>
            </w:pPr>
            <w:hyperlink r:id="rId374">
              <w:r>
                <w:rPr>
                  <w:rFonts w:ascii="Arial" w:cs="Arial" w:eastAsia="Arial" w:hAnsi="Arial"/>
                  <w:sz w:val="13"/>
                  <w:szCs w:val="13"/>
                  <w:color w:val="auto"/>
                  <w:w w:val="97"/>
                </w:rPr>
                <w:t>Offer Letter, dated as of November 2, 2023, by and between the Company</w:t>
              </w:r>
            </w:hyperlink>
          </w:p>
        </w:tc>
        <w:tc>
          <w:tcPr>
            <w:tcW w:w="100" w:type="dxa"/>
            <w:vAlign w:val="bottom"/>
            <w:gridSpan w:val="5"/>
          </w:tcPr>
          <w:p>
            <w:pPr>
              <w:spacing w:after="0"/>
              <w:rPr>
                <w:sz w:val="15"/>
                <w:szCs w:val="15"/>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10.16†</w:t>
            </w:r>
          </w:p>
        </w:tc>
        <w:tc>
          <w:tcPr>
            <w:tcW w:w="20" w:type="dxa"/>
            <w:vAlign w:val="bottom"/>
          </w:tcPr>
          <w:p>
            <w:pPr>
              <w:spacing w:after="0"/>
              <w:rPr>
                <w:sz w:val="11"/>
                <w:szCs w:val="11"/>
                <w:color w:val="auto"/>
              </w:rPr>
            </w:pPr>
          </w:p>
        </w:tc>
        <w:tc>
          <w:tcPr>
            <w:tcW w:w="4280" w:type="dxa"/>
            <w:vAlign w:val="bottom"/>
            <w:gridSpan w:val="26"/>
          </w:tcPr>
          <w:p>
            <w:pPr>
              <w:spacing w:after="0" w:line="118" w:lineRule="exact"/>
              <w:rPr>
                <w:rFonts w:ascii="Arial" w:cs="Arial" w:eastAsia="Arial" w:hAnsi="Arial"/>
                <w:sz w:val="13"/>
                <w:szCs w:val="13"/>
                <w:color w:val="auto"/>
              </w:rPr>
            </w:pPr>
            <w:hyperlink r:id="rId374">
              <w:r>
                <w:rPr>
                  <w:rFonts w:ascii="Arial" w:cs="Arial" w:eastAsia="Arial" w:hAnsi="Arial"/>
                  <w:sz w:val="13"/>
                  <w:szCs w:val="13"/>
                  <w:color w:val="auto"/>
                </w:rPr>
                <w:t>and C. David Cone.</w:t>
              </w:r>
            </w:hyperlink>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bottom w:val="single" w:sz="8" w:color="auto"/>
            </w:tcBorders>
            <w:gridSpan w:val="23"/>
          </w:tcPr>
          <w:p>
            <w:pPr>
              <w:spacing w:after="0"/>
              <w:rPr>
                <w:rFonts w:ascii="Arial" w:cs="Arial" w:eastAsia="Arial" w:hAnsi="Arial"/>
                <w:sz w:val="13"/>
                <w:szCs w:val="13"/>
                <w:color w:val="auto"/>
                <w:w w:val="97"/>
              </w:rPr>
            </w:pPr>
            <w:hyperlink r:id="rId375">
              <w:r>
                <w:rPr>
                  <w:rFonts w:ascii="Arial" w:cs="Arial" w:eastAsia="Arial" w:hAnsi="Arial"/>
                  <w:sz w:val="13"/>
                  <w:szCs w:val="13"/>
                  <w:color w:val="auto"/>
                  <w:w w:val="97"/>
                </w:rPr>
                <w:t>Offer Letter, dated as of September 1, 2022, by and between the Company</w:t>
              </w:r>
            </w:hyperlink>
          </w:p>
        </w:tc>
        <w:tc>
          <w:tcPr>
            <w:tcW w:w="60" w:type="dxa"/>
            <w:vAlign w:val="bottom"/>
            <w:gridSpan w:val="3"/>
          </w:tcPr>
          <w:p>
            <w:pPr>
              <w:spacing w:after="0"/>
              <w:rPr>
                <w:sz w:val="15"/>
                <w:szCs w:val="15"/>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10.17†</w:t>
            </w:r>
          </w:p>
        </w:tc>
        <w:tc>
          <w:tcPr>
            <w:tcW w:w="20" w:type="dxa"/>
            <w:vAlign w:val="bottom"/>
          </w:tcPr>
          <w:p>
            <w:pPr>
              <w:spacing w:after="0"/>
              <w:rPr>
                <w:sz w:val="11"/>
                <w:szCs w:val="11"/>
                <w:color w:val="auto"/>
              </w:rPr>
            </w:pPr>
          </w:p>
        </w:tc>
        <w:tc>
          <w:tcPr>
            <w:tcW w:w="4280" w:type="dxa"/>
            <w:vAlign w:val="bottom"/>
            <w:gridSpan w:val="26"/>
          </w:tcPr>
          <w:p>
            <w:pPr>
              <w:spacing w:after="0" w:line="118" w:lineRule="exact"/>
              <w:rPr>
                <w:rFonts w:ascii="Arial" w:cs="Arial" w:eastAsia="Arial" w:hAnsi="Arial"/>
                <w:sz w:val="13"/>
                <w:szCs w:val="13"/>
                <w:color w:val="auto"/>
              </w:rPr>
            </w:pPr>
            <w:hyperlink r:id="rId375">
              <w:r>
                <w:rPr>
                  <w:rFonts w:ascii="Arial" w:cs="Arial" w:eastAsia="Arial" w:hAnsi="Arial"/>
                  <w:sz w:val="13"/>
                  <w:szCs w:val="13"/>
                  <w:color w:val="auto"/>
                </w:rPr>
                <w:t>and Victoria Tullett</w:t>
              </w:r>
              <w:r>
                <w:rPr>
                  <w:rFonts w:ascii="Arial" w:cs="Arial" w:eastAsia="Arial" w:hAnsi="Arial"/>
                  <w:sz w:val="13"/>
                  <w:szCs w:val="13"/>
                  <w:color w:val="131E29"/>
                </w:rPr>
                <w:t>.</w:t>
              </w:r>
            </w:hyperlink>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bottom w:val="single" w:sz="8" w:color="auto"/>
            </w:tcBorders>
            <w:gridSpan w:val="19"/>
          </w:tcPr>
          <w:p>
            <w:pPr>
              <w:spacing w:after="0"/>
              <w:rPr>
                <w:rFonts w:ascii="Arial" w:cs="Arial" w:eastAsia="Arial" w:hAnsi="Arial"/>
                <w:sz w:val="13"/>
                <w:szCs w:val="13"/>
                <w:color w:val="auto"/>
                <w:w w:val="97"/>
              </w:rPr>
            </w:pPr>
            <w:hyperlink r:id="rId376">
              <w:r>
                <w:rPr>
                  <w:rFonts w:ascii="Arial" w:cs="Arial" w:eastAsia="Arial" w:hAnsi="Arial"/>
                  <w:sz w:val="13"/>
                  <w:szCs w:val="13"/>
                  <w:color w:val="auto"/>
                  <w:w w:val="97"/>
                </w:rPr>
                <w:t>Offer Letter, dated as of June 7, 2023, by and between the Company and</w:t>
              </w:r>
            </w:hyperlink>
          </w:p>
        </w:tc>
        <w:tc>
          <w:tcPr>
            <w:tcW w:w="160" w:type="dxa"/>
            <w:vAlign w:val="bottom"/>
            <w:gridSpan w:val="7"/>
          </w:tcPr>
          <w:p>
            <w:pPr>
              <w:spacing w:after="0"/>
              <w:rPr>
                <w:sz w:val="15"/>
                <w:szCs w:val="15"/>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10.18†</w:t>
            </w:r>
          </w:p>
        </w:tc>
        <w:tc>
          <w:tcPr>
            <w:tcW w:w="20" w:type="dxa"/>
            <w:vAlign w:val="bottom"/>
          </w:tcPr>
          <w:p>
            <w:pPr>
              <w:spacing w:after="0"/>
              <w:rPr>
                <w:sz w:val="11"/>
                <w:szCs w:val="11"/>
                <w:color w:val="auto"/>
              </w:rPr>
            </w:pPr>
          </w:p>
        </w:tc>
        <w:tc>
          <w:tcPr>
            <w:tcW w:w="4280" w:type="dxa"/>
            <w:vAlign w:val="bottom"/>
            <w:gridSpan w:val="26"/>
          </w:tcPr>
          <w:p>
            <w:pPr>
              <w:spacing w:after="0" w:line="118" w:lineRule="exact"/>
              <w:rPr>
                <w:rFonts w:ascii="Arial" w:cs="Arial" w:eastAsia="Arial" w:hAnsi="Arial"/>
                <w:sz w:val="13"/>
                <w:szCs w:val="13"/>
                <w:color w:val="auto"/>
              </w:rPr>
            </w:pPr>
            <w:hyperlink r:id="rId376">
              <w:r>
                <w:rPr>
                  <w:rFonts w:ascii="Arial" w:cs="Arial" w:eastAsia="Arial" w:hAnsi="Arial"/>
                  <w:sz w:val="13"/>
                  <w:szCs w:val="13"/>
                  <w:color w:val="auto"/>
                </w:rPr>
                <w:t>Tana Davila</w:t>
              </w:r>
              <w:r>
                <w:rPr>
                  <w:rFonts w:ascii="Arial" w:cs="Arial" w:eastAsia="Arial" w:hAnsi="Arial"/>
                  <w:sz w:val="13"/>
                  <w:szCs w:val="13"/>
                  <w:color w:val="131E29"/>
                </w:rPr>
                <w:t>.</w:t>
              </w:r>
            </w:hyperlink>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bottom w:val="single" w:sz="8" w:color="auto"/>
            </w:tcBorders>
            <w:gridSpan w:val="25"/>
          </w:tcPr>
          <w:p>
            <w:pPr>
              <w:spacing w:after="0"/>
              <w:rPr>
                <w:rFonts w:ascii="Arial" w:cs="Arial" w:eastAsia="Arial" w:hAnsi="Arial"/>
                <w:sz w:val="13"/>
                <w:szCs w:val="13"/>
                <w:color w:val="auto"/>
                <w:w w:val="97"/>
              </w:rPr>
            </w:pPr>
            <w:hyperlink r:id="rId377">
              <w:r>
                <w:rPr>
                  <w:rFonts w:ascii="Arial" w:cs="Arial" w:eastAsia="Arial" w:hAnsi="Arial"/>
                  <w:sz w:val="13"/>
                  <w:szCs w:val="13"/>
                  <w:color w:val="auto"/>
                  <w:w w:val="97"/>
                </w:rPr>
                <w:t>Offer Letter, dated as of December 15, 2023, by and between the Company</w:t>
              </w:r>
            </w:hyperlink>
          </w:p>
        </w:tc>
        <w:tc>
          <w:tcPr>
            <w:tcW w:w="20" w:type="dxa"/>
            <w:vAlign w:val="bottom"/>
          </w:tcPr>
          <w:p>
            <w:pPr>
              <w:spacing w:after="0"/>
              <w:rPr>
                <w:sz w:val="15"/>
                <w:szCs w:val="15"/>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10.19†</w:t>
            </w:r>
          </w:p>
        </w:tc>
        <w:tc>
          <w:tcPr>
            <w:tcW w:w="20" w:type="dxa"/>
            <w:vAlign w:val="bottom"/>
          </w:tcPr>
          <w:p>
            <w:pPr>
              <w:spacing w:after="0"/>
              <w:rPr>
                <w:sz w:val="11"/>
                <w:szCs w:val="11"/>
                <w:color w:val="auto"/>
              </w:rPr>
            </w:pPr>
          </w:p>
        </w:tc>
        <w:tc>
          <w:tcPr>
            <w:tcW w:w="4280" w:type="dxa"/>
            <w:vAlign w:val="bottom"/>
            <w:gridSpan w:val="26"/>
          </w:tcPr>
          <w:p>
            <w:pPr>
              <w:spacing w:after="0" w:line="118" w:lineRule="exact"/>
              <w:rPr>
                <w:rFonts w:ascii="Arial" w:cs="Arial" w:eastAsia="Arial" w:hAnsi="Arial"/>
                <w:sz w:val="13"/>
                <w:szCs w:val="13"/>
                <w:color w:val="auto"/>
              </w:rPr>
            </w:pPr>
            <w:hyperlink r:id="rId377">
              <w:r>
                <w:rPr>
                  <w:rFonts w:ascii="Arial" w:cs="Arial" w:eastAsia="Arial" w:hAnsi="Arial"/>
                  <w:sz w:val="13"/>
                  <w:szCs w:val="13"/>
                  <w:color w:val="auto"/>
                </w:rPr>
                <w:t>and Sumitro Ghosh.</w:t>
              </w:r>
            </w:hyperlink>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bottom w:val="single" w:sz="8" w:color="auto"/>
            </w:tcBorders>
            <w:gridSpan w:val="25"/>
          </w:tcPr>
          <w:p>
            <w:pPr>
              <w:spacing w:after="0"/>
              <w:rPr>
                <w:rFonts w:ascii="Arial" w:cs="Arial" w:eastAsia="Arial" w:hAnsi="Arial"/>
                <w:sz w:val="13"/>
                <w:szCs w:val="13"/>
                <w:color w:val="auto"/>
                <w:w w:val="97"/>
              </w:rPr>
            </w:pPr>
            <w:hyperlink r:id="rId378">
              <w:r>
                <w:rPr>
                  <w:rFonts w:ascii="Arial" w:cs="Arial" w:eastAsia="Arial" w:hAnsi="Arial"/>
                  <w:sz w:val="13"/>
                  <w:szCs w:val="13"/>
                  <w:color w:val="auto"/>
                  <w:w w:val="97"/>
                </w:rPr>
                <w:t>Offer Letter, dated as of December 19, 2023, by and between the Company</w:t>
              </w:r>
            </w:hyperlink>
          </w:p>
        </w:tc>
        <w:tc>
          <w:tcPr>
            <w:tcW w:w="20" w:type="dxa"/>
            <w:vAlign w:val="bottom"/>
          </w:tcPr>
          <w:p>
            <w:pPr>
              <w:spacing w:after="0"/>
              <w:rPr>
                <w:sz w:val="15"/>
                <w:szCs w:val="15"/>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10.20†</w:t>
            </w:r>
          </w:p>
        </w:tc>
        <w:tc>
          <w:tcPr>
            <w:tcW w:w="20" w:type="dxa"/>
            <w:vAlign w:val="bottom"/>
          </w:tcPr>
          <w:p>
            <w:pPr>
              <w:spacing w:after="0"/>
              <w:rPr>
                <w:sz w:val="11"/>
                <w:szCs w:val="11"/>
                <w:color w:val="auto"/>
              </w:rPr>
            </w:pPr>
          </w:p>
        </w:tc>
        <w:tc>
          <w:tcPr>
            <w:tcW w:w="4280" w:type="dxa"/>
            <w:vAlign w:val="bottom"/>
            <w:gridSpan w:val="26"/>
          </w:tcPr>
          <w:p>
            <w:pPr>
              <w:spacing w:after="0" w:line="118" w:lineRule="exact"/>
              <w:rPr>
                <w:rFonts w:ascii="Arial" w:cs="Arial" w:eastAsia="Arial" w:hAnsi="Arial"/>
                <w:sz w:val="13"/>
                <w:szCs w:val="13"/>
                <w:color w:val="auto"/>
              </w:rPr>
            </w:pPr>
            <w:hyperlink r:id="rId378">
              <w:r>
                <w:rPr>
                  <w:rFonts w:ascii="Arial" w:cs="Arial" w:eastAsia="Arial" w:hAnsi="Arial"/>
                  <w:sz w:val="13"/>
                  <w:szCs w:val="13"/>
                  <w:color w:val="auto"/>
                </w:rPr>
                <w:t>and Joshua Guenser.</w:t>
              </w:r>
            </w:hyperlink>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gridSpan w:val="5"/>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60" w:type="dxa"/>
            <w:vAlign w:val="bottom"/>
            <w:tcBorders>
              <w:bottom w:val="single" w:sz="8" w:color="auto"/>
            </w:tcBorders>
            <w:gridSpan w:val="16"/>
          </w:tcPr>
          <w:p>
            <w:pPr>
              <w:spacing w:after="0"/>
              <w:rPr>
                <w:rFonts w:ascii="Arial" w:cs="Arial" w:eastAsia="Arial" w:hAnsi="Arial"/>
                <w:sz w:val="13"/>
                <w:szCs w:val="13"/>
                <w:color w:val="auto"/>
                <w:w w:val="97"/>
              </w:rPr>
            </w:pPr>
            <w:hyperlink r:id="rId379">
              <w:r>
                <w:rPr>
                  <w:rFonts w:ascii="Arial" w:cs="Arial" w:eastAsia="Arial" w:hAnsi="Arial"/>
                  <w:sz w:val="13"/>
                  <w:szCs w:val="13"/>
                  <w:color w:val="auto"/>
                  <w:w w:val="97"/>
                </w:rPr>
                <w:t>Share Surrender Agreement, by and among the Company, Dutch Bros</w:t>
              </w:r>
            </w:hyperlink>
          </w:p>
        </w:tc>
        <w:tc>
          <w:tcPr>
            <w:tcW w:w="320" w:type="dxa"/>
            <w:vAlign w:val="bottom"/>
            <w:gridSpan w:val="10"/>
          </w:tcPr>
          <w:p>
            <w:pPr>
              <w:spacing w:after="0"/>
              <w:rPr>
                <w:sz w:val="15"/>
                <w:szCs w:val="15"/>
                <w:color w:val="auto"/>
              </w:rPr>
            </w:pPr>
          </w:p>
        </w:tc>
      </w:tr>
      <w:tr>
        <w:trPr>
          <w:trHeight w:val="129"/>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80" w:type="dxa"/>
            <w:vAlign w:val="bottom"/>
            <w:gridSpan w:val="26"/>
          </w:tcPr>
          <w:p>
            <w:pPr>
              <w:spacing w:after="0" w:line="129" w:lineRule="exact"/>
              <w:rPr>
                <w:rFonts w:ascii="Arial" w:cs="Arial" w:eastAsia="Arial" w:hAnsi="Arial"/>
                <w:sz w:val="13"/>
                <w:szCs w:val="13"/>
                <w:color w:val="auto"/>
              </w:rPr>
            </w:pPr>
            <w:hyperlink r:id="rId379">
              <w:r>
                <w:rPr>
                  <w:rFonts w:ascii="Arial" w:cs="Arial" w:eastAsia="Arial" w:hAnsi="Arial"/>
                  <w:sz w:val="13"/>
                  <w:szCs w:val="13"/>
                  <w:color w:val="auto"/>
                </w:rPr>
                <w:t>OpCo, DMI Holdco, LLC, DM Individual Aggregator, LLC, and DM Trust</w:t>
              </w:r>
            </w:hyperlink>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8"/>
              </w:rPr>
              <w:t>10.21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60" w:type="dxa"/>
            <w:vAlign w:val="bottom"/>
            <w:tcBorders>
              <w:top w:val="single" w:sz="8" w:color="auto"/>
              <w:bottom w:val="single" w:sz="8" w:color="auto"/>
            </w:tcBorders>
            <w:gridSpan w:val="11"/>
          </w:tcPr>
          <w:p>
            <w:pPr>
              <w:spacing w:after="0" w:line="139" w:lineRule="exact"/>
              <w:rPr>
                <w:rFonts w:ascii="Arial" w:cs="Arial" w:eastAsia="Arial" w:hAnsi="Arial"/>
                <w:sz w:val="13"/>
                <w:szCs w:val="13"/>
                <w:color w:val="auto"/>
                <w:w w:val="96"/>
              </w:rPr>
            </w:pPr>
            <w:hyperlink r:id="rId379">
              <w:r>
                <w:rPr>
                  <w:rFonts w:ascii="Arial" w:cs="Arial" w:eastAsia="Arial" w:hAnsi="Arial"/>
                  <w:sz w:val="13"/>
                  <w:szCs w:val="13"/>
                  <w:color w:val="auto"/>
                  <w:w w:val="96"/>
                </w:rPr>
                <w:t>Aggregator, LLC, dated May 16, 2024.</w:t>
              </w:r>
            </w:hyperlink>
          </w:p>
        </w:tc>
        <w:tc>
          <w:tcPr>
            <w:tcW w:w="1840" w:type="dxa"/>
            <w:vAlign w:val="bottom"/>
            <w:tcBorders>
              <w:top w:val="single" w:sz="8" w:color="auto"/>
            </w:tcBorders>
            <w:gridSpan w:val="6"/>
          </w:tcPr>
          <w:p>
            <w:pPr>
              <w:spacing w:after="0"/>
              <w:rPr>
                <w:sz w:val="12"/>
                <w:szCs w:val="12"/>
                <w:color w:val="auto"/>
              </w:rPr>
            </w:pPr>
          </w:p>
        </w:tc>
        <w:tc>
          <w:tcPr>
            <w:tcW w:w="280" w:type="dxa"/>
            <w:vAlign w:val="bottom"/>
            <w:gridSpan w:val="9"/>
          </w:tcPr>
          <w:p>
            <w:pPr>
              <w:spacing w:after="0"/>
              <w:rPr>
                <w:sz w:val="12"/>
                <w:szCs w:val="12"/>
                <w:color w:val="auto"/>
              </w:rPr>
            </w:pPr>
          </w:p>
        </w:tc>
      </w:t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40" w:type="dxa"/>
            <w:vAlign w:val="bottom"/>
            <w:tcBorders>
              <w:bottom w:val="single" w:sz="8" w:color="auto"/>
            </w:tcBorders>
            <w:gridSpan w:val="24"/>
          </w:tcPr>
          <w:p>
            <w:pPr>
              <w:spacing w:after="0"/>
              <w:rPr>
                <w:rFonts w:ascii="Arial" w:cs="Arial" w:eastAsia="Arial" w:hAnsi="Arial"/>
                <w:sz w:val="13"/>
                <w:szCs w:val="13"/>
                <w:color w:val="auto"/>
                <w:w w:val="97"/>
              </w:rPr>
            </w:pPr>
            <w:hyperlink r:id="rId380">
              <w:r>
                <w:rPr>
                  <w:rFonts w:ascii="Arial" w:cs="Arial" w:eastAsia="Arial" w:hAnsi="Arial"/>
                  <w:sz w:val="13"/>
                  <w:szCs w:val="13"/>
                  <w:color w:val="auto"/>
                  <w:w w:val="97"/>
                </w:rPr>
                <w:t>Limitation Agreement, by and among the Company, Dutch Bros OpCo, DMI</w:t>
              </w:r>
            </w:hyperlink>
          </w:p>
        </w:tc>
        <w:tc>
          <w:tcPr>
            <w:tcW w:w="40" w:type="dxa"/>
            <w:vAlign w:val="bottom"/>
            <w:gridSpan w:val="2"/>
          </w:tcPr>
          <w:p>
            <w:pPr>
              <w:spacing w:after="0"/>
              <w:rPr>
                <w:sz w:val="14"/>
                <w:szCs w:val="14"/>
                <w:color w:val="auto"/>
              </w:rPr>
            </w:pPr>
          </w:p>
        </w:tc>
      </w:tr>
      <w:tr>
        <w:trPr>
          <w:trHeight w:val="129"/>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40" w:type="dxa"/>
            <w:vAlign w:val="bottom"/>
            <w:tcBorders>
              <w:bottom w:val="single" w:sz="8" w:color="auto"/>
            </w:tcBorders>
            <w:gridSpan w:val="18"/>
          </w:tcPr>
          <w:p>
            <w:pPr>
              <w:spacing w:after="0" w:line="129" w:lineRule="exact"/>
              <w:rPr>
                <w:rFonts w:ascii="Arial" w:cs="Arial" w:eastAsia="Arial" w:hAnsi="Arial"/>
                <w:sz w:val="13"/>
                <w:szCs w:val="13"/>
                <w:color w:val="auto"/>
                <w:w w:val="97"/>
              </w:rPr>
            </w:pPr>
            <w:hyperlink r:id="rId380">
              <w:r>
                <w:rPr>
                  <w:rFonts w:ascii="Arial" w:cs="Arial" w:eastAsia="Arial" w:hAnsi="Arial"/>
                  <w:sz w:val="13"/>
                  <w:szCs w:val="13"/>
                  <w:color w:val="auto"/>
                  <w:w w:val="97"/>
                </w:rPr>
                <w:t>Holdco, LLC, DM Individual Aggregator, LLC, and DM Trust Aggregator,</w:t>
              </w:r>
            </w:hyperlink>
          </w:p>
        </w:tc>
        <w:tc>
          <w:tcPr>
            <w:tcW w:w="240" w:type="dxa"/>
            <w:vAlign w:val="bottom"/>
            <w:gridSpan w:val="8"/>
          </w:tcPr>
          <w:p>
            <w:pPr>
              <w:spacing w:after="0"/>
              <w:rPr>
                <w:sz w:val="11"/>
                <w:szCs w:val="11"/>
                <w:color w:val="auto"/>
              </w:rPr>
            </w:pP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8"/>
              </w:rPr>
              <w:t>10.22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gridSpan w:val="26"/>
          </w:tcPr>
          <w:p>
            <w:pPr>
              <w:spacing w:after="0" w:line="139" w:lineRule="exact"/>
              <w:rPr>
                <w:rFonts w:ascii="Arial" w:cs="Arial" w:eastAsia="Arial" w:hAnsi="Arial"/>
                <w:sz w:val="13"/>
                <w:szCs w:val="13"/>
                <w:color w:val="auto"/>
              </w:rPr>
            </w:pPr>
            <w:hyperlink r:id="rId380">
              <w:r>
                <w:rPr>
                  <w:rFonts w:ascii="Arial" w:cs="Arial" w:eastAsia="Arial" w:hAnsi="Arial"/>
                  <w:sz w:val="13"/>
                  <w:szCs w:val="13"/>
                  <w:color w:val="auto"/>
                </w:rPr>
                <w:t>LLC, dated May 16, 2024.</w:t>
              </w:r>
            </w:hyperlink>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gridSpan w:val="6"/>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26"/>
          </w:tcPr>
          <w:p>
            <w:pPr>
              <w:spacing w:after="0"/>
              <w:rPr>
                <w:rFonts w:ascii="Arial" w:cs="Arial" w:eastAsia="Arial" w:hAnsi="Arial"/>
                <w:sz w:val="13"/>
                <w:szCs w:val="13"/>
                <w:color w:val="auto"/>
              </w:rPr>
            </w:pPr>
            <w:hyperlink r:id="rId381">
              <w:r>
                <w:rPr>
                  <w:rFonts w:ascii="Arial" w:cs="Arial" w:eastAsia="Arial" w:hAnsi="Arial"/>
                  <w:sz w:val="13"/>
                  <w:szCs w:val="13"/>
                  <w:color w:val="auto"/>
                </w:rPr>
                <w:t>Offer Letter, dated as of May 28, 2024, by and between the Company and</w:t>
              </w:r>
            </w:hyperlink>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10.23†</w:t>
            </w:r>
          </w:p>
        </w:tc>
        <w:tc>
          <w:tcPr>
            <w:tcW w:w="20" w:type="dxa"/>
            <w:vAlign w:val="bottom"/>
          </w:tcPr>
          <w:p>
            <w:pPr>
              <w:spacing w:after="0"/>
              <w:rPr>
                <w:sz w:val="11"/>
                <w:szCs w:val="11"/>
                <w:color w:val="auto"/>
              </w:rPr>
            </w:pPr>
          </w:p>
        </w:tc>
        <w:tc>
          <w:tcPr>
            <w:tcW w:w="840" w:type="dxa"/>
            <w:vAlign w:val="bottom"/>
            <w:tcBorders>
              <w:top w:val="single" w:sz="8" w:color="auto"/>
              <w:bottom w:val="single" w:sz="8" w:color="auto"/>
            </w:tcBorders>
            <w:gridSpan w:val="4"/>
          </w:tcPr>
          <w:p>
            <w:pPr>
              <w:spacing w:after="0" w:line="118" w:lineRule="exact"/>
              <w:rPr>
                <w:rFonts w:ascii="Arial" w:cs="Arial" w:eastAsia="Arial" w:hAnsi="Arial"/>
                <w:sz w:val="13"/>
                <w:szCs w:val="13"/>
                <w:color w:val="auto"/>
                <w:w w:val="95"/>
              </w:rPr>
            </w:pPr>
            <w:hyperlink r:id="rId381">
              <w:r>
                <w:rPr>
                  <w:rFonts w:ascii="Arial" w:cs="Arial" w:eastAsia="Arial" w:hAnsi="Arial"/>
                  <w:sz w:val="13"/>
                  <w:szCs w:val="13"/>
                  <w:color w:val="auto"/>
                  <w:w w:val="95"/>
                </w:rPr>
                <w:t>Gerard J. Hart.</w:t>
              </w:r>
            </w:hyperlink>
          </w:p>
        </w:tc>
        <w:tc>
          <w:tcPr>
            <w:tcW w:w="3300" w:type="dxa"/>
            <w:vAlign w:val="bottom"/>
            <w:tcBorders>
              <w:top w:val="single" w:sz="8" w:color="auto"/>
            </w:tcBorders>
            <w:gridSpan w:val="16"/>
          </w:tcPr>
          <w:p>
            <w:pPr>
              <w:spacing w:after="0"/>
              <w:rPr>
                <w:sz w:val="11"/>
                <w:szCs w:val="11"/>
                <w:color w:val="auto"/>
              </w:rPr>
            </w:pPr>
          </w:p>
        </w:tc>
        <w:tc>
          <w:tcPr>
            <w:tcW w:w="140" w:type="dxa"/>
            <w:vAlign w:val="bottom"/>
            <w:gridSpan w:val="6"/>
          </w:tcPr>
          <w:p>
            <w:pPr>
              <w:spacing w:after="0"/>
              <w:rPr>
                <w:sz w:val="11"/>
                <w:szCs w:val="1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gridSpan w:val="26"/>
          </w:tcPr>
          <w:p>
            <w:pPr>
              <w:spacing w:after="0"/>
              <w:rPr>
                <w:rFonts w:ascii="Arial" w:cs="Arial" w:eastAsia="Arial" w:hAnsi="Arial"/>
                <w:sz w:val="13"/>
                <w:szCs w:val="13"/>
                <w:color w:val="auto"/>
                <w:w w:val="99"/>
              </w:rPr>
            </w:pPr>
            <w:hyperlink r:id="rId382">
              <w:r>
                <w:rPr>
                  <w:rFonts w:ascii="Arial" w:cs="Arial" w:eastAsia="Arial" w:hAnsi="Arial"/>
                  <w:sz w:val="13"/>
                  <w:szCs w:val="13"/>
                  <w:color w:val="auto"/>
                  <w:w w:val="99"/>
                </w:rPr>
                <w:t>Offer Letter, dated as of June 18, 2024, by and between the Company and</w:t>
              </w:r>
            </w:hyperlink>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10.24†</w:t>
            </w:r>
          </w:p>
        </w:tc>
        <w:tc>
          <w:tcPr>
            <w:tcW w:w="20" w:type="dxa"/>
            <w:vAlign w:val="bottom"/>
          </w:tcPr>
          <w:p>
            <w:pPr>
              <w:spacing w:after="0"/>
              <w:rPr>
                <w:sz w:val="11"/>
                <w:szCs w:val="11"/>
                <w:color w:val="auto"/>
              </w:rPr>
            </w:pPr>
          </w:p>
        </w:tc>
        <w:tc>
          <w:tcPr>
            <w:tcW w:w="4180" w:type="dxa"/>
            <w:vAlign w:val="bottom"/>
            <w:tcBorders>
              <w:top w:val="single" w:sz="8" w:color="auto"/>
            </w:tcBorders>
            <w:gridSpan w:val="21"/>
          </w:tcPr>
          <w:p>
            <w:pPr>
              <w:spacing w:after="0" w:line="118" w:lineRule="exact"/>
              <w:rPr>
                <w:rFonts w:ascii="Arial" w:cs="Arial" w:eastAsia="Arial" w:hAnsi="Arial"/>
                <w:sz w:val="13"/>
                <w:szCs w:val="13"/>
                <w:color w:val="auto"/>
              </w:rPr>
            </w:pPr>
            <w:hyperlink r:id="rId382">
              <w:r>
                <w:rPr>
                  <w:rFonts w:ascii="Arial" w:cs="Arial" w:eastAsia="Arial" w:hAnsi="Arial"/>
                  <w:sz w:val="13"/>
                  <w:szCs w:val="13"/>
                  <w:color w:val="auto"/>
                </w:rPr>
                <w:t>Todd Penegor.</w:t>
              </w:r>
            </w:hyperlink>
          </w:p>
        </w:tc>
        <w:tc>
          <w:tcPr>
            <w:tcW w:w="100" w:type="dxa"/>
            <w:vAlign w:val="bottom"/>
            <w:gridSpan w:val="5"/>
          </w:tcPr>
          <w:p>
            <w:pPr>
              <w:spacing w:after="0"/>
              <w:rPr>
                <w:sz w:val="11"/>
                <w:szCs w:val="1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128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82"/>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tcBorders>
              <w:bottom w:val="single" w:sz="8" w:color="auto"/>
            </w:tcBorders>
            <w:gridSpan w:val="24"/>
          </w:tcPr>
          <w:p>
            <w:pPr>
              <w:spacing w:after="0"/>
              <w:rPr>
                <w:rFonts w:ascii="Arial" w:cs="Arial" w:eastAsia="Arial" w:hAnsi="Arial"/>
                <w:sz w:val="13"/>
                <w:szCs w:val="13"/>
                <w:color w:val="auto"/>
                <w:w w:val="97"/>
              </w:rPr>
            </w:pPr>
            <w:hyperlink r:id="rId383">
              <w:r>
                <w:rPr>
                  <w:rFonts w:ascii="Arial" w:cs="Arial" w:eastAsia="Arial" w:hAnsi="Arial"/>
                  <w:sz w:val="13"/>
                  <w:szCs w:val="13"/>
                  <w:color w:val="auto"/>
                  <w:w w:val="97"/>
                </w:rPr>
                <w:t>Amended and Restated Participation Agreement, dated November 4, 2024,</w:t>
              </w:r>
            </w:hyperlink>
          </w:p>
        </w:tc>
        <w:tc>
          <w:tcPr>
            <w:tcW w:w="40" w:type="dxa"/>
            <w:vAlign w:val="bottom"/>
            <w:gridSpan w:val="2"/>
          </w:tcPr>
          <w:p>
            <w:pPr>
              <w:spacing w:after="0"/>
              <w:rPr>
                <w:sz w:val="15"/>
                <w:szCs w:val="15"/>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10.25†</w:t>
            </w:r>
          </w:p>
        </w:tc>
        <w:tc>
          <w:tcPr>
            <w:tcW w:w="20" w:type="dxa"/>
            <w:vAlign w:val="bottom"/>
          </w:tcPr>
          <w:p>
            <w:pPr>
              <w:spacing w:after="0"/>
              <w:rPr>
                <w:sz w:val="11"/>
                <w:szCs w:val="11"/>
                <w:color w:val="auto"/>
              </w:rPr>
            </w:pPr>
          </w:p>
        </w:tc>
        <w:tc>
          <w:tcPr>
            <w:tcW w:w="2960" w:type="dxa"/>
            <w:vAlign w:val="bottom"/>
            <w:tcBorders>
              <w:bottom w:val="single" w:sz="8" w:color="auto"/>
            </w:tcBorders>
            <w:gridSpan w:val="12"/>
          </w:tcPr>
          <w:p>
            <w:pPr>
              <w:spacing w:after="0" w:line="118" w:lineRule="exact"/>
              <w:rPr>
                <w:rFonts w:ascii="Arial" w:cs="Arial" w:eastAsia="Arial" w:hAnsi="Arial"/>
                <w:sz w:val="13"/>
                <w:szCs w:val="13"/>
                <w:color w:val="auto"/>
                <w:w w:val="97"/>
              </w:rPr>
            </w:pPr>
            <w:hyperlink r:id="rId383">
              <w:r>
                <w:rPr>
                  <w:rFonts w:ascii="Arial" w:cs="Arial" w:eastAsia="Arial" w:hAnsi="Arial"/>
                  <w:sz w:val="13"/>
                  <w:szCs w:val="13"/>
                  <w:color w:val="auto"/>
                  <w:w w:val="97"/>
                </w:rPr>
                <w:t>by and between the Company and Christine Barone.</w:t>
              </w:r>
            </w:hyperlink>
          </w:p>
        </w:tc>
        <w:tc>
          <w:tcPr>
            <w:tcW w:w="1320" w:type="dxa"/>
            <w:vAlign w:val="bottom"/>
            <w:gridSpan w:val="14"/>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ind w:left="680"/>
              <w:spacing w:after="0"/>
              <w:rPr>
                <w:sz w:val="20"/>
                <w:szCs w:val="20"/>
                <w:color w:val="auto"/>
              </w:rPr>
            </w:pPr>
            <w:r>
              <w:rPr>
                <w:rFonts w:ascii="Arial" w:cs="Arial" w:eastAsia="Arial" w:hAnsi="Arial"/>
                <w:sz w:val="11"/>
                <w:szCs w:val="11"/>
                <w:b w:val="1"/>
                <w:bCs w:val="1"/>
                <w:color w:val="131E29"/>
              </w:rPr>
              <w:t>Incorporated by Reference</w:t>
            </w:r>
          </w:p>
        </w:tc>
        <w:tc>
          <w:tcPr>
            <w:tcW w:w="1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Form</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 No.</w:t>
            </w: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1"/>
                <w:szCs w:val="11"/>
                <w:b w:val="1"/>
                <w:bCs w:val="1"/>
                <w:color w:val="131E29"/>
              </w:rPr>
              <w:t>Exhibit</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Filing Date</w:t>
            </w:r>
          </w:p>
        </w:tc>
        <w:tc>
          <w:tcPr>
            <w:tcW w:w="80" w:type="dxa"/>
            <w:vAlign w:val="bottom"/>
          </w:tcPr>
          <w:p>
            <w:pPr>
              <w:spacing w:after="0"/>
              <w:rPr>
                <w:sz w:val="14"/>
                <w:szCs w:val="14"/>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131E29"/>
              </w:rPr>
              <w:t>Filed Herewith</w:t>
            </w:r>
          </w:p>
        </w:tc>
      </w:tr>
      <w:tr>
        <w:trPr>
          <w:trHeight w:val="482"/>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10.16</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March 11, 2022</w:t>
            </w:r>
          </w:p>
        </w:tc>
        <w:tc>
          <w:tcPr>
            <w:tcW w:w="960" w:type="dxa"/>
            <w:vAlign w:val="bottom"/>
          </w:tcPr>
          <w:p>
            <w:pPr>
              <w:spacing w:after="0"/>
              <w:rPr>
                <w:sz w:val="24"/>
                <w:szCs w:val="24"/>
                <w:color w:val="auto"/>
              </w:rPr>
            </w:pPr>
          </w:p>
        </w:tc>
      </w:tr>
      <w:tr>
        <w:trPr>
          <w:trHeight w:val="806"/>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August 8, 2023</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August 22, 2022</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January 2, 2024</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November 7, 2023</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10.23</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February 23, 2024</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10.24</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February 23, 2024</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April 2, 2024</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May 7, 2024</w:t>
            </w:r>
          </w:p>
        </w:tc>
        <w:tc>
          <w:tcPr>
            <w:tcW w:w="960" w:type="dxa"/>
            <w:vAlign w:val="bottom"/>
          </w:tcPr>
          <w:p>
            <w:pPr>
              <w:spacing w:after="0"/>
              <w:rPr>
                <w:sz w:val="24"/>
                <w:szCs w:val="24"/>
                <w:color w:val="auto"/>
              </w:rPr>
            </w:pPr>
          </w:p>
        </w:tc>
      </w:tr>
      <w:tr>
        <w:trPr>
          <w:trHeight w:val="499"/>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10.2</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May 20, 2024</w:t>
            </w:r>
          </w:p>
        </w:tc>
        <w:tc>
          <w:tcPr>
            <w:tcW w:w="960" w:type="dxa"/>
            <w:vAlign w:val="bottom"/>
          </w:tcPr>
          <w:p>
            <w:pPr>
              <w:spacing w:after="0"/>
              <w:rPr>
                <w:sz w:val="24"/>
                <w:szCs w:val="24"/>
                <w:color w:val="auto"/>
              </w:rPr>
            </w:pPr>
          </w:p>
        </w:tc>
      </w:tr>
      <w:tr>
        <w:trPr>
          <w:trHeight w:val="499"/>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10.3</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6"/>
              </w:rPr>
              <w:t>May 20, 2024</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5"/>
              </w:rPr>
              <w:t>June 3, 2024</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June 24, 2024</w:t>
            </w:r>
          </w:p>
        </w:tc>
        <w:tc>
          <w:tcPr>
            <w:tcW w:w="960" w:type="dxa"/>
            <w:vAlign w:val="bottom"/>
          </w:tcPr>
          <w:p>
            <w:pPr>
              <w:spacing w:after="0"/>
              <w:rPr>
                <w:sz w:val="24"/>
                <w:szCs w:val="24"/>
                <w:color w:val="auto"/>
              </w:rPr>
            </w:pPr>
          </w:p>
        </w:tc>
      </w:tr>
      <w:tr>
        <w:trPr>
          <w:trHeight w:val="350"/>
        </w:trPr>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10.1</w:t>
            </w:r>
          </w:p>
        </w:tc>
        <w:tc>
          <w:tcPr>
            <w:tcW w:w="100" w:type="dxa"/>
            <w:vAlign w:val="bottom"/>
          </w:tcPr>
          <w:p>
            <w:pPr>
              <w:spacing w:after="0"/>
              <w:rPr>
                <w:sz w:val="24"/>
                <w:szCs w:val="2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November 6, 2024</w:t>
            </w: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-3463290</wp:posOffset>
            </wp:positionH>
            <wp:positionV relativeFrom="paragraph">
              <wp:posOffset>-3359785</wp:posOffset>
            </wp:positionV>
            <wp:extent cx="7161530" cy="5118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7161530" cy="51181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-2625090</wp:posOffset>
            </wp:positionV>
            <wp:extent cx="7161530" cy="2222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7161530" cy="22225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-2180590</wp:posOffset>
            </wp:positionV>
            <wp:extent cx="7161530" cy="2222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7161530" cy="22225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-1736090</wp:posOffset>
            </wp:positionV>
            <wp:extent cx="7161530" cy="2222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7161530" cy="22225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-1291590</wp:posOffset>
            </wp:positionV>
            <wp:extent cx="7161530" cy="31686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7161530" cy="316865"/>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-657860</wp:posOffset>
            </wp:positionV>
            <wp:extent cx="7161530" cy="2222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7161530" cy="222250"/>
                    </a:xfrm>
                    <a:prstGeom prst="rect">
                      <a:avLst/>
                    </a:prstGeom>
                    <a:noFill/>
                  </pic:spPr>
                </pic:pic>
              </a:graphicData>
            </a:graphic>
          </wp:anchor>
        </w:drawing>
        <w:drawing>
          <wp:anchor simplePos="0" relativeHeight="251657728" behindDoc="1" locked="0" layoutInCell="0" allowOverlap="1">
            <wp:simplePos x="0" y="0"/>
            <wp:positionH relativeFrom="column">
              <wp:posOffset>-3463290</wp:posOffset>
            </wp:positionH>
            <wp:positionV relativeFrom="paragraph">
              <wp:posOffset>-213360</wp:posOffset>
            </wp:positionV>
            <wp:extent cx="7161530" cy="2222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1">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-3475990</wp:posOffset>
            </wp:positionH>
            <wp:positionV relativeFrom="paragraph">
              <wp:posOffset>73660</wp:posOffset>
            </wp:positionV>
            <wp:extent cx="7186930"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5460" w:space="0"/>
            <w:col w:w="5820"/>
          </w:cols>
          <w:pgMar w:left="300" w:top="133" w:right="319" w:bottom="1440" w:gutter="0" w:footer="0" w:header="0"/>
        </w:sectPr>
      </w:pPr>
    </w:p>
    <w:bookmarkStart w:id="141" w:name="page142"/>
    <w:bookmarkEnd w:id="141"/>
    <w:p>
      <w:pPr>
        <w:spacing w:after="0"/>
        <w:rPr>
          <w:sz w:val="20"/>
          <w:szCs w:val="20"/>
          <w:color w:val="auto"/>
        </w:rPr>
      </w:pPr>
      <w:r>
        <w:rPr>
          <w:rFonts w:ascii="Arial" w:cs="Arial" w:eastAsia="Arial" w:hAnsi="Arial"/>
          <w:sz w:val="11"/>
          <w:szCs w:val="11"/>
          <w:u w:val="single" w:color="auto"/>
          <w:color w:val="006098"/>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ind w:left="680"/>
              <w:spacing w:after="0"/>
              <w:rPr>
                <w:sz w:val="20"/>
                <w:szCs w:val="20"/>
                <w:color w:val="auto"/>
              </w:rPr>
            </w:pPr>
            <w:r>
              <w:rPr>
                <w:rFonts w:ascii="Arial" w:cs="Arial" w:eastAsia="Arial" w:hAnsi="Arial"/>
                <w:sz w:val="11"/>
                <w:szCs w:val="11"/>
                <w:b w:val="1"/>
                <w:bCs w:val="1"/>
                <w:color w:val="131E29"/>
              </w:rPr>
              <w:t>Incorporated by Reference</w:t>
            </w:r>
          </w:p>
        </w:tc>
        <w:tc>
          <w:tcPr>
            <w:tcW w:w="1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1"/>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Exhibit Number</w:t>
            </w: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16"/>
          </w:tcPr>
          <w:p>
            <w:pPr>
              <w:spacing w:after="0"/>
              <w:rPr>
                <w:sz w:val="20"/>
                <w:szCs w:val="20"/>
                <w:color w:val="auto"/>
              </w:rPr>
            </w:pPr>
            <w:r>
              <w:rPr>
                <w:rFonts w:ascii="Arial" w:cs="Arial" w:eastAsia="Arial" w:hAnsi="Arial"/>
                <w:sz w:val="11"/>
                <w:szCs w:val="11"/>
                <w:b w:val="1"/>
                <w:bCs w:val="1"/>
                <w:color w:val="auto"/>
              </w:rPr>
              <w:t>Description</w:t>
            </w:r>
          </w:p>
        </w:tc>
        <w:tc>
          <w:tcPr>
            <w:tcW w:w="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Form</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 No.</w:t>
            </w:r>
          </w:p>
        </w:tc>
        <w:tc>
          <w:tcPr>
            <w:tcW w:w="900" w:type="dxa"/>
            <w:vAlign w:val="bottom"/>
            <w:tcBorders>
              <w:bottom w:val="single" w:sz="8" w:color="auto"/>
            </w:tcBorders>
          </w:tcPr>
          <w:p>
            <w:pPr>
              <w:jc w:val="center"/>
              <w:ind w:left="19"/>
              <w:spacing w:after="0"/>
              <w:rPr>
                <w:sz w:val="20"/>
                <w:szCs w:val="20"/>
                <w:color w:val="auto"/>
              </w:rPr>
            </w:pPr>
            <w:r>
              <w:rPr>
                <w:rFonts w:ascii="Arial" w:cs="Arial" w:eastAsia="Arial" w:hAnsi="Arial"/>
                <w:sz w:val="11"/>
                <w:szCs w:val="11"/>
                <w:b w:val="1"/>
                <w:bCs w:val="1"/>
                <w:color w:val="131E29"/>
              </w:rPr>
              <w:t>Exhibit</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Filing Date</w:t>
            </w:r>
          </w:p>
        </w:tc>
        <w:tc>
          <w:tcPr>
            <w:tcW w:w="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131E29"/>
              </w:rPr>
              <w:t>Filed Herewith</w:t>
            </w:r>
          </w:p>
        </w:tc>
      </w:tr>
      <w:tr>
        <w:trPr>
          <w:trHeight w:val="145"/>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gridSpan w:val="17"/>
          </w:tcPr>
          <w:p>
            <w:pPr>
              <w:spacing w:after="0" w:line="145" w:lineRule="exact"/>
              <w:rPr>
                <w:rFonts w:ascii="Arial" w:cs="Arial" w:eastAsia="Arial" w:hAnsi="Arial"/>
                <w:sz w:val="13"/>
                <w:szCs w:val="13"/>
                <w:color w:val="auto"/>
              </w:rPr>
            </w:pPr>
            <w:hyperlink r:id="rId393">
              <w:r>
                <w:rPr>
                  <w:rFonts w:ascii="Arial" w:cs="Arial" w:eastAsia="Arial" w:hAnsi="Arial"/>
                  <w:sz w:val="13"/>
                  <w:szCs w:val="13"/>
                  <w:color w:val="auto"/>
                </w:rPr>
                <w:t>Amended and Restated Severance and Change in Control Plan, dated</w:t>
              </w:r>
            </w:hyperlink>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29"/>
        </w:trPr>
        <w:tc>
          <w:tcPr>
            <w:tcW w:w="116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rPr>
              <w:t>10.26†</w:t>
            </w:r>
          </w:p>
        </w:tc>
        <w:tc>
          <w:tcPr>
            <w:tcW w:w="20" w:type="dxa"/>
            <w:vAlign w:val="bottom"/>
          </w:tcPr>
          <w:p>
            <w:pPr>
              <w:spacing w:after="0"/>
              <w:rPr>
                <w:sz w:val="11"/>
                <w:szCs w:val="11"/>
                <w:color w:val="auto"/>
              </w:rPr>
            </w:pPr>
          </w:p>
        </w:tc>
        <w:tc>
          <w:tcPr>
            <w:tcW w:w="3960" w:type="dxa"/>
            <w:vAlign w:val="bottom"/>
            <w:tcBorders>
              <w:top w:val="single" w:sz="8" w:color="auto"/>
            </w:tcBorders>
            <w:gridSpan w:val="10"/>
          </w:tcPr>
          <w:p>
            <w:pPr>
              <w:spacing w:after="0" w:line="118" w:lineRule="exact"/>
              <w:rPr>
                <w:rFonts w:ascii="Arial" w:cs="Arial" w:eastAsia="Arial" w:hAnsi="Arial"/>
                <w:sz w:val="13"/>
                <w:szCs w:val="13"/>
                <w:color w:val="auto"/>
              </w:rPr>
            </w:pPr>
            <w:hyperlink r:id="rId393">
              <w:r>
                <w:rPr>
                  <w:rFonts w:ascii="Arial" w:cs="Arial" w:eastAsia="Arial" w:hAnsi="Arial"/>
                  <w:sz w:val="13"/>
                  <w:szCs w:val="13"/>
                  <w:color w:val="auto"/>
                </w:rPr>
                <w:t>October 4, 2021, and related Form of Participation Agreement.</w:t>
              </w:r>
            </w:hyperlink>
          </w:p>
        </w:tc>
        <w:tc>
          <w:tcPr>
            <w:tcW w:w="420" w:type="dxa"/>
            <w:vAlign w:val="bottom"/>
            <w:gridSpan w:val="7"/>
          </w:tcPr>
          <w:p>
            <w:pPr>
              <w:spacing w:after="0"/>
              <w:rPr>
                <w:sz w:val="11"/>
                <w:szCs w:val="11"/>
                <w:color w:val="auto"/>
              </w:rPr>
            </w:pPr>
          </w:p>
        </w:tc>
        <w:tc>
          <w:tcPr>
            <w:tcW w:w="900" w:type="dxa"/>
            <w:vAlign w:val="bottom"/>
          </w:tcPr>
          <w:p>
            <w:pPr>
              <w:jc w:val="center"/>
              <w:spacing w:after="0" w:line="118" w:lineRule="exact"/>
              <w:rPr>
                <w:sz w:val="20"/>
                <w:szCs w:val="20"/>
                <w:color w:val="auto"/>
              </w:rPr>
            </w:pPr>
            <w:r>
              <w:rPr>
                <w:rFonts w:ascii="Arial" w:cs="Arial" w:eastAsia="Arial" w:hAnsi="Arial"/>
                <w:sz w:val="13"/>
                <w:szCs w:val="13"/>
                <w:color w:val="131E29"/>
                <w:w w:val="98"/>
              </w:rPr>
              <w:t>8-K</w:t>
            </w:r>
          </w:p>
        </w:tc>
        <w:tc>
          <w:tcPr>
            <w:tcW w:w="1220" w:type="dxa"/>
            <w:vAlign w:val="bottom"/>
          </w:tcPr>
          <w:p>
            <w:pPr>
              <w:jc w:val="center"/>
              <w:spacing w:after="0" w:line="118" w:lineRule="exact"/>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line="118" w:lineRule="exact"/>
              <w:rPr>
                <w:sz w:val="20"/>
                <w:szCs w:val="20"/>
                <w:color w:val="auto"/>
              </w:rPr>
            </w:pPr>
            <w:r>
              <w:rPr>
                <w:rFonts w:ascii="Arial" w:cs="Arial" w:eastAsia="Arial" w:hAnsi="Arial"/>
                <w:sz w:val="13"/>
                <w:szCs w:val="13"/>
                <w:color w:val="131E29"/>
                <w:w w:val="94"/>
              </w:rPr>
              <w:t>10.2</w:t>
            </w:r>
          </w:p>
        </w:tc>
        <w:tc>
          <w:tcPr>
            <w:tcW w:w="100" w:type="dxa"/>
            <w:vAlign w:val="bottom"/>
          </w:tcPr>
          <w:p>
            <w:pPr>
              <w:spacing w:after="0"/>
              <w:rPr>
                <w:sz w:val="11"/>
                <w:szCs w:val="11"/>
                <w:color w:val="auto"/>
              </w:rPr>
            </w:pPr>
          </w:p>
        </w:tc>
        <w:tc>
          <w:tcPr>
            <w:tcW w:w="1640" w:type="dxa"/>
            <w:vAlign w:val="bottom"/>
            <w:gridSpan w:val="2"/>
          </w:tcPr>
          <w:p>
            <w:pPr>
              <w:jc w:val="center"/>
              <w:ind w:right="80"/>
              <w:spacing w:after="0" w:line="118" w:lineRule="exact"/>
              <w:rPr>
                <w:sz w:val="20"/>
                <w:szCs w:val="20"/>
                <w:color w:val="auto"/>
              </w:rPr>
            </w:pPr>
            <w:r>
              <w:rPr>
                <w:rFonts w:ascii="Arial" w:cs="Arial" w:eastAsia="Arial" w:hAnsi="Arial"/>
                <w:sz w:val="13"/>
                <w:szCs w:val="13"/>
                <w:color w:val="131E29"/>
                <w:w w:val="97"/>
              </w:rPr>
              <w:t>November 6, 2024</w:t>
            </w:r>
          </w:p>
        </w:tc>
        <w:tc>
          <w:tcPr>
            <w:tcW w:w="960" w:type="dxa"/>
            <w:vAlign w:val="bottom"/>
          </w:tcPr>
          <w:p>
            <w:pPr>
              <w:spacing w:after="0"/>
              <w:rPr>
                <w:sz w:val="11"/>
                <w:szCs w:val="11"/>
                <w:color w:val="auto"/>
              </w:rPr>
            </w:pPr>
          </w:p>
        </w:tc>
      </w:tr>
      <w:tr>
        <w:trPr>
          <w:trHeight w:val="33"/>
        </w:trPr>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7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71"/>
        </w:trPr>
        <w:tc>
          <w:tcPr>
            <w:tcW w:w="108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4"/>
              </w:rPr>
              <w:t>19.1</w:t>
            </w:r>
          </w:p>
        </w:tc>
        <w:tc>
          <w:tcPr>
            <w:tcW w:w="80" w:type="dxa"/>
            <w:vAlign w:val="bottom"/>
            <w:tcBorders>
              <w:bottom w:val="single" w:sz="8" w:color="D2DCE5"/>
            </w:tcBorders>
            <w:shd w:val="clear" w:color="auto" w:fill="D2DCE5"/>
          </w:tcPr>
          <w:p>
            <w:pPr>
              <w:spacing w:after="0"/>
              <w:rPr>
                <w:sz w:val="14"/>
                <w:szCs w:val="14"/>
                <w:color w:val="auto"/>
              </w:rPr>
            </w:pPr>
          </w:p>
        </w:tc>
        <w:tc>
          <w:tcPr>
            <w:tcW w:w="20" w:type="dxa"/>
            <w:vAlign w:val="bottom"/>
            <w:tcBorders>
              <w:bottom w:val="single" w:sz="8" w:color="D2DCE5"/>
            </w:tcBorders>
            <w:shd w:val="clear" w:color="auto" w:fill="D2DCE5"/>
          </w:tcPr>
          <w:p>
            <w:pPr>
              <w:spacing w:after="0"/>
              <w:rPr>
                <w:sz w:val="14"/>
                <w:szCs w:val="14"/>
                <w:color w:val="auto"/>
              </w:rPr>
            </w:pPr>
          </w:p>
        </w:tc>
        <w:tc>
          <w:tcPr>
            <w:tcW w:w="2160" w:type="dxa"/>
            <w:vAlign w:val="bottom"/>
            <w:tcBorders>
              <w:bottom w:val="single" w:sz="8" w:color="auto"/>
            </w:tcBorders>
            <w:gridSpan w:val="3"/>
            <w:shd w:val="clear" w:color="auto" w:fill="D2DCE5"/>
          </w:tcPr>
          <w:p>
            <w:pPr>
              <w:spacing w:after="0"/>
              <w:rPr>
                <w:sz w:val="20"/>
                <w:szCs w:val="20"/>
                <w:color w:val="auto"/>
              </w:rPr>
            </w:pPr>
            <w:r>
              <w:rPr>
                <w:rFonts w:ascii="Arial" w:cs="Arial" w:eastAsia="Arial" w:hAnsi="Arial"/>
                <w:sz w:val="13"/>
                <w:szCs w:val="13"/>
                <w:color w:val="auto"/>
                <w:w w:val="96"/>
              </w:rPr>
              <w:t>Dutch Bros Inc. Insider Trading Policy.</w:t>
            </w:r>
          </w:p>
        </w:tc>
        <w:tc>
          <w:tcPr>
            <w:tcW w:w="2220" w:type="dxa"/>
            <w:vAlign w:val="bottom"/>
            <w:tcBorders>
              <w:bottom w:val="single" w:sz="8" w:color="D2DCE5"/>
            </w:tcBorders>
            <w:gridSpan w:val="14"/>
            <w:shd w:val="clear" w:color="auto" w:fill="D2DCE5"/>
          </w:tcPr>
          <w:p>
            <w:pPr>
              <w:spacing w:after="0"/>
              <w:rPr>
                <w:sz w:val="14"/>
                <w:szCs w:val="14"/>
                <w:color w:val="auto"/>
              </w:rPr>
            </w:pPr>
          </w:p>
        </w:tc>
        <w:tc>
          <w:tcPr>
            <w:tcW w:w="900" w:type="dxa"/>
            <w:vAlign w:val="bottom"/>
            <w:tcBorders>
              <w:bottom w:val="single" w:sz="8" w:color="D2DCE5"/>
            </w:tcBorders>
            <w:shd w:val="clear" w:color="auto" w:fill="D2DCE5"/>
          </w:tcPr>
          <w:p>
            <w:pPr>
              <w:spacing w:after="0"/>
              <w:rPr>
                <w:sz w:val="14"/>
                <w:szCs w:val="14"/>
                <w:color w:val="auto"/>
              </w:rPr>
            </w:pPr>
          </w:p>
        </w:tc>
        <w:tc>
          <w:tcPr>
            <w:tcW w:w="1220" w:type="dxa"/>
            <w:vAlign w:val="bottom"/>
            <w:tcBorders>
              <w:bottom w:val="single" w:sz="8" w:color="D2DCE5"/>
            </w:tcBorders>
            <w:shd w:val="clear" w:color="auto" w:fill="D2DCE5"/>
          </w:tcPr>
          <w:p>
            <w:pPr>
              <w:spacing w:after="0"/>
              <w:rPr>
                <w:sz w:val="14"/>
                <w:szCs w:val="14"/>
                <w:color w:val="auto"/>
              </w:rPr>
            </w:pPr>
          </w:p>
        </w:tc>
        <w:tc>
          <w:tcPr>
            <w:tcW w:w="900" w:type="dxa"/>
            <w:vAlign w:val="bottom"/>
            <w:tcBorders>
              <w:bottom w:val="single" w:sz="8" w:color="D2DCE5"/>
            </w:tcBorders>
            <w:shd w:val="clear" w:color="auto" w:fill="D2DCE5"/>
          </w:tcPr>
          <w:p>
            <w:pPr>
              <w:spacing w:after="0"/>
              <w:rPr>
                <w:sz w:val="14"/>
                <w:szCs w:val="14"/>
                <w:color w:val="auto"/>
              </w:rPr>
            </w:pPr>
          </w:p>
        </w:tc>
        <w:tc>
          <w:tcPr>
            <w:tcW w:w="100" w:type="dxa"/>
            <w:vAlign w:val="bottom"/>
            <w:tcBorders>
              <w:bottom w:val="single" w:sz="8" w:color="D2DCE5"/>
            </w:tcBorders>
            <w:shd w:val="clear" w:color="auto" w:fill="D2DCE5"/>
          </w:tcPr>
          <w:p>
            <w:pPr>
              <w:spacing w:after="0"/>
              <w:rPr>
                <w:sz w:val="14"/>
                <w:szCs w:val="14"/>
                <w:color w:val="auto"/>
              </w:rPr>
            </w:pPr>
          </w:p>
        </w:tc>
        <w:tc>
          <w:tcPr>
            <w:tcW w:w="1560" w:type="dxa"/>
            <w:vAlign w:val="bottom"/>
            <w:tcBorders>
              <w:bottom w:val="single" w:sz="8" w:color="D2DCE5"/>
            </w:tcBorders>
            <w:shd w:val="clear" w:color="auto" w:fill="D2DCE5"/>
          </w:tcPr>
          <w:p>
            <w:pPr>
              <w:spacing w:after="0"/>
              <w:rPr>
                <w:sz w:val="14"/>
                <w:szCs w:val="14"/>
                <w:color w:val="auto"/>
              </w:rPr>
            </w:pPr>
          </w:p>
        </w:tc>
        <w:tc>
          <w:tcPr>
            <w:tcW w:w="80" w:type="dxa"/>
            <w:vAlign w:val="bottom"/>
            <w:tcBorders>
              <w:bottom w:val="single" w:sz="8" w:color="D2DCE5"/>
            </w:tcBorders>
            <w:shd w:val="clear" w:color="auto" w:fill="D2DCE5"/>
          </w:tcPr>
          <w:p>
            <w:pPr>
              <w:spacing w:after="0"/>
              <w:rPr>
                <w:sz w:val="14"/>
                <w:szCs w:val="14"/>
                <w:color w:val="auto"/>
              </w:rPr>
            </w:pPr>
          </w:p>
        </w:tc>
        <w:tc>
          <w:tcPr>
            <w:tcW w:w="960" w:type="dxa"/>
            <w:vAlign w:val="bottom"/>
            <w:tcBorders>
              <w:bottom w:val="single" w:sz="8" w:color="D2DCE5"/>
            </w:tcBorders>
            <w:shd w:val="clear" w:color="auto" w:fill="D2DCE5"/>
          </w:tcPr>
          <w:p>
            <w:pPr>
              <w:jc w:val="center"/>
              <w:spacing w:after="0"/>
              <w:rPr>
                <w:sz w:val="20"/>
                <w:szCs w:val="20"/>
                <w:color w:val="auto"/>
              </w:rPr>
            </w:pPr>
            <w:r>
              <w:rPr>
                <w:rFonts w:ascii="Arial" w:cs="Arial" w:eastAsia="Arial" w:hAnsi="Arial"/>
                <w:sz w:val="13"/>
                <w:szCs w:val="13"/>
                <w:color w:val="131E29"/>
                <w:w w:val="91"/>
              </w:rPr>
              <w:t>X</w:t>
            </w:r>
          </w:p>
        </w:tc>
      </w:tr>
      <w:tr>
        <w:trPr>
          <w:trHeight w:val="149"/>
        </w:trPr>
        <w:tc>
          <w:tcPr>
            <w:tcW w:w="1080" w:type="dxa"/>
            <w:vAlign w:val="bottom"/>
          </w:tcPr>
          <w:p>
            <w:pPr>
              <w:jc w:val="center"/>
              <w:spacing w:after="0"/>
              <w:rPr>
                <w:sz w:val="20"/>
                <w:szCs w:val="20"/>
                <w:color w:val="auto"/>
              </w:rPr>
            </w:pPr>
            <w:r>
              <w:rPr>
                <w:rFonts w:ascii="Arial" w:cs="Arial" w:eastAsia="Arial" w:hAnsi="Arial"/>
                <w:sz w:val="13"/>
                <w:szCs w:val="13"/>
                <w:color w:val="131E29"/>
                <w:w w:val="94"/>
              </w:rPr>
              <w:t>21.1</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380" w:type="dxa"/>
            <w:vAlign w:val="bottom"/>
            <w:gridSpan w:val="17"/>
          </w:tcPr>
          <w:p>
            <w:pPr>
              <w:spacing w:after="0"/>
              <w:rPr>
                <w:sz w:val="20"/>
                <w:szCs w:val="20"/>
                <w:color w:val="auto"/>
              </w:rPr>
            </w:pPr>
            <w:r>
              <w:rPr>
                <w:rFonts w:ascii="Arial" w:cs="Arial" w:eastAsia="Arial" w:hAnsi="Arial"/>
                <w:sz w:val="13"/>
                <w:szCs w:val="13"/>
                <w:color w:val="auto"/>
              </w:rPr>
              <w:t>Subsidiaries of Dutch Bros Inc.</w:t>
            </w: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131E29"/>
                <w:w w:val="91"/>
              </w:rPr>
              <w:t>X</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1"/>
        </w:trPr>
        <w:tc>
          <w:tcPr>
            <w:tcW w:w="10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4"/>
              </w:rPr>
              <w:t>23.1</w:t>
            </w: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4380" w:type="dxa"/>
            <w:vAlign w:val="bottom"/>
            <w:gridSpan w:val="17"/>
            <w:shd w:val="clear" w:color="auto" w:fill="D2DCE5"/>
          </w:tcPr>
          <w:p>
            <w:pPr>
              <w:spacing w:after="0"/>
              <w:rPr>
                <w:sz w:val="20"/>
                <w:szCs w:val="20"/>
                <w:color w:val="auto"/>
              </w:rPr>
            </w:pPr>
            <w:r>
              <w:rPr>
                <w:rFonts w:ascii="Arial" w:cs="Arial" w:eastAsia="Arial" w:hAnsi="Arial"/>
                <w:sz w:val="13"/>
                <w:szCs w:val="13"/>
                <w:color w:val="auto"/>
              </w:rPr>
              <w:t>Consent of KPMG LLP, Independent Registered Public Accounting Firm.</w:t>
            </w:r>
          </w:p>
        </w:tc>
        <w:tc>
          <w:tcPr>
            <w:tcW w:w="900" w:type="dxa"/>
            <w:vAlign w:val="bottom"/>
            <w:shd w:val="clear" w:color="auto" w:fill="D2DCE5"/>
          </w:tcPr>
          <w:p>
            <w:pPr>
              <w:spacing w:after="0"/>
              <w:rPr>
                <w:sz w:val="14"/>
                <w:szCs w:val="14"/>
                <w:color w:val="auto"/>
              </w:rPr>
            </w:pPr>
          </w:p>
        </w:tc>
        <w:tc>
          <w:tcPr>
            <w:tcW w:w="1220" w:type="dxa"/>
            <w:vAlign w:val="bottom"/>
            <w:shd w:val="clear" w:color="auto" w:fill="D2DCE5"/>
          </w:tcPr>
          <w:p>
            <w:pPr>
              <w:spacing w:after="0"/>
              <w:rPr>
                <w:sz w:val="14"/>
                <w:szCs w:val="14"/>
                <w:color w:val="auto"/>
              </w:rPr>
            </w:pPr>
          </w:p>
        </w:tc>
        <w:tc>
          <w:tcPr>
            <w:tcW w:w="9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1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1"/>
              </w:rPr>
              <w:t>X</w:t>
            </w:r>
          </w:p>
        </w:tc>
      </w:tr>
      <w:tr>
        <w:trPr>
          <w:trHeight w:val="149"/>
        </w:trPr>
        <w:tc>
          <w:tcPr>
            <w:tcW w:w="108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4"/>
              </w:rPr>
              <w:t>24.1</w:t>
            </w:r>
          </w:p>
        </w:tc>
        <w:tc>
          <w:tcPr>
            <w:tcW w:w="80" w:type="dxa"/>
            <w:vAlign w:val="bottom"/>
            <w:tcBorders>
              <w:top w:val="single" w:sz="8" w:color="D2DCE5"/>
            </w:tcBorders>
          </w:tcPr>
          <w:p>
            <w:pPr>
              <w:spacing w:after="0"/>
              <w:rPr>
                <w:sz w:val="12"/>
                <w:szCs w:val="12"/>
                <w:color w:val="auto"/>
              </w:rPr>
            </w:pPr>
          </w:p>
        </w:tc>
        <w:tc>
          <w:tcPr>
            <w:tcW w:w="20" w:type="dxa"/>
            <w:vAlign w:val="bottom"/>
            <w:tcBorders>
              <w:top w:val="single" w:sz="8" w:color="D2DCE5"/>
            </w:tcBorders>
          </w:tcPr>
          <w:p>
            <w:pPr>
              <w:spacing w:after="0"/>
              <w:rPr>
                <w:sz w:val="12"/>
                <w:szCs w:val="12"/>
                <w:color w:val="auto"/>
              </w:rPr>
            </w:pPr>
          </w:p>
        </w:tc>
        <w:tc>
          <w:tcPr>
            <w:tcW w:w="4060" w:type="dxa"/>
            <w:vAlign w:val="bottom"/>
            <w:tcBorders>
              <w:top w:val="single" w:sz="8" w:color="auto"/>
            </w:tcBorders>
            <w:gridSpan w:val="12"/>
          </w:tcPr>
          <w:p>
            <w:pPr>
              <w:spacing w:after="0"/>
              <w:rPr>
                <w:sz w:val="20"/>
                <w:szCs w:val="20"/>
                <w:color w:val="auto"/>
              </w:rPr>
            </w:pPr>
            <w:r>
              <w:rPr>
                <w:rFonts w:ascii="Arial" w:cs="Arial" w:eastAsia="Arial" w:hAnsi="Arial"/>
                <w:sz w:val="13"/>
                <w:szCs w:val="13"/>
                <w:color w:val="auto"/>
              </w:rPr>
              <w:t>Power of Attorney (included on signature page of this Form 10-K)</w:t>
            </w:r>
            <w:r>
              <w:rPr>
                <w:rFonts w:ascii="Arial" w:cs="Arial" w:eastAsia="Arial" w:hAnsi="Arial"/>
                <w:sz w:val="13"/>
                <w:szCs w:val="13"/>
                <w:color w:val="131E29"/>
              </w:rPr>
              <w:t>.</w:t>
            </w:r>
          </w:p>
        </w:tc>
        <w:tc>
          <w:tcPr>
            <w:tcW w:w="320" w:type="dxa"/>
            <w:vAlign w:val="bottom"/>
            <w:tcBorders>
              <w:top w:val="single" w:sz="8" w:color="D2DCE5"/>
            </w:tcBorders>
            <w:gridSpan w:val="5"/>
          </w:tcPr>
          <w:p>
            <w:pPr>
              <w:spacing w:after="0"/>
              <w:rPr>
                <w:sz w:val="12"/>
                <w:szCs w:val="12"/>
                <w:color w:val="auto"/>
              </w:rPr>
            </w:pPr>
          </w:p>
        </w:tc>
        <w:tc>
          <w:tcPr>
            <w:tcW w:w="900" w:type="dxa"/>
            <w:vAlign w:val="bottom"/>
            <w:tcBorders>
              <w:top w:val="single" w:sz="8" w:color="D2DCE5"/>
            </w:tcBorders>
          </w:tcPr>
          <w:p>
            <w:pPr>
              <w:spacing w:after="0"/>
              <w:rPr>
                <w:sz w:val="12"/>
                <w:szCs w:val="12"/>
                <w:color w:val="auto"/>
              </w:rPr>
            </w:pPr>
          </w:p>
        </w:tc>
        <w:tc>
          <w:tcPr>
            <w:tcW w:w="1220" w:type="dxa"/>
            <w:vAlign w:val="bottom"/>
            <w:tcBorders>
              <w:top w:val="single" w:sz="8" w:color="D2DCE5"/>
            </w:tcBorders>
          </w:tcPr>
          <w:p>
            <w:pPr>
              <w:spacing w:after="0"/>
              <w:rPr>
                <w:sz w:val="12"/>
                <w:szCs w:val="12"/>
                <w:color w:val="auto"/>
              </w:rPr>
            </w:pPr>
          </w:p>
        </w:tc>
        <w:tc>
          <w:tcPr>
            <w:tcW w:w="900" w:type="dxa"/>
            <w:vAlign w:val="bottom"/>
            <w:tcBorders>
              <w:top w:val="single" w:sz="8" w:color="D2DCE5"/>
            </w:tcBorders>
          </w:tcPr>
          <w:p>
            <w:pPr>
              <w:spacing w:after="0"/>
              <w:rPr>
                <w:sz w:val="12"/>
                <w:szCs w:val="12"/>
                <w:color w:val="auto"/>
              </w:rPr>
            </w:pPr>
          </w:p>
        </w:tc>
        <w:tc>
          <w:tcPr>
            <w:tcW w:w="100" w:type="dxa"/>
            <w:vAlign w:val="bottom"/>
            <w:tcBorders>
              <w:top w:val="single" w:sz="8" w:color="D2DCE5"/>
            </w:tcBorders>
          </w:tcPr>
          <w:p>
            <w:pPr>
              <w:spacing w:after="0"/>
              <w:rPr>
                <w:sz w:val="12"/>
                <w:szCs w:val="12"/>
                <w:color w:val="auto"/>
              </w:rPr>
            </w:pPr>
          </w:p>
        </w:tc>
        <w:tc>
          <w:tcPr>
            <w:tcW w:w="1560" w:type="dxa"/>
            <w:vAlign w:val="bottom"/>
            <w:tcBorders>
              <w:top w:val="single" w:sz="8" w:color="D2DCE5"/>
            </w:tcBorders>
          </w:tcPr>
          <w:p>
            <w:pPr>
              <w:spacing w:after="0"/>
              <w:rPr>
                <w:sz w:val="12"/>
                <w:szCs w:val="12"/>
                <w:color w:val="auto"/>
              </w:rPr>
            </w:pPr>
          </w:p>
        </w:tc>
        <w:tc>
          <w:tcPr>
            <w:tcW w:w="80" w:type="dxa"/>
            <w:vAlign w:val="bottom"/>
            <w:tcBorders>
              <w:top w:val="single" w:sz="8" w:color="D2DCE5"/>
            </w:tcBorders>
          </w:tcPr>
          <w:p>
            <w:pPr>
              <w:spacing w:after="0"/>
              <w:rPr>
                <w:sz w:val="12"/>
                <w:szCs w:val="12"/>
                <w:color w:val="auto"/>
              </w:rPr>
            </w:pPr>
          </w:p>
        </w:tc>
        <w:tc>
          <w:tcPr>
            <w:tcW w:w="960" w:type="dxa"/>
            <w:vAlign w:val="bottom"/>
            <w:tcBorders>
              <w:top w:val="single" w:sz="8" w:color="D2DCE5"/>
            </w:tcBorders>
          </w:tcPr>
          <w:p>
            <w:pPr>
              <w:jc w:val="center"/>
              <w:spacing w:after="0"/>
              <w:rPr>
                <w:sz w:val="20"/>
                <w:szCs w:val="20"/>
                <w:color w:val="auto"/>
              </w:rPr>
            </w:pPr>
            <w:r>
              <w:rPr>
                <w:rFonts w:ascii="Arial" w:cs="Arial" w:eastAsia="Arial" w:hAnsi="Arial"/>
                <w:sz w:val="13"/>
                <w:szCs w:val="13"/>
                <w:color w:val="131E29"/>
                <w:w w:val="91"/>
              </w:rPr>
              <w:t>X</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9"/>
        </w:trPr>
        <w:tc>
          <w:tcPr>
            <w:tcW w:w="108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20" w:type="dxa"/>
            <w:vAlign w:val="bottom"/>
            <w:tcBorders>
              <w:bottom w:val="single" w:sz="8" w:color="D2DCE5"/>
            </w:tcBorders>
            <w:shd w:val="clear" w:color="auto" w:fill="D2DCE5"/>
          </w:tcPr>
          <w:p>
            <w:pPr>
              <w:spacing w:after="0"/>
              <w:rPr>
                <w:sz w:val="12"/>
                <w:szCs w:val="12"/>
                <w:color w:val="auto"/>
              </w:rPr>
            </w:pPr>
          </w:p>
        </w:tc>
        <w:tc>
          <w:tcPr>
            <w:tcW w:w="4020" w:type="dxa"/>
            <w:vAlign w:val="bottom"/>
            <w:tcBorders>
              <w:bottom w:val="single" w:sz="8" w:color="auto"/>
            </w:tcBorders>
            <w:gridSpan w:val="11"/>
            <w:shd w:val="clear" w:color="auto" w:fill="D2DCE5"/>
          </w:tcPr>
          <w:p>
            <w:pPr>
              <w:spacing w:after="0"/>
              <w:rPr>
                <w:sz w:val="20"/>
                <w:szCs w:val="20"/>
                <w:color w:val="auto"/>
              </w:rPr>
            </w:pPr>
            <w:r>
              <w:rPr>
                <w:rFonts w:ascii="Arial" w:cs="Arial" w:eastAsia="Arial" w:hAnsi="Arial"/>
                <w:sz w:val="13"/>
                <w:szCs w:val="13"/>
                <w:color w:val="auto"/>
                <w:w w:val="97"/>
              </w:rPr>
              <w:t>Certification of Chief Executive Officer Pursuant to Rules 13a-14(a) and</w:t>
            </w:r>
          </w:p>
        </w:tc>
        <w:tc>
          <w:tcPr>
            <w:tcW w:w="360" w:type="dxa"/>
            <w:vAlign w:val="bottom"/>
            <w:tcBorders>
              <w:bottom w:val="single" w:sz="8" w:color="D2DCE5"/>
            </w:tcBorders>
            <w:gridSpan w:val="6"/>
            <w:shd w:val="clear" w:color="auto" w:fill="D2DCE5"/>
          </w:tcPr>
          <w:p>
            <w:pPr>
              <w:spacing w:after="0"/>
              <w:rPr>
                <w:sz w:val="12"/>
                <w:szCs w:val="12"/>
                <w:color w:val="auto"/>
              </w:rPr>
            </w:pPr>
          </w:p>
        </w:tc>
        <w:tc>
          <w:tcPr>
            <w:tcW w:w="900" w:type="dxa"/>
            <w:vAlign w:val="bottom"/>
            <w:tcBorders>
              <w:bottom w:val="single" w:sz="8" w:color="D2DCE5"/>
            </w:tcBorders>
            <w:shd w:val="clear" w:color="auto" w:fill="D2DCE5"/>
          </w:tcPr>
          <w:p>
            <w:pPr>
              <w:spacing w:after="0"/>
              <w:rPr>
                <w:sz w:val="12"/>
                <w:szCs w:val="12"/>
                <w:color w:val="auto"/>
              </w:rPr>
            </w:pPr>
          </w:p>
        </w:tc>
        <w:tc>
          <w:tcPr>
            <w:tcW w:w="1220" w:type="dxa"/>
            <w:vAlign w:val="bottom"/>
            <w:tcBorders>
              <w:bottom w:val="single" w:sz="8" w:color="D2DCE5"/>
            </w:tcBorders>
            <w:shd w:val="clear" w:color="auto" w:fill="D2DCE5"/>
          </w:tcPr>
          <w:p>
            <w:pPr>
              <w:spacing w:after="0"/>
              <w:rPr>
                <w:sz w:val="12"/>
                <w:szCs w:val="12"/>
                <w:color w:val="auto"/>
              </w:rPr>
            </w:pPr>
          </w:p>
        </w:tc>
        <w:tc>
          <w:tcPr>
            <w:tcW w:w="90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56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960" w:type="dxa"/>
            <w:vAlign w:val="bottom"/>
            <w:tcBorders>
              <w:bottom w:val="single" w:sz="8" w:color="D2DCE5"/>
            </w:tcBorders>
            <w:shd w:val="clear" w:color="auto" w:fill="D2DCE5"/>
          </w:tcPr>
          <w:p>
            <w:pPr>
              <w:spacing w:after="0"/>
              <w:rPr>
                <w:sz w:val="12"/>
                <w:szCs w:val="12"/>
                <w:color w:val="auto"/>
              </w:rPr>
            </w:pPr>
          </w:p>
        </w:tc>
      </w:tr>
      <w:tr>
        <w:trPr>
          <w:trHeight w:val="129"/>
        </w:trPr>
        <w:tc>
          <w:tcPr>
            <w:tcW w:w="1080" w:type="dxa"/>
            <w:vAlign w:val="bottom"/>
            <w:tcBorders>
              <w:bottom w:val="single" w:sz="8" w:color="D2DCE5"/>
            </w:tcBorders>
            <w:shd w:val="clear" w:color="auto" w:fill="D2DCE5"/>
          </w:tcPr>
          <w:p>
            <w:pPr>
              <w:spacing w:after="0"/>
              <w:rPr>
                <w:sz w:val="11"/>
                <w:szCs w:val="11"/>
                <w:color w:val="auto"/>
              </w:rPr>
            </w:pPr>
          </w:p>
        </w:tc>
        <w:tc>
          <w:tcPr>
            <w:tcW w:w="80" w:type="dxa"/>
            <w:vAlign w:val="bottom"/>
            <w:tcBorders>
              <w:bottom w:val="single" w:sz="8" w:color="D2DCE5"/>
            </w:tcBorders>
            <w:shd w:val="clear" w:color="auto" w:fill="D2DCE5"/>
          </w:tcPr>
          <w:p>
            <w:pPr>
              <w:spacing w:after="0"/>
              <w:rPr>
                <w:sz w:val="11"/>
                <w:szCs w:val="11"/>
                <w:color w:val="auto"/>
              </w:rPr>
            </w:pPr>
          </w:p>
        </w:tc>
        <w:tc>
          <w:tcPr>
            <w:tcW w:w="20" w:type="dxa"/>
            <w:vAlign w:val="bottom"/>
            <w:tcBorders>
              <w:bottom w:val="single" w:sz="8" w:color="D2DCE5"/>
            </w:tcBorders>
            <w:shd w:val="clear" w:color="auto" w:fill="D2DCE5"/>
          </w:tcPr>
          <w:p>
            <w:pPr>
              <w:spacing w:after="0"/>
              <w:rPr>
                <w:sz w:val="11"/>
                <w:szCs w:val="11"/>
                <w:color w:val="auto"/>
              </w:rPr>
            </w:pPr>
          </w:p>
        </w:tc>
        <w:tc>
          <w:tcPr>
            <w:tcW w:w="4180" w:type="dxa"/>
            <w:vAlign w:val="bottom"/>
            <w:tcBorders>
              <w:bottom w:val="single" w:sz="8" w:color="auto"/>
            </w:tcBorders>
            <w:gridSpan w:val="13"/>
            <w:shd w:val="clear" w:color="auto" w:fill="D2DCE5"/>
          </w:tcPr>
          <w:p>
            <w:pPr>
              <w:spacing w:after="0" w:line="129" w:lineRule="exact"/>
              <w:rPr>
                <w:sz w:val="20"/>
                <w:szCs w:val="20"/>
                <w:color w:val="auto"/>
              </w:rPr>
            </w:pPr>
            <w:r>
              <w:rPr>
                <w:rFonts w:ascii="Arial" w:cs="Arial" w:eastAsia="Arial" w:hAnsi="Arial"/>
                <w:sz w:val="13"/>
                <w:szCs w:val="13"/>
                <w:color w:val="auto"/>
                <w:w w:val="97"/>
              </w:rPr>
              <w:t>15d-14(a) of the Securities Exchange Act of 1934, as Adopted Pursuant to</w:t>
            </w:r>
          </w:p>
        </w:tc>
        <w:tc>
          <w:tcPr>
            <w:tcW w:w="200" w:type="dxa"/>
            <w:vAlign w:val="bottom"/>
            <w:tcBorders>
              <w:bottom w:val="single" w:sz="8" w:color="D2DCE5"/>
            </w:tcBorders>
            <w:gridSpan w:val="4"/>
            <w:shd w:val="clear" w:color="auto" w:fill="D2DCE5"/>
          </w:tcPr>
          <w:p>
            <w:pPr>
              <w:spacing w:after="0"/>
              <w:rPr>
                <w:sz w:val="11"/>
                <w:szCs w:val="11"/>
                <w:color w:val="auto"/>
              </w:rPr>
            </w:pPr>
          </w:p>
        </w:tc>
        <w:tc>
          <w:tcPr>
            <w:tcW w:w="900" w:type="dxa"/>
            <w:vAlign w:val="bottom"/>
            <w:tcBorders>
              <w:bottom w:val="single" w:sz="8" w:color="D2DCE5"/>
            </w:tcBorders>
            <w:shd w:val="clear" w:color="auto" w:fill="D2DCE5"/>
          </w:tcPr>
          <w:p>
            <w:pPr>
              <w:spacing w:after="0"/>
              <w:rPr>
                <w:sz w:val="11"/>
                <w:szCs w:val="11"/>
                <w:color w:val="auto"/>
              </w:rPr>
            </w:pPr>
          </w:p>
        </w:tc>
        <w:tc>
          <w:tcPr>
            <w:tcW w:w="1220" w:type="dxa"/>
            <w:vAlign w:val="bottom"/>
            <w:tcBorders>
              <w:bottom w:val="single" w:sz="8" w:color="D2DCE5"/>
            </w:tcBorders>
            <w:shd w:val="clear" w:color="auto" w:fill="D2DCE5"/>
          </w:tcPr>
          <w:p>
            <w:pPr>
              <w:spacing w:after="0"/>
              <w:rPr>
                <w:sz w:val="11"/>
                <w:szCs w:val="11"/>
                <w:color w:val="auto"/>
              </w:rPr>
            </w:pPr>
          </w:p>
        </w:tc>
        <w:tc>
          <w:tcPr>
            <w:tcW w:w="900" w:type="dxa"/>
            <w:vAlign w:val="bottom"/>
            <w:tcBorders>
              <w:bottom w:val="single" w:sz="8" w:color="D2DCE5"/>
            </w:tcBorders>
            <w:shd w:val="clear" w:color="auto" w:fill="D2DCE5"/>
          </w:tcPr>
          <w:p>
            <w:pPr>
              <w:spacing w:after="0"/>
              <w:rPr>
                <w:sz w:val="11"/>
                <w:szCs w:val="11"/>
                <w:color w:val="auto"/>
              </w:rPr>
            </w:pPr>
          </w:p>
        </w:tc>
        <w:tc>
          <w:tcPr>
            <w:tcW w:w="100" w:type="dxa"/>
            <w:vAlign w:val="bottom"/>
            <w:tcBorders>
              <w:bottom w:val="single" w:sz="8" w:color="D2DCE5"/>
            </w:tcBorders>
            <w:shd w:val="clear" w:color="auto" w:fill="D2DCE5"/>
          </w:tcPr>
          <w:p>
            <w:pPr>
              <w:spacing w:after="0"/>
              <w:rPr>
                <w:sz w:val="11"/>
                <w:szCs w:val="11"/>
                <w:color w:val="auto"/>
              </w:rPr>
            </w:pPr>
          </w:p>
        </w:tc>
        <w:tc>
          <w:tcPr>
            <w:tcW w:w="1560" w:type="dxa"/>
            <w:vAlign w:val="bottom"/>
            <w:tcBorders>
              <w:bottom w:val="single" w:sz="8" w:color="D2DCE5"/>
            </w:tcBorders>
            <w:shd w:val="clear" w:color="auto" w:fill="D2DCE5"/>
          </w:tcPr>
          <w:p>
            <w:pPr>
              <w:spacing w:after="0"/>
              <w:rPr>
                <w:sz w:val="11"/>
                <w:szCs w:val="11"/>
                <w:color w:val="auto"/>
              </w:rPr>
            </w:pPr>
          </w:p>
        </w:tc>
        <w:tc>
          <w:tcPr>
            <w:tcW w:w="80" w:type="dxa"/>
            <w:vAlign w:val="bottom"/>
            <w:tcBorders>
              <w:bottom w:val="single" w:sz="8" w:color="D2DCE5"/>
            </w:tcBorders>
            <w:shd w:val="clear" w:color="auto" w:fill="D2DCE5"/>
          </w:tcPr>
          <w:p>
            <w:pPr>
              <w:spacing w:after="0"/>
              <w:rPr>
                <w:sz w:val="11"/>
                <w:szCs w:val="11"/>
                <w:color w:val="auto"/>
              </w:rPr>
            </w:pPr>
          </w:p>
        </w:tc>
        <w:tc>
          <w:tcPr>
            <w:tcW w:w="960" w:type="dxa"/>
            <w:vAlign w:val="bottom"/>
            <w:tcBorders>
              <w:bottom w:val="single" w:sz="8" w:color="D2DCE5"/>
            </w:tcBorders>
            <w:shd w:val="clear" w:color="auto" w:fill="D2DCE5"/>
          </w:tcPr>
          <w:p>
            <w:pPr>
              <w:spacing w:after="0"/>
              <w:rPr>
                <w:sz w:val="11"/>
                <w:szCs w:val="11"/>
                <w:color w:val="auto"/>
              </w:rPr>
            </w:pPr>
          </w:p>
        </w:tc>
      </w:tr>
      <w:tr>
        <w:trPr>
          <w:trHeight w:val="139"/>
        </w:trPr>
        <w:tc>
          <w:tcPr>
            <w:tcW w:w="1080" w:type="dxa"/>
            <w:vAlign w:val="bottom"/>
            <w:shd w:val="clear" w:color="auto" w:fill="D2DCE5"/>
          </w:tcPr>
          <w:p>
            <w:pPr>
              <w:jc w:val="center"/>
              <w:spacing w:after="0" w:line="139" w:lineRule="exact"/>
              <w:rPr>
                <w:sz w:val="20"/>
                <w:szCs w:val="20"/>
                <w:color w:val="auto"/>
              </w:rPr>
            </w:pPr>
            <w:r>
              <w:rPr>
                <w:rFonts w:ascii="Arial" w:cs="Arial" w:eastAsia="Arial" w:hAnsi="Arial"/>
                <w:sz w:val="13"/>
                <w:szCs w:val="13"/>
                <w:color w:val="131E29"/>
                <w:w w:val="94"/>
              </w:rPr>
              <w:t>31.1</w:t>
            </w:r>
          </w:p>
        </w:tc>
        <w:tc>
          <w:tcPr>
            <w:tcW w:w="80" w:type="dxa"/>
            <w:vAlign w:val="bottom"/>
            <w:shd w:val="clear" w:color="auto" w:fill="D2DCE5"/>
          </w:tcPr>
          <w:p>
            <w:pPr>
              <w:spacing w:after="0"/>
              <w:rPr>
                <w:sz w:val="12"/>
                <w:szCs w:val="12"/>
                <w:color w:val="auto"/>
              </w:rPr>
            </w:pPr>
          </w:p>
        </w:tc>
        <w:tc>
          <w:tcPr>
            <w:tcW w:w="20" w:type="dxa"/>
            <w:vAlign w:val="bottom"/>
            <w:shd w:val="clear" w:color="auto" w:fill="D2DCE5"/>
          </w:tcPr>
          <w:p>
            <w:pPr>
              <w:spacing w:after="0"/>
              <w:rPr>
                <w:sz w:val="12"/>
                <w:szCs w:val="12"/>
                <w:color w:val="auto"/>
              </w:rPr>
            </w:pPr>
          </w:p>
        </w:tc>
        <w:tc>
          <w:tcPr>
            <w:tcW w:w="4380" w:type="dxa"/>
            <w:vAlign w:val="bottom"/>
            <w:gridSpan w:val="17"/>
            <w:shd w:val="clear" w:color="auto" w:fill="D2DCE5"/>
          </w:tcPr>
          <w:p>
            <w:pPr>
              <w:spacing w:after="0" w:line="139" w:lineRule="exact"/>
              <w:rPr>
                <w:sz w:val="20"/>
                <w:szCs w:val="20"/>
                <w:color w:val="auto"/>
              </w:rPr>
            </w:pPr>
            <w:r>
              <w:rPr>
                <w:rFonts w:ascii="Arial" w:cs="Arial" w:eastAsia="Arial" w:hAnsi="Arial"/>
                <w:sz w:val="13"/>
                <w:szCs w:val="13"/>
                <w:color w:val="auto"/>
              </w:rPr>
              <w:t>Section 302 of the Sarbanes-Oxley Act of 2002</w:t>
            </w:r>
            <w:r>
              <w:rPr>
                <w:rFonts w:ascii="Arial" w:cs="Arial" w:eastAsia="Arial" w:hAnsi="Arial"/>
                <w:sz w:val="13"/>
                <w:szCs w:val="13"/>
                <w:color w:val="131E29"/>
              </w:rPr>
              <w:t>.</w:t>
            </w:r>
          </w:p>
        </w:tc>
        <w:tc>
          <w:tcPr>
            <w:tcW w:w="900" w:type="dxa"/>
            <w:vAlign w:val="bottom"/>
            <w:shd w:val="clear" w:color="auto" w:fill="D2DCE5"/>
          </w:tcPr>
          <w:p>
            <w:pPr>
              <w:spacing w:after="0"/>
              <w:rPr>
                <w:sz w:val="12"/>
                <w:szCs w:val="12"/>
                <w:color w:val="auto"/>
              </w:rPr>
            </w:pPr>
          </w:p>
        </w:tc>
        <w:tc>
          <w:tcPr>
            <w:tcW w:w="1220" w:type="dxa"/>
            <w:vAlign w:val="bottom"/>
            <w:shd w:val="clear" w:color="auto" w:fill="D2DCE5"/>
          </w:tcPr>
          <w:p>
            <w:pPr>
              <w:spacing w:after="0"/>
              <w:rPr>
                <w:sz w:val="12"/>
                <w:szCs w:val="12"/>
                <w:color w:val="auto"/>
              </w:rPr>
            </w:pPr>
          </w:p>
        </w:tc>
        <w:tc>
          <w:tcPr>
            <w:tcW w:w="900" w:type="dxa"/>
            <w:vAlign w:val="bottom"/>
            <w:shd w:val="clear" w:color="auto" w:fill="D2DCE5"/>
          </w:tcPr>
          <w:p>
            <w:pPr>
              <w:spacing w:after="0"/>
              <w:rPr>
                <w:sz w:val="12"/>
                <w:szCs w:val="12"/>
                <w:color w:val="auto"/>
              </w:rPr>
            </w:pPr>
          </w:p>
        </w:tc>
        <w:tc>
          <w:tcPr>
            <w:tcW w:w="100" w:type="dxa"/>
            <w:vAlign w:val="bottom"/>
            <w:shd w:val="clear" w:color="auto" w:fill="D2DCE5"/>
          </w:tcPr>
          <w:p>
            <w:pPr>
              <w:spacing w:after="0"/>
              <w:rPr>
                <w:sz w:val="12"/>
                <w:szCs w:val="12"/>
                <w:color w:val="auto"/>
              </w:rPr>
            </w:pPr>
          </w:p>
        </w:tc>
        <w:tc>
          <w:tcPr>
            <w:tcW w:w="1560" w:type="dxa"/>
            <w:vAlign w:val="bottom"/>
            <w:shd w:val="clear" w:color="auto" w:fill="D2DCE5"/>
          </w:tcPr>
          <w:p>
            <w:pPr>
              <w:spacing w:after="0"/>
              <w:rPr>
                <w:sz w:val="12"/>
                <w:szCs w:val="12"/>
                <w:color w:val="auto"/>
              </w:rPr>
            </w:pPr>
          </w:p>
        </w:tc>
        <w:tc>
          <w:tcPr>
            <w:tcW w:w="80" w:type="dxa"/>
            <w:vAlign w:val="bottom"/>
            <w:shd w:val="clear" w:color="auto" w:fill="D2DCE5"/>
          </w:tcPr>
          <w:p>
            <w:pPr>
              <w:spacing w:after="0"/>
              <w:rPr>
                <w:sz w:val="12"/>
                <w:szCs w:val="12"/>
                <w:color w:val="auto"/>
              </w:rPr>
            </w:pPr>
          </w:p>
        </w:tc>
        <w:tc>
          <w:tcPr>
            <w:tcW w:w="960" w:type="dxa"/>
            <w:vAlign w:val="bottom"/>
            <w:shd w:val="clear" w:color="auto" w:fill="D2DCE5"/>
          </w:tcPr>
          <w:p>
            <w:pPr>
              <w:jc w:val="center"/>
              <w:spacing w:after="0" w:line="139" w:lineRule="exact"/>
              <w:rPr>
                <w:sz w:val="20"/>
                <w:szCs w:val="20"/>
                <w:color w:val="auto"/>
              </w:rPr>
            </w:pPr>
            <w:r>
              <w:rPr>
                <w:rFonts w:ascii="Arial" w:cs="Arial" w:eastAsia="Arial" w:hAnsi="Arial"/>
                <w:sz w:val="13"/>
                <w:szCs w:val="13"/>
                <w:color w:val="131E29"/>
                <w:w w:val="91"/>
              </w:rPr>
              <w:t>X</w:t>
            </w:r>
          </w:p>
        </w:tc>
      </w:tr>
      <w:tr>
        <w:trPr>
          <w:trHeight w:val="22"/>
        </w:trPr>
        <w:tc>
          <w:tcPr>
            <w:tcW w:w="108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740" w:type="dxa"/>
            <w:vAlign w:val="bottom"/>
            <w:tcBorders>
              <w:top w:val="single" w:sz="8" w:color="auto"/>
            </w:tcBorders>
            <w:shd w:val="clear" w:color="auto" w:fill="D2DCE5"/>
          </w:tcPr>
          <w:p>
            <w:pPr>
              <w:spacing w:after="0" w:line="20" w:lineRule="exact"/>
              <w:rPr>
                <w:sz w:val="1"/>
                <w:szCs w:val="1"/>
                <w:color w:val="auto"/>
              </w:rPr>
            </w:pPr>
          </w:p>
        </w:tc>
        <w:tc>
          <w:tcPr>
            <w:tcW w:w="60" w:type="dxa"/>
            <w:vAlign w:val="bottom"/>
            <w:tcBorders>
              <w:top w:val="single" w:sz="8" w:color="auto"/>
            </w:tcBorders>
            <w:shd w:val="clear" w:color="auto" w:fill="D2DCE5"/>
          </w:tcPr>
          <w:p>
            <w:pPr>
              <w:spacing w:after="0" w:line="20" w:lineRule="exact"/>
              <w:rPr>
                <w:sz w:val="1"/>
                <w:szCs w:val="1"/>
                <w:color w:val="auto"/>
              </w:rPr>
            </w:pPr>
          </w:p>
        </w:tc>
        <w:tc>
          <w:tcPr>
            <w:tcW w:w="360" w:type="dxa"/>
            <w:vAlign w:val="bottom"/>
            <w:tcBorders>
              <w:top w:val="single" w:sz="8" w:color="auto"/>
            </w:tcBorders>
            <w:shd w:val="clear" w:color="auto" w:fill="D2DCE5"/>
          </w:tcPr>
          <w:p>
            <w:pPr>
              <w:spacing w:after="0" w:line="20" w:lineRule="exact"/>
              <w:rPr>
                <w:sz w:val="1"/>
                <w:szCs w:val="1"/>
                <w:color w:val="auto"/>
              </w:rPr>
            </w:pPr>
          </w:p>
        </w:tc>
        <w:tc>
          <w:tcPr>
            <w:tcW w:w="480" w:type="dxa"/>
            <w:vAlign w:val="bottom"/>
            <w:tcBorders>
              <w:top w:val="single" w:sz="8" w:color="auto"/>
            </w:tcBorders>
            <w:shd w:val="clear" w:color="auto" w:fill="D2DCE5"/>
          </w:tcPr>
          <w:p>
            <w:pPr>
              <w:spacing w:after="0" w:line="20" w:lineRule="exact"/>
              <w:rPr>
                <w:sz w:val="1"/>
                <w:szCs w:val="1"/>
                <w:color w:val="auto"/>
              </w:rPr>
            </w:pPr>
          </w:p>
        </w:tc>
        <w:tc>
          <w:tcPr>
            <w:tcW w:w="880" w:type="dxa"/>
            <w:vAlign w:val="bottom"/>
            <w:tcBorders>
              <w:top w:val="single" w:sz="8" w:color="D2DCE5"/>
            </w:tcBorders>
            <w:shd w:val="clear" w:color="auto" w:fill="D2DCE5"/>
          </w:tcPr>
          <w:p>
            <w:pPr>
              <w:spacing w:after="0" w:line="20" w:lineRule="exact"/>
              <w:rPr>
                <w:sz w:val="1"/>
                <w:szCs w:val="1"/>
                <w:color w:val="auto"/>
              </w:rPr>
            </w:pPr>
          </w:p>
        </w:tc>
        <w:tc>
          <w:tcPr>
            <w:tcW w:w="14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16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60" w:type="dxa"/>
            <w:vAlign w:val="bottom"/>
            <w:tcBorders>
              <w:top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12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900" w:type="dxa"/>
            <w:vAlign w:val="bottom"/>
            <w:tcBorders>
              <w:top w:val="single" w:sz="8" w:color="D2DCE5"/>
            </w:tcBorders>
            <w:shd w:val="clear" w:color="auto" w:fill="D2DCE5"/>
          </w:tcPr>
          <w:p>
            <w:pPr>
              <w:spacing w:after="0" w:line="20" w:lineRule="exact"/>
              <w:rPr>
                <w:sz w:val="1"/>
                <w:szCs w:val="1"/>
                <w:color w:val="auto"/>
              </w:rPr>
            </w:pPr>
          </w:p>
        </w:tc>
        <w:tc>
          <w:tcPr>
            <w:tcW w:w="1220" w:type="dxa"/>
            <w:vAlign w:val="bottom"/>
            <w:tcBorders>
              <w:top w:val="single" w:sz="8" w:color="D2DCE5"/>
            </w:tcBorders>
            <w:shd w:val="clear" w:color="auto" w:fill="D2DCE5"/>
          </w:tcPr>
          <w:p>
            <w:pPr>
              <w:spacing w:after="0" w:line="20" w:lineRule="exact"/>
              <w:rPr>
                <w:sz w:val="1"/>
                <w:szCs w:val="1"/>
                <w:color w:val="auto"/>
              </w:rPr>
            </w:pPr>
          </w:p>
        </w:tc>
        <w:tc>
          <w:tcPr>
            <w:tcW w:w="90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56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960" w:type="dxa"/>
            <w:vAlign w:val="bottom"/>
            <w:tcBorders>
              <w:top w:val="single" w:sz="8" w:color="D2DCE5"/>
            </w:tcBorders>
            <w:shd w:val="clear" w:color="auto" w:fill="D2DCE5"/>
          </w:tcPr>
          <w:p>
            <w:pPr>
              <w:spacing w:after="0" w:line="20" w:lineRule="exact"/>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80" w:type="dxa"/>
            <w:vAlign w:val="bottom"/>
            <w:tcBorders>
              <w:bottom w:val="single" w:sz="8" w:color="auto"/>
            </w:tcBorders>
            <w:gridSpan w:val="15"/>
          </w:tcPr>
          <w:p>
            <w:pPr>
              <w:spacing w:after="0"/>
              <w:rPr>
                <w:sz w:val="20"/>
                <w:szCs w:val="20"/>
                <w:color w:val="auto"/>
              </w:rPr>
            </w:pPr>
            <w:r>
              <w:rPr>
                <w:rFonts w:ascii="Arial" w:cs="Arial" w:eastAsia="Arial" w:hAnsi="Arial"/>
                <w:sz w:val="13"/>
                <w:szCs w:val="13"/>
                <w:color w:val="auto"/>
                <w:w w:val="97"/>
              </w:rPr>
              <w:t>Certification of Chief Financial Officer Pursuant to Rules 13a-14(a) and 15d-</w:t>
            </w:r>
          </w:p>
        </w:tc>
        <w:tc>
          <w:tcPr>
            <w:tcW w:w="10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29"/>
        </w:trPr>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80" w:type="dxa"/>
            <w:vAlign w:val="bottom"/>
            <w:gridSpan w:val="17"/>
          </w:tcPr>
          <w:p>
            <w:pPr>
              <w:spacing w:after="0" w:line="129" w:lineRule="exact"/>
              <w:rPr>
                <w:sz w:val="20"/>
                <w:szCs w:val="20"/>
                <w:color w:val="auto"/>
              </w:rPr>
            </w:pPr>
            <w:r>
              <w:rPr>
                <w:rFonts w:ascii="Arial" w:cs="Arial" w:eastAsia="Arial" w:hAnsi="Arial"/>
                <w:sz w:val="13"/>
                <w:szCs w:val="13"/>
                <w:color w:val="auto"/>
              </w:rPr>
              <w:t>14(a) of the Securities Exchange Act of 1934, as Adopted Pursuant to</w:t>
            </w:r>
          </w:p>
        </w:tc>
        <w:tc>
          <w:tcPr>
            <w:tcW w:w="9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9"/>
        </w:trPr>
        <w:tc>
          <w:tcPr>
            <w:tcW w:w="1080" w:type="dxa"/>
            <w:vAlign w:val="bottom"/>
          </w:tcPr>
          <w:p>
            <w:pPr>
              <w:jc w:val="center"/>
              <w:spacing w:after="0" w:line="139" w:lineRule="exact"/>
              <w:rPr>
                <w:sz w:val="20"/>
                <w:szCs w:val="20"/>
                <w:color w:val="auto"/>
              </w:rPr>
            </w:pPr>
            <w:r>
              <w:rPr>
                <w:rFonts w:ascii="Arial" w:cs="Arial" w:eastAsia="Arial" w:hAnsi="Arial"/>
                <w:sz w:val="13"/>
                <w:szCs w:val="13"/>
                <w:color w:val="131E29"/>
                <w:w w:val="94"/>
              </w:rPr>
              <w:t>31.2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20" w:type="dxa"/>
            <w:vAlign w:val="bottom"/>
            <w:tcBorders>
              <w:top w:val="single" w:sz="8" w:color="auto"/>
            </w:tcBorders>
            <w:gridSpan w:val="9"/>
          </w:tcPr>
          <w:p>
            <w:pPr>
              <w:spacing w:after="0" w:line="139" w:lineRule="exact"/>
              <w:rPr>
                <w:sz w:val="20"/>
                <w:szCs w:val="20"/>
                <w:color w:val="auto"/>
              </w:rPr>
            </w:pPr>
            <w:r>
              <w:rPr>
                <w:rFonts w:ascii="Arial" w:cs="Arial" w:eastAsia="Arial" w:hAnsi="Arial"/>
                <w:sz w:val="13"/>
                <w:szCs w:val="13"/>
                <w:color w:val="auto"/>
              </w:rPr>
              <w:t>Section 302 of the Sarbanes-Oxley Act of 2002</w:t>
            </w:r>
            <w:r>
              <w:rPr>
                <w:rFonts w:ascii="Arial" w:cs="Arial" w:eastAsia="Arial" w:hAnsi="Arial"/>
                <w:sz w:val="13"/>
                <w:szCs w:val="13"/>
                <w:color w:val="131E29"/>
              </w:rPr>
              <w:t>.</w:t>
            </w:r>
          </w:p>
        </w:tc>
        <w:tc>
          <w:tcPr>
            <w:tcW w:w="460" w:type="dxa"/>
            <w:vAlign w:val="bottom"/>
            <w:gridSpan w:val="8"/>
          </w:tcPr>
          <w:p>
            <w:pPr>
              <w:spacing w:after="0"/>
              <w:rPr>
                <w:sz w:val="12"/>
                <w:szCs w:val="12"/>
                <w:color w:val="auto"/>
              </w:rPr>
            </w:pPr>
          </w:p>
        </w:tc>
        <w:tc>
          <w:tcPr>
            <w:tcW w:w="9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line="139" w:lineRule="exact"/>
              <w:rPr>
                <w:sz w:val="20"/>
                <w:szCs w:val="20"/>
                <w:color w:val="auto"/>
              </w:rPr>
            </w:pPr>
            <w:r>
              <w:rPr>
                <w:rFonts w:ascii="Arial" w:cs="Arial" w:eastAsia="Arial" w:hAnsi="Arial"/>
                <w:sz w:val="13"/>
                <w:szCs w:val="13"/>
                <w:color w:val="131E29"/>
                <w:w w:val="91"/>
              </w:rPr>
              <w:t>X</w:t>
            </w: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49"/>
        </w:trPr>
        <w:tc>
          <w:tcPr>
            <w:tcW w:w="108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20" w:type="dxa"/>
            <w:vAlign w:val="bottom"/>
            <w:tcBorders>
              <w:bottom w:val="single" w:sz="8" w:color="D2DCE5"/>
            </w:tcBorders>
            <w:shd w:val="clear" w:color="auto" w:fill="D2DCE5"/>
          </w:tcPr>
          <w:p>
            <w:pPr>
              <w:spacing w:after="0"/>
              <w:rPr>
                <w:sz w:val="12"/>
                <w:szCs w:val="12"/>
                <w:color w:val="auto"/>
              </w:rPr>
            </w:pPr>
          </w:p>
        </w:tc>
        <w:tc>
          <w:tcPr>
            <w:tcW w:w="3740" w:type="dxa"/>
            <w:vAlign w:val="bottom"/>
            <w:tcBorders>
              <w:bottom w:val="single" w:sz="8" w:color="auto"/>
            </w:tcBorders>
            <w:gridSpan w:val="7"/>
            <w:shd w:val="clear" w:color="auto" w:fill="D2DCE5"/>
          </w:tcPr>
          <w:p>
            <w:pPr>
              <w:spacing w:after="0"/>
              <w:rPr>
                <w:sz w:val="20"/>
                <w:szCs w:val="20"/>
                <w:color w:val="auto"/>
              </w:rPr>
            </w:pPr>
            <w:r>
              <w:rPr>
                <w:rFonts w:ascii="Arial" w:cs="Arial" w:eastAsia="Arial" w:hAnsi="Arial"/>
                <w:sz w:val="13"/>
                <w:szCs w:val="13"/>
                <w:color w:val="auto"/>
                <w:w w:val="97"/>
              </w:rPr>
              <w:t>Certifications of Chief Executive Officer and Chief Financial Officer</w:t>
            </w:r>
          </w:p>
        </w:tc>
        <w:tc>
          <w:tcPr>
            <w:tcW w:w="640" w:type="dxa"/>
            <w:vAlign w:val="bottom"/>
            <w:tcBorders>
              <w:bottom w:val="single" w:sz="8" w:color="D2DCE5"/>
            </w:tcBorders>
            <w:gridSpan w:val="10"/>
            <w:shd w:val="clear" w:color="auto" w:fill="D2DCE5"/>
          </w:tcPr>
          <w:p>
            <w:pPr>
              <w:spacing w:after="0"/>
              <w:rPr>
                <w:sz w:val="12"/>
                <w:szCs w:val="12"/>
                <w:color w:val="auto"/>
              </w:rPr>
            </w:pPr>
          </w:p>
        </w:tc>
        <w:tc>
          <w:tcPr>
            <w:tcW w:w="900" w:type="dxa"/>
            <w:vAlign w:val="bottom"/>
            <w:tcBorders>
              <w:bottom w:val="single" w:sz="8" w:color="D2DCE5"/>
            </w:tcBorders>
            <w:shd w:val="clear" w:color="auto" w:fill="D2DCE5"/>
          </w:tcPr>
          <w:p>
            <w:pPr>
              <w:spacing w:after="0"/>
              <w:rPr>
                <w:sz w:val="12"/>
                <w:szCs w:val="12"/>
                <w:color w:val="auto"/>
              </w:rPr>
            </w:pPr>
          </w:p>
        </w:tc>
        <w:tc>
          <w:tcPr>
            <w:tcW w:w="1220" w:type="dxa"/>
            <w:vAlign w:val="bottom"/>
            <w:tcBorders>
              <w:bottom w:val="single" w:sz="8" w:color="D2DCE5"/>
            </w:tcBorders>
            <w:shd w:val="clear" w:color="auto" w:fill="D2DCE5"/>
          </w:tcPr>
          <w:p>
            <w:pPr>
              <w:spacing w:after="0"/>
              <w:rPr>
                <w:sz w:val="12"/>
                <w:szCs w:val="12"/>
                <w:color w:val="auto"/>
              </w:rPr>
            </w:pPr>
          </w:p>
        </w:tc>
        <w:tc>
          <w:tcPr>
            <w:tcW w:w="900" w:type="dxa"/>
            <w:vAlign w:val="bottom"/>
            <w:tcBorders>
              <w:bottom w:val="single" w:sz="8" w:color="D2DCE5"/>
            </w:tcBorders>
            <w:shd w:val="clear" w:color="auto" w:fill="D2DCE5"/>
          </w:tcPr>
          <w:p>
            <w:pPr>
              <w:spacing w:after="0"/>
              <w:rPr>
                <w:sz w:val="12"/>
                <w:szCs w:val="12"/>
                <w:color w:val="auto"/>
              </w:rPr>
            </w:pPr>
          </w:p>
        </w:tc>
        <w:tc>
          <w:tcPr>
            <w:tcW w:w="100" w:type="dxa"/>
            <w:vAlign w:val="bottom"/>
            <w:tcBorders>
              <w:bottom w:val="single" w:sz="8" w:color="D2DCE5"/>
            </w:tcBorders>
            <w:shd w:val="clear" w:color="auto" w:fill="D2DCE5"/>
          </w:tcPr>
          <w:p>
            <w:pPr>
              <w:spacing w:after="0"/>
              <w:rPr>
                <w:sz w:val="12"/>
                <w:szCs w:val="12"/>
                <w:color w:val="auto"/>
              </w:rPr>
            </w:pPr>
          </w:p>
        </w:tc>
        <w:tc>
          <w:tcPr>
            <w:tcW w:w="1560" w:type="dxa"/>
            <w:vAlign w:val="bottom"/>
            <w:tcBorders>
              <w:bottom w:val="single" w:sz="8" w:color="D2DCE5"/>
            </w:tcBorders>
            <w:shd w:val="clear" w:color="auto" w:fill="D2DCE5"/>
          </w:tcPr>
          <w:p>
            <w:pPr>
              <w:spacing w:after="0"/>
              <w:rPr>
                <w:sz w:val="12"/>
                <w:szCs w:val="12"/>
                <w:color w:val="auto"/>
              </w:rPr>
            </w:pPr>
          </w:p>
        </w:tc>
        <w:tc>
          <w:tcPr>
            <w:tcW w:w="80" w:type="dxa"/>
            <w:vAlign w:val="bottom"/>
            <w:tcBorders>
              <w:bottom w:val="single" w:sz="8" w:color="D2DCE5"/>
            </w:tcBorders>
            <w:shd w:val="clear" w:color="auto" w:fill="D2DCE5"/>
          </w:tcPr>
          <w:p>
            <w:pPr>
              <w:spacing w:after="0"/>
              <w:rPr>
                <w:sz w:val="12"/>
                <w:szCs w:val="12"/>
                <w:color w:val="auto"/>
              </w:rPr>
            </w:pPr>
          </w:p>
        </w:tc>
        <w:tc>
          <w:tcPr>
            <w:tcW w:w="960" w:type="dxa"/>
            <w:vAlign w:val="bottom"/>
            <w:tcBorders>
              <w:bottom w:val="single" w:sz="8" w:color="D2DCE5"/>
            </w:tcBorders>
            <w:shd w:val="clear" w:color="auto" w:fill="D2DCE5"/>
          </w:tcPr>
          <w:p>
            <w:pPr>
              <w:spacing w:after="0"/>
              <w:rPr>
                <w:sz w:val="12"/>
                <w:szCs w:val="12"/>
                <w:color w:val="auto"/>
              </w:rPr>
            </w:pPr>
          </w:p>
        </w:tc>
      </w:tr>
      <w:tr>
        <w:trPr>
          <w:trHeight w:val="129"/>
        </w:trPr>
        <w:tc>
          <w:tcPr>
            <w:tcW w:w="108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20" w:type="dxa"/>
            <w:vAlign w:val="bottom"/>
            <w:shd w:val="clear" w:color="auto" w:fill="D2DCE5"/>
          </w:tcPr>
          <w:p>
            <w:pPr>
              <w:spacing w:after="0"/>
              <w:rPr>
                <w:sz w:val="11"/>
                <w:szCs w:val="11"/>
                <w:color w:val="auto"/>
              </w:rPr>
            </w:pPr>
          </w:p>
        </w:tc>
        <w:tc>
          <w:tcPr>
            <w:tcW w:w="4380" w:type="dxa"/>
            <w:vAlign w:val="bottom"/>
            <w:gridSpan w:val="17"/>
            <w:shd w:val="clear" w:color="auto" w:fill="D2DCE5"/>
          </w:tcPr>
          <w:p>
            <w:pPr>
              <w:spacing w:after="0" w:line="129" w:lineRule="exact"/>
              <w:rPr>
                <w:sz w:val="20"/>
                <w:szCs w:val="20"/>
                <w:color w:val="auto"/>
              </w:rPr>
            </w:pPr>
            <w:r>
              <w:rPr>
                <w:rFonts w:ascii="Arial" w:cs="Arial" w:eastAsia="Arial" w:hAnsi="Arial"/>
                <w:sz w:val="13"/>
                <w:szCs w:val="13"/>
                <w:color w:val="auto"/>
              </w:rPr>
              <w:t>Pursuant to 18 U.S.C. Section 1350, as Adopted Pursuant to Section 906 of</w:t>
            </w:r>
          </w:p>
        </w:tc>
        <w:tc>
          <w:tcPr>
            <w:tcW w:w="900" w:type="dxa"/>
            <w:vAlign w:val="bottom"/>
            <w:shd w:val="clear" w:color="auto" w:fill="D2DCE5"/>
          </w:tcPr>
          <w:p>
            <w:pPr>
              <w:spacing w:after="0"/>
              <w:rPr>
                <w:sz w:val="11"/>
                <w:szCs w:val="11"/>
                <w:color w:val="auto"/>
              </w:rPr>
            </w:pPr>
          </w:p>
        </w:tc>
        <w:tc>
          <w:tcPr>
            <w:tcW w:w="1220" w:type="dxa"/>
            <w:vAlign w:val="bottom"/>
            <w:shd w:val="clear" w:color="auto" w:fill="D2DCE5"/>
          </w:tcPr>
          <w:p>
            <w:pPr>
              <w:spacing w:after="0"/>
              <w:rPr>
                <w:sz w:val="11"/>
                <w:szCs w:val="11"/>
                <w:color w:val="auto"/>
              </w:rPr>
            </w:pPr>
          </w:p>
        </w:tc>
        <w:tc>
          <w:tcPr>
            <w:tcW w:w="900" w:type="dxa"/>
            <w:vAlign w:val="bottom"/>
            <w:shd w:val="clear" w:color="auto" w:fill="D2DCE5"/>
          </w:tcPr>
          <w:p>
            <w:pPr>
              <w:spacing w:after="0"/>
              <w:rPr>
                <w:sz w:val="11"/>
                <w:szCs w:val="11"/>
                <w:color w:val="auto"/>
              </w:rPr>
            </w:pPr>
          </w:p>
        </w:tc>
        <w:tc>
          <w:tcPr>
            <w:tcW w:w="100" w:type="dxa"/>
            <w:vAlign w:val="bottom"/>
            <w:shd w:val="clear" w:color="auto" w:fill="D2DCE5"/>
          </w:tcPr>
          <w:p>
            <w:pPr>
              <w:spacing w:after="0"/>
              <w:rPr>
                <w:sz w:val="11"/>
                <w:szCs w:val="11"/>
                <w:color w:val="auto"/>
              </w:rPr>
            </w:pPr>
          </w:p>
        </w:tc>
        <w:tc>
          <w:tcPr>
            <w:tcW w:w="1560" w:type="dxa"/>
            <w:vAlign w:val="bottom"/>
            <w:shd w:val="clear" w:color="auto" w:fill="D2DCE5"/>
          </w:tcPr>
          <w:p>
            <w:pPr>
              <w:spacing w:after="0"/>
              <w:rPr>
                <w:sz w:val="11"/>
                <w:szCs w:val="11"/>
                <w:color w:val="auto"/>
              </w:rPr>
            </w:pPr>
          </w:p>
        </w:tc>
        <w:tc>
          <w:tcPr>
            <w:tcW w:w="80" w:type="dxa"/>
            <w:vAlign w:val="bottom"/>
            <w:shd w:val="clear" w:color="auto" w:fill="D2DCE5"/>
          </w:tcPr>
          <w:p>
            <w:pPr>
              <w:spacing w:after="0"/>
              <w:rPr>
                <w:sz w:val="11"/>
                <w:szCs w:val="11"/>
                <w:color w:val="auto"/>
              </w:rPr>
            </w:pPr>
          </w:p>
        </w:tc>
        <w:tc>
          <w:tcPr>
            <w:tcW w:w="960" w:type="dxa"/>
            <w:vAlign w:val="bottom"/>
            <w:shd w:val="clear" w:color="auto" w:fill="D2DCE5"/>
          </w:tcPr>
          <w:p>
            <w:pPr>
              <w:spacing w:after="0"/>
              <w:rPr>
                <w:sz w:val="11"/>
                <w:szCs w:val="11"/>
                <w:color w:val="auto"/>
              </w:rPr>
            </w:pPr>
          </w:p>
        </w:tc>
      </w:tr>
      <w:tr>
        <w:trPr>
          <w:trHeight w:val="139"/>
        </w:trPr>
        <w:tc>
          <w:tcPr>
            <w:tcW w:w="1080" w:type="dxa"/>
            <w:vAlign w:val="bottom"/>
            <w:tcBorders>
              <w:top w:val="single" w:sz="8" w:color="D2DCE5"/>
            </w:tcBorders>
            <w:shd w:val="clear" w:color="auto" w:fill="D2DCE5"/>
          </w:tcPr>
          <w:p>
            <w:pPr>
              <w:jc w:val="center"/>
              <w:spacing w:after="0" w:line="139" w:lineRule="exact"/>
              <w:rPr>
                <w:sz w:val="20"/>
                <w:szCs w:val="20"/>
                <w:color w:val="auto"/>
              </w:rPr>
            </w:pPr>
            <w:r>
              <w:rPr>
                <w:rFonts w:ascii="Arial" w:cs="Arial" w:eastAsia="Arial" w:hAnsi="Arial"/>
                <w:sz w:val="13"/>
                <w:szCs w:val="13"/>
                <w:color w:val="131E29"/>
                <w:w w:val="92"/>
              </w:rPr>
              <w:t>32.1*</w:t>
            </w:r>
          </w:p>
        </w:tc>
        <w:tc>
          <w:tcPr>
            <w:tcW w:w="80" w:type="dxa"/>
            <w:vAlign w:val="bottom"/>
            <w:tcBorders>
              <w:top w:val="single" w:sz="8" w:color="D2DCE5"/>
            </w:tcBorders>
            <w:shd w:val="clear" w:color="auto" w:fill="D2DCE5"/>
          </w:tcPr>
          <w:p>
            <w:pPr>
              <w:spacing w:after="0"/>
              <w:rPr>
                <w:sz w:val="12"/>
                <w:szCs w:val="12"/>
                <w:color w:val="auto"/>
              </w:rPr>
            </w:pPr>
          </w:p>
        </w:tc>
        <w:tc>
          <w:tcPr>
            <w:tcW w:w="20" w:type="dxa"/>
            <w:vAlign w:val="bottom"/>
            <w:tcBorders>
              <w:top w:val="single" w:sz="8" w:color="D2DCE5"/>
            </w:tcBorders>
            <w:shd w:val="clear" w:color="auto" w:fill="D2DCE5"/>
          </w:tcPr>
          <w:p>
            <w:pPr>
              <w:spacing w:after="0"/>
              <w:rPr>
                <w:sz w:val="12"/>
                <w:szCs w:val="12"/>
                <w:color w:val="auto"/>
              </w:rPr>
            </w:pPr>
          </w:p>
        </w:tc>
        <w:tc>
          <w:tcPr>
            <w:tcW w:w="4260" w:type="dxa"/>
            <w:vAlign w:val="bottom"/>
            <w:tcBorders>
              <w:top w:val="single" w:sz="8" w:color="auto"/>
            </w:tcBorders>
            <w:gridSpan w:val="14"/>
            <w:shd w:val="clear" w:color="auto" w:fill="D2DCE5"/>
          </w:tcPr>
          <w:p>
            <w:pPr>
              <w:spacing w:after="0" w:line="139" w:lineRule="exact"/>
              <w:rPr>
                <w:sz w:val="20"/>
                <w:szCs w:val="20"/>
                <w:color w:val="auto"/>
              </w:rPr>
            </w:pPr>
            <w:r>
              <w:rPr>
                <w:rFonts w:ascii="Arial" w:cs="Arial" w:eastAsia="Arial" w:hAnsi="Arial"/>
                <w:sz w:val="13"/>
                <w:szCs w:val="13"/>
                <w:color w:val="auto"/>
              </w:rPr>
              <w:t>the Sarbanes-Oxley Act of 2002</w:t>
            </w:r>
            <w:r>
              <w:rPr>
                <w:rFonts w:ascii="Arial" w:cs="Arial" w:eastAsia="Arial" w:hAnsi="Arial"/>
                <w:sz w:val="13"/>
                <w:szCs w:val="13"/>
                <w:color w:val="131E29"/>
              </w:rPr>
              <w:t>.</w:t>
            </w:r>
          </w:p>
        </w:tc>
        <w:tc>
          <w:tcPr>
            <w:tcW w:w="120" w:type="dxa"/>
            <w:vAlign w:val="bottom"/>
            <w:tcBorders>
              <w:top w:val="single" w:sz="8" w:color="D2DCE5"/>
            </w:tcBorders>
            <w:gridSpan w:val="3"/>
            <w:shd w:val="clear" w:color="auto" w:fill="D2DCE5"/>
          </w:tcPr>
          <w:p>
            <w:pPr>
              <w:spacing w:after="0"/>
              <w:rPr>
                <w:sz w:val="12"/>
                <w:szCs w:val="12"/>
                <w:color w:val="auto"/>
              </w:rPr>
            </w:pPr>
          </w:p>
        </w:tc>
        <w:tc>
          <w:tcPr>
            <w:tcW w:w="900" w:type="dxa"/>
            <w:vAlign w:val="bottom"/>
            <w:tcBorders>
              <w:top w:val="single" w:sz="8" w:color="D2DCE5"/>
            </w:tcBorders>
            <w:shd w:val="clear" w:color="auto" w:fill="D2DCE5"/>
          </w:tcPr>
          <w:p>
            <w:pPr>
              <w:spacing w:after="0"/>
              <w:rPr>
                <w:sz w:val="12"/>
                <w:szCs w:val="12"/>
                <w:color w:val="auto"/>
              </w:rPr>
            </w:pPr>
          </w:p>
        </w:tc>
        <w:tc>
          <w:tcPr>
            <w:tcW w:w="1220" w:type="dxa"/>
            <w:vAlign w:val="bottom"/>
            <w:tcBorders>
              <w:top w:val="single" w:sz="8" w:color="D2DCE5"/>
            </w:tcBorders>
            <w:shd w:val="clear" w:color="auto" w:fill="D2DCE5"/>
          </w:tcPr>
          <w:p>
            <w:pPr>
              <w:spacing w:after="0"/>
              <w:rPr>
                <w:sz w:val="12"/>
                <w:szCs w:val="12"/>
                <w:color w:val="auto"/>
              </w:rPr>
            </w:pPr>
          </w:p>
        </w:tc>
        <w:tc>
          <w:tcPr>
            <w:tcW w:w="900" w:type="dxa"/>
            <w:vAlign w:val="bottom"/>
            <w:tcBorders>
              <w:top w:val="single" w:sz="8" w:color="D2DCE5"/>
            </w:tcBorders>
            <w:shd w:val="clear" w:color="auto" w:fill="D2DCE5"/>
          </w:tcPr>
          <w:p>
            <w:pPr>
              <w:spacing w:after="0"/>
              <w:rPr>
                <w:sz w:val="12"/>
                <w:szCs w:val="12"/>
                <w:color w:val="auto"/>
              </w:rPr>
            </w:pPr>
          </w:p>
        </w:tc>
        <w:tc>
          <w:tcPr>
            <w:tcW w:w="100" w:type="dxa"/>
            <w:vAlign w:val="bottom"/>
            <w:tcBorders>
              <w:top w:val="single" w:sz="8" w:color="D2DCE5"/>
            </w:tcBorders>
            <w:shd w:val="clear" w:color="auto" w:fill="D2DCE5"/>
          </w:tcPr>
          <w:p>
            <w:pPr>
              <w:spacing w:after="0"/>
              <w:rPr>
                <w:sz w:val="12"/>
                <w:szCs w:val="12"/>
                <w:color w:val="auto"/>
              </w:rPr>
            </w:pPr>
          </w:p>
        </w:tc>
        <w:tc>
          <w:tcPr>
            <w:tcW w:w="1560" w:type="dxa"/>
            <w:vAlign w:val="bottom"/>
            <w:tcBorders>
              <w:top w:val="single" w:sz="8" w:color="D2DCE5"/>
            </w:tcBorders>
            <w:shd w:val="clear" w:color="auto" w:fill="D2DCE5"/>
          </w:tcPr>
          <w:p>
            <w:pPr>
              <w:spacing w:after="0"/>
              <w:rPr>
                <w:sz w:val="12"/>
                <w:szCs w:val="12"/>
                <w:color w:val="auto"/>
              </w:rPr>
            </w:pPr>
          </w:p>
        </w:tc>
        <w:tc>
          <w:tcPr>
            <w:tcW w:w="80" w:type="dxa"/>
            <w:vAlign w:val="bottom"/>
            <w:tcBorders>
              <w:top w:val="single" w:sz="8" w:color="D2DCE5"/>
            </w:tcBorders>
            <w:shd w:val="clear" w:color="auto" w:fill="D2DCE5"/>
          </w:tcPr>
          <w:p>
            <w:pPr>
              <w:spacing w:after="0"/>
              <w:rPr>
                <w:sz w:val="12"/>
                <w:szCs w:val="12"/>
                <w:color w:val="auto"/>
              </w:rPr>
            </w:pPr>
          </w:p>
        </w:tc>
        <w:tc>
          <w:tcPr>
            <w:tcW w:w="960" w:type="dxa"/>
            <w:vAlign w:val="bottom"/>
            <w:tcBorders>
              <w:top w:val="single" w:sz="8" w:color="D2DCE5"/>
            </w:tcBorders>
            <w:shd w:val="clear" w:color="auto" w:fill="D2DCE5"/>
          </w:tcPr>
          <w:p>
            <w:pPr>
              <w:jc w:val="center"/>
              <w:spacing w:after="0" w:line="139" w:lineRule="exact"/>
              <w:rPr>
                <w:sz w:val="20"/>
                <w:szCs w:val="20"/>
                <w:color w:val="auto"/>
              </w:rPr>
            </w:pPr>
            <w:r>
              <w:rPr>
                <w:rFonts w:ascii="Arial" w:cs="Arial" w:eastAsia="Arial" w:hAnsi="Arial"/>
                <w:sz w:val="13"/>
                <w:szCs w:val="13"/>
                <w:color w:val="131E29"/>
                <w:w w:val="91"/>
              </w:rPr>
              <w:t>X</w:t>
            </w:r>
          </w:p>
        </w:tc>
      </w:tr>
      <w:tr>
        <w:trPr>
          <w:trHeight w:val="22"/>
        </w:trPr>
        <w:tc>
          <w:tcPr>
            <w:tcW w:w="108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1740" w:type="dxa"/>
            <w:vAlign w:val="bottom"/>
            <w:tcBorders>
              <w:top w:val="single" w:sz="8" w:color="auto"/>
            </w:tcBorders>
            <w:shd w:val="clear" w:color="auto" w:fill="D2DCE5"/>
          </w:tcPr>
          <w:p>
            <w:pPr>
              <w:spacing w:after="0" w:line="20" w:lineRule="exact"/>
              <w:rPr>
                <w:sz w:val="1"/>
                <w:szCs w:val="1"/>
                <w:color w:val="auto"/>
              </w:rPr>
            </w:pPr>
          </w:p>
        </w:tc>
        <w:tc>
          <w:tcPr>
            <w:tcW w:w="60" w:type="dxa"/>
            <w:vAlign w:val="bottom"/>
            <w:tcBorders>
              <w:top w:val="single" w:sz="8" w:color="auto"/>
            </w:tcBorders>
            <w:shd w:val="clear" w:color="auto" w:fill="D2DCE5"/>
          </w:tcPr>
          <w:p>
            <w:pPr>
              <w:spacing w:after="0" w:line="20" w:lineRule="exact"/>
              <w:rPr>
                <w:sz w:val="1"/>
                <w:szCs w:val="1"/>
                <w:color w:val="auto"/>
              </w:rPr>
            </w:pPr>
          </w:p>
        </w:tc>
        <w:tc>
          <w:tcPr>
            <w:tcW w:w="360" w:type="dxa"/>
            <w:vAlign w:val="bottom"/>
            <w:tcBorders>
              <w:top w:val="single" w:sz="8" w:color="D2DCE5"/>
            </w:tcBorders>
            <w:shd w:val="clear" w:color="auto" w:fill="D2DCE5"/>
          </w:tcPr>
          <w:p>
            <w:pPr>
              <w:spacing w:after="0" w:line="20" w:lineRule="exact"/>
              <w:rPr>
                <w:sz w:val="1"/>
                <w:szCs w:val="1"/>
                <w:color w:val="auto"/>
              </w:rPr>
            </w:pPr>
          </w:p>
        </w:tc>
        <w:tc>
          <w:tcPr>
            <w:tcW w:w="480" w:type="dxa"/>
            <w:vAlign w:val="bottom"/>
            <w:tcBorders>
              <w:top w:val="single" w:sz="8" w:color="D2DCE5"/>
            </w:tcBorders>
            <w:shd w:val="clear" w:color="auto" w:fill="D2DCE5"/>
          </w:tcPr>
          <w:p>
            <w:pPr>
              <w:spacing w:after="0" w:line="20" w:lineRule="exact"/>
              <w:rPr>
                <w:sz w:val="1"/>
                <w:szCs w:val="1"/>
                <w:color w:val="auto"/>
              </w:rPr>
            </w:pPr>
          </w:p>
        </w:tc>
        <w:tc>
          <w:tcPr>
            <w:tcW w:w="880" w:type="dxa"/>
            <w:vAlign w:val="bottom"/>
            <w:tcBorders>
              <w:top w:val="single" w:sz="8" w:color="D2DCE5"/>
            </w:tcBorders>
            <w:shd w:val="clear" w:color="auto" w:fill="D2DCE5"/>
          </w:tcPr>
          <w:p>
            <w:pPr>
              <w:spacing w:after="0" w:line="20" w:lineRule="exact"/>
              <w:rPr>
                <w:sz w:val="1"/>
                <w:szCs w:val="1"/>
                <w:color w:val="auto"/>
              </w:rPr>
            </w:pPr>
          </w:p>
        </w:tc>
        <w:tc>
          <w:tcPr>
            <w:tcW w:w="14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16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60" w:type="dxa"/>
            <w:vAlign w:val="bottom"/>
            <w:tcBorders>
              <w:top w:val="single" w:sz="8" w:color="D2DCE5"/>
            </w:tcBorders>
            <w:shd w:val="clear" w:color="auto" w:fill="D2DCE5"/>
          </w:tcPr>
          <w:p>
            <w:pPr>
              <w:spacing w:after="0" w:line="20" w:lineRule="exact"/>
              <w:rPr>
                <w:sz w:val="1"/>
                <w:szCs w:val="1"/>
                <w:color w:val="auto"/>
              </w:rPr>
            </w:pPr>
          </w:p>
        </w:tc>
        <w:tc>
          <w:tcPr>
            <w:tcW w:w="40" w:type="dxa"/>
            <w:vAlign w:val="bottom"/>
            <w:tcBorders>
              <w:top w:val="single" w:sz="8" w:color="D2DCE5"/>
            </w:tcBorders>
            <w:shd w:val="clear" w:color="auto" w:fill="D2DCE5"/>
          </w:tcPr>
          <w:p>
            <w:pPr>
              <w:spacing w:after="0" w:line="20" w:lineRule="exact"/>
              <w:rPr>
                <w:sz w:val="1"/>
                <w:szCs w:val="1"/>
                <w:color w:val="auto"/>
              </w:rPr>
            </w:pPr>
          </w:p>
        </w:tc>
        <w:tc>
          <w:tcPr>
            <w:tcW w:w="12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2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900" w:type="dxa"/>
            <w:vAlign w:val="bottom"/>
            <w:tcBorders>
              <w:top w:val="single" w:sz="8" w:color="D2DCE5"/>
            </w:tcBorders>
            <w:shd w:val="clear" w:color="auto" w:fill="D2DCE5"/>
          </w:tcPr>
          <w:p>
            <w:pPr>
              <w:spacing w:after="0" w:line="20" w:lineRule="exact"/>
              <w:rPr>
                <w:sz w:val="1"/>
                <w:szCs w:val="1"/>
                <w:color w:val="auto"/>
              </w:rPr>
            </w:pPr>
          </w:p>
        </w:tc>
        <w:tc>
          <w:tcPr>
            <w:tcW w:w="1220" w:type="dxa"/>
            <w:vAlign w:val="bottom"/>
            <w:tcBorders>
              <w:top w:val="single" w:sz="8" w:color="D2DCE5"/>
            </w:tcBorders>
            <w:shd w:val="clear" w:color="auto" w:fill="D2DCE5"/>
          </w:tcPr>
          <w:p>
            <w:pPr>
              <w:spacing w:after="0" w:line="20" w:lineRule="exact"/>
              <w:rPr>
                <w:sz w:val="1"/>
                <w:szCs w:val="1"/>
                <w:color w:val="auto"/>
              </w:rPr>
            </w:pPr>
          </w:p>
        </w:tc>
        <w:tc>
          <w:tcPr>
            <w:tcW w:w="900" w:type="dxa"/>
            <w:vAlign w:val="bottom"/>
            <w:tcBorders>
              <w:top w:val="single" w:sz="8" w:color="D2DCE5"/>
            </w:tcBorders>
            <w:shd w:val="clear" w:color="auto" w:fill="D2DCE5"/>
          </w:tcPr>
          <w:p>
            <w:pPr>
              <w:spacing w:after="0" w:line="20" w:lineRule="exact"/>
              <w:rPr>
                <w:sz w:val="1"/>
                <w:szCs w:val="1"/>
                <w:color w:val="auto"/>
              </w:rPr>
            </w:pPr>
          </w:p>
        </w:tc>
        <w:tc>
          <w:tcPr>
            <w:tcW w:w="100" w:type="dxa"/>
            <w:vAlign w:val="bottom"/>
            <w:tcBorders>
              <w:top w:val="single" w:sz="8" w:color="D2DCE5"/>
            </w:tcBorders>
            <w:shd w:val="clear" w:color="auto" w:fill="D2DCE5"/>
          </w:tcPr>
          <w:p>
            <w:pPr>
              <w:spacing w:after="0" w:line="20" w:lineRule="exact"/>
              <w:rPr>
                <w:sz w:val="1"/>
                <w:szCs w:val="1"/>
                <w:color w:val="auto"/>
              </w:rPr>
            </w:pPr>
          </w:p>
        </w:tc>
        <w:tc>
          <w:tcPr>
            <w:tcW w:w="1560" w:type="dxa"/>
            <w:vAlign w:val="bottom"/>
            <w:tcBorders>
              <w:top w:val="single" w:sz="8" w:color="D2DCE5"/>
            </w:tcBorders>
            <w:shd w:val="clear" w:color="auto" w:fill="D2DCE5"/>
          </w:tcPr>
          <w:p>
            <w:pPr>
              <w:spacing w:after="0" w:line="20" w:lineRule="exact"/>
              <w:rPr>
                <w:sz w:val="1"/>
                <w:szCs w:val="1"/>
                <w:color w:val="auto"/>
              </w:rPr>
            </w:pPr>
          </w:p>
        </w:tc>
        <w:tc>
          <w:tcPr>
            <w:tcW w:w="80" w:type="dxa"/>
            <w:vAlign w:val="bottom"/>
            <w:tcBorders>
              <w:top w:val="single" w:sz="8" w:color="D2DCE5"/>
            </w:tcBorders>
            <w:shd w:val="clear" w:color="auto" w:fill="D2DCE5"/>
          </w:tcPr>
          <w:p>
            <w:pPr>
              <w:spacing w:after="0" w:line="20" w:lineRule="exact"/>
              <w:rPr>
                <w:sz w:val="1"/>
                <w:szCs w:val="1"/>
                <w:color w:val="auto"/>
              </w:rPr>
            </w:pPr>
          </w:p>
        </w:tc>
        <w:tc>
          <w:tcPr>
            <w:tcW w:w="960" w:type="dxa"/>
            <w:vAlign w:val="bottom"/>
            <w:tcBorders>
              <w:top w:val="single" w:sz="8" w:color="D2DCE5"/>
            </w:tcBorders>
            <w:shd w:val="clear" w:color="auto" w:fill="D2DCE5"/>
          </w:tcPr>
          <w:p>
            <w:pPr>
              <w:spacing w:after="0" w:line="20" w:lineRule="exact"/>
              <w:rPr>
                <w:sz w:val="1"/>
                <w:szCs w:val="1"/>
                <w:color w:val="auto"/>
              </w:rPr>
            </w:pPr>
          </w:p>
        </w:tc>
      </w:tr>
      <w:tr>
        <w:trPr>
          <w:trHeight w:val="149"/>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97.1†</w:t>
            </w:r>
          </w:p>
        </w:tc>
        <w:tc>
          <w:tcPr>
            <w:tcW w:w="20" w:type="dxa"/>
            <w:vAlign w:val="bottom"/>
          </w:tcPr>
          <w:p>
            <w:pPr>
              <w:spacing w:after="0"/>
              <w:rPr>
                <w:sz w:val="12"/>
                <w:szCs w:val="12"/>
                <w:color w:val="auto"/>
              </w:rPr>
            </w:pPr>
          </w:p>
        </w:tc>
        <w:tc>
          <w:tcPr>
            <w:tcW w:w="4380" w:type="dxa"/>
            <w:vAlign w:val="bottom"/>
            <w:gridSpan w:val="17"/>
          </w:tcPr>
          <w:p>
            <w:pPr>
              <w:spacing w:after="0"/>
              <w:rPr>
                <w:rFonts w:ascii="Arial" w:cs="Arial" w:eastAsia="Arial" w:hAnsi="Arial"/>
                <w:sz w:val="13"/>
                <w:szCs w:val="13"/>
                <w:color w:val="auto"/>
              </w:rPr>
            </w:pPr>
            <w:hyperlink r:id="rId394">
              <w:r>
                <w:rPr>
                  <w:rFonts w:ascii="Arial" w:cs="Arial" w:eastAsia="Arial" w:hAnsi="Arial"/>
                  <w:sz w:val="13"/>
                  <w:szCs w:val="13"/>
                  <w:color w:val="auto"/>
                </w:rPr>
                <w:t>Incentive Compensation Recoupment Policy, dated October 10, 2023</w:t>
              </w:r>
            </w:hyperlink>
            <w:r>
              <w:rPr>
                <w:rFonts w:ascii="Arial" w:cs="Arial" w:eastAsia="Arial" w:hAnsi="Arial"/>
                <w:sz w:val="13"/>
                <w:szCs w:val="13"/>
                <w:color w:val="131E29"/>
              </w:rPr>
              <w:t>.</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10-K</w:t>
            </w:r>
          </w:p>
        </w:tc>
        <w:tc>
          <w:tcPr>
            <w:tcW w:w="1220" w:type="dxa"/>
            <w:vAlign w:val="bottom"/>
          </w:tcPr>
          <w:p>
            <w:pPr>
              <w:jc w:val="center"/>
              <w:spacing w:after="0"/>
              <w:rPr>
                <w:sz w:val="20"/>
                <w:szCs w:val="20"/>
                <w:color w:val="auto"/>
              </w:rPr>
            </w:pPr>
            <w:r>
              <w:rPr>
                <w:rFonts w:ascii="Arial" w:cs="Arial" w:eastAsia="Arial" w:hAnsi="Arial"/>
                <w:sz w:val="13"/>
                <w:szCs w:val="13"/>
                <w:color w:val="131E29"/>
                <w:w w:val="96"/>
              </w:rPr>
              <w:t>001-40798</w:t>
            </w:r>
          </w:p>
        </w:tc>
        <w:tc>
          <w:tcPr>
            <w:tcW w:w="900" w:type="dxa"/>
            <w:vAlign w:val="bottom"/>
          </w:tcPr>
          <w:p>
            <w:pPr>
              <w:jc w:val="center"/>
              <w:spacing w:after="0"/>
              <w:rPr>
                <w:sz w:val="20"/>
                <w:szCs w:val="20"/>
                <w:color w:val="auto"/>
              </w:rPr>
            </w:pPr>
            <w:r>
              <w:rPr>
                <w:rFonts w:ascii="Arial" w:cs="Arial" w:eastAsia="Arial" w:hAnsi="Arial"/>
                <w:sz w:val="13"/>
                <w:szCs w:val="13"/>
                <w:color w:val="131E29"/>
                <w:w w:val="94"/>
              </w:rPr>
              <w:t>97.1</w:t>
            </w:r>
          </w:p>
        </w:tc>
        <w:tc>
          <w:tcPr>
            <w:tcW w:w="100" w:type="dxa"/>
            <w:vAlign w:val="bottom"/>
          </w:tcPr>
          <w:p>
            <w:pPr>
              <w:spacing w:after="0"/>
              <w:rPr>
                <w:sz w:val="12"/>
                <w:szCs w:val="12"/>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February 23, 2024</w:t>
            </w:r>
          </w:p>
        </w:tc>
        <w:tc>
          <w:tcPr>
            <w:tcW w:w="960" w:type="dxa"/>
            <w:vAlign w:val="bottom"/>
          </w:tcPr>
          <w:p>
            <w:pPr>
              <w:spacing w:after="0"/>
              <w:rPr>
                <w:sz w:val="12"/>
                <w:szCs w:val="12"/>
                <w:color w:val="auto"/>
              </w:rPr>
            </w:pPr>
          </w:p>
        </w:tc>
      </w:tr>
      <w:tr>
        <w:trPr>
          <w:trHeight w:val="22"/>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1"/>
        </w:trPr>
        <w:tc>
          <w:tcPr>
            <w:tcW w:w="1160" w:type="dxa"/>
            <w:vAlign w:val="bottom"/>
            <w:gridSpan w:val="2"/>
            <w:shd w:val="clear" w:color="auto" w:fill="D2DCE5"/>
          </w:tcPr>
          <w:p>
            <w:pPr>
              <w:jc w:val="center"/>
              <w:ind w:right="60"/>
              <w:spacing w:after="0"/>
              <w:rPr>
                <w:sz w:val="20"/>
                <w:szCs w:val="20"/>
                <w:color w:val="auto"/>
              </w:rPr>
            </w:pPr>
            <w:r>
              <w:rPr>
                <w:rFonts w:ascii="Arial" w:cs="Arial" w:eastAsia="Arial" w:hAnsi="Arial"/>
                <w:sz w:val="13"/>
                <w:szCs w:val="13"/>
                <w:color w:val="131E29"/>
                <w:w w:val="97"/>
              </w:rPr>
              <w:t>101.INS</w:t>
            </w:r>
          </w:p>
        </w:tc>
        <w:tc>
          <w:tcPr>
            <w:tcW w:w="20" w:type="dxa"/>
            <w:vAlign w:val="bottom"/>
            <w:shd w:val="clear" w:color="auto" w:fill="D2DCE5"/>
          </w:tcPr>
          <w:p>
            <w:pPr>
              <w:spacing w:after="0"/>
              <w:rPr>
                <w:sz w:val="16"/>
                <w:szCs w:val="16"/>
                <w:color w:val="auto"/>
              </w:rPr>
            </w:pPr>
          </w:p>
        </w:tc>
        <w:tc>
          <w:tcPr>
            <w:tcW w:w="4380" w:type="dxa"/>
            <w:vAlign w:val="bottom"/>
            <w:gridSpan w:val="17"/>
            <w:shd w:val="clear" w:color="auto" w:fill="D2DCE5"/>
          </w:tcPr>
          <w:p>
            <w:pPr>
              <w:spacing w:after="0"/>
              <w:rPr>
                <w:sz w:val="20"/>
                <w:szCs w:val="20"/>
                <w:color w:val="auto"/>
              </w:rPr>
            </w:pPr>
            <w:r>
              <w:rPr>
                <w:rFonts w:ascii="Arial" w:cs="Arial" w:eastAsia="Arial" w:hAnsi="Arial"/>
                <w:sz w:val="13"/>
                <w:szCs w:val="13"/>
                <w:color w:val="131E29"/>
              </w:rPr>
              <w:t>XBRL Instance Document.</w:t>
            </w:r>
          </w:p>
        </w:tc>
        <w:tc>
          <w:tcPr>
            <w:tcW w:w="900" w:type="dxa"/>
            <w:vAlign w:val="bottom"/>
            <w:shd w:val="clear" w:color="auto" w:fill="D2DCE5"/>
          </w:tcPr>
          <w:p>
            <w:pPr>
              <w:spacing w:after="0"/>
              <w:rPr>
                <w:sz w:val="16"/>
                <w:szCs w:val="16"/>
                <w:color w:val="auto"/>
              </w:rPr>
            </w:pPr>
          </w:p>
        </w:tc>
        <w:tc>
          <w:tcPr>
            <w:tcW w:w="1220" w:type="dxa"/>
            <w:vAlign w:val="bottom"/>
            <w:shd w:val="clear" w:color="auto" w:fill="D2DCE5"/>
          </w:tcPr>
          <w:p>
            <w:pPr>
              <w:spacing w:after="0"/>
              <w:rPr>
                <w:sz w:val="16"/>
                <w:szCs w:val="16"/>
                <w:color w:val="auto"/>
              </w:rPr>
            </w:pPr>
          </w:p>
        </w:tc>
        <w:tc>
          <w:tcPr>
            <w:tcW w:w="9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1"/>
              </w:rPr>
              <w:t>X</w:t>
            </w:r>
          </w:p>
        </w:tc>
      </w:tr>
      <w:tr>
        <w:trPr>
          <w:trHeight w:val="184"/>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w w:val="98"/>
              </w:rPr>
              <w:t>101.SCH</w:t>
            </w:r>
          </w:p>
        </w:tc>
        <w:tc>
          <w:tcPr>
            <w:tcW w:w="20" w:type="dxa"/>
            <w:vAlign w:val="bottom"/>
          </w:tcPr>
          <w:p>
            <w:pPr>
              <w:spacing w:after="0"/>
              <w:rPr>
                <w:sz w:val="16"/>
                <w:szCs w:val="16"/>
                <w:color w:val="auto"/>
              </w:rPr>
            </w:pPr>
          </w:p>
        </w:tc>
        <w:tc>
          <w:tcPr>
            <w:tcW w:w="4380" w:type="dxa"/>
            <w:vAlign w:val="bottom"/>
            <w:gridSpan w:val="17"/>
          </w:tcPr>
          <w:p>
            <w:pPr>
              <w:spacing w:after="0"/>
              <w:rPr>
                <w:sz w:val="20"/>
                <w:szCs w:val="20"/>
                <w:color w:val="auto"/>
              </w:rPr>
            </w:pPr>
            <w:r>
              <w:rPr>
                <w:rFonts w:ascii="Arial" w:cs="Arial" w:eastAsia="Arial" w:hAnsi="Arial"/>
                <w:sz w:val="13"/>
                <w:szCs w:val="13"/>
                <w:color w:val="131E29"/>
              </w:rPr>
              <w:t>XBRL Taxonomy Extension Schema Document.</w:t>
            </w: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131E29"/>
                <w:w w:val="91"/>
              </w:rPr>
              <w:t>X</w:t>
            </w:r>
          </w:p>
        </w:tc>
      </w:tr>
      <w:tr>
        <w:trPr>
          <w:trHeight w:val="198"/>
        </w:trPr>
        <w:tc>
          <w:tcPr>
            <w:tcW w:w="1160" w:type="dxa"/>
            <w:vAlign w:val="bottom"/>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4"/>
              </w:rPr>
              <w:t>101.CAL</w:t>
            </w:r>
          </w:p>
        </w:tc>
        <w:tc>
          <w:tcPr>
            <w:tcW w:w="20" w:type="dxa"/>
            <w:vAlign w:val="bottom"/>
            <w:shd w:val="clear" w:color="auto" w:fill="D2DCE5"/>
          </w:tcPr>
          <w:p>
            <w:pPr>
              <w:spacing w:after="0"/>
              <w:rPr>
                <w:sz w:val="17"/>
                <w:szCs w:val="17"/>
                <w:color w:val="auto"/>
              </w:rPr>
            </w:pPr>
          </w:p>
        </w:tc>
        <w:tc>
          <w:tcPr>
            <w:tcW w:w="4380" w:type="dxa"/>
            <w:vAlign w:val="bottom"/>
            <w:gridSpan w:val="17"/>
            <w:shd w:val="clear" w:color="auto" w:fill="D2DCE5"/>
          </w:tcPr>
          <w:p>
            <w:pPr>
              <w:spacing w:after="0"/>
              <w:rPr>
                <w:sz w:val="20"/>
                <w:szCs w:val="20"/>
                <w:color w:val="auto"/>
              </w:rPr>
            </w:pPr>
            <w:r>
              <w:rPr>
                <w:rFonts w:ascii="Arial" w:cs="Arial" w:eastAsia="Arial" w:hAnsi="Arial"/>
                <w:sz w:val="13"/>
                <w:szCs w:val="13"/>
                <w:color w:val="131E29"/>
              </w:rPr>
              <w:t>XBRL Taxonomy Extension Calculation Linkbase Document.</w:t>
            </w:r>
          </w:p>
        </w:tc>
        <w:tc>
          <w:tcPr>
            <w:tcW w:w="900" w:type="dxa"/>
            <w:vAlign w:val="bottom"/>
            <w:shd w:val="clear" w:color="auto" w:fill="D2DCE5"/>
          </w:tcPr>
          <w:p>
            <w:pPr>
              <w:spacing w:after="0"/>
              <w:rPr>
                <w:sz w:val="17"/>
                <w:szCs w:val="17"/>
                <w:color w:val="auto"/>
              </w:rPr>
            </w:pPr>
          </w:p>
        </w:tc>
        <w:tc>
          <w:tcPr>
            <w:tcW w:w="1220" w:type="dxa"/>
            <w:vAlign w:val="bottom"/>
            <w:shd w:val="clear" w:color="auto" w:fill="D2DCE5"/>
          </w:tcPr>
          <w:p>
            <w:pPr>
              <w:spacing w:after="0"/>
              <w:rPr>
                <w:sz w:val="17"/>
                <w:szCs w:val="17"/>
                <w:color w:val="auto"/>
              </w:rPr>
            </w:pPr>
          </w:p>
        </w:tc>
        <w:tc>
          <w:tcPr>
            <w:tcW w:w="9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1"/>
              </w:rPr>
              <w:t>X</w:t>
            </w:r>
          </w:p>
        </w:tc>
      </w:tr>
      <w:tr>
        <w:trPr>
          <w:trHeight w:val="184"/>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rPr>
              <w:t>101.DEF</w:t>
            </w:r>
          </w:p>
        </w:tc>
        <w:tc>
          <w:tcPr>
            <w:tcW w:w="20" w:type="dxa"/>
            <w:vAlign w:val="bottom"/>
          </w:tcPr>
          <w:p>
            <w:pPr>
              <w:spacing w:after="0"/>
              <w:rPr>
                <w:sz w:val="16"/>
                <w:szCs w:val="16"/>
                <w:color w:val="auto"/>
              </w:rPr>
            </w:pPr>
          </w:p>
        </w:tc>
        <w:tc>
          <w:tcPr>
            <w:tcW w:w="4380" w:type="dxa"/>
            <w:vAlign w:val="bottom"/>
            <w:gridSpan w:val="17"/>
          </w:tcPr>
          <w:p>
            <w:pPr>
              <w:spacing w:after="0"/>
              <w:rPr>
                <w:sz w:val="20"/>
                <w:szCs w:val="20"/>
                <w:color w:val="auto"/>
              </w:rPr>
            </w:pPr>
            <w:r>
              <w:rPr>
                <w:rFonts w:ascii="Arial" w:cs="Arial" w:eastAsia="Arial" w:hAnsi="Arial"/>
                <w:sz w:val="13"/>
                <w:szCs w:val="13"/>
                <w:color w:val="131E29"/>
              </w:rPr>
              <w:t>XBRL Taxonomy Extension Definition Linkbase Document.</w:t>
            </w: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131E29"/>
                <w:w w:val="91"/>
              </w:rPr>
              <w:t>X</w:t>
            </w:r>
          </w:p>
        </w:tc>
      </w:tr>
      <w:tr>
        <w:trPr>
          <w:trHeight w:val="198"/>
        </w:trPr>
        <w:tc>
          <w:tcPr>
            <w:tcW w:w="1160" w:type="dxa"/>
            <w:vAlign w:val="bottom"/>
            <w:gridSpan w:val="2"/>
            <w:shd w:val="clear" w:color="auto" w:fill="D2DCE5"/>
          </w:tcPr>
          <w:p>
            <w:pPr>
              <w:jc w:val="center"/>
              <w:ind w:right="80"/>
              <w:spacing w:after="0"/>
              <w:rPr>
                <w:sz w:val="20"/>
                <w:szCs w:val="20"/>
                <w:color w:val="auto"/>
              </w:rPr>
            </w:pPr>
            <w:r>
              <w:rPr>
                <w:rFonts w:ascii="Arial" w:cs="Arial" w:eastAsia="Arial" w:hAnsi="Arial"/>
                <w:sz w:val="13"/>
                <w:szCs w:val="13"/>
                <w:color w:val="131E29"/>
                <w:w w:val="96"/>
              </w:rPr>
              <w:t>101.LAB</w:t>
            </w:r>
          </w:p>
        </w:tc>
        <w:tc>
          <w:tcPr>
            <w:tcW w:w="20" w:type="dxa"/>
            <w:vAlign w:val="bottom"/>
            <w:shd w:val="clear" w:color="auto" w:fill="D2DCE5"/>
          </w:tcPr>
          <w:p>
            <w:pPr>
              <w:spacing w:after="0"/>
              <w:rPr>
                <w:sz w:val="17"/>
                <w:szCs w:val="17"/>
                <w:color w:val="auto"/>
              </w:rPr>
            </w:pPr>
          </w:p>
        </w:tc>
        <w:tc>
          <w:tcPr>
            <w:tcW w:w="4380" w:type="dxa"/>
            <w:vAlign w:val="bottom"/>
            <w:gridSpan w:val="17"/>
            <w:shd w:val="clear" w:color="auto" w:fill="D2DCE5"/>
          </w:tcPr>
          <w:p>
            <w:pPr>
              <w:spacing w:after="0"/>
              <w:rPr>
                <w:sz w:val="20"/>
                <w:szCs w:val="20"/>
                <w:color w:val="auto"/>
              </w:rPr>
            </w:pPr>
            <w:r>
              <w:rPr>
                <w:rFonts w:ascii="Arial" w:cs="Arial" w:eastAsia="Arial" w:hAnsi="Arial"/>
                <w:sz w:val="13"/>
                <w:szCs w:val="13"/>
                <w:color w:val="131E29"/>
              </w:rPr>
              <w:t>XBRL Taxonomy Extension Label Linkbase Document.</w:t>
            </w:r>
          </w:p>
        </w:tc>
        <w:tc>
          <w:tcPr>
            <w:tcW w:w="900" w:type="dxa"/>
            <w:vAlign w:val="bottom"/>
            <w:shd w:val="clear" w:color="auto" w:fill="D2DCE5"/>
          </w:tcPr>
          <w:p>
            <w:pPr>
              <w:spacing w:after="0"/>
              <w:rPr>
                <w:sz w:val="17"/>
                <w:szCs w:val="17"/>
                <w:color w:val="auto"/>
              </w:rPr>
            </w:pPr>
          </w:p>
        </w:tc>
        <w:tc>
          <w:tcPr>
            <w:tcW w:w="1220" w:type="dxa"/>
            <w:vAlign w:val="bottom"/>
            <w:shd w:val="clear" w:color="auto" w:fill="D2DCE5"/>
          </w:tcPr>
          <w:p>
            <w:pPr>
              <w:spacing w:after="0"/>
              <w:rPr>
                <w:sz w:val="17"/>
                <w:szCs w:val="17"/>
                <w:color w:val="auto"/>
              </w:rPr>
            </w:pPr>
          </w:p>
        </w:tc>
        <w:tc>
          <w:tcPr>
            <w:tcW w:w="900" w:type="dxa"/>
            <w:vAlign w:val="bottom"/>
            <w:shd w:val="clear" w:color="auto" w:fill="D2DCE5"/>
          </w:tcPr>
          <w:p>
            <w:pPr>
              <w:spacing w:after="0"/>
              <w:rPr>
                <w:sz w:val="17"/>
                <w:szCs w:val="17"/>
                <w:color w:val="auto"/>
              </w:rPr>
            </w:pPr>
          </w:p>
        </w:tc>
        <w:tc>
          <w:tcPr>
            <w:tcW w:w="100" w:type="dxa"/>
            <w:vAlign w:val="bottom"/>
            <w:shd w:val="clear" w:color="auto" w:fill="D2DCE5"/>
          </w:tcPr>
          <w:p>
            <w:pPr>
              <w:spacing w:after="0"/>
              <w:rPr>
                <w:sz w:val="17"/>
                <w:szCs w:val="17"/>
                <w:color w:val="auto"/>
              </w:rPr>
            </w:pPr>
          </w:p>
        </w:tc>
        <w:tc>
          <w:tcPr>
            <w:tcW w:w="1560" w:type="dxa"/>
            <w:vAlign w:val="bottom"/>
            <w:shd w:val="clear" w:color="auto" w:fill="D2DCE5"/>
          </w:tcPr>
          <w:p>
            <w:pPr>
              <w:spacing w:after="0"/>
              <w:rPr>
                <w:sz w:val="17"/>
                <w:szCs w:val="17"/>
                <w:color w:val="auto"/>
              </w:rPr>
            </w:pPr>
          </w:p>
        </w:tc>
        <w:tc>
          <w:tcPr>
            <w:tcW w:w="80" w:type="dxa"/>
            <w:vAlign w:val="bottom"/>
            <w:shd w:val="clear" w:color="auto" w:fill="D2DCE5"/>
          </w:tcPr>
          <w:p>
            <w:pPr>
              <w:spacing w:after="0"/>
              <w:rPr>
                <w:sz w:val="17"/>
                <w:szCs w:val="17"/>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1"/>
              </w:rPr>
              <w:t>X</w:t>
            </w:r>
          </w:p>
        </w:tc>
      </w:tr>
      <w:tr>
        <w:trPr>
          <w:trHeight w:val="184"/>
        </w:trPr>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131E29"/>
                <w:w w:val="99"/>
              </w:rPr>
              <w:t>101.PRE</w:t>
            </w:r>
          </w:p>
        </w:tc>
        <w:tc>
          <w:tcPr>
            <w:tcW w:w="20" w:type="dxa"/>
            <w:vAlign w:val="bottom"/>
          </w:tcPr>
          <w:p>
            <w:pPr>
              <w:spacing w:after="0"/>
              <w:rPr>
                <w:sz w:val="16"/>
                <w:szCs w:val="16"/>
                <w:color w:val="auto"/>
              </w:rPr>
            </w:pPr>
          </w:p>
        </w:tc>
        <w:tc>
          <w:tcPr>
            <w:tcW w:w="4380" w:type="dxa"/>
            <w:vAlign w:val="bottom"/>
            <w:gridSpan w:val="17"/>
          </w:tcPr>
          <w:p>
            <w:pPr>
              <w:spacing w:after="0"/>
              <w:rPr>
                <w:sz w:val="20"/>
                <w:szCs w:val="20"/>
                <w:color w:val="auto"/>
              </w:rPr>
            </w:pPr>
            <w:r>
              <w:rPr>
                <w:rFonts w:ascii="Arial" w:cs="Arial" w:eastAsia="Arial" w:hAnsi="Arial"/>
                <w:sz w:val="13"/>
                <w:szCs w:val="13"/>
                <w:color w:val="131E29"/>
              </w:rPr>
              <w:t>XBRL Taxonomy Extension Presentation Linkbase Document.</w:t>
            </w: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131E29"/>
                <w:w w:val="91"/>
              </w:rPr>
              <w:t>X</w:t>
            </w:r>
          </w:p>
        </w:tc>
      </w:tr>
      <w:tr>
        <w:trPr>
          <w:trHeight w:val="166"/>
        </w:trPr>
        <w:tc>
          <w:tcPr>
            <w:tcW w:w="108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20" w:type="dxa"/>
            <w:vAlign w:val="bottom"/>
            <w:shd w:val="clear" w:color="auto" w:fill="D2DCE5"/>
          </w:tcPr>
          <w:p>
            <w:pPr>
              <w:spacing w:after="0"/>
              <w:rPr>
                <w:sz w:val="14"/>
                <w:szCs w:val="14"/>
                <w:color w:val="auto"/>
              </w:rPr>
            </w:pPr>
          </w:p>
        </w:tc>
        <w:tc>
          <w:tcPr>
            <w:tcW w:w="4380" w:type="dxa"/>
            <w:vAlign w:val="bottom"/>
            <w:gridSpan w:val="17"/>
            <w:shd w:val="clear" w:color="auto" w:fill="D2DCE5"/>
          </w:tcPr>
          <w:p>
            <w:pPr>
              <w:spacing w:after="0"/>
              <w:rPr>
                <w:sz w:val="20"/>
                <w:szCs w:val="20"/>
                <w:color w:val="auto"/>
              </w:rPr>
            </w:pPr>
            <w:r>
              <w:rPr>
                <w:rFonts w:ascii="Arial" w:cs="Arial" w:eastAsia="Arial" w:hAnsi="Arial"/>
                <w:sz w:val="13"/>
                <w:szCs w:val="13"/>
                <w:color w:val="131E29"/>
              </w:rPr>
              <w:t>Cover Page with Interactive Data File (formatted as Inline XBRL with</w:t>
            </w:r>
          </w:p>
        </w:tc>
        <w:tc>
          <w:tcPr>
            <w:tcW w:w="900" w:type="dxa"/>
            <w:vAlign w:val="bottom"/>
            <w:shd w:val="clear" w:color="auto" w:fill="D2DCE5"/>
          </w:tcPr>
          <w:p>
            <w:pPr>
              <w:spacing w:after="0"/>
              <w:rPr>
                <w:sz w:val="14"/>
                <w:szCs w:val="14"/>
                <w:color w:val="auto"/>
              </w:rPr>
            </w:pPr>
          </w:p>
        </w:tc>
        <w:tc>
          <w:tcPr>
            <w:tcW w:w="1220" w:type="dxa"/>
            <w:vAlign w:val="bottom"/>
            <w:shd w:val="clear" w:color="auto" w:fill="D2DCE5"/>
          </w:tcPr>
          <w:p>
            <w:pPr>
              <w:spacing w:after="0"/>
              <w:rPr>
                <w:sz w:val="14"/>
                <w:szCs w:val="14"/>
                <w:color w:val="auto"/>
              </w:rPr>
            </w:pPr>
          </w:p>
        </w:tc>
        <w:tc>
          <w:tcPr>
            <w:tcW w:w="9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1560" w:type="dxa"/>
            <w:vAlign w:val="bottom"/>
            <w:shd w:val="clear" w:color="auto" w:fill="D2DCE5"/>
          </w:tcPr>
          <w:p>
            <w:pPr>
              <w:spacing w:after="0"/>
              <w:rPr>
                <w:sz w:val="14"/>
                <w:szCs w:val="14"/>
                <w:color w:val="auto"/>
              </w:rPr>
            </w:pPr>
          </w:p>
        </w:tc>
        <w:tc>
          <w:tcPr>
            <w:tcW w:w="80" w:type="dxa"/>
            <w:vAlign w:val="bottom"/>
            <w:shd w:val="clear" w:color="auto" w:fill="D2DCE5"/>
          </w:tcPr>
          <w:p>
            <w:pPr>
              <w:spacing w:after="0"/>
              <w:rPr>
                <w:sz w:val="14"/>
                <w:szCs w:val="14"/>
                <w:color w:val="auto"/>
              </w:rPr>
            </w:pPr>
          </w:p>
        </w:tc>
        <w:tc>
          <w:tcPr>
            <w:tcW w:w="960" w:type="dxa"/>
            <w:vAlign w:val="bottom"/>
            <w:shd w:val="clear" w:color="auto" w:fill="D2DCE5"/>
          </w:tcPr>
          <w:p>
            <w:pPr>
              <w:spacing w:after="0"/>
              <w:rPr>
                <w:sz w:val="14"/>
                <w:szCs w:val="14"/>
                <w:color w:val="auto"/>
              </w:rPr>
            </w:pPr>
          </w:p>
        </w:tc>
      </w:tr>
      <w:tr>
        <w:trPr>
          <w:trHeight w:val="191"/>
        </w:trPr>
        <w:tc>
          <w:tcPr>
            <w:tcW w:w="108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2"/>
              </w:rPr>
              <w:t>104</w:t>
            </w:r>
          </w:p>
        </w:tc>
        <w:tc>
          <w:tcPr>
            <w:tcW w:w="80" w:type="dxa"/>
            <w:vAlign w:val="bottom"/>
            <w:shd w:val="clear" w:color="auto" w:fill="D2DCE5"/>
          </w:tcPr>
          <w:p>
            <w:pPr>
              <w:spacing w:after="0"/>
              <w:rPr>
                <w:sz w:val="16"/>
                <w:szCs w:val="16"/>
                <w:color w:val="auto"/>
              </w:rPr>
            </w:pPr>
          </w:p>
        </w:tc>
        <w:tc>
          <w:tcPr>
            <w:tcW w:w="20" w:type="dxa"/>
            <w:vAlign w:val="bottom"/>
            <w:shd w:val="clear" w:color="auto" w:fill="D2DCE5"/>
          </w:tcPr>
          <w:p>
            <w:pPr>
              <w:spacing w:after="0"/>
              <w:rPr>
                <w:sz w:val="16"/>
                <w:szCs w:val="16"/>
                <w:color w:val="auto"/>
              </w:rPr>
            </w:pPr>
          </w:p>
        </w:tc>
        <w:tc>
          <w:tcPr>
            <w:tcW w:w="4380" w:type="dxa"/>
            <w:vAlign w:val="bottom"/>
            <w:gridSpan w:val="17"/>
            <w:shd w:val="clear" w:color="auto" w:fill="D2DCE5"/>
          </w:tcPr>
          <w:p>
            <w:pPr>
              <w:spacing w:after="0"/>
              <w:rPr>
                <w:sz w:val="20"/>
                <w:szCs w:val="20"/>
                <w:color w:val="auto"/>
              </w:rPr>
            </w:pPr>
            <w:r>
              <w:rPr>
                <w:rFonts w:ascii="Arial" w:cs="Arial" w:eastAsia="Arial" w:hAnsi="Arial"/>
                <w:sz w:val="13"/>
                <w:szCs w:val="13"/>
                <w:color w:val="131E29"/>
              </w:rPr>
              <w:t>applicable taxonomy extension information contained in Exhibits 101).</w:t>
            </w:r>
          </w:p>
        </w:tc>
        <w:tc>
          <w:tcPr>
            <w:tcW w:w="900" w:type="dxa"/>
            <w:vAlign w:val="bottom"/>
            <w:shd w:val="clear" w:color="auto" w:fill="D2DCE5"/>
          </w:tcPr>
          <w:p>
            <w:pPr>
              <w:spacing w:after="0"/>
              <w:rPr>
                <w:sz w:val="16"/>
                <w:szCs w:val="16"/>
                <w:color w:val="auto"/>
              </w:rPr>
            </w:pPr>
          </w:p>
        </w:tc>
        <w:tc>
          <w:tcPr>
            <w:tcW w:w="1220" w:type="dxa"/>
            <w:vAlign w:val="bottom"/>
            <w:shd w:val="clear" w:color="auto" w:fill="D2DCE5"/>
          </w:tcPr>
          <w:p>
            <w:pPr>
              <w:spacing w:after="0"/>
              <w:rPr>
                <w:sz w:val="16"/>
                <w:szCs w:val="16"/>
                <w:color w:val="auto"/>
              </w:rPr>
            </w:pPr>
          </w:p>
        </w:tc>
        <w:tc>
          <w:tcPr>
            <w:tcW w:w="900" w:type="dxa"/>
            <w:vAlign w:val="bottom"/>
            <w:shd w:val="clear" w:color="auto" w:fill="D2DCE5"/>
          </w:tcPr>
          <w:p>
            <w:pPr>
              <w:spacing w:after="0"/>
              <w:rPr>
                <w:sz w:val="16"/>
                <w:szCs w:val="16"/>
                <w:color w:val="auto"/>
              </w:rPr>
            </w:pPr>
          </w:p>
        </w:tc>
        <w:tc>
          <w:tcPr>
            <w:tcW w:w="100" w:type="dxa"/>
            <w:vAlign w:val="bottom"/>
            <w:shd w:val="clear" w:color="auto" w:fill="D2DCE5"/>
          </w:tcPr>
          <w:p>
            <w:pPr>
              <w:spacing w:after="0"/>
              <w:rPr>
                <w:sz w:val="16"/>
                <w:szCs w:val="16"/>
                <w:color w:val="auto"/>
              </w:rPr>
            </w:pPr>
          </w:p>
        </w:tc>
        <w:tc>
          <w:tcPr>
            <w:tcW w:w="1560" w:type="dxa"/>
            <w:vAlign w:val="bottom"/>
            <w:shd w:val="clear" w:color="auto" w:fill="D2DCE5"/>
          </w:tcPr>
          <w:p>
            <w:pPr>
              <w:spacing w:after="0"/>
              <w:rPr>
                <w:sz w:val="16"/>
                <w:szCs w:val="16"/>
                <w:color w:val="auto"/>
              </w:rPr>
            </w:pPr>
          </w:p>
        </w:tc>
        <w:tc>
          <w:tcPr>
            <w:tcW w:w="80" w:type="dxa"/>
            <w:vAlign w:val="bottom"/>
            <w:shd w:val="clear" w:color="auto" w:fill="D2DCE5"/>
          </w:tcPr>
          <w:p>
            <w:pPr>
              <w:spacing w:after="0"/>
              <w:rPr>
                <w:sz w:val="16"/>
                <w:szCs w:val="16"/>
                <w:color w:val="auto"/>
              </w:rPr>
            </w:pPr>
          </w:p>
        </w:tc>
        <w:tc>
          <w:tcPr>
            <w:tcW w:w="960" w:type="dxa"/>
            <w:vAlign w:val="bottom"/>
            <w:shd w:val="clear" w:color="auto" w:fill="D2DCE5"/>
          </w:tcPr>
          <w:p>
            <w:pPr>
              <w:jc w:val="center"/>
              <w:spacing w:after="0"/>
              <w:rPr>
                <w:sz w:val="20"/>
                <w:szCs w:val="20"/>
                <w:color w:val="auto"/>
              </w:rPr>
            </w:pPr>
            <w:r>
              <w:rPr>
                <w:rFonts w:ascii="Arial" w:cs="Arial" w:eastAsia="Arial" w:hAnsi="Arial"/>
                <w:sz w:val="13"/>
                <w:szCs w:val="13"/>
                <w:color w:val="131E29"/>
                <w:w w:val="91"/>
              </w:rPr>
              <w:t>X</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131E29"/>
        </w:rPr>
        <w:t>_______________________</w:t>
      </w:r>
    </w:p>
    <w:p>
      <w:pPr>
        <w:spacing w:after="0" w:line="68" w:lineRule="exact"/>
        <w:rPr>
          <w:sz w:val="20"/>
          <w:szCs w:val="20"/>
          <w:color w:val="auto"/>
        </w:rPr>
      </w:pPr>
    </w:p>
    <w:p>
      <w:pPr>
        <w:ind w:left="240" w:hanging="235"/>
        <w:spacing w:after="0"/>
        <w:tabs>
          <w:tab w:leader="none" w:pos="240" w:val="left"/>
        </w:tabs>
        <w:numPr>
          <w:ilvl w:val="0"/>
          <w:numId w:val="63"/>
        </w:numPr>
        <w:rPr>
          <w:rFonts w:ascii="Arial" w:cs="Arial" w:eastAsia="Arial" w:hAnsi="Arial"/>
          <w:sz w:val="14"/>
          <w:szCs w:val="14"/>
          <w:color w:val="131E29"/>
        </w:rPr>
      </w:pPr>
      <w:r>
        <w:rPr>
          <w:rFonts w:ascii="Arial" w:cs="Arial" w:eastAsia="Arial" w:hAnsi="Arial"/>
          <w:sz w:val="11"/>
          <w:szCs w:val="11"/>
          <w:color w:val="131E29"/>
        </w:rPr>
        <w:t>Management contract or compensatory plan or arrangement.</w:t>
      </w:r>
    </w:p>
    <w:p>
      <w:pPr>
        <w:spacing w:after="0" w:line="128" w:lineRule="exact"/>
        <w:rPr>
          <w:sz w:val="20"/>
          <w:szCs w:val="20"/>
          <w:color w:val="auto"/>
        </w:rPr>
      </w:pPr>
    </w:p>
    <w:p>
      <w:pPr>
        <w:ind w:left="140" w:hanging="135"/>
        <w:spacing w:after="0" w:line="283" w:lineRule="auto"/>
        <w:tabs>
          <w:tab w:leader="none" w:pos="185" w:val="left"/>
        </w:tabs>
        <w:numPr>
          <w:ilvl w:val="0"/>
          <w:numId w:val="64"/>
        </w:numPr>
        <w:rPr>
          <w:rFonts w:ascii="Arial" w:cs="Arial" w:eastAsia="Arial" w:hAnsi="Arial"/>
          <w:sz w:val="11"/>
          <w:szCs w:val="11"/>
          <w:color w:val="131E29"/>
        </w:rPr>
      </w:pPr>
      <w:r>
        <w:rPr>
          <w:rFonts w:ascii="Arial" w:cs="Arial" w:eastAsia="Arial" w:hAnsi="Arial"/>
          <w:sz w:val="11"/>
          <w:szCs w:val="11"/>
          <w:color w:val="131E29"/>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ITEM 16. FORM 10-K SUMMARY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131E29"/>
        </w:rPr>
        <w:t>None.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5">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186930"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3" w:right="31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3"/>
          <w:szCs w:val="23"/>
          <w:b w:val="1"/>
          <w:bCs w:val="1"/>
          <w:color w:val="006098"/>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161530" cy="806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7">
                      <a:extLst>
                        <a:ext uri="{28A0092B-C50C-407E-A947-70E740481C1C}"/>
                      </a:extLst>
                    </a:blip>
                    <a:srcRect/>
                    <a:stretch>
                      <a:fillRect/>
                    </a:stretch>
                  </pic:blipFill>
                  <pic:spPr bwMode="auto">
                    <a:xfrm>
                      <a:off x="0" y="0"/>
                      <a:ext cx="7161530" cy="80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Pursuant to the requirements of Section 13 or 15(d) of the Securities Exchange Act of 1934, the Registrant has duly caused this report to be signed on its behalf by the undersigned, thereunto duly authorized.</w:t>
      </w:r>
    </w:p>
    <w:p>
      <w:pPr>
        <w:spacing w:after="0" w:line="124" w:lineRule="exact"/>
        <w:rPr>
          <w:sz w:val="20"/>
          <w:szCs w:val="20"/>
          <w:color w:val="auto"/>
        </w:rPr>
      </w:pPr>
    </w:p>
    <w:tbl>
      <w:tblPr>
        <w:tblLayout w:type="fixed"/>
        <w:tblInd w:w="408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240" w:type="dxa"/>
            <w:vAlign w:val="bottom"/>
            <w:gridSpan w:val="2"/>
          </w:tcPr>
          <w:p>
            <w:pPr>
              <w:ind w:left="2100"/>
              <w:spacing w:after="0"/>
              <w:rPr>
                <w:sz w:val="20"/>
                <w:szCs w:val="20"/>
                <w:color w:val="auto"/>
              </w:rPr>
            </w:pPr>
            <w:r>
              <w:rPr>
                <w:rFonts w:ascii="Arial" w:cs="Arial" w:eastAsia="Arial" w:hAnsi="Arial"/>
                <w:sz w:val="13"/>
                <w:szCs w:val="13"/>
                <w:b w:val="1"/>
                <w:bCs w:val="1"/>
                <w:color w:val="131E29"/>
                <w:w w:val="96"/>
              </w:rPr>
              <w:t>DUTCH BROS INC.</w:t>
            </w:r>
          </w:p>
        </w:tc>
        <w:tc>
          <w:tcPr>
            <w:tcW w:w="2260" w:type="dxa"/>
            <w:vAlign w:val="bottom"/>
          </w:tcPr>
          <w:p>
            <w:pPr>
              <w:spacing w:after="0"/>
              <w:rPr>
                <w:sz w:val="15"/>
                <w:szCs w:val="15"/>
                <w:color w:val="auto"/>
              </w:rPr>
            </w:pPr>
          </w:p>
        </w:tc>
      </w:tr>
      <w:tr>
        <w:trPr>
          <w:trHeight w:val="364"/>
        </w:trPr>
        <w:tc>
          <w:tcPr>
            <w:tcW w:w="1700" w:type="dxa"/>
            <w:vAlign w:val="bottom"/>
          </w:tcPr>
          <w:p>
            <w:pPr>
              <w:ind w:left="20"/>
              <w:spacing w:after="0"/>
              <w:rPr>
                <w:sz w:val="20"/>
                <w:szCs w:val="20"/>
                <w:color w:val="auto"/>
              </w:rPr>
            </w:pPr>
            <w:r>
              <w:rPr>
                <w:rFonts w:ascii="Arial" w:cs="Arial" w:eastAsia="Arial" w:hAnsi="Arial"/>
                <w:sz w:val="13"/>
                <w:szCs w:val="13"/>
                <w:color w:val="131E29"/>
              </w:rPr>
              <w:t>February 13, 2025</w:t>
            </w:r>
          </w:p>
        </w:tc>
        <w:tc>
          <w:tcPr>
            <w:tcW w:w="3240" w:type="dxa"/>
            <w:vAlign w:val="bottom"/>
            <w:gridSpan w:val="2"/>
          </w:tcPr>
          <w:p>
            <w:pPr>
              <w:ind w:left="2100"/>
              <w:spacing w:after="0"/>
              <w:rPr>
                <w:sz w:val="20"/>
                <w:szCs w:val="20"/>
                <w:color w:val="auto"/>
              </w:rPr>
            </w:pPr>
            <w:r>
              <w:rPr>
                <w:rFonts w:ascii="Arial" w:cs="Arial" w:eastAsia="Arial" w:hAnsi="Arial"/>
                <w:sz w:val="13"/>
                <w:szCs w:val="13"/>
                <w:color w:val="131E29"/>
              </w:rPr>
              <w:t>By:</w:t>
            </w:r>
          </w:p>
        </w:tc>
        <w:tc>
          <w:tcPr>
            <w:tcW w:w="2260" w:type="dxa"/>
            <w:vAlign w:val="bottom"/>
          </w:tcPr>
          <w:p>
            <w:pPr>
              <w:jc w:val="center"/>
              <w:ind w:right="716"/>
              <w:spacing w:after="0"/>
              <w:rPr>
                <w:sz w:val="20"/>
                <w:szCs w:val="20"/>
                <w:color w:val="auto"/>
              </w:rPr>
            </w:pPr>
            <w:r>
              <w:rPr>
                <w:rFonts w:ascii="Arial" w:cs="Arial" w:eastAsia="Arial" w:hAnsi="Arial"/>
                <w:sz w:val="13"/>
                <w:szCs w:val="13"/>
                <w:b w:val="1"/>
                <w:bCs w:val="1"/>
                <w:color w:val="131E29"/>
                <w:w w:val="97"/>
              </w:rPr>
              <w:t>/s/ CHRISTINE BARONE</w:t>
            </w:r>
          </w:p>
        </w:tc>
      </w:tr>
      <w:tr>
        <w:trPr>
          <w:trHeight w:val="172"/>
        </w:trPr>
        <w:tc>
          <w:tcPr>
            <w:tcW w:w="17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131E29"/>
              </w:rPr>
              <w:t>Date</w:t>
            </w:r>
          </w:p>
        </w:tc>
        <w:tc>
          <w:tcPr>
            <w:tcW w:w="24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60" w:type="dxa"/>
            <w:vAlign w:val="bottom"/>
            <w:tcBorders>
              <w:top w:val="single" w:sz="8" w:color="auto"/>
            </w:tcBorders>
          </w:tcPr>
          <w:p>
            <w:pPr>
              <w:jc w:val="center"/>
              <w:ind w:right="736"/>
              <w:spacing w:after="0"/>
              <w:rPr>
                <w:sz w:val="20"/>
                <w:szCs w:val="20"/>
                <w:color w:val="auto"/>
              </w:rPr>
            </w:pPr>
            <w:r>
              <w:rPr>
                <w:rFonts w:ascii="Arial" w:cs="Arial" w:eastAsia="Arial" w:hAnsi="Arial"/>
                <w:sz w:val="13"/>
                <w:szCs w:val="13"/>
                <w:color w:val="131E29"/>
                <w:w w:val="97"/>
              </w:rPr>
              <w:t>Christine Barone</w:t>
            </w:r>
          </w:p>
        </w:tc>
      </w:tr>
    </w:tbl>
    <w:p>
      <w:pPr>
        <w:spacing w:after="0" w:line="24" w:lineRule="exact"/>
        <w:rPr>
          <w:sz w:val="20"/>
          <w:szCs w:val="20"/>
          <w:color w:val="auto"/>
        </w:rPr>
      </w:pPr>
    </w:p>
    <w:p>
      <w:pPr>
        <w:ind w:left="8700"/>
        <w:spacing w:after="0"/>
        <w:rPr>
          <w:sz w:val="20"/>
          <w:szCs w:val="20"/>
          <w:color w:val="auto"/>
        </w:rPr>
      </w:pPr>
      <w:r>
        <w:rPr>
          <w:rFonts w:ascii="Arial" w:cs="Arial" w:eastAsia="Arial" w:hAnsi="Arial"/>
          <w:sz w:val="13"/>
          <w:szCs w:val="13"/>
          <w:color w:val="131E29"/>
        </w:rPr>
        <w:t>Chief Executive Officer and President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131E29"/>
        </w:rPr>
        <w:t>POWER OF ATTORNEY</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color w:val="131E29"/>
        </w:rPr>
        <w:t>KNOW ALL PERSONS BY THESE PRESENTS</w:t>
      </w:r>
      <w:r>
        <w:rPr>
          <w:rFonts w:ascii="Arial" w:cs="Arial" w:eastAsia="Arial" w:hAnsi="Arial"/>
          <w:sz w:val="14"/>
          <w:szCs w:val="14"/>
          <w:color w:val="131E29"/>
        </w:rPr>
        <w:t>, that each person whose signature appears below constitutes and appoints Christine Barone and Joshua Guenser, and each one</w:t>
      </w:r>
      <w:r>
        <w:rPr>
          <w:rFonts w:ascii="Arial" w:cs="Arial" w:eastAsia="Arial" w:hAnsi="Arial"/>
          <w:sz w:val="14"/>
          <w:szCs w:val="14"/>
          <w:b w:val="1"/>
          <w:bCs w:val="1"/>
          <w:color w:val="131E29"/>
        </w:rPr>
        <w:t xml:space="preserve"> </w:t>
      </w:r>
      <w:r>
        <w:rPr>
          <w:rFonts w:ascii="Arial" w:cs="Arial" w:eastAsia="Arial" w:hAnsi="Arial"/>
          <w:sz w:val="14"/>
          <w:szCs w:val="14"/>
          <w:color w:val="131E29"/>
        </w:rPr>
        <w:t>of them, as his or her true and lawful attorneys-in-fact and agents, with full power of substitution and resubstitution, for him or her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131E29"/>
        </w:rPr>
        <w:t>Pursuant to the requirements of the Securities Exchange Act of 1934, this report has been signed by the following persons on behalf of the registrant and in the capacities and on the dates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6"/>
              </w:rPr>
              <w:t>Signature</w:t>
            </w:r>
          </w:p>
        </w:tc>
        <w:tc>
          <w:tcPr>
            <w:tcW w:w="80" w:type="dxa"/>
            <w:vAlign w:val="bottom"/>
          </w:tcPr>
          <w:p>
            <w:pPr>
              <w:spacing w:after="0"/>
              <w:rPr>
                <w:sz w:val="15"/>
                <w:szCs w:val="15"/>
                <w:color w:val="auto"/>
              </w:rPr>
            </w:pP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7"/>
              </w:rPr>
              <w:t>Title</w:t>
            </w:r>
          </w:p>
        </w:tc>
        <w:tc>
          <w:tcPr>
            <w:tcW w:w="10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131E29"/>
                <w:w w:val="99"/>
              </w:rPr>
              <w:t>Date</w:t>
            </w:r>
          </w:p>
        </w:tc>
      </w:tr>
      <w:tr>
        <w:trPr>
          <w:trHeight w:val="217"/>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CHRISTINE BARONE</w:t>
            </w:r>
          </w:p>
        </w:tc>
        <w:tc>
          <w:tcPr>
            <w:tcW w:w="80" w:type="dxa"/>
            <w:vAlign w:val="bottom"/>
          </w:tcPr>
          <w:p>
            <w:pPr>
              <w:spacing w:after="0"/>
              <w:rPr>
                <w:sz w:val="18"/>
                <w:szCs w:val="18"/>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Chief Executive Officer and President and Director</w:t>
            </w:r>
          </w:p>
        </w:tc>
        <w:tc>
          <w:tcPr>
            <w:tcW w:w="2280" w:type="dxa"/>
            <w:vAlign w:val="bottom"/>
          </w:tcPr>
          <w:p>
            <w:pPr>
              <w:spacing w:after="0"/>
              <w:rPr>
                <w:sz w:val="18"/>
                <w:szCs w:val="18"/>
                <w:color w:val="auto"/>
              </w:rPr>
            </w:pPr>
          </w:p>
        </w:tc>
      </w:tr>
      <w:tr>
        <w:trPr>
          <w:trHeight w:val="169"/>
        </w:trPr>
        <w:tc>
          <w:tcPr>
            <w:tcW w:w="3180" w:type="dxa"/>
            <w:vAlign w:val="bottom"/>
          </w:tcPr>
          <w:p>
            <w:pPr>
              <w:jc w:val="center"/>
              <w:spacing w:after="0"/>
              <w:rPr>
                <w:sz w:val="20"/>
                <w:szCs w:val="20"/>
                <w:color w:val="auto"/>
              </w:rPr>
            </w:pPr>
            <w:r>
              <w:rPr>
                <w:rFonts w:ascii="Arial" w:cs="Arial" w:eastAsia="Arial" w:hAnsi="Arial"/>
                <w:sz w:val="13"/>
                <w:szCs w:val="13"/>
                <w:color w:val="131E29"/>
                <w:w w:val="97"/>
              </w:rPr>
              <w:t>Christine Barone</w:t>
            </w:r>
          </w:p>
        </w:tc>
        <w:tc>
          <w:tcPr>
            <w:tcW w:w="80" w:type="dxa"/>
            <w:vAlign w:val="bottom"/>
          </w:tcPr>
          <w:p>
            <w:pPr>
              <w:spacing w:after="0"/>
              <w:rPr>
                <w:sz w:val="14"/>
                <w:szCs w:val="1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(Principal Executive Officer)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13, 2025</w:t>
            </w:r>
          </w:p>
        </w:tc>
      </w:tr>
      <w:tr>
        <w:trPr>
          <w:trHeight w:val="24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TRAVIS BOERSMA</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5"/>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Travis Boersma</w:t>
            </w:r>
          </w:p>
        </w:tc>
        <w:tc>
          <w:tcPr>
            <w:tcW w:w="80" w:type="dxa"/>
            <w:vAlign w:val="bottom"/>
          </w:tcPr>
          <w:p>
            <w:pPr>
              <w:spacing w:after="0"/>
              <w:rPr>
                <w:sz w:val="15"/>
                <w:szCs w:val="15"/>
                <w:color w:val="auto"/>
              </w:rPr>
            </w:pPr>
          </w:p>
        </w:tc>
        <w:tc>
          <w:tcPr>
            <w:tcW w:w="5740" w:type="dxa"/>
            <w:vAlign w:val="bottom"/>
            <w:gridSpan w:val="2"/>
          </w:tcPr>
          <w:p>
            <w:pPr>
              <w:jc w:val="center"/>
              <w:ind w:right="80"/>
              <w:spacing w:after="0"/>
              <w:rPr>
                <w:sz w:val="20"/>
                <w:szCs w:val="20"/>
                <w:color w:val="auto"/>
              </w:rPr>
            </w:pPr>
            <w:r>
              <w:rPr>
                <w:rFonts w:ascii="Arial" w:cs="Arial" w:eastAsia="Arial" w:hAnsi="Arial"/>
                <w:sz w:val="13"/>
                <w:szCs w:val="13"/>
                <w:color w:val="131E29"/>
                <w:w w:val="97"/>
              </w:rPr>
              <w:t>Executive Chairman</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13, 2025</w:t>
            </w:r>
          </w:p>
        </w:tc>
      </w:tr>
      <w:tr>
        <w:trPr>
          <w:trHeight w:val="246"/>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JOSHUA GUENSER</w:t>
            </w:r>
          </w:p>
        </w:tc>
        <w:tc>
          <w:tcPr>
            <w:tcW w:w="80" w:type="dxa"/>
            <w:vAlign w:val="bottom"/>
          </w:tcPr>
          <w:p>
            <w:pPr>
              <w:spacing w:after="0"/>
              <w:rPr>
                <w:sz w:val="21"/>
                <w:szCs w:val="21"/>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Chief Financial Officer</w:t>
            </w:r>
          </w:p>
        </w:tc>
        <w:tc>
          <w:tcPr>
            <w:tcW w:w="2280" w:type="dxa"/>
            <w:vAlign w:val="bottom"/>
          </w:tcPr>
          <w:p>
            <w:pPr>
              <w:spacing w:after="0"/>
              <w:rPr>
                <w:sz w:val="21"/>
                <w:szCs w:val="21"/>
                <w:color w:val="auto"/>
              </w:rPr>
            </w:pPr>
          </w:p>
        </w:tc>
      </w:tr>
      <w:tr>
        <w:trPr>
          <w:trHeight w:val="169"/>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Joshua Guenser</w:t>
            </w:r>
          </w:p>
        </w:tc>
        <w:tc>
          <w:tcPr>
            <w:tcW w:w="80" w:type="dxa"/>
            <w:vAlign w:val="bottom"/>
          </w:tcPr>
          <w:p>
            <w:pPr>
              <w:spacing w:after="0"/>
              <w:rPr>
                <w:sz w:val="14"/>
                <w:szCs w:val="14"/>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7"/>
              </w:rPr>
              <w:t>(Principal Financial and Accounting Officer)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13, 2025</w:t>
            </w:r>
          </w:p>
        </w:tc>
      </w:tr>
      <w:tr>
        <w:trPr>
          <w:trHeight w:val="24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5"/>
              </w:rPr>
              <w:t>/s/ C. DAVID CONE</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5"/>
        </w:trPr>
        <w:tc>
          <w:tcPr>
            <w:tcW w:w="3180" w:type="dxa"/>
            <w:vAlign w:val="bottom"/>
          </w:tcPr>
          <w:p>
            <w:pPr>
              <w:jc w:val="center"/>
              <w:spacing w:after="0"/>
              <w:rPr>
                <w:sz w:val="20"/>
                <w:szCs w:val="20"/>
                <w:color w:val="auto"/>
              </w:rPr>
            </w:pPr>
            <w:r>
              <w:rPr>
                <w:rFonts w:ascii="Arial" w:cs="Arial" w:eastAsia="Arial" w:hAnsi="Arial"/>
                <w:sz w:val="13"/>
                <w:szCs w:val="13"/>
                <w:color w:val="131E29"/>
                <w:w w:val="96"/>
              </w:rPr>
              <w:t>C. David Cone</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13, 2025</w:t>
            </w:r>
          </w:p>
        </w:tc>
      </w:tr>
      <w:tr>
        <w:trPr>
          <w:trHeight w:val="24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8"/>
              </w:rPr>
              <w:t>/s/ THOMAS DAVIS</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5"/>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Thomas Davis</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13, 2025</w:t>
            </w:r>
          </w:p>
        </w:tc>
      </w:tr>
      <w:tr>
        <w:trPr>
          <w:trHeight w:val="24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KATHRYN GEORGE</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5"/>
        </w:trPr>
        <w:tc>
          <w:tcPr>
            <w:tcW w:w="3180" w:type="dxa"/>
            <w:vAlign w:val="bottom"/>
          </w:tcPr>
          <w:p>
            <w:pPr>
              <w:jc w:val="center"/>
              <w:spacing w:after="0"/>
              <w:rPr>
                <w:sz w:val="20"/>
                <w:szCs w:val="20"/>
                <w:color w:val="auto"/>
              </w:rPr>
            </w:pPr>
            <w:r>
              <w:rPr>
                <w:rFonts w:ascii="Arial" w:cs="Arial" w:eastAsia="Arial" w:hAnsi="Arial"/>
                <w:sz w:val="13"/>
                <w:szCs w:val="13"/>
                <w:color w:val="131E29"/>
                <w:w w:val="98"/>
              </w:rPr>
              <w:t>Kathryn George</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13, 2025</w:t>
            </w:r>
          </w:p>
        </w:tc>
      </w:tr>
      <w:tr>
        <w:trPr>
          <w:trHeight w:val="24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9"/>
              </w:rPr>
              <w:t>/s/ STEPHEN GILLETT</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5"/>
        </w:trPr>
        <w:tc>
          <w:tcPr>
            <w:tcW w:w="3180" w:type="dxa"/>
            <w:vAlign w:val="bottom"/>
          </w:tcPr>
          <w:p>
            <w:pPr>
              <w:jc w:val="center"/>
              <w:spacing w:after="0"/>
              <w:rPr>
                <w:sz w:val="20"/>
                <w:szCs w:val="20"/>
                <w:color w:val="auto"/>
              </w:rPr>
            </w:pPr>
            <w:r>
              <w:rPr>
                <w:rFonts w:ascii="Arial" w:cs="Arial" w:eastAsia="Arial" w:hAnsi="Arial"/>
                <w:sz w:val="13"/>
                <w:szCs w:val="13"/>
                <w:color w:val="131E29"/>
                <w:w w:val="96"/>
              </w:rPr>
              <w:t>Stephen Gillett</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13, 2025</w:t>
            </w:r>
          </w:p>
        </w:tc>
      </w:tr>
      <w:tr>
        <w:trPr>
          <w:trHeight w:val="24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G.J. HART</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5"/>
        </w:trPr>
        <w:tc>
          <w:tcPr>
            <w:tcW w:w="3180" w:type="dxa"/>
            <w:vAlign w:val="bottom"/>
          </w:tcPr>
          <w:p>
            <w:pPr>
              <w:jc w:val="center"/>
              <w:spacing w:after="0"/>
              <w:rPr>
                <w:sz w:val="20"/>
                <w:szCs w:val="20"/>
                <w:color w:val="auto"/>
              </w:rPr>
            </w:pPr>
            <w:r>
              <w:rPr>
                <w:rFonts w:ascii="Arial" w:cs="Arial" w:eastAsia="Arial" w:hAnsi="Arial"/>
                <w:sz w:val="13"/>
                <w:szCs w:val="13"/>
                <w:color w:val="131E29"/>
                <w:w w:val="96"/>
              </w:rPr>
              <w:t>G.J. Hart</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13, 2025</w:t>
            </w:r>
          </w:p>
        </w:tc>
      </w:tr>
      <w:tr>
        <w:trPr>
          <w:trHeight w:val="24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8"/>
              </w:rPr>
              <w:t>/s/ ANN MILLER</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5"/>
        </w:trPr>
        <w:tc>
          <w:tcPr>
            <w:tcW w:w="3180" w:type="dxa"/>
            <w:vAlign w:val="bottom"/>
          </w:tcPr>
          <w:p>
            <w:pPr>
              <w:jc w:val="center"/>
              <w:spacing w:after="0"/>
              <w:rPr>
                <w:sz w:val="20"/>
                <w:szCs w:val="20"/>
                <w:color w:val="auto"/>
              </w:rPr>
            </w:pPr>
            <w:r>
              <w:rPr>
                <w:rFonts w:ascii="Arial" w:cs="Arial" w:eastAsia="Arial" w:hAnsi="Arial"/>
                <w:sz w:val="13"/>
                <w:szCs w:val="13"/>
                <w:color w:val="131E29"/>
              </w:rPr>
              <w:t>Ann Miller</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13, 2025</w:t>
            </w:r>
          </w:p>
        </w:tc>
      </w:tr>
      <w:tr>
        <w:trPr>
          <w:trHeight w:val="240"/>
        </w:trPr>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131E29"/>
                <w:w w:val="97"/>
              </w:rPr>
              <w:t>/s/ TODD PENEGOR</w:t>
            </w:r>
          </w:p>
        </w:tc>
        <w:tc>
          <w:tcPr>
            <w:tcW w:w="8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175"/>
        </w:trPr>
        <w:tc>
          <w:tcPr>
            <w:tcW w:w="3180" w:type="dxa"/>
            <w:vAlign w:val="bottom"/>
          </w:tcPr>
          <w:p>
            <w:pPr>
              <w:jc w:val="center"/>
              <w:spacing w:after="0"/>
              <w:rPr>
                <w:sz w:val="20"/>
                <w:szCs w:val="20"/>
                <w:color w:val="auto"/>
              </w:rPr>
            </w:pPr>
            <w:r>
              <w:rPr>
                <w:rFonts w:ascii="Arial" w:cs="Arial" w:eastAsia="Arial" w:hAnsi="Arial"/>
                <w:sz w:val="13"/>
                <w:szCs w:val="13"/>
                <w:color w:val="131E29"/>
                <w:w w:val="94"/>
              </w:rPr>
              <w:t>Todd Penegor</w:t>
            </w:r>
          </w:p>
        </w:tc>
        <w:tc>
          <w:tcPr>
            <w:tcW w:w="80" w:type="dxa"/>
            <w:vAlign w:val="bottom"/>
          </w:tcPr>
          <w:p>
            <w:pPr>
              <w:spacing w:after="0"/>
              <w:rPr>
                <w:sz w:val="15"/>
                <w:szCs w:val="15"/>
                <w:color w:val="auto"/>
              </w:rPr>
            </w:pPr>
          </w:p>
        </w:tc>
        <w:tc>
          <w:tcPr>
            <w:tcW w:w="5740" w:type="dxa"/>
            <w:vAlign w:val="bottom"/>
            <w:gridSpan w:val="2"/>
          </w:tcPr>
          <w:p>
            <w:pPr>
              <w:jc w:val="center"/>
              <w:ind w:right="100"/>
              <w:spacing w:after="0"/>
              <w:rPr>
                <w:sz w:val="20"/>
                <w:szCs w:val="20"/>
                <w:color w:val="auto"/>
              </w:rPr>
            </w:pPr>
            <w:r>
              <w:rPr>
                <w:rFonts w:ascii="Arial" w:cs="Arial" w:eastAsia="Arial" w:hAnsi="Arial"/>
                <w:sz w:val="13"/>
                <w:szCs w:val="13"/>
                <w:color w:val="131E29"/>
                <w:w w:val="96"/>
              </w:rPr>
              <w:t>Director</w:t>
            </w:r>
          </w:p>
        </w:tc>
        <w:tc>
          <w:tcPr>
            <w:tcW w:w="2280" w:type="dxa"/>
            <w:vAlign w:val="bottom"/>
          </w:tcPr>
          <w:p>
            <w:pPr>
              <w:jc w:val="center"/>
              <w:spacing w:after="0"/>
              <w:rPr>
                <w:sz w:val="20"/>
                <w:szCs w:val="20"/>
                <w:color w:val="auto"/>
              </w:rPr>
            </w:pPr>
            <w:r>
              <w:rPr>
                <w:rFonts w:ascii="Arial" w:cs="Arial" w:eastAsia="Arial" w:hAnsi="Arial"/>
                <w:sz w:val="13"/>
                <w:szCs w:val="13"/>
                <w:color w:val="131E29"/>
                <w:w w:val="97"/>
              </w:rPr>
              <w:t>February 13,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8">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Form 10-K </w:t>
      </w:r>
      <w:r>
        <w:rPr>
          <w:rFonts w:ascii="Arial" w:cs="Arial" w:eastAsia="Arial" w:hAnsi="Arial"/>
          <w:sz w:val="11"/>
          <w:szCs w:val="11"/>
          <w:b w:val="1"/>
          <w:bCs w:val="1"/>
          <w:color w:val="006098"/>
        </w:rPr>
        <w:t>|</w:t>
      </w:r>
      <w:r>
        <w:rPr>
          <w:rFonts w:ascii="Arial" w:cs="Arial" w:eastAsia="Arial" w:hAnsi="Arial"/>
          <w:sz w:val="11"/>
          <w:szCs w:val="11"/>
          <w:color w:val="131E29"/>
        </w:rPr>
        <w:t xml:space="preserve"> </w:t>
      </w:r>
      <w:r>
        <w:rPr>
          <w:rFonts w:ascii="Arial" w:cs="Arial" w:eastAsia="Arial" w:hAnsi="Arial"/>
          <w:sz w:val="11"/>
          <w:szCs w:val="11"/>
          <w:b w:val="1"/>
          <w:bCs w:val="1"/>
          <w:color w:val="D7282F"/>
        </w:rPr>
        <w:t>139</w:t>
      </w:r>
    </w:p>
    <w:p>
      <w:pPr>
        <w:sectPr>
          <w:pgSz w:w="11900" w:h="16838" w:orient="portrait"/>
          <w:cols w:equalWidth="0" w:num="1">
            <w:col w:w="11280"/>
          </w:cols>
          <w:pgMar w:left="300" w:top="114" w:right="319" w:bottom="1440" w:gutter="0" w:footer="0" w:header="0"/>
        </w:sectPr>
      </w:pPr>
    </w:p>
    <w:bookmarkStart w:id="143" w:name="page144"/>
    <w:bookmarkEnd w:id="14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8">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08" w:name="page209"/>
    <w:bookmarkEnd w:id="20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68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3">
                      <a:extLst>
                        <a:ext uri="{28A0092B-C50C-407E-A947-70E740481C1C}"/>
                      </a:extLst>
                    </a:blip>
                    <a:srcRect/>
                    <a:stretch>
                      <a:fillRect/>
                    </a:stretch>
                  </pic:blipFill>
                  <pic:spPr bwMode="auto">
                    <a:xfrm>
                      <a:off x="0" y="0"/>
                      <a:ext cx="710565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220" w:name="page221"/>
    <w:bookmarkEnd w:id="220"/>
    <w:p>
      <w:pPr>
        <w:jc w:val="right"/>
        <w:spacing w:after="0"/>
        <w:rPr>
          <w:sz w:val="20"/>
          <w:szCs w:val="20"/>
          <w:color w:val="auto"/>
        </w:rPr>
      </w:pPr>
      <w:r>
        <w:rPr>
          <w:rFonts w:ascii="Arial" w:cs="Arial" w:eastAsia="Arial" w:hAnsi="Arial"/>
          <w:sz w:val="13"/>
          <w:szCs w:val="13"/>
          <w:b w:val="1"/>
          <w:bCs w:val="1"/>
          <w:color w:val="131E29"/>
        </w:rPr>
        <w:t>Exhibit 21.1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000" w:type="dxa"/>
            <w:vAlign w:val="bottom"/>
          </w:tcPr>
          <w:p>
            <w:pPr>
              <w:spacing w:after="0"/>
              <w:rPr>
                <w:sz w:val="23"/>
                <w:szCs w:val="23"/>
                <w:color w:val="auto"/>
              </w:rPr>
            </w:pPr>
          </w:p>
        </w:tc>
        <w:tc>
          <w:tcPr>
            <w:tcW w:w="8280" w:type="dxa"/>
            <w:vAlign w:val="bottom"/>
            <w:gridSpan w:val="3"/>
          </w:tcPr>
          <w:p>
            <w:pPr>
              <w:jc w:val="center"/>
              <w:ind w:right="2909"/>
              <w:spacing w:after="0"/>
              <w:rPr>
                <w:sz w:val="20"/>
                <w:szCs w:val="20"/>
                <w:color w:val="auto"/>
              </w:rPr>
            </w:pPr>
            <w:r>
              <w:rPr>
                <w:rFonts w:ascii="Arial" w:cs="Arial" w:eastAsia="Arial" w:hAnsi="Arial"/>
                <w:sz w:val="20"/>
                <w:szCs w:val="20"/>
                <w:b w:val="1"/>
                <w:bCs w:val="1"/>
                <w:color w:val="00416B"/>
                <w:w w:val="99"/>
              </w:rPr>
              <w:t>Subsidiaries of Dutch Bros Inc.</w:t>
            </w:r>
          </w:p>
        </w:tc>
      </w:tr>
      <w:tr>
        <w:trPr>
          <w:trHeight w:val="193"/>
        </w:trPr>
        <w:tc>
          <w:tcPr>
            <w:tcW w:w="3000" w:type="dxa"/>
            <w:vAlign w:val="bottom"/>
          </w:tcPr>
          <w:p>
            <w:pPr>
              <w:spacing w:after="0"/>
              <w:rPr>
                <w:sz w:val="16"/>
                <w:szCs w:val="16"/>
                <w:color w:val="auto"/>
              </w:rPr>
            </w:pPr>
          </w:p>
        </w:tc>
        <w:tc>
          <w:tcPr>
            <w:tcW w:w="8280" w:type="dxa"/>
            <w:vAlign w:val="bottom"/>
            <w:gridSpan w:val="3"/>
          </w:tcPr>
          <w:p>
            <w:pPr>
              <w:jc w:val="center"/>
              <w:ind w:right="2929"/>
              <w:spacing w:after="0"/>
              <w:rPr>
                <w:sz w:val="20"/>
                <w:szCs w:val="20"/>
                <w:color w:val="auto"/>
              </w:rPr>
            </w:pPr>
            <w:r>
              <w:rPr>
                <w:rFonts w:ascii="Arial" w:cs="Arial" w:eastAsia="Arial" w:hAnsi="Arial"/>
                <w:sz w:val="14"/>
                <w:szCs w:val="14"/>
                <w:color w:val="131E29"/>
              </w:rPr>
              <w:t>As of December 31, 2024</w:t>
            </w:r>
          </w:p>
        </w:tc>
      </w:tr>
      <w:tr>
        <w:trPr>
          <w:trHeight w:val="327"/>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D2DCE5"/>
            </w:tcBorders>
          </w:tcPr>
          <w:p>
            <w:pPr>
              <w:spacing w:after="0"/>
              <w:rPr>
                <w:sz w:val="24"/>
                <w:szCs w:val="24"/>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 or Organization</w:t>
            </w:r>
          </w:p>
        </w:tc>
      </w:tr>
      <w:tr>
        <w:trPr>
          <w:trHeight w:val="171"/>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Dutch Mafia, LLC</w:t>
            </w:r>
          </w:p>
        </w:tc>
        <w:tc>
          <w:tcPr>
            <w:tcW w:w="1900" w:type="dxa"/>
            <w:vAlign w:val="bottom"/>
            <w:shd w:val="clear" w:color="auto" w:fill="D2DCE5"/>
          </w:tcPr>
          <w:p>
            <w:pPr>
              <w:spacing w:after="0"/>
              <w:rPr>
                <w:sz w:val="14"/>
                <w:szCs w:val="14"/>
                <w:color w:val="auto"/>
              </w:rPr>
            </w:pPr>
          </w:p>
        </w:tc>
        <w:tc>
          <w:tcPr>
            <w:tcW w:w="100" w:type="dxa"/>
            <w:vAlign w:val="bottom"/>
            <w:shd w:val="clear" w:color="auto" w:fill="D2DCE5"/>
          </w:tcPr>
          <w:p>
            <w:pPr>
              <w:spacing w:after="0"/>
              <w:rPr>
                <w:sz w:val="14"/>
                <w:szCs w:val="14"/>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Delaware</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Boersma Bros.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DB Franchising USA,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Dutch Bros.,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Dutchwear,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AL,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AR,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AZ,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CA,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Colorado,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FL,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ID,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KS,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KY,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MO,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NM,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NV,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OK Group,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OR,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TN,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TX,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tcPr>
          <w:p>
            <w:pPr>
              <w:ind w:left="20"/>
              <w:spacing w:after="0"/>
              <w:rPr>
                <w:sz w:val="20"/>
                <w:szCs w:val="20"/>
                <w:color w:val="auto"/>
              </w:rPr>
            </w:pPr>
            <w:r>
              <w:rPr>
                <w:rFonts w:ascii="Arial" w:cs="Arial" w:eastAsia="Arial" w:hAnsi="Arial"/>
                <w:sz w:val="14"/>
                <w:szCs w:val="14"/>
                <w:color w:val="auto"/>
              </w:rPr>
              <w:t>BB Holdings UT, LLC</w:t>
            </w: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80" w:type="dxa"/>
            <w:vAlign w:val="bottom"/>
          </w:tcPr>
          <w:p>
            <w:pPr>
              <w:spacing w:after="0"/>
              <w:rPr>
                <w:sz w:val="20"/>
                <w:szCs w:val="20"/>
                <w:color w:val="auto"/>
              </w:rPr>
            </w:pPr>
            <w:r>
              <w:rPr>
                <w:rFonts w:ascii="Arial" w:cs="Arial" w:eastAsia="Arial" w:hAnsi="Arial"/>
                <w:sz w:val="14"/>
                <w:szCs w:val="14"/>
                <w:color w:val="auto"/>
              </w:rPr>
              <w:t>Oregon</w:t>
            </w:r>
          </w:p>
        </w:tc>
      </w:tr>
      <w:tr>
        <w:trPr>
          <w:trHeight w:val="180"/>
        </w:trPr>
        <w:tc>
          <w:tcPr>
            <w:tcW w:w="3000" w:type="dxa"/>
            <w:vAlign w:val="bottom"/>
            <w:shd w:val="clear" w:color="auto" w:fill="D2DCE5"/>
          </w:tcPr>
          <w:p>
            <w:pPr>
              <w:ind w:left="20"/>
              <w:spacing w:after="0"/>
              <w:rPr>
                <w:sz w:val="20"/>
                <w:szCs w:val="20"/>
                <w:color w:val="auto"/>
              </w:rPr>
            </w:pPr>
            <w:r>
              <w:rPr>
                <w:rFonts w:ascii="Arial" w:cs="Arial" w:eastAsia="Arial" w:hAnsi="Arial"/>
                <w:sz w:val="14"/>
                <w:szCs w:val="14"/>
                <w:color w:val="auto"/>
              </w:rPr>
              <w:t>BB Holdings WA, LLC</w:t>
            </w:r>
          </w:p>
        </w:tc>
        <w:tc>
          <w:tcPr>
            <w:tcW w:w="1900" w:type="dxa"/>
            <w:vAlign w:val="bottom"/>
            <w:shd w:val="clear" w:color="auto" w:fill="D2DCE5"/>
          </w:tcPr>
          <w:p>
            <w:pPr>
              <w:spacing w:after="0"/>
              <w:rPr>
                <w:sz w:val="15"/>
                <w:szCs w:val="15"/>
                <w:color w:val="auto"/>
              </w:rPr>
            </w:pPr>
          </w:p>
        </w:tc>
        <w:tc>
          <w:tcPr>
            <w:tcW w:w="100" w:type="dxa"/>
            <w:vAlign w:val="bottom"/>
            <w:shd w:val="clear" w:color="auto" w:fill="D2DCE5"/>
          </w:tcPr>
          <w:p>
            <w:pPr>
              <w:spacing w:after="0"/>
              <w:rPr>
                <w:sz w:val="15"/>
                <w:szCs w:val="15"/>
                <w:color w:val="auto"/>
              </w:rPr>
            </w:pPr>
          </w:p>
        </w:tc>
        <w:tc>
          <w:tcPr>
            <w:tcW w:w="6280" w:type="dxa"/>
            <w:vAlign w:val="bottom"/>
            <w:shd w:val="clear" w:color="auto" w:fill="D2DCE5"/>
          </w:tcPr>
          <w:p>
            <w:pPr>
              <w:spacing w:after="0"/>
              <w:rPr>
                <w:sz w:val="20"/>
                <w:szCs w:val="20"/>
                <w:color w:val="auto"/>
              </w:rPr>
            </w:pPr>
            <w:r>
              <w:rPr>
                <w:rFonts w:ascii="Arial" w:cs="Arial" w:eastAsia="Arial" w:hAnsi="Arial"/>
                <w:sz w:val="14"/>
                <w:szCs w:val="14"/>
                <w:color w:val="auto"/>
              </w:rPr>
              <w:t>Oregon</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4">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21.1</w:t>
      </w:r>
    </w:p>
    <w:p>
      <w:pPr>
        <w:sectPr>
          <w:pgSz w:w="11900" w:h="16838" w:orient="portrait"/>
          <w:cols w:equalWidth="0" w:num="1">
            <w:col w:w="11280"/>
          </w:cols>
          <w:pgMar w:left="300" w:top="129" w:right="319" w:bottom="1440" w:gutter="0" w:footer="0" w:header="0"/>
        </w:sectPr>
      </w:pPr>
    </w:p>
    <w:bookmarkStart w:id="221" w:name="page222"/>
    <w:bookmarkEnd w:id="221"/>
    <w:p>
      <w:pPr>
        <w:jc w:val="right"/>
        <w:spacing w:after="0"/>
        <w:rPr>
          <w:sz w:val="20"/>
          <w:szCs w:val="20"/>
          <w:color w:val="auto"/>
        </w:rPr>
      </w:pPr>
      <w:r>
        <w:rPr>
          <w:rFonts w:ascii="Arial" w:cs="Arial" w:eastAsia="Arial" w:hAnsi="Arial"/>
          <w:sz w:val="13"/>
          <w:szCs w:val="13"/>
          <w:b w:val="1"/>
          <w:bCs w:val="1"/>
          <w:color w:val="131E29"/>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We consent to the incorporation by reference in the registration statements (Nos. 333-277338, 333-270044, 333-263493 and 333-259618) on Form S-8 and the registration statement (No. 333-274368) on Form S-3ASR of our report dated February 13, 2025, with respect to the consolidated financial statements of Dutch Bros Inc. and the effectiveness of internal control over financial reporting.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KPMG LLP</w:t>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Portland, Oregon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7164705</wp:posOffset>
            </wp:positionH>
            <wp:positionV relativeFrom="paragraph">
              <wp:posOffset>14605</wp:posOffset>
            </wp:positionV>
            <wp:extent cx="6985" cy="1143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5">
                      <a:extLst>
                        <a:ext uri="{28A0092B-C50C-407E-A947-70E740481C1C}"/>
                      </a:extLst>
                    </a:blip>
                    <a:srcRect/>
                    <a:stretch>
                      <a:fillRect/>
                    </a:stretch>
                  </pic:blipFill>
                  <pic:spPr bwMode="auto">
                    <a:xfrm>
                      <a:off x="0" y="0"/>
                      <a:ext cx="6985" cy="1143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13,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6">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4"/>
          <w:szCs w:val="14"/>
          <w:color w:val="131E29"/>
        </w:rPr>
        <w:t>Dutch Bros Inc.</w:t>
      </w:r>
      <w:r>
        <w:rPr>
          <w:rFonts w:ascii="Arial" w:cs="Arial" w:eastAsia="Arial" w:hAnsi="Arial"/>
          <w:sz w:val="14"/>
          <w:szCs w:val="14"/>
          <w:b w:val="1"/>
          <w:bCs w:val="1"/>
          <w:color w:val="006098"/>
        </w:rPr>
        <w:t>|</w:t>
      </w:r>
      <w:r>
        <w:rPr>
          <w:rFonts w:ascii="Arial" w:cs="Arial" w:eastAsia="Arial" w:hAnsi="Arial"/>
          <w:sz w:val="14"/>
          <w:szCs w:val="14"/>
          <w:color w:val="131E29"/>
        </w:rPr>
        <w:t xml:space="preserve"> Exhibit 23.1</w:t>
      </w:r>
    </w:p>
    <w:p>
      <w:pPr>
        <w:sectPr>
          <w:pgSz w:w="11900" w:h="16838" w:orient="portrait"/>
          <w:cols w:equalWidth="0" w:num="1">
            <w:col w:w="11280"/>
          </w:cols>
          <w:pgMar w:left="300" w:top="129" w:right="319" w:bottom="1440" w:gutter="0" w:footer="0" w:header="0"/>
        </w:sectPr>
      </w:pPr>
    </w:p>
    <w:bookmarkStart w:id="222" w:name="page223"/>
    <w:bookmarkEnd w:id="222"/>
    <w:p>
      <w:pPr>
        <w:jc w:val="right"/>
        <w:spacing w:after="0"/>
        <w:rPr>
          <w:sz w:val="20"/>
          <w:szCs w:val="20"/>
          <w:color w:val="auto"/>
        </w:rPr>
      </w:pPr>
      <w:r>
        <w:rPr>
          <w:rFonts w:ascii="Arial" w:cs="Arial" w:eastAsia="Arial" w:hAnsi="Arial"/>
          <w:sz w:val="13"/>
          <w:szCs w:val="13"/>
          <w:b w:val="1"/>
          <w:bCs w:val="1"/>
          <w:color w:val="131E29"/>
        </w:rPr>
        <w:t>Exhibit 31.1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I, Christine Barone, certify that:</w:t>
      </w:r>
    </w:p>
    <w:p>
      <w:pPr>
        <w:spacing w:after="0" w:line="136" w:lineRule="exact"/>
        <w:rPr>
          <w:sz w:val="20"/>
          <w:szCs w:val="20"/>
          <w:color w:val="auto"/>
        </w:rPr>
      </w:pPr>
    </w:p>
    <w:p>
      <w:pPr>
        <w:ind w:left="500" w:hanging="240"/>
        <w:spacing w:after="0"/>
        <w:tabs>
          <w:tab w:leader="none" w:pos="500" w:val="left"/>
        </w:tabs>
        <w:numPr>
          <w:ilvl w:val="0"/>
          <w:numId w:val="65"/>
        </w:numPr>
        <w:rPr>
          <w:rFonts w:ascii="Arial" w:cs="Arial" w:eastAsia="Arial" w:hAnsi="Arial"/>
          <w:sz w:val="14"/>
          <w:szCs w:val="14"/>
          <w:color w:val="131E29"/>
        </w:rPr>
      </w:pPr>
      <w:r>
        <w:rPr>
          <w:rFonts w:ascii="Arial" w:cs="Arial" w:eastAsia="Arial" w:hAnsi="Arial"/>
          <w:sz w:val="14"/>
          <w:szCs w:val="14"/>
          <w:color w:val="131E29"/>
        </w:rPr>
        <w:t>I have reviewed this Annual Report on Form 10-K for the period ended December 31, 2024 of Dutch Bros Inc.;</w:t>
      </w:r>
    </w:p>
    <w:p>
      <w:pPr>
        <w:spacing w:after="0" w:line="93"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65"/>
        </w:numPr>
        <w:rPr>
          <w:rFonts w:ascii="Arial" w:cs="Arial" w:eastAsia="Arial" w:hAnsi="Arial"/>
          <w:sz w:val="14"/>
          <w:szCs w:val="14"/>
          <w:color w:val="131E29"/>
        </w:rPr>
      </w:pPr>
      <w:r>
        <w:rPr>
          <w:rFonts w:ascii="Arial" w:cs="Arial" w:eastAsia="Arial" w:hAnsi="Arial"/>
          <w:sz w:val="14"/>
          <w:szCs w:val="14"/>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65"/>
        </w:numPr>
        <w:rPr>
          <w:rFonts w:ascii="Arial" w:cs="Arial" w:eastAsia="Arial" w:hAnsi="Arial"/>
          <w:sz w:val="14"/>
          <w:szCs w:val="14"/>
          <w:color w:val="131E29"/>
        </w:rPr>
      </w:pPr>
      <w:r>
        <w:rPr>
          <w:rFonts w:ascii="Arial" w:cs="Arial" w:eastAsia="Arial" w:hAnsi="Arial"/>
          <w:sz w:val="14"/>
          <w:szCs w:val="14"/>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65"/>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65"/>
        </w:numPr>
        <w:rPr>
          <w:rFonts w:ascii="Arial" w:cs="Arial" w:eastAsia="Arial" w:hAnsi="Arial"/>
          <w:sz w:val="14"/>
          <w:szCs w:val="14"/>
          <w:color w:val="131E29"/>
        </w:rPr>
      </w:pPr>
      <w:r>
        <w:rPr>
          <w:rFonts w:ascii="Arial" w:cs="Arial" w:eastAsia="Arial" w:hAnsi="Arial"/>
          <w:sz w:val="14"/>
          <w:szCs w:val="14"/>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65"/>
        </w:numPr>
        <w:rPr>
          <w:rFonts w:ascii="Arial" w:cs="Arial" w:eastAsia="Arial" w:hAnsi="Arial"/>
          <w:sz w:val="14"/>
          <w:szCs w:val="14"/>
          <w:color w:val="131E29"/>
        </w:rPr>
      </w:pPr>
      <w:r>
        <w:rPr>
          <w:rFonts w:ascii="Arial" w:cs="Arial" w:eastAsia="Arial" w:hAnsi="Arial"/>
          <w:sz w:val="14"/>
          <w:szCs w:val="14"/>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131E29"/>
        </w:rPr>
      </w:pPr>
    </w:p>
    <w:p>
      <w:pPr>
        <w:ind w:left="760" w:hanging="246"/>
        <w:spacing w:after="0" w:line="290" w:lineRule="auto"/>
        <w:tabs>
          <w:tab w:leader="none" w:pos="755" w:val="left"/>
        </w:tabs>
        <w:numPr>
          <w:ilvl w:val="1"/>
          <w:numId w:val="65"/>
        </w:numPr>
        <w:rPr>
          <w:rFonts w:ascii="Arial" w:cs="Arial" w:eastAsia="Arial" w:hAnsi="Arial"/>
          <w:sz w:val="14"/>
          <w:szCs w:val="14"/>
          <w:color w:val="131E29"/>
        </w:rPr>
      </w:pPr>
      <w:r>
        <w:rPr>
          <w:rFonts w:ascii="Arial" w:cs="Arial" w:eastAsia="Arial" w:hAnsi="Arial"/>
          <w:sz w:val="14"/>
          <w:szCs w:val="14"/>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65"/>
        </w:numPr>
        <w:rPr>
          <w:rFonts w:ascii="Arial" w:cs="Arial" w:eastAsia="Arial" w:hAnsi="Arial"/>
          <w:sz w:val="14"/>
          <w:szCs w:val="14"/>
          <w:color w:val="131E29"/>
        </w:rPr>
      </w:pPr>
      <w:r>
        <w:rPr>
          <w:rFonts w:ascii="Arial" w:cs="Arial" w:eastAsia="Arial" w:hAnsi="Arial"/>
          <w:sz w:val="14"/>
          <w:szCs w:val="14"/>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65"/>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131E29"/>
        </w:rPr>
      </w:pPr>
    </w:p>
    <w:p>
      <w:pPr>
        <w:ind w:left="760" w:hanging="246"/>
        <w:spacing w:after="0" w:line="290" w:lineRule="auto"/>
        <w:tabs>
          <w:tab w:leader="none" w:pos="752" w:val="left"/>
        </w:tabs>
        <w:numPr>
          <w:ilvl w:val="1"/>
          <w:numId w:val="65"/>
        </w:numPr>
        <w:rPr>
          <w:rFonts w:ascii="Arial" w:cs="Arial" w:eastAsia="Arial" w:hAnsi="Arial"/>
          <w:sz w:val="14"/>
          <w:szCs w:val="14"/>
          <w:color w:val="131E29"/>
        </w:rPr>
      </w:pPr>
      <w:r>
        <w:rPr>
          <w:rFonts w:ascii="Arial" w:cs="Arial" w:eastAsia="Arial" w:hAnsi="Arial"/>
          <w:sz w:val="14"/>
          <w:szCs w:val="14"/>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131E29"/>
        </w:rPr>
      </w:pPr>
    </w:p>
    <w:p>
      <w:pPr>
        <w:ind w:left="760" w:hanging="246"/>
        <w:spacing w:after="0"/>
        <w:tabs>
          <w:tab w:leader="none" w:pos="760" w:val="left"/>
        </w:tabs>
        <w:numPr>
          <w:ilvl w:val="1"/>
          <w:numId w:val="65"/>
        </w:numPr>
        <w:rPr>
          <w:rFonts w:ascii="Arial" w:cs="Arial" w:eastAsia="Arial" w:hAnsi="Arial"/>
          <w:sz w:val="14"/>
          <w:szCs w:val="14"/>
          <w:color w:val="131E29"/>
        </w:rPr>
      </w:pPr>
      <w:r>
        <w:rPr>
          <w:rFonts w:ascii="Arial" w:cs="Arial" w:eastAsia="Arial" w:hAnsi="Arial"/>
          <w:sz w:val="14"/>
          <w:szCs w:val="14"/>
          <w:color w:val="131E29"/>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gridSpan w:val="2"/>
          </w:tcPr>
          <w:p>
            <w:pPr>
              <w:ind w:left="20"/>
              <w:spacing w:after="0"/>
              <w:rPr>
                <w:sz w:val="20"/>
                <w:szCs w:val="20"/>
                <w:color w:val="auto"/>
              </w:rPr>
            </w:pPr>
            <w:r>
              <w:rPr>
                <w:rFonts w:ascii="Arial" w:cs="Arial" w:eastAsia="Arial" w:hAnsi="Arial"/>
                <w:sz w:val="14"/>
                <w:szCs w:val="14"/>
                <w:color w:val="auto"/>
              </w:rPr>
              <w:t>February 13, 2025</w:t>
            </w:r>
          </w:p>
        </w:tc>
        <w:tc>
          <w:tcPr>
            <w:tcW w:w="4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 Christine Barone</w:t>
            </w:r>
          </w:p>
        </w:tc>
      </w:tr>
      <w:tr>
        <w:trPr>
          <w:trHeight w:val="167"/>
        </w:trPr>
        <w:tc>
          <w:tcPr>
            <w:tcW w:w="28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3460" w:type="dxa"/>
            <w:vAlign w:val="bottom"/>
          </w:tcPr>
          <w:p>
            <w:pPr>
              <w:spacing w:after="0"/>
              <w:rPr>
                <w:sz w:val="14"/>
                <w:szCs w:val="14"/>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Christine Barone</w:t>
            </w:r>
          </w:p>
        </w:tc>
        <w:tc>
          <w:tcPr>
            <w:tcW w:w="20" w:type="dxa"/>
            <w:vAlign w:val="bottom"/>
          </w:tcPr>
          <w:p>
            <w:pPr>
              <w:spacing w:after="0"/>
              <w:rPr>
                <w:sz w:val="14"/>
                <w:szCs w:val="14"/>
                <w:color w:val="auto"/>
              </w:rPr>
            </w:pPr>
          </w:p>
        </w:tc>
      </w:tr>
      <w:tr>
        <w:trPr>
          <w:trHeight w:val="182"/>
        </w:trPr>
        <w:tc>
          <w:tcPr>
            <w:tcW w:w="28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4960" w:type="dxa"/>
            <w:vAlign w:val="bottom"/>
            <w:gridSpan w:val="2"/>
          </w:tcPr>
          <w:p>
            <w:pPr>
              <w:jc w:val="center"/>
              <w:spacing w:after="0"/>
              <w:rPr>
                <w:sz w:val="20"/>
                <w:szCs w:val="20"/>
                <w:color w:val="auto"/>
              </w:rPr>
            </w:pPr>
            <w:r>
              <w:rPr>
                <w:rFonts w:ascii="Arial" w:cs="Arial" w:eastAsia="Arial" w:hAnsi="Arial"/>
                <w:sz w:val="14"/>
                <w:szCs w:val="14"/>
                <w:color w:val="auto"/>
              </w:rPr>
              <w:t>Chief Executive Officer and President</w:t>
            </w:r>
          </w:p>
        </w:tc>
      </w:tr>
      <w:tr>
        <w:trPr>
          <w:trHeight w:val="184"/>
        </w:trPr>
        <w:tc>
          <w:tcPr>
            <w:tcW w:w="28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960" w:type="dxa"/>
            <w:vAlign w:val="bottom"/>
            <w:gridSpan w:val="2"/>
          </w:tcPr>
          <w:p>
            <w:pPr>
              <w:jc w:val="center"/>
              <w:ind w:right="20"/>
              <w:spacing w:after="0"/>
              <w:rPr>
                <w:sz w:val="20"/>
                <w:szCs w:val="20"/>
                <w:color w:val="auto"/>
              </w:rPr>
            </w:pPr>
            <w:r>
              <w:rPr>
                <w:rFonts w:ascii="Arial" w:cs="Arial" w:eastAsia="Arial" w:hAnsi="Arial"/>
                <w:sz w:val="14"/>
                <w:szCs w:val="14"/>
                <w:i w:val="1"/>
                <w:iCs w:val="1"/>
                <w:color w:val="auto"/>
              </w:rPr>
              <w:t>(Principal Executive Officer)</w:t>
            </w:r>
          </w:p>
        </w:tc>
      </w:tr>
      <w:tr>
        <w:trPr>
          <w:trHeight w:val="847"/>
        </w:trPr>
        <w:tc>
          <w:tcPr>
            <w:tcW w:w="28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gridSpan w:val="2"/>
          </w:tcPr>
          <w:p>
            <w:pPr>
              <w:ind w:left="3520"/>
              <w:spacing w:after="0"/>
              <w:rPr>
                <w:sz w:val="20"/>
                <w:szCs w:val="20"/>
                <w:color w:val="auto"/>
              </w:rPr>
            </w:pP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Exhibit 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-241300</wp:posOffset>
            </wp:positionV>
            <wp:extent cx="134620" cy="1885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7">
                      <a:extLst>
                        <a:ext uri="{28A0092B-C50C-407E-A947-70E740481C1C}"/>
                      </a:extLst>
                    </a:blip>
                    <a:srcRect/>
                    <a:stretch>
                      <a:fillRect/>
                    </a:stretch>
                  </pic:blipFill>
                  <pic:spPr bwMode="auto">
                    <a:xfrm>
                      <a:off x="0" y="0"/>
                      <a:ext cx="134620" cy="18859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3" w:name="page224"/>
    <w:bookmarkEnd w:id="223"/>
    <w:p>
      <w:pPr>
        <w:jc w:val="right"/>
        <w:spacing w:after="0"/>
        <w:rPr>
          <w:sz w:val="20"/>
          <w:szCs w:val="20"/>
          <w:color w:val="auto"/>
        </w:rPr>
      </w:pPr>
      <w:r>
        <w:rPr>
          <w:rFonts w:ascii="Arial" w:cs="Arial" w:eastAsia="Arial" w:hAnsi="Arial"/>
          <w:sz w:val="13"/>
          <w:szCs w:val="13"/>
          <w:b w:val="1"/>
          <w:bCs w:val="1"/>
          <w:color w:val="131E29"/>
        </w:rPr>
        <w:t>Exhibit 31.2</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RULE 13a-14(a) AND RULE 15d-14(a)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131E29"/>
        </w:rPr>
        <w:t>I, Joshua Guenser, certify that:</w:t>
      </w:r>
    </w:p>
    <w:p>
      <w:pPr>
        <w:spacing w:after="0" w:line="200" w:lineRule="exact"/>
        <w:rPr>
          <w:sz w:val="20"/>
          <w:szCs w:val="20"/>
          <w:color w:val="auto"/>
        </w:rPr>
      </w:pPr>
    </w:p>
    <w:p>
      <w:pPr>
        <w:ind w:left="500" w:hanging="240"/>
        <w:spacing w:after="0"/>
        <w:tabs>
          <w:tab w:leader="none" w:pos="500" w:val="left"/>
        </w:tabs>
        <w:numPr>
          <w:ilvl w:val="0"/>
          <w:numId w:val="66"/>
        </w:numPr>
        <w:rPr>
          <w:rFonts w:ascii="Arial" w:cs="Arial" w:eastAsia="Arial" w:hAnsi="Arial"/>
          <w:sz w:val="14"/>
          <w:szCs w:val="14"/>
          <w:color w:val="131E29"/>
        </w:rPr>
      </w:pPr>
      <w:r>
        <w:rPr>
          <w:rFonts w:ascii="Arial" w:cs="Arial" w:eastAsia="Arial" w:hAnsi="Arial"/>
          <w:sz w:val="14"/>
          <w:szCs w:val="14"/>
          <w:color w:val="131E29"/>
        </w:rPr>
        <w:t>I have reviewed this Annual Report on Form 10-K for the period ended December 31, 2024 of Dutch Bros Inc.;</w:t>
      </w:r>
    </w:p>
    <w:p>
      <w:pPr>
        <w:spacing w:after="0" w:line="93"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66"/>
        </w:numPr>
        <w:rPr>
          <w:rFonts w:ascii="Arial" w:cs="Arial" w:eastAsia="Arial" w:hAnsi="Arial"/>
          <w:sz w:val="14"/>
          <w:szCs w:val="14"/>
          <w:color w:val="131E29"/>
        </w:rPr>
      </w:pPr>
      <w:r>
        <w:rPr>
          <w:rFonts w:ascii="Arial" w:cs="Arial" w:eastAsia="Arial" w:hAnsi="Arial"/>
          <w:sz w:val="14"/>
          <w:szCs w:val="14"/>
          <w:color w:val="131E29"/>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5"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66"/>
        </w:numPr>
        <w:rPr>
          <w:rFonts w:ascii="Arial" w:cs="Arial" w:eastAsia="Arial" w:hAnsi="Arial"/>
          <w:sz w:val="14"/>
          <w:szCs w:val="14"/>
          <w:color w:val="131E29"/>
        </w:rPr>
      </w:pPr>
      <w:r>
        <w:rPr>
          <w:rFonts w:ascii="Arial" w:cs="Arial" w:eastAsia="Arial" w:hAnsi="Arial"/>
          <w:sz w:val="14"/>
          <w:szCs w:val="14"/>
          <w:color w:val="131E29"/>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4"/>
          <w:szCs w:val="14"/>
          <w:color w:val="131E29"/>
        </w:rPr>
      </w:pPr>
    </w:p>
    <w:p>
      <w:pPr>
        <w:ind w:left="520" w:hanging="260"/>
        <w:spacing w:after="0" w:line="337" w:lineRule="auto"/>
        <w:tabs>
          <w:tab w:leader="none" w:pos="511" w:val="left"/>
        </w:tabs>
        <w:numPr>
          <w:ilvl w:val="0"/>
          <w:numId w:val="66"/>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66"/>
        </w:numPr>
        <w:rPr>
          <w:rFonts w:ascii="Arial" w:cs="Arial" w:eastAsia="Arial" w:hAnsi="Arial"/>
          <w:sz w:val="14"/>
          <w:szCs w:val="14"/>
          <w:color w:val="131E29"/>
        </w:rPr>
      </w:pPr>
      <w:r>
        <w:rPr>
          <w:rFonts w:ascii="Arial" w:cs="Arial" w:eastAsia="Arial" w:hAnsi="Arial"/>
          <w:sz w:val="14"/>
          <w:szCs w:val="14"/>
          <w:color w:val="131E29"/>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66"/>
        </w:numPr>
        <w:rPr>
          <w:rFonts w:ascii="Arial" w:cs="Arial" w:eastAsia="Arial" w:hAnsi="Arial"/>
          <w:sz w:val="14"/>
          <w:szCs w:val="14"/>
          <w:color w:val="131E29"/>
        </w:rPr>
      </w:pPr>
      <w:r>
        <w:rPr>
          <w:rFonts w:ascii="Arial" w:cs="Arial" w:eastAsia="Arial" w:hAnsi="Arial"/>
          <w:sz w:val="14"/>
          <w:szCs w:val="14"/>
          <w:color w:val="131E29"/>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4"/>
          <w:szCs w:val="14"/>
          <w:color w:val="131E29"/>
        </w:rPr>
      </w:pPr>
    </w:p>
    <w:p>
      <w:pPr>
        <w:ind w:left="760" w:hanging="246"/>
        <w:spacing w:after="0" w:line="290" w:lineRule="auto"/>
        <w:tabs>
          <w:tab w:leader="none" w:pos="755" w:val="left"/>
        </w:tabs>
        <w:numPr>
          <w:ilvl w:val="1"/>
          <w:numId w:val="66"/>
        </w:numPr>
        <w:rPr>
          <w:rFonts w:ascii="Arial" w:cs="Arial" w:eastAsia="Arial" w:hAnsi="Arial"/>
          <w:sz w:val="14"/>
          <w:szCs w:val="14"/>
          <w:color w:val="131E29"/>
        </w:rPr>
      </w:pPr>
      <w:r>
        <w:rPr>
          <w:rFonts w:ascii="Arial" w:cs="Arial" w:eastAsia="Arial" w:hAnsi="Arial"/>
          <w:sz w:val="14"/>
          <w:szCs w:val="14"/>
          <w:color w:val="131E29"/>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4"/>
          <w:szCs w:val="14"/>
          <w:color w:val="131E29"/>
        </w:rPr>
      </w:pPr>
    </w:p>
    <w:p>
      <w:pPr>
        <w:jc w:val="both"/>
        <w:ind w:left="760" w:hanging="246"/>
        <w:spacing w:after="0" w:line="271" w:lineRule="auto"/>
        <w:tabs>
          <w:tab w:leader="none" w:pos="752" w:val="left"/>
        </w:tabs>
        <w:numPr>
          <w:ilvl w:val="1"/>
          <w:numId w:val="66"/>
        </w:numPr>
        <w:rPr>
          <w:rFonts w:ascii="Arial" w:cs="Arial" w:eastAsia="Arial" w:hAnsi="Arial"/>
          <w:sz w:val="14"/>
          <w:szCs w:val="14"/>
          <w:color w:val="131E29"/>
        </w:rPr>
      </w:pPr>
      <w:r>
        <w:rPr>
          <w:rFonts w:ascii="Arial" w:cs="Arial" w:eastAsia="Arial" w:hAnsi="Arial"/>
          <w:sz w:val="14"/>
          <w:szCs w:val="14"/>
          <w:color w:val="131E29"/>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4"/>
          <w:szCs w:val="14"/>
          <w:color w:val="131E29"/>
        </w:rPr>
      </w:pPr>
    </w:p>
    <w:p>
      <w:pPr>
        <w:ind w:left="520" w:hanging="260"/>
        <w:spacing w:after="0" w:line="290" w:lineRule="auto"/>
        <w:tabs>
          <w:tab w:leader="none" w:pos="511" w:val="left"/>
        </w:tabs>
        <w:numPr>
          <w:ilvl w:val="0"/>
          <w:numId w:val="66"/>
        </w:numPr>
        <w:rPr>
          <w:rFonts w:ascii="Arial" w:cs="Arial" w:eastAsia="Arial" w:hAnsi="Arial"/>
          <w:sz w:val="14"/>
          <w:szCs w:val="14"/>
          <w:color w:val="131E29"/>
        </w:rPr>
      </w:pPr>
      <w:r>
        <w:rPr>
          <w:rFonts w:ascii="Arial" w:cs="Arial" w:eastAsia="Arial" w:hAnsi="Arial"/>
          <w:sz w:val="14"/>
          <w:szCs w:val="14"/>
          <w:color w:val="131E29"/>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4"/>
          <w:szCs w:val="14"/>
          <w:color w:val="131E29"/>
        </w:rPr>
      </w:pPr>
    </w:p>
    <w:p>
      <w:pPr>
        <w:ind w:left="760" w:hanging="246"/>
        <w:spacing w:after="0" w:line="290" w:lineRule="auto"/>
        <w:tabs>
          <w:tab w:leader="none" w:pos="752" w:val="left"/>
        </w:tabs>
        <w:numPr>
          <w:ilvl w:val="1"/>
          <w:numId w:val="66"/>
        </w:numPr>
        <w:rPr>
          <w:rFonts w:ascii="Arial" w:cs="Arial" w:eastAsia="Arial" w:hAnsi="Arial"/>
          <w:sz w:val="14"/>
          <w:szCs w:val="14"/>
          <w:color w:val="131E29"/>
        </w:rPr>
      </w:pPr>
      <w:r>
        <w:rPr>
          <w:rFonts w:ascii="Arial" w:cs="Arial" w:eastAsia="Arial" w:hAnsi="Arial"/>
          <w:sz w:val="14"/>
          <w:szCs w:val="14"/>
          <w:color w:val="131E29"/>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4"/>
          <w:szCs w:val="14"/>
          <w:color w:val="131E29"/>
        </w:rPr>
      </w:pPr>
    </w:p>
    <w:p>
      <w:pPr>
        <w:ind w:left="760" w:hanging="246"/>
        <w:spacing w:after="0"/>
        <w:tabs>
          <w:tab w:leader="none" w:pos="760" w:val="left"/>
        </w:tabs>
        <w:numPr>
          <w:ilvl w:val="1"/>
          <w:numId w:val="66"/>
        </w:numPr>
        <w:rPr>
          <w:rFonts w:ascii="Arial" w:cs="Arial" w:eastAsia="Arial" w:hAnsi="Arial"/>
          <w:sz w:val="14"/>
          <w:szCs w:val="14"/>
          <w:color w:val="131E29"/>
        </w:rPr>
      </w:pPr>
      <w:r>
        <w:rPr>
          <w:rFonts w:ascii="Arial" w:cs="Arial" w:eastAsia="Arial" w:hAnsi="Arial"/>
          <w:sz w:val="14"/>
          <w:szCs w:val="14"/>
          <w:color w:val="131E29"/>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February 13, 2025</w:t>
            </w:r>
          </w:p>
        </w:tc>
        <w:tc>
          <w:tcPr>
            <w:tcW w:w="5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 Joshua Guenser</w:t>
            </w:r>
          </w:p>
        </w:tc>
      </w:tr>
      <w:tr>
        <w:trPr>
          <w:trHeight w:val="167"/>
        </w:trPr>
        <w:tc>
          <w:tcPr>
            <w:tcW w:w="28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2740" w:type="dxa"/>
            <w:vAlign w:val="bottom"/>
          </w:tcPr>
          <w:p>
            <w:pPr>
              <w:spacing w:after="0"/>
              <w:rPr>
                <w:sz w:val="14"/>
                <w:szCs w:val="14"/>
                <w:color w:val="auto"/>
              </w:rPr>
            </w:pPr>
          </w:p>
        </w:tc>
        <w:tc>
          <w:tcPr>
            <w:tcW w:w="56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Joshua Guenser</w:t>
            </w:r>
          </w:p>
        </w:tc>
        <w:tc>
          <w:tcPr>
            <w:tcW w:w="60" w:type="dxa"/>
            <w:vAlign w:val="bottom"/>
          </w:tcPr>
          <w:p>
            <w:pPr>
              <w:spacing w:after="0"/>
              <w:rPr>
                <w:sz w:val="14"/>
                <w:szCs w:val="14"/>
                <w:color w:val="auto"/>
              </w:rPr>
            </w:pPr>
          </w:p>
        </w:tc>
      </w:tr>
      <w:tr>
        <w:trPr>
          <w:trHeight w:val="182"/>
        </w:trPr>
        <w:tc>
          <w:tcPr>
            <w:tcW w:w="28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5740" w:type="dxa"/>
            <w:vAlign w:val="bottom"/>
            <w:gridSpan w:val="2"/>
          </w:tcPr>
          <w:p>
            <w:pPr>
              <w:jc w:val="center"/>
              <w:ind w:right="60"/>
              <w:spacing w:after="0"/>
              <w:rPr>
                <w:sz w:val="20"/>
                <w:szCs w:val="20"/>
                <w:color w:val="auto"/>
              </w:rPr>
            </w:pPr>
            <w:r>
              <w:rPr>
                <w:rFonts w:ascii="Arial" w:cs="Arial" w:eastAsia="Arial" w:hAnsi="Arial"/>
                <w:sz w:val="14"/>
                <w:szCs w:val="14"/>
                <w:color w:val="auto"/>
              </w:rPr>
              <w:t>Chief Financial Officer</w:t>
            </w:r>
          </w:p>
        </w:tc>
      </w:tr>
      <w:tr>
        <w:trPr>
          <w:trHeight w:val="184"/>
        </w:trPr>
        <w:tc>
          <w:tcPr>
            <w:tcW w:w="28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74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rPr>
              <w:t>(Principal Financial and Accounting Officer)</w:t>
            </w:r>
          </w:p>
        </w:tc>
      </w:tr>
      <w:tr>
        <w:trPr>
          <w:trHeight w:val="836"/>
        </w:trPr>
        <w:tc>
          <w:tcPr>
            <w:tcW w:w="2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740" w:type="dxa"/>
            <w:vAlign w:val="bottom"/>
            <w:gridSpan w:val="2"/>
          </w:tcPr>
          <w:p>
            <w:pPr>
              <w:ind w:left="4320"/>
              <w:spacing w:after="0"/>
              <w:rPr>
                <w:sz w:val="20"/>
                <w:szCs w:val="20"/>
                <w:color w:val="auto"/>
              </w:rPr>
            </w:pP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Exhibit 31.2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-234950</wp:posOffset>
            </wp:positionV>
            <wp:extent cx="134620" cy="1885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8">
                      <a:extLst>
                        <a:ext uri="{28A0092B-C50C-407E-A947-70E740481C1C}"/>
                      </a:extLst>
                    </a:blip>
                    <a:srcRect/>
                    <a:stretch>
                      <a:fillRect/>
                    </a:stretch>
                  </pic:blipFill>
                  <pic:spPr bwMode="auto">
                    <a:xfrm>
                      <a:off x="0" y="0"/>
                      <a:ext cx="134620" cy="18859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4" w:name="page225"/>
    <w:bookmarkEnd w:id="224"/>
    <w:p>
      <w:pPr>
        <w:jc w:val="right"/>
        <w:spacing w:after="0"/>
        <w:rPr>
          <w:sz w:val="20"/>
          <w:szCs w:val="20"/>
          <w:color w:val="auto"/>
        </w:rPr>
      </w:pPr>
      <w:r>
        <w:rPr>
          <w:rFonts w:ascii="Arial" w:cs="Arial" w:eastAsia="Arial" w:hAnsi="Arial"/>
          <w:sz w:val="13"/>
          <w:szCs w:val="13"/>
          <w:b w:val="1"/>
          <w:bCs w:val="1"/>
          <w:color w:val="131E29"/>
        </w:rPr>
        <w:t>Exhibit 32.1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0416B"/>
        </w:rPr>
        <w:t>DUTCH BROS INC.</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CERTIFICATIONS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131E29"/>
        </w:rPr>
        <w:t>THE SARBANES-OXLEY ACT OF 2002</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131E29"/>
        </w:rPr>
        <w:t>In connection with the Annual Report of Dutch Bros Inc. (the Company) on Form 10-K for the period ended December 31, 2024, as filed with the Securities and Exchange Commission on the date of the signatures below (the Report), Christine Barone, Chief Executive Officer and President of the Company, and Joshua Guenser, Chief Financial Officer of the Company, each hereby certifies, pursuant to 18 U.S.C. Section 1350, as adopted pursuant to Section 906 of the Sarbanes-Oxley Act of 2002, that, to the best of their respective knowledge:</w:t>
      </w:r>
    </w:p>
    <w:p>
      <w:pPr>
        <w:spacing w:after="0" w:line="159" w:lineRule="exact"/>
        <w:rPr>
          <w:sz w:val="20"/>
          <w:szCs w:val="20"/>
          <w:color w:val="auto"/>
        </w:rPr>
      </w:pPr>
    </w:p>
    <w:p>
      <w:pPr>
        <w:ind w:left="500" w:hanging="240"/>
        <w:spacing w:after="0"/>
        <w:tabs>
          <w:tab w:leader="none" w:pos="500" w:val="left"/>
        </w:tabs>
        <w:numPr>
          <w:ilvl w:val="0"/>
          <w:numId w:val="67"/>
        </w:numPr>
        <w:rPr>
          <w:rFonts w:ascii="Arial" w:cs="Arial" w:eastAsia="Arial" w:hAnsi="Arial"/>
          <w:sz w:val="14"/>
          <w:szCs w:val="14"/>
          <w:color w:val="131E29"/>
        </w:rPr>
      </w:pPr>
      <w:r>
        <w:rPr>
          <w:rFonts w:ascii="Arial" w:cs="Arial" w:eastAsia="Arial" w:hAnsi="Arial"/>
          <w:sz w:val="14"/>
          <w:szCs w:val="14"/>
          <w:color w:val="131E29"/>
        </w:rPr>
        <w:t>the Report fully complies with the requirements of Section 13(a) or Section 15(d) of the Securities Exchange Act of 1934; and</w:t>
      </w:r>
    </w:p>
    <w:p>
      <w:pPr>
        <w:spacing w:after="0" w:line="22" w:lineRule="exact"/>
        <w:rPr>
          <w:rFonts w:ascii="Arial" w:cs="Arial" w:eastAsia="Arial" w:hAnsi="Arial"/>
          <w:sz w:val="14"/>
          <w:szCs w:val="14"/>
          <w:color w:val="131E29"/>
        </w:rPr>
      </w:pPr>
    </w:p>
    <w:p>
      <w:pPr>
        <w:ind w:left="500" w:hanging="240"/>
        <w:spacing w:after="0"/>
        <w:tabs>
          <w:tab w:leader="none" w:pos="500" w:val="left"/>
        </w:tabs>
        <w:numPr>
          <w:ilvl w:val="0"/>
          <w:numId w:val="67"/>
        </w:numPr>
        <w:rPr>
          <w:rFonts w:ascii="Arial" w:cs="Arial" w:eastAsia="Arial" w:hAnsi="Arial"/>
          <w:sz w:val="14"/>
          <w:szCs w:val="14"/>
          <w:color w:val="131E29"/>
        </w:rPr>
      </w:pPr>
      <w:r>
        <w:rPr>
          <w:rFonts w:ascii="Arial" w:cs="Arial" w:eastAsia="Arial" w:hAnsi="Arial"/>
          <w:sz w:val="14"/>
          <w:szCs w:val="14"/>
          <w:color w:val="131E29"/>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February 13, 2025</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rPr>
              <w:t>/s/ Christine Barone</w:t>
            </w:r>
          </w:p>
        </w:tc>
      </w:tr>
      <w:tr>
        <w:trPr>
          <w:trHeight w:val="167"/>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2680" w:type="dxa"/>
            <w:vAlign w:val="bottom"/>
          </w:tcPr>
          <w:p>
            <w:pPr>
              <w:spacing w:after="0"/>
              <w:rPr>
                <w:sz w:val="14"/>
                <w:szCs w:val="14"/>
                <w:color w:val="auto"/>
              </w:rPr>
            </w:pPr>
          </w:p>
        </w:tc>
        <w:tc>
          <w:tcPr>
            <w:tcW w:w="5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Christine Barone</w:t>
            </w:r>
          </w:p>
        </w:tc>
      </w:tr>
      <w:tr>
        <w:trPr>
          <w:trHeight w:val="182"/>
        </w:trPr>
        <w:tc>
          <w:tcPr>
            <w:tcW w:w="2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color w:val="auto"/>
              </w:rPr>
              <w:t>Chief Executive Officer and President</w:t>
            </w:r>
          </w:p>
        </w:tc>
      </w:tr>
      <w:tr>
        <w:trPr>
          <w:trHeight w:val="184"/>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i w:val="1"/>
                <w:iCs w:val="1"/>
                <w:color w:val="auto"/>
              </w:rPr>
              <w:t>(Principal Executive Officer)</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Arial" w:cs="Arial" w:eastAsia="Arial" w:hAnsi="Arial"/>
                <w:sz w:val="14"/>
                <w:szCs w:val="14"/>
                <w:color w:val="auto"/>
              </w:rPr>
              <w:t>February 13, 2025</w:t>
            </w:r>
          </w:p>
        </w:tc>
        <w:tc>
          <w:tcPr>
            <w:tcW w:w="5700" w:type="dxa"/>
            <w:vAlign w:val="bottom"/>
          </w:tcPr>
          <w:p>
            <w:pPr>
              <w:jc w:val="center"/>
              <w:spacing w:after="0"/>
              <w:rPr>
                <w:sz w:val="20"/>
                <w:szCs w:val="20"/>
                <w:color w:val="auto"/>
              </w:rPr>
            </w:pPr>
            <w:r>
              <w:rPr>
                <w:rFonts w:ascii="Arial" w:cs="Arial" w:eastAsia="Arial" w:hAnsi="Arial"/>
                <w:sz w:val="14"/>
                <w:szCs w:val="14"/>
                <w:b w:val="1"/>
                <w:bCs w:val="1"/>
                <w:color w:val="auto"/>
              </w:rPr>
              <w:t>/s/ Joshua Guenser</w:t>
            </w:r>
          </w:p>
        </w:tc>
      </w:tr>
      <w:tr>
        <w:trPr>
          <w:trHeight w:val="167"/>
        </w:trPr>
        <w:tc>
          <w:tcPr>
            <w:tcW w:w="29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Date</w:t>
            </w:r>
          </w:p>
        </w:tc>
        <w:tc>
          <w:tcPr>
            <w:tcW w:w="2680" w:type="dxa"/>
            <w:vAlign w:val="bottom"/>
          </w:tcPr>
          <w:p>
            <w:pPr>
              <w:spacing w:after="0"/>
              <w:rPr>
                <w:sz w:val="14"/>
                <w:szCs w:val="14"/>
                <w:color w:val="auto"/>
              </w:rPr>
            </w:pPr>
          </w:p>
        </w:tc>
        <w:tc>
          <w:tcPr>
            <w:tcW w:w="57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Joshua Guenser</w:t>
            </w:r>
          </w:p>
        </w:tc>
      </w:tr>
      <w:tr>
        <w:trPr>
          <w:trHeight w:val="182"/>
        </w:trPr>
        <w:tc>
          <w:tcPr>
            <w:tcW w:w="29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700" w:type="dxa"/>
            <w:vAlign w:val="bottom"/>
          </w:tcPr>
          <w:p>
            <w:pPr>
              <w:jc w:val="center"/>
              <w:spacing w:after="0"/>
              <w:rPr>
                <w:sz w:val="20"/>
                <w:szCs w:val="20"/>
                <w:color w:val="auto"/>
              </w:rPr>
            </w:pPr>
            <w:r>
              <w:rPr>
                <w:rFonts w:ascii="Arial" w:cs="Arial" w:eastAsia="Arial" w:hAnsi="Arial"/>
                <w:sz w:val="14"/>
                <w:szCs w:val="14"/>
                <w:color w:val="auto"/>
              </w:rPr>
              <w:t>Chief Financial Officer</w:t>
            </w:r>
          </w:p>
        </w:tc>
      </w:tr>
      <w:tr>
        <w:trPr>
          <w:trHeight w:val="184"/>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Arial" w:cs="Arial" w:eastAsia="Arial" w:hAnsi="Arial"/>
                <w:sz w:val="14"/>
                <w:szCs w:val="14"/>
                <w:i w:val="1"/>
                <w:iCs w:val="1"/>
                <w:color w:val="auto"/>
              </w:rPr>
              <w:t>(Principal Financial and Accounting Officer)</w:t>
            </w:r>
          </w:p>
        </w:tc>
      </w:tr>
    </w:tbl>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131E29"/>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sz w:val="1"/>
          <w:szCs w:val="1"/>
          <w:color w:val="auto"/>
        </w:rPr>
        <w:drawing>
          <wp:inline distT="0" distB="0" distL="0" distR="0">
            <wp:extent cx="134620" cy="188595"/>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9">
                      <a:extLst>
                        <a:ext uri="{28A0092B-C50C-407E-A947-70E740481C1C}"/>
                      </a:extLst>
                    </a:blip>
                    <a:srcRect/>
                    <a:stretch>
                      <a:fillRect/>
                    </a:stretch>
                  </pic:blipFill>
                  <pic:spPr bwMode="auto">
                    <a:xfrm>
                      <a:off x="0" y="0"/>
                      <a:ext cx="134620" cy="188595"/>
                    </a:xfrm>
                    <a:prstGeom prst="rect">
                      <a:avLst/>
                    </a:prstGeom>
                    <a:noFill/>
                    <a:ln>
                      <a:noFill/>
                    </a:ln>
                  </pic:spPr>
                </pic:pic>
              </a:graphicData>
            </a:graphic>
          </wp:inline>
        </w:drawing>
      </w:r>
      <w:r>
        <w:rPr>
          <w:rFonts w:ascii="Arial" w:cs="Arial" w:eastAsia="Arial" w:hAnsi="Arial"/>
          <w:sz w:val="11"/>
          <w:szCs w:val="11"/>
          <w:color w:val="131E29"/>
        </w:rPr>
        <w:t>Dutch Bros Inc.</w:t>
      </w:r>
      <w:r>
        <w:rPr>
          <w:rFonts w:ascii="Arial" w:cs="Arial" w:eastAsia="Arial" w:hAnsi="Arial"/>
          <w:sz w:val="11"/>
          <w:szCs w:val="11"/>
          <w:b w:val="1"/>
          <w:bCs w:val="1"/>
          <w:color w:val="006098"/>
        </w:rPr>
        <w:t>|</w:t>
      </w:r>
      <w:r>
        <w:rPr>
          <w:rFonts w:ascii="Arial" w:cs="Arial" w:eastAsia="Arial" w:hAnsi="Arial"/>
          <w:sz w:val="11"/>
          <w:szCs w:val="11"/>
          <w:color w:val="131E29"/>
        </w:rPr>
        <w:t xml:space="preserve"> Exhibit 32.1</w:t>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lvl w:ilvl="1">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í"/>
      <w:numFmt w:val="bullet"/>
      <w:start w:val="1"/>
    </w:lvl>
  </w:abstractNum>
  <w:abstractNum w:abstractNumId="12">
    <w:nsid w:val="2D517796"/>
    <w:multiLevelType w:val="hybridMultilevel"/>
    <w:lvl w:ilvl="0">
      <w:lvlJc w:val="left"/>
      <w:lvlText w:val="î"/>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1)"/>
      <w:numFmt w:val="lowerRoman"/>
      <w:start w:val="2"/>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1"/>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1"/>
      <w:numFmt w:val="bullet"/>
      <w:start w:val="1"/>
    </w:lvl>
  </w:abstractNum>
  <w:abstractNum w:abstractNumId="34">
    <w:nsid w:val="1BA026FA"/>
    <w:multiLevelType w:val="hybridMultilevel"/>
    <w:lvl w:ilvl="0">
      <w:lvlJc w:val="left"/>
      <w:lvlText w:val="1"/>
      <w:numFmt w:val="bullet"/>
      <w:start w:val="1"/>
    </w:lvl>
  </w:abstractNum>
  <w:abstractNum w:abstractNumId="35">
    <w:nsid w:val="79A1DEAA"/>
    <w:multiLevelType w:val="hybridMultilevel"/>
    <w:lvl w:ilvl="0">
      <w:lvlJc w:val="left"/>
      <w:lvlText w:val="2"/>
      <w:numFmt w:val="bullet"/>
      <w:start w:val="1"/>
    </w:lvl>
  </w:abstractNum>
  <w:abstractNum w:abstractNumId="36">
    <w:nsid w:val="75C6C33A"/>
    <w:multiLevelType w:val="hybridMultilevel"/>
    <w:lvl w:ilvl="0">
      <w:lvlJc w:val="left"/>
      <w:lvlText w:val="3"/>
      <w:numFmt w:val="bullet"/>
      <w:start w:val="1"/>
    </w:lvl>
  </w:abstractNum>
  <w:abstractNum w:abstractNumId="37">
    <w:nsid w:val="12E685FB"/>
    <w:multiLevelType w:val="hybridMultilevel"/>
    <w:lvl w:ilvl="0">
      <w:lvlJc w:val="left"/>
      <w:lvlText w:val="4"/>
      <w:numFmt w:val="bullet"/>
      <w:start w:val="1"/>
    </w:lvl>
  </w:abstractNum>
  <w:abstractNum w:abstractNumId="38">
    <w:nsid w:val="70C6A529"/>
    <w:multiLevelType w:val="hybridMultilevel"/>
    <w:lvl w:ilvl="0">
      <w:lvlJc w:val="left"/>
      <w:lvlText w:val="5"/>
      <w:numFmt w:val="bullet"/>
      <w:start w:val="1"/>
    </w:lvl>
  </w:abstractNum>
  <w:abstractNum w:abstractNumId="39">
    <w:nsid w:val="520EEDD1"/>
    <w:multiLevelType w:val="hybridMultilevel"/>
    <w:lvl w:ilvl="0">
      <w:lvlJc w:val="left"/>
      <w:lvlText w:val="6"/>
      <w:numFmt w:val="bullet"/>
      <w:start w:val="1"/>
    </w:lvl>
  </w:abstractNum>
  <w:abstractNum w:abstractNumId="40">
    <w:nsid w:val="374A3FE6"/>
    <w:multiLevelType w:val="hybridMultilevel"/>
    <w:lvl w:ilvl="0">
      <w:lvlJc w:val="left"/>
      <w:lvlText w:val="7"/>
      <w:numFmt w:val="bullet"/>
      <w:start w:val="1"/>
    </w:lvl>
  </w:abstractNum>
  <w:abstractNum w:abstractNumId="41">
    <w:nsid w:val="4F4EF005"/>
    <w:multiLevelType w:val="hybridMultilevel"/>
    <w:lvl w:ilvl="0">
      <w:lvlJc w:val="left"/>
      <w:lvlText w:val="1"/>
      <w:numFmt w:val="bullet"/>
      <w:start w:val="1"/>
    </w:lvl>
  </w:abstractNum>
  <w:abstractNum w:abstractNumId="42">
    <w:nsid w:val="23F9C13C"/>
    <w:multiLevelType w:val="hybridMultilevel"/>
    <w:lvl w:ilvl="0">
      <w:lvlJc w:val="left"/>
      <w:lvlText w:val="1"/>
      <w:numFmt w:val="bullet"/>
      <w:start w:val="1"/>
    </w:lvl>
  </w:abstractNum>
  <w:abstractNum w:abstractNumId="43">
    <w:nsid w:val="649BB77C"/>
    <w:multiLevelType w:val="hybridMultilevel"/>
    <w:lvl w:ilvl="0">
      <w:lvlJc w:val="left"/>
      <w:lvlText w:val="1"/>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1"/>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1"/>
      <w:numFmt w:val="bullet"/>
      <w:start w:val="1"/>
    </w:lvl>
  </w:abstractNum>
  <w:abstractNum w:abstractNumId="52">
    <w:nsid w:val="741226BB"/>
    <w:multiLevelType w:val="hybridMultilevel"/>
    <w:lvl w:ilvl="0">
      <w:lvlJc w:val="left"/>
      <w:lvlText w:val="1"/>
      <w:numFmt w:val="bullet"/>
      <w:start w:val="1"/>
    </w:lvl>
  </w:abstractNum>
  <w:abstractNum w:abstractNumId="53">
    <w:nsid w:val="D34B6A8"/>
    <w:multiLevelType w:val="hybridMultilevel"/>
    <w:lvl w:ilvl="0">
      <w:lvlJc w:val="left"/>
      <w:lvlText w:val="1"/>
      <w:numFmt w:val="bullet"/>
      <w:start w:val="1"/>
    </w:lvl>
  </w:abstractNum>
  <w:abstractNum w:abstractNumId="54">
    <w:nsid w:val="10233C99"/>
    <w:multiLevelType w:val="hybridMultilevel"/>
    <w:lvl w:ilvl="0">
      <w:lvlJc w:val="left"/>
      <w:lvlText w:val="1"/>
      <w:numFmt w:val="bullet"/>
      <w:start w:val="1"/>
    </w:lvl>
  </w:abstractNum>
  <w:abstractNum w:abstractNumId="55">
    <w:nsid w:val="3F6AB60F"/>
    <w:multiLevelType w:val="hybridMultilevel"/>
    <w:lvl w:ilvl="0">
      <w:lvlJc w:val="left"/>
      <w:lvlText w:val="1"/>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1"/>
      <w:numFmt w:val="bullet"/>
      <w:start w:val="1"/>
    </w:lvl>
  </w:abstractNum>
  <w:abstractNum w:abstractNumId="58">
    <w:nsid w:val="77AE35EB"/>
    <w:multiLevelType w:val="hybridMultilevel"/>
    <w:lvl w:ilvl="0">
      <w:lvlJc w:val="left"/>
      <w:lvlText w:val="1"/>
      <w:numFmt w:val="bullet"/>
      <w:start w:val="1"/>
    </w:lvl>
  </w:abstractNum>
  <w:abstractNum w:abstractNumId="59">
    <w:nsid w:val="579BE4F1"/>
    <w:multiLevelType w:val="hybridMultilevel"/>
    <w:lvl w:ilvl="0">
      <w:lvlJc w:val="left"/>
      <w:lvlText w:val="1"/>
      <w:numFmt w:val="bullet"/>
      <w:start w:val="1"/>
    </w:lvl>
  </w:abstractNum>
  <w:abstractNum w:abstractNumId="60">
    <w:nsid w:val="310C50B3"/>
    <w:multiLevelType w:val="hybridMultilevel"/>
    <w:lvl w:ilvl="0">
      <w:lvlJc w:val="left"/>
      <w:lvlText w:val="1"/>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
      <w:numFmt w:val="bullet"/>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lvl w:ilvl="1">
      <w:lvlJc w:val="left"/>
      <w:lvlText w:val="(%2)"/>
      <w:numFmt w:val="lowerLetter"/>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68" Type="http://schemas.openxmlformats.org/officeDocument/2006/relationships/image" Target="media/image347.jpeg"/><Relationship Id="rId369"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91" Type="http://schemas.openxmlformats.org/officeDocument/2006/relationships/image" Target="media/image356.jpeg"/><Relationship Id="rId392" Type="http://schemas.openxmlformats.org/officeDocument/2006/relationships/image" Target="media/image357.png"/><Relationship Id="rId395" Type="http://schemas.openxmlformats.org/officeDocument/2006/relationships/image" Target="media/image358.jpeg"/><Relationship Id="rId396" Type="http://schemas.openxmlformats.org/officeDocument/2006/relationships/image" Target="media/image359.png"/><Relationship Id="rId397" Type="http://schemas.openxmlformats.org/officeDocument/2006/relationships/image" Target="media/image360.png"/><Relationship Id="rId398" Type="http://schemas.openxmlformats.org/officeDocument/2006/relationships/image" Target="media/image361.jpeg"/><Relationship Id="rId399" Type="http://schemas.openxmlformats.org/officeDocument/2006/relationships/image" Target="media/image362.png"/><Relationship Id="rId400" Type="http://schemas.openxmlformats.org/officeDocument/2006/relationships/image" Target="media/image363.png"/><Relationship Id="rId401" Type="http://schemas.openxmlformats.org/officeDocument/2006/relationships/image" Target="media/image364.png"/><Relationship Id="rId402" Type="http://schemas.openxmlformats.org/officeDocument/2006/relationships/image" Target="media/image365.png"/><Relationship Id="rId403" Type="http://schemas.openxmlformats.org/officeDocument/2006/relationships/image" Target="media/image366.png"/><Relationship Id="rId404" Type="http://schemas.openxmlformats.org/officeDocument/2006/relationships/image" Target="media/image367.png"/><Relationship Id="rId405" Type="http://schemas.openxmlformats.org/officeDocument/2006/relationships/image" Target="media/image368.png"/><Relationship Id="rId406"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png"/><Relationship Id="rId409" Type="http://schemas.openxmlformats.org/officeDocument/2006/relationships/image" Target="media/image372.png"/><Relationship Id="rId410" Type="http://schemas.openxmlformats.org/officeDocument/2006/relationships/image" Target="media/image373.png"/><Relationship Id="rId411" Type="http://schemas.openxmlformats.org/officeDocument/2006/relationships/image" Target="media/image374.png"/><Relationship Id="rId412" Type="http://schemas.openxmlformats.org/officeDocument/2006/relationships/image" Target="media/image375.png"/><Relationship Id="rId413"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7" Type="http://schemas.openxmlformats.org/officeDocument/2006/relationships/image" Target="media/image380.png"/><Relationship Id="rId418" Type="http://schemas.openxmlformats.org/officeDocument/2006/relationships/image" Target="media/image381.png"/><Relationship Id="rId419" Type="http://schemas.openxmlformats.org/officeDocument/2006/relationships/image" Target="media/image382.png"/><Relationship Id="rId420" Type="http://schemas.openxmlformats.org/officeDocument/2006/relationships/image" Target="media/image383.png"/><Relationship Id="rId421" Type="http://schemas.openxmlformats.org/officeDocument/2006/relationships/image" Target="media/image384.png"/><Relationship Id="rId422" Type="http://schemas.openxmlformats.org/officeDocument/2006/relationships/image" Target="media/image385.png"/><Relationship Id="rId423" Type="http://schemas.openxmlformats.org/officeDocument/2006/relationships/image" Target="media/image386.png"/><Relationship Id="rId424" Type="http://schemas.openxmlformats.org/officeDocument/2006/relationships/image" Target="media/image387.png"/><Relationship Id="rId425" Type="http://schemas.openxmlformats.org/officeDocument/2006/relationships/image" Target="media/image388.png"/><Relationship Id="rId426" Type="http://schemas.openxmlformats.org/officeDocument/2006/relationships/image" Target="media/image389.png"/><Relationship Id="rId427" Type="http://schemas.openxmlformats.org/officeDocument/2006/relationships/image" Target="media/image390.png"/><Relationship Id="rId428" Type="http://schemas.openxmlformats.org/officeDocument/2006/relationships/image" Target="media/image391.png"/><Relationship Id="rId429" Type="http://schemas.openxmlformats.org/officeDocument/2006/relationships/image" Target="media/image392.png"/><Relationship Id="rId430" Type="http://schemas.openxmlformats.org/officeDocument/2006/relationships/image" Target="media/image393.png"/><Relationship Id="rId431" Type="http://schemas.openxmlformats.org/officeDocument/2006/relationships/image" Target="media/image394.png"/><Relationship Id="rId432" Type="http://schemas.openxmlformats.org/officeDocument/2006/relationships/image" Target="media/image395.png"/><Relationship Id="rId433" Type="http://schemas.openxmlformats.org/officeDocument/2006/relationships/image" Target="media/image396.png"/><Relationship Id="rId434" Type="http://schemas.openxmlformats.org/officeDocument/2006/relationships/image" Target="media/image397.png"/><Relationship Id="rId435" Type="http://schemas.openxmlformats.org/officeDocument/2006/relationships/image" Target="media/image398.png"/><Relationship Id="rId436" Type="http://schemas.openxmlformats.org/officeDocument/2006/relationships/image" Target="media/image399.png"/><Relationship Id="rId437" Type="http://schemas.openxmlformats.org/officeDocument/2006/relationships/image" Target="media/image400.png"/><Relationship Id="rId438" Type="http://schemas.openxmlformats.org/officeDocument/2006/relationships/image" Target="media/image401.png"/><Relationship Id="rId439" Type="http://schemas.openxmlformats.org/officeDocument/2006/relationships/image" Target="media/image402.png"/><Relationship Id="rId440" Type="http://schemas.openxmlformats.org/officeDocument/2006/relationships/image" Target="media/image403.png"/><Relationship Id="rId441" Type="http://schemas.openxmlformats.org/officeDocument/2006/relationships/image" Target="media/image404.png"/><Relationship Id="rId442" Type="http://schemas.openxmlformats.org/officeDocument/2006/relationships/image" Target="media/image405.png"/><Relationship Id="rId443" Type="http://schemas.openxmlformats.org/officeDocument/2006/relationships/image" Target="media/image406.png"/><Relationship Id="rId444" Type="http://schemas.openxmlformats.org/officeDocument/2006/relationships/image" Target="media/image407.png"/><Relationship Id="rId445" Type="http://schemas.openxmlformats.org/officeDocument/2006/relationships/image" Target="media/image408.png"/><Relationship Id="rId446" Type="http://schemas.openxmlformats.org/officeDocument/2006/relationships/image" Target="media/image409.png"/><Relationship Id="rId447" Type="http://schemas.openxmlformats.org/officeDocument/2006/relationships/image" Target="media/image410.png"/><Relationship Id="rId448" Type="http://schemas.openxmlformats.org/officeDocument/2006/relationships/image" Target="media/image411.png"/><Relationship Id="rId449" Type="http://schemas.openxmlformats.org/officeDocument/2006/relationships/image" Target="media/image412.png"/><Relationship Id="rId450" Type="http://schemas.openxmlformats.org/officeDocument/2006/relationships/image" Target="media/image413.png"/><Relationship Id="rId451" Type="http://schemas.openxmlformats.org/officeDocument/2006/relationships/image" Target="media/image414.png"/><Relationship Id="rId452" Type="http://schemas.openxmlformats.org/officeDocument/2006/relationships/image" Target="media/image415.png"/><Relationship Id="rId453" Type="http://schemas.openxmlformats.org/officeDocument/2006/relationships/image" Target="media/image416.png"/><Relationship Id="rId454" Type="http://schemas.openxmlformats.org/officeDocument/2006/relationships/image" Target="media/image417.png"/><Relationship Id="rId455" Type="http://schemas.openxmlformats.org/officeDocument/2006/relationships/image" Target="media/image418.png"/><Relationship Id="rId456" Type="http://schemas.openxmlformats.org/officeDocument/2006/relationships/image" Target="media/image419.png"/><Relationship Id="rId457" Type="http://schemas.openxmlformats.org/officeDocument/2006/relationships/image" Target="media/image420.png"/><Relationship Id="rId458" Type="http://schemas.openxmlformats.org/officeDocument/2006/relationships/image" Target="media/image421.png"/><Relationship Id="rId459" Type="http://schemas.openxmlformats.org/officeDocument/2006/relationships/image" Target="media/image422.png"/><Relationship Id="rId460" Type="http://schemas.openxmlformats.org/officeDocument/2006/relationships/image" Target="media/image423.png"/><Relationship Id="rId461" Type="http://schemas.openxmlformats.org/officeDocument/2006/relationships/image" Target="media/image424.png"/><Relationship Id="rId462" Type="http://schemas.openxmlformats.org/officeDocument/2006/relationships/image" Target="media/image425.png"/><Relationship Id="rId463" Type="http://schemas.openxmlformats.org/officeDocument/2006/relationships/image" Target="media/image426.png"/><Relationship Id="rId464" Type="http://schemas.openxmlformats.org/officeDocument/2006/relationships/image" Target="media/image427.png"/><Relationship Id="rId465" Type="http://schemas.openxmlformats.org/officeDocument/2006/relationships/image" Target="media/image428.png"/><Relationship Id="rId466" Type="http://schemas.openxmlformats.org/officeDocument/2006/relationships/image" Target="media/image429.png"/><Relationship Id="rId467" Type="http://schemas.openxmlformats.org/officeDocument/2006/relationships/image" Target="media/image430.png"/><Relationship Id="rId468" Type="http://schemas.openxmlformats.org/officeDocument/2006/relationships/image" Target="media/image431.png"/><Relationship Id="rId469" Type="http://schemas.openxmlformats.org/officeDocument/2006/relationships/image" Target="media/image432.png"/><Relationship Id="rId470" Type="http://schemas.openxmlformats.org/officeDocument/2006/relationships/image" Target="media/image433.png"/><Relationship Id="rId471" Type="http://schemas.openxmlformats.org/officeDocument/2006/relationships/image" Target="media/image434.png"/><Relationship Id="rId472" Type="http://schemas.openxmlformats.org/officeDocument/2006/relationships/image" Target="media/image435.png"/><Relationship Id="rId473" Type="http://schemas.openxmlformats.org/officeDocument/2006/relationships/image" Target="media/image436.png"/><Relationship Id="rId474" Type="http://schemas.openxmlformats.org/officeDocument/2006/relationships/image" Target="media/image437.jpeg"/><Relationship Id="rId475" Type="http://schemas.openxmlformats.org/officeDocument/2006/relationships/image" Target="media/image438.png"/><Relationship Id="rId476" Type="http://schemas.openxmlformats.org/officeDocument/2006/relationships/image" Target="media/image439.jpeg"/><Relationship Id="rId477" Type="http://schemas.openxmlformats.org/officeDocument/2006/relationships/image" Target="media/image440.jpeg"/><Relationship Id="rId478" Type="http://schemas.openxmlformats.org/officeDocument/2006/relationships/image" Target="media/image441.jpeg"/><Relationship Id="rId479" Type="http://schemas.openxmlformats.org/officeDocument/2006/relationships/image" Target="media/image442.jpeg"/><Relationship Id="rId354" Type="http://schemas.openxmlformats.org/officeDocument/2006/relationships/hyperlink" Target="https://www.sec.gov/Archives/edgar/data/0001866581/000162828021018861/exhibit31-8xk.htm" TargetMode="External"/><Relationship Id="rId355" Type="http://schemas.openxmlformats.org/officeDocument/2006/relationships/hyperlink" Target="https://www.sec.gov/Archives/edgar/data/1866581/000162828021017441/exhibit34-sx1.htm" TargetMode="External"/><Relationship Id="rId356" Type="http://schemas.openxmlformats.org/officeDocument/2006/relationships/hyperlink" Target="https://www.sec.gov/Archives/edgar/data/0001866581/000162828021018116/exhibit41.htm" TargetMode="External"/><Relationship Id="rId357" Type="http://schemas.openxmlformats.org/officeDocument/2006/relationships/hyperlink" Target="https://www.sec.gov/Archives/edgar/data/1866581/000186658123000038/ex42-2022q4descriptionof.htm" TargetMode="External"/><Relationship Id="rId358" Type="http://schemas.openxmlformats.org/officeDocument/2006/relationships/hyperlink" Target="https://www.sec.gov/Archives/edgar/data/0001866581/000162828021018861/exhibit102-8xk.htm" TargetMode="External"/><Relationship Id="rId359" Type="http://schemas.openxmlformats.org/officeDocument/2006/relationships/hyperlink" Target="https://www.sec.gov/Archives/edgar/data/0001866581/000162828021018861/exhibit103-8xk.htm" TargetMode="External"/><Relationship Id="rId360" Type="http://schemas.openxmlformats.org/officeDocument/2006/relationships/hyperlink" Target="https://www.sec.gov/Archives/edgar/data/1866581/000186658124000038/filingversion20240122-br.htm" TargetMode="External"/><Relationship Id="rId361" Type="http://schemas.openxmlformats.org/officeDocument/2006/relationships/hyperlink" Target="https://www.sec.gov/Archives/edgar/data/0001866581/000162828021017441/exhibit102-sx1.htm" TargetMode="External"/><Relationship Id="rId362" Type="http://schemas.openxmlformats.org/officeDocument/2006/relationships/hyperlink" Target="https://www.sec.gov/Archives/edgar/data/0001866581/000162828021018852/exhibit991-sx8.htm" TargetMode="External"/><Relationship Id="rId363" Type="http://schemas.openxmlformats.org/officeDocument/2006/relationships/hyperlink" Target="https://www.sec.gov/Archives/edgar/data/0001866581/000162828021018116/exhibit108-sx1a1.htm" TargetMode="External"/><Relationship Id="rId364" Type="http://schemas.openxmlformats.org/officeDocument/2006/relationships/hyperlink" Target="https://www.sec.gov/Archives/edgar/data/0001866581/000162828021018116/exhibit109-sx1a1.htm" TargetMode="External"/><Relationship Id="rId365" Type="http://schemas.openxmlformats.org/officeDocument/2006/relationships/hyperlink" Target="https://www.sec.gov/Archives/edgar/data/0001866581/000162828021018116/exhibit1010-sx1a1.htm" TargetMode="External"/><Relationship Id="rId366" Type="http://schemas.openxmlformats.org/officeDocument/2006/relationships/hyperlink" Target="https://www.sec.gov/Archives/edgar/data/1866581/000186658124000306/a2024-09x03advisoragreem.htm" TargetMode="External"/><Relationship Id="rId367" Type="http://schemas.openxmlformats.org/officeDocument/2006/relationships/hyperlink" Target="https://www.sec.gov/Archives/edgar/data/1866581/000186658121000017/exh101-20211105_sgillett.htm" TargetMode="External"/><Relationship Id="rId370" Type="http://schemas.openxmlformats.org/officeDocument/2006/relationships/hyperlink" Target="https://www.sec.gov/Archives/edgar/data/1866581/000186658122000020/final2022dmljpmarcredita.htm" TargetMode="External"/><Relationship Id="rId371" Type="http://schemas.openxmlformats.org/officeDocument/2006/relationships/hyperlink" Target="https://www.sec.gov/Archives/edgar/data/1866581/000186658123000108/a2023-08x04amendmentno1t.htm" TargetMode="External"/><Relationship Id="rId372" Type="http://schemas.openxmlformats.org/officeDocument/2006/relationships/hyperlink" Target="https://www.sec.gov/Archives/edgar/data/1866581/000186658122000103/a2022-08x12serviceonboar.htm" TargetMode="External"/><Relationship Id="rId373" Type="http://schemas.openxmlformats.org/officeDocument/2006/relationships/hyperlink" Target="https://www.sec.gov/Archives/edgar/data/1866581/000186658124000011/filingversion2023-12x27e.htm" TargetMode="External"/><Relationship Id="rId374" Type="http://schemas.openxmlformats.org/officeDocument/2006/relationships/hyperlink" Target="https://www.sec.gov/Archives/edgar/data/1866581/000186658123000128/filingcopy-serviceonboar.htm" TargetMode="External"/><Relationship Id="rId375" Type="http://schemas.openxmlformats.org/officeDocument/2006/relationships/hyperlink" Target="https://www.sec.gov/Archives/edgar/data/1866581/000186658124000038/a2022-09x02offerlettertu.htm" TargetMode="External"/><Relationship Id="rId376" Type="http://schemas.openxmlformats.org/officeDocument/2006/relationships/hyperlink" Target="https://www.sec.gov/Archives/edgar/data/1866581/000186658124000038/a2023-06x08offerletterda.htm" TargetMode="External"/><Relationship Id="rId377" Type="http://schemas.openxmlformats.org/officeDocument/2006/relationships/hyperlink" Target="https://www.sec.gov/Archives/edgar/data/1866581/000186658124000117/filingversion2023-12x15o.htm" TargetMode="External"/><Relationship Id="rId378" Type="http://schemas.openxmlformats.org/officeDocument/2006/relationships/hyperlink" Target="https://www.sec.gov/Archives/edgar/data/1866581/000186658124000132/a2023-12x19offerlettergu.htm" TargetMode="External"/><Relationship Id="rId379" Type="http://schemas.openxmlformats.org/officeDocument/2006/relationships/hyperlink" Target="https://www.sec.gov/Archives/edgar/data/1866581/000186658124000175/sharesurrenderagreement-.htm" TargetMode="External"/><Relationship Id="rId380" Type="http://schemas.openxmlformats.org/officeDocument/2006/relationships/hyperlink" Target="https://www.sec.gov/Archives/edgar/data/1866581/000186658124000175/limitationagreement-fili.htm" TargetMode="External"/><Relationship Id="rId381" Type="http://schemas.openxmlformats.org/officeDocument/2006/relationships/hyperlink" Target="https://www.sec.gov/Archives/edgar/data/1866581/000186658124000197/a2024-05x28serviceonboar.htm" TargetMode="External"/><Relationship Id="rId382" Type="http://schemas.openxmlformats.org/officeDocument/2006/relationships/hyperlink" Target="https://www.sec.gov/Archives/edgar/data/1866581/000186658124000202/a2024-06x18serviceonboar.htm" TargetMode="External"/><Relationship Id="rId383" Type="http://schemas.openxmlformats.org/officeDocument/2006/relationships/hyperlink" Target="https://www.sec.gov/Archives/edgar/data/1866581/000186658124000304/filingversion2024-11x04a.htm" TargetMode="External"/><Relationship Id="rId393" Type="http://schemas.openxmlformats.org/officeDocument/2006/relationships/hyperlink" Target="https://www.sec.gov/Archives/edgar/data/1866581/000186658124000304/a2021-10x04amendedandres.htm" TargetMode="External"/><Relationship Id="rId394" Type="http://schemas.openxmlformats.org/officeDocument/2006/relationships/hyperlink" Target="https://www.sec.gov/Archives/edgar/data/1866581/000186658124000038/a2023-10x10incentivecom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2025-02-13T15:38:06Z</dcterms:created>
  <dcterms:modified xsi:type="dcterms:W3CDTF">2025-02-13T15:38:06Z</dcterms:modified>
</cp:coreProperties>
</file>