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908050</wp:posOffset>
            </wp:positionV>
            <wp:extent cx="71621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880745</wp:posOffset>
            </wp:positionV>
            <wp:extent cx="71621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8"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24"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b w:val="1"/>
          <w:bCs w:val="1"/>
          <w:color w:val="131E29"/>
        </w:rPr>
        <w:t>(Mark One)</w:t>
      </w:r>
    </w:p>
    <w:p>
      <w:pPr>
        <w:spacing w:after="0" w:line="36"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131E29"/>
        </w:rPr>
      </w:pPr>
      <w:r>
        <w:rPr>
          <w:rFonts w:ascii="Arial" w:cs="Arial" w:eastAsia="Arial" w:hAnsi="Arial"/>
          <w:sz w:val="14"/>
          <w:szCs w:val="14"/>
          <w:b w:val="1"/>
          <w:bCs w:val="1"/>
          <w:color w:val="131E29"/>
        </w:rPr>
        <w:t>ANNUAL REPORT PURSUANT TO SECTION 13 OR 15(d) OF THE SECURITIES EXCHANGE ACT OF 1934</w:t>
      </w:r>
    </w:p>
    <w:p>
      <w:pPr>
        <w:spacing w:after="0" w:line="35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For the fiscal year ended December 31, 2023</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OR</w:t>
      </w:r>
    </w:p>
    <w:p>
      <w:pPr>
        <w:spacing w:after="0" w:line="135" w:lineRule="exact"/>
        <w:rPr>
          <w:sz w:val="24"/>
          <w:szCs w:val="24"/>
          <w:color w:val="auto"/>
        </w:rPr>
      </w:pPr>
    </w:p>
    <w:p>
      <w:pPr>
        <w:ind w:left="640" w:hanging="621"/>
        <w:spacing w:after="0"/>
        <w:tabs>
          <w:tab w:leader="none" w:pos="640" w:val="left"/>
        </w:tabs>
        <w:numPr>
          <w:ilvl w:val="0"/>
          <w:numId w:val="2"/>
        </w:numPr>
        <w:rPr>
          <w:rFonts w:ascii="MS PGothic" w:cs="MS PGothic" w:eastAsia="MS PGothic" w:hAnsi="MS PGothic"/>
          <w:sz w:val="14"/>
          <w:szCs w:val="14"/>
          <w:color w:val="131E29"/>
        </w:rPr>
      </w:pPr>
      <w:r>
        <w:rPr>
          <w:rFonts w:ascii="Arial" w:cs="Arial" w:eastAsia="Arial" w:hAnsi="Arial"/>
          <w:sz w:val="14"/>
          <w:szCs w:val="14"/>
          <w:b w:val="1"/>
          <w:bCs w:val="1"/>
          <w:color w:val="131E29"/>
        </w:rPr>
        <w:t>TRANSITION REPORT PURSUANT TO SECTION 13 OR 15(d) OF THE SECURITIES EXCHANGE ACT OF 1934</w:t>
      </w:r>
    </w:p>
    <w:p>
      <w:pPr>
        <w:spacing w:after="0" w:line="315"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131E29"/>
        </w:rPr>
        <w:t>For the transition period from ________ to ________</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Commission file number 001-40798</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3050540</wp:posOffset>
            </wp:positionH>
            <wp:positionV relativeFrom="paragraph">
              <wp:posOffset>5715</wp:posOffset>
            </wp:positionV>
            <wp:extent cx="1067435" cy="537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743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31E29"/>
        </w:rPr>
        <w:t>DUTCH BROS INC.</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(Exact name of registrant as specified in its charter)</w:t>
      </w:r>
    </w:p>
    <w:p>
      <w:pPr>
        <w:spacing w:after="0" w:line="8"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4220" w:type="dxa"/>
            <w:vAlign w:val="bottom"/>
            <w:gridSpan w:val="2"/>
          </w:tcPr>
          <w:p>
            <w:pPr>
              <w:jc w:val="center"/>
              <w:ind w:right="2454"/>
              <w:spacing w:after="0"/>
              <w:rPr>
                <w:sz w:val="20"/>
                <w:szCs w:val="20"/>
                <w:color w:val="auto"/>
              </w:rPr>
            </w:pPr>
            <w:r>
              <w:rPr>
                <w:rFonts w:ascii="Arial" w:cs="Arial" w:eastAsia="Arial" w:hAnsi="Arial"/>
                <w:sz w:val="14"/>
                <w:szCs w:val="14"/>
                <w:b w:val="1"/>
                <w:bCs w:val="1"/>
                <w:color w:val="131E29"/>
              </w:rPr>
              <w:t>Delaware</w:t>
            </w:r>
          </w:p>
        </w:tc>
        <w:tc>
          <w:tcPr>
            <w:tcW w:w="4200" w:type="dxa"/>
            <w:vAlign w:val="bottom"/>
            <w:gridSpan w:val="2"/>
            <w:vMerge w:val="restart"/>
          </w:tcPr>
          <w:p>
            <w:pPr>
              <w:jc w:val="right"/>
              <w:ind w:right="2734"/>
              <w:spacing w:after="0"/>
              <w:rPr>
                <w:sz w:val="20"/>
                <w:szCs w:val="20"/>
                <w:color w:val="auto"/>
              </w:rPr>
            </w:pPr>
            <w:r>
              <w:rPr>
                <w:rFonts w:ascii="Arial" w:cs="Arial" w:eastAsia="Arial" w:hAnsi="Arial"/>
                <w:sz w:val="14"/>
                <w:szCs w:val="14"/>
                <w:b w:val="1"/>
                <w:bCs w:val="1"/>
                <w:color w:val="131E29"/>
              </w:rPr>
              <w:t>87-1041305</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880" w:type="dxa"/>
            <w:vAlign w:val="bottom"/>
          </w:tcPr>
          <w:p>
            <w:pPr>
              <w:spacing w:after="0"/>
              <w:rPr>
                <w:sz w:val="14"/>
                <w:szCs w:val="14"/>
                <w:color w:val="auto"/>
              </w:rPr>
            </w:pPr>
          </w:p>
        </w:tc>
        <w:tc>
          <w:tcPr>
            <w:tcW w:w="4220" w:type="dxa"/>
            <w:vAlign w:val="bottom"/>
            <w:gridSpan w:val="2"/>
          </w:tcPr>
          <w:p>
            <w:pPr>
              <w:jc w:val="center"/>
              <w:ind w:right="2474"/>
              <w:spacing w:after="0"/>
              <w:rPr>
                <w:sz w:val="20"/>
                <w:szCs w:val="20"/>
                <w:color w:val="auto"/>
              </w:rPr>
            </w:pPr>
            <w:r>
              <w:rPr>
                <w:rFonts w:ascii="Arial" w:cs="Arial" w:eastAsia="Arial" w:hAnsi="Arial"/>
                <w:sz w:val="11"/>
                <w:szCs w:val="11"/>
                <w:color w:val="131E29"/>
              </w:rPr>
              <w:t>(State or other jurisdiction of</w:t>
            </w:r>
          </w:p>
        </w:tc>
        <w:tc>
          <w:tcPr>
            <w:tcW w:w="4200" w:type="dxa"/>
            <w:vAlign w:val="bottom"/>
            <w:gridSpan w:val="2"/>
          </w:tcPr>
          <w:p>
            <w:pPr>
              <w:jc w:val="center"/>
              <w:ind w:right="2094"/>
              <w:spacing w:after="0"/>
              <w:rPr>
                <w:sz w:val="20"/>
                <w:szCs w:val="20"/>
                <w:color w:val="auto"/>
              </w:rPr>
            </w:pPr>
            <w:r>
              <w:rPr>
                <w:rFonts w:ascii="Arial" w:cs="Arial" w:eastAsia="Arial" w:hAnsi="Arial"/>
                <w:sz w:val="11"/>
                <w:szCs w:val="11"/>
                <w:color w:val="131E29"/>
              </w:rPr>
              <w:t>(I.R.S. Employer Identification No.)</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4220" w:type="dxa"/>
            <w:vAlign w:val="bottom"/>
            <w:gridSpan w:val="2"/>
          </w:tcPr>
          <w:p>
            <w:pPr>
              <w:jc w:val="center"/>
              <w:ind w:right="2454"/>
              <w:spacing w:after="0"/>
              <w:rPr>
                <w:sz w:val="20"/>
                <w:szCs w:val="20"/>
                <w:color w:val="auto"/>
              </w:rPr>
            </w:pPr>
            <w:r>
              <w:rPr>
                <w:rFonts w:ascii="Arial" w:cs="Arial" w:eastAsia="Arial" w:hAnsi="Arial"/>
                <w:sz w:val="11"/>
                <w:szCs w:val="11"/>
                <w:color w:val="131E29"/>
              </w:rPr>
              <w:t>incorporation or organization)</w:t>
            </w:r>
          </w:p>
        </w:tc>
        <w:tc>
          <w:tcPr>
            <w:tcW w:w="4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880" w:type="dxa"/>
            <w:vAlign w:val="bottom"/>
          </w:tcPr>
          <w:p>
            <w:pPr>
              <w:spacing w:after="0"/>
              <w:rPr>
                <w:sz w:val="22"/>
                <w:szCs w:val="22"/>
                <w:color w:val="auto"/>
              </w:rPr>
            </w:pPr>
          </w:p>
        </w:tc>
        <w:tc>
          <w:tcPr>
            <w:tcW w:w="4220" w:type="dxa"/>
            <w:vAlign w:val="bottom"/>
            <w:gridSpan w:val="2"/>
          </w:tcPr>
          <w:p>
            <w:pPr>
              <w:jc w:val="center"/>
              <w:ind w:right="2454"/>
              <w:spacing w:after="0"/>
              <w:rPr>
                <w:sz w:val="20"/>
                <w:szCs w:val="20"/>
                <w:color w:val="auto"/>
              </w:rPr>
            </w:pPr>
            <w:r>
              <w:rPr>
                <w:rFonts w:ascii="Arial" w:cs="Arial" w:eastAsia="Arial" w:hAnsi="Arial"/>
                <w:sz w:val="14"/>
                <w:szCs w:val="14"/>
                <w:b w:val="1"/>
                <w:bCs w:val="1"/>
                <w:color w:val="131E29"/>
                <w:w w:val="99"/>
              </w:rPr>
              <w:t>110 SW 4th Street</w:t>
            </w:r>
          </w:p>
        </w:tc>
        <w:tc>
          <w:tcPr>
            <w:tcW w:w="4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2880" w:type="dxa"/>
            <w:vAlign w:val="bottom"/>
          </w:tcPr>
          <w:p>
            <w:pPr>
              <w:spacing w:after="0"/>
              <w:rPr>
                <w:sz w:val="24"/>
                <w:szCs w:val="2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b w:val="1"/>
                <w:bCs w:val="1"/>
                <w:color w:val="131E29"/>
              </w:rPr>
              <w:t>Grants Pass, Oregon</w:t>
            </w:r>
          </w:p>
        </w:tc>
        <w:tc>
          <w:tcPr>
            <w:tcW w:w="4200" w:type="dxa"/>
            <w:vAlign w:val="bottom"/>
            <w:gridSpan w:val="2"/>
          </w:tcPr>
          <w:p>
            <w:pPr>
              <w:jc w:val="right"/>
              <w:ind w:right="2914"/>
              <w:spacing w:after="0"/>
              <w:rPr>
                <w:sz w:val="20"/>
                <w:szCs w:val="20"/>
                <w:color w:val="auto"/>
              </w:rPr>
            </w:pPr>
            <w:r>
              <w:rPr>
                <w:rFonts w:ascii="Arial" w:cs="Arial" w:eastAsia="Arial" w:hAnsi="Arial"/>
                <w:sz w:val="14"/>
                <w:szCs w:val="14"/>
                <w:b w:val="1"/>
                <w:bCs w:val="1"/>
                <w:color w:val="131E29"/>
              </w:rPr>
              <w:t>97526</w:t>
            </w:r>
          </w:p>
        </w:tc>
        <w:tc>
          <w:tcPr>
            <w:tcW w:w="0" w:type="dxa"/>
            <w:vAlign w:val="bottom"/>
          </w:tcPr>
          <w:p>
            <w:pPr>
              <w:spacing w:after="0"/>
              <w:rPr>
                <w:sz w:val="1"/>
                <w:szCs w:val="1"/>
                <w:color w:val="auto"/>
              </w:rPr>
            </w:pPr>
          </w:p>
        </w:tc>
      </w:tr>
      <w:tr>
        <w:trPr>
          <w:trHeight w:val="174"/>
        </w:trPr>
        <w:tc>
          <w:tcPr>
            <w:tcW w:w="7100" w:type="dxa"/>
            <w:vAlign w:val="bottom"/>
            <w:gridSpan w:val="3"/>
          </w:tcPr>
          <w:p>
            <w:pPr>
              <w:jc w:val="center"/>
              <w:ind w:left="272"/>
              <w:spacing w:after="0"/>
              <w:rPr>
                <w:sz w:val="20"/>
                <w:szCs w:val="20"/>
                <w:color w:val="auto"/>
              </w:rPr>
            </w:pPr>
            <w:r>
              <w:rPr>
                <w:rFonts w:ascii="Arial" w:cs="Arial" w:eastAsia="Arial" w:hAnsi="Arial"/>
                <w:sz w:val="11"/>
                <w:szCs w:val="11"/>
                <w:color w:val="131E29"/>
              </w:rPr>
              <w:t>(Address of principal executive offices)</w:t>
            </w:r>
          </w:p>
        </w:tc>
        <w:tc>
          <w:tcPr>
            <w:tcW w:w="460" w:type="dxa"/>
            <w:vAlign w:val="bottom"/>
          </w:tcPr>
          <w:p>
            <w:pPr>
              <w:spacing w:after="0"/>
              <w:rPr>
                <w:sz w:val="15"/>
                <w:szCs w:val="15"/>
                <w:color w:val="auto"/>
              </w:rPr>
            </w:pPr>
          </w:p>
        </w:tc>
        <w:tc>
          <w:tcPr>
            <w:tcW w:w="3740" w:type="dxa"/>
            <w:vAlign w:val="bottom"/>
          </w:tcPr>
          <w:p>
            <w:pPr>
              <w:jc w:val="center"/>
              <w:ind w:right="2554"/>
              <w:spacing w:after="0"/>
              <w:rPr>
                <w:sz w:val="20"/>
                <w:szCs w:val="20"/>
                <w:color w:val="auto"/>
              </w:rPr>
            </w:pPr>
            <w:r>
              <w:rPr>
                <w:rFonts w:ascii="Arial" w:cs="Arial" w:eastAsia="Arial" w:hAnsi="Arial"/>
                <w:sz w:val="11"/>
                <w:szCs w:val="11"/>
                <w:color w:val="131E29"/>
                <w:w w:val="99"/>
              </w:rPr>
              <w:t>(Zip Code)</w:t>
            </w:r>
          </w:p>
        </w:tc>
        <w:tc>
          <w:tcPr>
            <w:tcW w:w="0" w:type="dxa"/>
            <w:vAlign w:val="bottom"/>
          </w:tcPr>
          <w:p>
            <w:pPr>
              <w:spacing w:after="0"/>
              <w:rPr>
                <w:sz w:val="1"/>
                <w:szCs w:val="1"/>
                <w:color w:val="auto"/>
              </w:rPr>
            </w:pPr>
          </w:p>
        </w:tc>
      </w:tr>
      <w:tr>
        <w:trPr>
          <w:trHeight w:val="397"/>
        </w:trPr>
        <w:tc>
          <w:tcPr>
            <w:tcW w:w="2880" w:type="dxa"/>
            <w:vAlign w:val="bottom"/>
          </w:tcPr>
          <w:p>
            <w:pPr>
              <w:spacing w:after="0"/>
              <w:rPr>
                <w:sz w:val="24"/>
                <w:szCs w:val="24"/>
                <w:color w:val="auto"/>
              </w:rPr>
            </w:pPr>
          </w:p>
        </w:tc>
        <w:tc>
          <w:tcPr>
            <w:tcW w:w="4220" w:type="dxa"/>
            <w:vAlign w:val="bottom"/>
            <w:gridSpan w:val="2"/>
          </w:tcPr>
          <w:p>
            <w:pPr>
              <w:jc w:val="center"/>
              <w:ind w:right="894"/>
              <w:spacing w:after="0"/>
              <w:rPr>
                <w:sz w:val="20"/>
                <w:szCs w:val="20"/>
                <w:color w:val="auto"/>
              </w:rPr>
            </w:pPr>
            <w:r>
              <w:rPr>
                <w:rFonts w:ascii="Arial" w:cs="Arial" w:eastAsia="Arial" w:hAnsi="Arial"/>
                <w:sz w:val="14"/>
                <w:szCs w:val="14"/>
                <w:color w:val="131E29"/>
              </w:rPr>
              <w:t>(</w:t>
            </w:r>
            <w:r>
              <w:rPr>
                <w:rFonts w:ascii="Arial" w:cs="Arial" w:eastAsia="Arial" w:hAnsi="Arial"/>
                <w:sz w:val="14"/>
                <w:szCs w:val="14"/>
                <w:b w:val="1"/>
                <w:bCs w:val="1"/>
                <w:color w:val="131E29"/>
              </w:rPr>
              <w:t>541</w:t>
            </w:r>
            <w:r>
              <w:rPr>
                <w:rFonts w:ascii="Arial" w:cs="Arial" w:eastAsia="Arial" w:hAnsi="Arial"/>
                <w:sz w:val="14"/>
                <w:szCs w:val="14"/>
                <w:color w:val="131E29"/>
              </w:rPr>
              <w:t xml:space="preserve">) </w:t>
            </w:r>
            <w:r>
              <w:rPr>
                <w:rFonts w:ascii="Arial" w:cs="Arial" w:eastAsia="Arial" w:hAnsi="Arial"/>
                <w:sz w:val="14"/>
                <w:szCs w:val="14"/>
                <w:b w:val="1"/>
                <w:bCs w:val="1"/>
                <w:color w:val="131E29"/>
              </w:rPr>
              <w:t>955-4700</w:t>
            </w:r>
          </w:p>
        </w:tc>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00" w:type="dxa"/>
            <w:vAlign w:val="bottom"/>
          </w:tcPr>
          <w:p>
            <w:pPr>
              <w:jc w:val="center"/>
              <w:ind w:left="314"/>
              <w:spacing w:after="0"/>
              <w:rPr>
                <w:sz w:val="20"/>
                <w:szCs w:val="20"/>
                <w:color w:val="auto"/>
              </w:rPr>
            </w:pPr>
            <w:r>
              <w:rPr>
                <w:rFonts w:ascii="Arial" w:cs="Arial" w:eastAsia="Arial" w:hAnsi="Arial"/>
                <w:sz w:val="11"/>
                <w:szCs w:val="11"/>
                <w:color w:val="131E29"/>
              </w:rPr>
              <w:t>(Registrant's telephone number, including area code)</w:t>
            </w:r>
          </w:p>
        </w:tc>
        <w:tc>
          <w:tcPr>
            <w:tcW w:w="4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422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______________________________</w:t>
            </w:r>
          </w:p>
        </w:tc>
        <w:tc>
          <w:tcPr>
            <w:tcW w:w="4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00" w:type="dxa"/>
            <w:vAlign w:val="bottom"/>
            <w:gridSpan w:val="3"/>
          </w:tcPr>
          <w:p>
            <w:pPr>
              <w:spacing w:after="0"/>
              <w:rPr>
                <w:sz w:val="20"/>
                <w:szCs w:val="20"/>
                <w:color w:val="auto"/>
              </w:rPr>
            </w:pPr>
            <w:r>
              <w:rPr>
                <w:rFonts w:ascii="Arial" w:cs="Arial" w:eastAsia="Arial" w:hAnsi="Arial"/>
                <w:sz w:val="14"/>
                <w:szCs w:val="14"/>
                <w:b w:val="1"/>
                <w:bCs w:val="1"/>
                <w:color w:val="131E29"/>
              </w:rPr>
              <w:t>Securities registered pursuant to Section 12(b) of the Act:</w:t>
            </w:r>
          </w:p>
        </w:tc>
        <w:tc>
          <w:tcPr>
            <w:tcW w:w="4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tcBorders>
          </w:tcPr>
          <w:p>
            <w:pPr>
              <w:jc w:val="center"/>
              <w:ind w:left="852"/>
              <w:spacing w:after="0"/>
              <w:rPr>
                <w:sz w:val="20"/>
                <w:szCs w:val="20"/>
                <w:color w:val="auto"/>
              </w:rPr>
            </w:pPr>
            <w:r>
              <w:rPr>
                <w:rFonts w:ascii="Arial" w:cs="Arial" w:eastAsia="Arial" w:hAnsi="Arial"/>
                <w:sz w:val="14"/>
                <w:szCs w:val="14"/>
                <w:b w:val="1"/>
                <w:bCs w:val="1"/>
                <w:color w:val="131E29"/>
                <w:w w:val="99"/>
              </w:rPr>
              <w:t>Title of Each Class</w:t>
            </w:r>
          </w:p>
        </w:tc>
        <w:tc>
          <w:tcPr>
            <w:tcW w:w="920" w:type="dxa"/>
            <w:vAlign w:val="bottom"/>
            <w:tcBorders>
              <w:bottom w:val="single" w:sz="8" w:color="auto"/>
              <w:right w:val="single" w:sz="8" w:color="auto"/>
            </w:tcBorders>
          </w:tcPr>
          <w:p>
            <w:pPr>
              <w:spacing w:after="0"/>
              <w:rPr>
                <w:sz w:val="17"/>
                <w:szCs w:val="17"/>
                <w:color w:val="auto"/>
              </w:rPr>
            </w:pPr>
          </w:p>
        </w:tc>
        <w:tc>
          <w:tcPr>
            <w:tcW w:w="3300" w:type="dxa"/>
            <w:vAlign w:val="bottom"/>
            <w:tcBorders>
              <w:bottom w:val="single" w:sz="8" w:color="auto"/>
            </w:tcBorders>
          </w:tcPr>
          <w:p>
            <w:pPr>
              <w:jc w:val="center"/>
              <w:ind w:left="354"/>
              <w:spacing w:after="0"/>
              <w:rPr>
                <w:sz w:val="20"/>
                <w:szCs w:val="20"/>
                <w:color w:val="auto"/>
              </w:rPr>
            </w:pPr>
            <w:r>
              <w:rPr>
                <w:rFonts w:ascii="Arial" w:cs="Arial" w:eastAsia="Arial" w:hAnsi="Arial"/>
                <w:sz w:val="14"/>
                <w:szCs w:val="14"/>
                <w:b w:val="1"/>
                <w:bCs w:val="1"/>
                <w:color w:val="131E29"/>
                <w:w w:val="98"/>
              </w:rPr>
              <w:t>Trading Symbol</w:t>
            </w:r>
          </w:p>
        </w:tc>
        <w:tc>
          <w:tcPr>
            <w:tcW w:w="46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131E29"/>
              </w:rPr>
              <w:t>Name of Exchange on which Registered</w:t>
            </w:r>
          </w:p>
        </w:tc>
        <w:tc>
          <w:tcPr>
            <w:tcW w:w="0" w:type="dxa"/>
            <w:vAlign w:val="bottom"/>
          </w:tcPr>
          <w:p>
            <w:pPr>
              <w:spacing w:after="0"/>
              <w:rPr>
                <w:sz w:val="1"/>
                <w:szCs w:val="1"/>
                <w:color w:val="auto"/>
              </w:rPr>
            </w:pPr>
          </w:p>
        </w:tc>
      </w:tr>
      <w:tr>
        <w:trPr>
          <w:trHeight w:val="172"/>
        </w:trPr>
        <w:tc>
          <w:tcPr>
            <w:tcW w:w="2880" w:type="dxa"/>
            <w:vAlign w:val="bottom"/>
            <w:tcBorders>
              <w:left w:val="single" w:sz="8" w:color="auto"/>
            </w:tcBorders>
          </w:tcPr>
          <w:p>
            <w:pPr>
              <w:jc w:val="center"/>
              <w:ind w:left="812"/>
              <w:spacing w:after="0"/>
              <w:rPr>
                <w:sz w:val="20"/>
                <w:szCs w:val="20"/>
                <w:color w:val="auto"/>
              </w:rPr>
            </w:pPr>
            <w:r>
              <w:rPr>
                <w:rFonts w:ascii="Arial" w:cs="Arial" w:eastAsia="Arial" w:hAnsi="Arial"/>
                <w:sz w:val="14"/>
                <w:szCs w:val="14"/>
                <w:color w:val="auto"/>
              </w:rPr>
              <w:t>Class A Common Stock,</w:t>
            </w:r>
          </w:p>
        </w:tc>
        <w:tc>
          <w:tcPr>
            <w:tcW w:w="920" w:type="dxa"/>
            <w:vAlign w:val="bottom"/>
            <w:tcBorders>
              <w:right w:val="single" w:sz="8" w:color="auto"/>
            </w:tcBorders>
          </w:tcPr>
          <w:p>
            <w:pPr>
              <w:spacing w:after="0"/>
              <w:rPr>
                <w:sz w:val="14"/>
                <w:szCs w:val="14"/>
                <w:color w:val="auto"/>
              </w:rPr>
            </w:pPr>
          </w:p>
        </w:tc>
        <w:tc>
          <w:tcPr>
            <w:tcW w:w="33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tcBorders>
          </w:tcPr>
          <w:p>
            <w:pPr>
              <w:jc w:val="center"/>
              <w:ind w:left="852"/>
              <w:spacing w:after="0"/>
              <w:rPr>
                <w:sz w:val="20"/>
                <w:szCs w:val="20"/>
                <w:color w:val="auto"/>
              </w:rPr>
            </w:pPr>
            <w:r>
              <w:rPr>
                <w:rFonts w:ascii="Arial" w:cs="Arial" w:eastAsia="Arial" w:hAnsi="Arial"/>
                <w:sz w:val="14"/>
                <w:szCs w:val="14"/>
                <w:color w:val="auto"/>
              </w:rPr>
              <w:t>par value $0.00001 per share</w:t>
            </w:r>
          </w:p>
        </w:tc>
        <w:tc>
          <w:tcPr>
            <w:tcW w:w="920" w:type="dxa"/>
            <w:vAlign w:val="bottom"/>
            <w:tcBorders>
              <w:bottom w:val="single" w:sz="8" w:color="auto"/>
              <w:right w:val="single" w:sz="8" w:color="auto"/>
            </w:tcBorders>
          </w:tcPr>
          <w:p>
            <w:pPr>
              <w:spacing w:after="0"/>
              <w:rPr>
                <w:sz w:val="17"/>
                <w:szCs w:val="17"/>
                <w:color w:val="auto"/>
              </w:rPr>
            </w:pPr>
          </w:p>
        </w:tc>
        <w:tc>
          <w:tcPr>
            <w:tcW w:w="3300" w:type="dxa"/>
            <w:vAlign w:val="bottom"/>
            <w:tcBorders>
              <w:bottom w:val="single" w:sz="8" w:color="auto"/>
            </w:tcBorders>
          </w:tcPr>
          <w:p>
            <w:pPr>
              <w:jc w:val="center"/>
              <w:ind w:left="354"/>
              <w:spacing w:after="0"/>
              <w:rPr>
                <w:sz w:val="20"/>
                <w:szCs w:val="20"/>
                <w:color w:val="auto"/>
              </w:rPr>
            </w:pPr>
            <w:r>
              <w:rPr>
                <w:rFonts w:ascii="Arial" w:cs="Arial" w:eastAsia="Arial" w:hAnsi="Arial"/>
                <w:sz w:val="14"/>
                <w:szCs w:val="14"/>
                <w:color w:val="auto"/>
              </w:rPr>
              <w:t>BROS</w:t>
            </w:r>
          </w:p>
        </w:tc>
        <w:tc>
          <w:tcPr>
            <w:tcW w:w="46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131E29"/>
              </w:rPr>
              <w:t>The New York Stock Exchange</w:t>
            </w:r>
          </w:p>
        </w:tc>
        <w:tc>
          <w:tcPr>
            <w:tcW w:w="0" w:type="dxa"/>
            <w:vAlign w:val="bottom"/>
          </w:tcPr>
          <w:p>
            <w:pPr>
              <w:spacing w:after="0"/>
              <w:rPr>
                <w:sz w:val="1"/>
                <w:szCs w:val="1"/>
                <w:color w:val="auto"/>
              </w:rPr>
            </w:pPr>
          </w:p>
        </w:tc>
      </w:tr>
      <w:tr>
        <w:trPr>
          <w:trHeight w:val="1164"/>
        </w:trPr>
        <w:tc>
          <w:tcPr>
            <w:tcW w:w="2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131E29"/>
        </w:rPr>
        <w:t xml:space="preserve">Securities registered pursuant to section 12(g) of the Act: </w:t>
      </w:r>
      <w:r>
        <w:rPr>
          <w:rFonts w:ascii="Arial" w:cs="Arial" w:eastAsia="Arial" w:hAnsi="Arial"/>
          <w:sz w:val="14"/>
          <w:szCs w:val="14"/>
          <w:b w:val="1"/>
          <w:bCs w:val="1"/>
          <w:color w:val="131E29"/>
        </w:rPr>
        <w:t>None</w:t>
      </w:r>
    </w:p>
    <w:p>
      <w:pPr>
        <w:spacing w:after="0" w:line="104"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if the registrant is a well-known seasoned issuer, as defined in Rule 405 of the Securities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35"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if the registrant is not required to file reports pursuant to Section 13 or Section 15(d) of the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66"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Indicate by check mark whether the registrant is a large accelerated filer, an accelerated filer, a non-accelerated filer, a smaller reporting company, or an emerging growth company.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See the definitions of “large accelerated filer,” “accelerated filer,” “smaller reporting company,” and “emerging growth company” in Rule 12b-2 of the Exchange Act.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800" w:type="dxa"/>
            <w:vAlign w:val="bottom"/>
          </w:tcPr>
          <w:p>
            <w:pPr>
              <w:spacing w:after="0"/>
              <w:rPr>
                <w:sz w:val="20"/>
                <w:szCs w:val="20"/>
                <w:color w:val="auto"/>
              </w:rPr>
            </w:pPr>
            <w:r>
              <w:rPr>
                <w:rFonts w:ascii="Arial" w:cs="Arial" w:eastAsia="Arial" w:hAnsi="Arial"/>
                <w:sz w:val="14"/>
                <w:szCs w:val="14"/>
                <w:color w:val="131E29"/>
              </w:rPr>
              <w:t>Large accelerated filer</w:t>
            </w:r>
          </w:p>
        </w:tc>
        <w:tc>
          <w:tcPr>
            <w:tcW w:w="2640" w:type="dxa"/>
            <w:vAlign w:val="bottom"/>
          </w:tcPr>
          <w:p>
            <w:pPr>
              <w:ind w:left="1400"/>
              <w:spacing w:after="0" w:line="141" w:lineRule="exact"/>
              <w:rPr>
                <w:sz w:val="20"/>
                <w:szCs w:val="20"/>
                <w:color w:val="auto"/>
              </w:rPr>
            </w:pPr>
            <w:r>
              <w:rPr>
                <w:rFonts w:ascii="MS PGothic" w:cs="MS PGothic" w:eastAsia="MS PGothic" w:hAnsi="MS PGothic"/>
                <w:sz w:val="14"/>
                <w:szCs w:val="14"/>
                <w:color w:val="131E29"/>
              </w:rPr>
              <w:t>☒</w:t>
            </w:r>
          </w:p>
        </w:tc>
        <w:tc>
          <w:tcPr>
            <w:tcW w:w="4060" w:type="dxa"/>
            <w:vAlign w:val="bottom"/>
          </w:tcPr>
          <w:p>
            <w:pPr>
              <w:ind w:left="1120"/>
              <w:spacing w:after="0"/>
              <w:rPr>
                <w:sz w:val="20"/>
                <w:szCs w:val="20"/>
                <w:color w:val="auto"/>
              </w:rPr>
            </w:pPr>
            <w:r>
              <w:rPr>
                <w:rFonts w:ascii="Arial" w:cs="Arial" w:eastAsia="Arial" w:hAnsi="Arial"/>
                <w:sz w:val="14"/>
                <w:szCs w:val="14"/>
                <w:color w:val="131E29"/>
              </w:rPr>
              <w:t>Accelerated filer</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71"/>
              </w:rPr>
              <w:t>☐</w:t>
            </w:r>
          </w:p>
        </w:tc>
      </w:tr>
      <w:tr>
        <w:trPr>
          <w:trHeight w:val="211"/>
        </w:trPr>
        <w:tc>
          <w:tcPr>
            <w:tcW w:w="2800" w:type="dxa"/>
            <w:vAlign w:val="bottom"/>
          </w:tcPr>
          <w:p>
            <w:pPr>
              <w:spacing w:after="0"/>
              <w:rPr>
                <w:sz w:val="20"/>
                <w:szCs w:val="20"/>
                <w:color w:val="auto"/>
              </w:rPr>
            </w:pPr>
            <w:r>
              <w:rPr>
                <w:rFonts w:ascii="Arial" w:cs="Arial" w:eastAsia="Arial" w:hAnsi="Arial"/>
                <w:sz w:val="14"/>
                <w:szCs w:val="14"/>
                <w:color w:val="131E29"/>
              </w:rPr>
              <w:t>Non-accelerated filer</w:t>
            </w:r>
          </w:p>
        </w:tc>
        <w:tc>
          <w:tcPr>
            <w:tcW w:w="2640" w:type="dxa"/>
            <w:vAlign w:val="bottom"/>
          </w:tcPr>
          <w:p>
            <w:pPr>
              <w:ind w:left="1400"/>
              <w:spacing w:after="0" w:line="141" w:lineRule="exact"/>
              <w:rPr>
                <w:sz w:val="20"/>
                <w:szCs w:val="20"/>
                <w:color w:val="auto"/>
              </w:rPr>
            </w:pPr>
            <w:r>
              <w:rPr>
                <w:rFonts w:ascii="MS PGothic" w:cs="MS PGothic" w:eastAsia="MS PGothic" w:hAnsi="MS PGothic"/>
                <w:sz w:val="14"/>
                <w:szCs w:val="14"/>
                <w:color w:val="131E29"/>
              </w:rPr>
              <w:t>☐</w:t>
            </w:r>
          </w:p>
        </w:tc>
        <w:tc>
          <w:tcPr>
            <w:tcW w:w="4060" w:type="dxa"/>
            <w:vAlign w:val="bottom"/>
          </w:tcPr>
          <w:p>
            <w:pPr>
              <w:ind w:left="1120"/>
              <w:spacing w:after="0"/>
              <w:rPr>
                <w:sz w:val="20"/>
                <w:szCs w:val="20"/>
                <w:color w:val="auto"/>
              </w:rPr>
            </w:pPr>
            <w:r>
              <w:rPr>
                <w:rFonts w:ascii="Arial" w:cs="Arial" w:eastAsia="Arial" w:hAnsi="Arial"/>
                <w:sz w:val="14"/>
                <w:szCs w:val="14"/>
                <w:color w:val="131E29"/>
              </w:rPr>
              <w:t>Smaller reporting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71"/>
              </w:rPr>
              <w:t>☐</w:t>
            </w:r>
          </w:p>
        </w:tc>
      </w:tr>
      <w:tr>
        <w:trPr>
          <w:trHeight w:val="237"/>
        </w:trPr>
        <w:tc>
          <w:tcPr>
            <w:tcW w:w="28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60" w:type="dxa"/>
            <w:vAlign w:val="bottom"/>
          </w:tcPr>
          <w:p>
            <w:pPr>
              <w:ind w:left="1120"/>
              <w:spacing w:after="0"/>
              <w:rPr>
                <w:sz w:val="20"/>
                <w:szCs w:val="20"/>
                <w:color w:val="auto"/>
              </w:rPr>
            </w:pPr>
            <w:r>
              <w:rPr>
                <w:rFonts w:ascii="Arial" w:cs="Arial" w:eastAsia="Arial" w:hAnsi="Arial"/>
                <w:sz w:val="14"/>
                <w:szCs w:val="14"/>
                <w:color w:val="131E29"/>
              </w:rPr>
              <w:t>Emerging growth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71"/>
              </w:rPr>
              <w:t>☐</w:t>
            </w:r>
          </w:p>
        </w:tc>
      </w:tr>
    </w:tbl>
    <w:p>
      <w:pPr>
        <w:spacing w:after="0" w:line="186"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131E29"/>
        </w:rPr>
        <w:t>☐</w:t>
      </w:r>
    </w:p>
    <w:p>
      <w:pPr>
        <w:spacing w:after="0" w:line="60"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whether the registrant is a shell company (as defined in Rule 12b-2 of the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The aggregate market value of the voting and non-voting stock held by non-affiliates of the Registrant, as of June 30, 2023, the last business day of the registrant's most recently completed second fiscal quarter, was approximately $1.2 billion, computed using the closing price on that day of $28.45.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20"/>
                <w:szCs w:val="20"/>
                <w:color w:val="auto"/>
              </w:rPr>
            </w:pPr>
            <w:r>
              <w:rPr>
                <w:rFonts w:ascii="Arial" w:cs="Arial" w:eastAsia="Arial" w:hAnsi="Arial"/>
                <w:sz w:val="14"/>
                <w:szCs w:val="14"/>
                <w:color w:val="131E29"/>
              </w:rPr>
              <w:t>As of February 16, 2024, the registrant’s outstanding shares of common stock were as follows:</w:t>
            </w:r>
          </w:p>
        </w:tc>
        <w:tc>
          <w:tcPr>
            <w:tcW w:w="1160" w:type="dxa"/>
            <w:vAlign w:val="bottom"/>
          </w:tcPr>
          <w:p>
            <w:pPr>
              <w:spacing w:after="0"/>
              <w:rPr>
                <w:sz w:val="16"/>
                <w:szCs w:val="16"/>
                <w:color w:val="auto"/>
              </w:rPr>
            </w:pPr>
          </w:p>
        </w:tc>
      </w:tr>
      <w:tr>
        <w:trPr>
          <w:trHeight w:val="402"/>
        </w:trPr>
        <w:tc>
          <w:tcPr>
            <w:tcW w:w="6340" w:type="dxa"/>
            <w:vAlign w:val="bottom"/>
          </w:tcPr>
          <w:p>
            <w:pPr>
              <w:ind w:left="3420"/>
              <w:spacing w:after="0"/>
              <w:rPr>
                <w:sz w:val="20"/>
                <w:szCs w:val="20"/>
                <w:color w:val="auto"/>
              </w:rPr>
            </w:pPr>
            <w:r>
              <w:rPr>
                <w:rFonts w:ascii="Arial" w:cs="Arial" w:eastAsia="Arial" w:hAnsi="Arial"/>
                <w:sz w:val="14"/>
                <w:szCs w:val="14"/>
                <w:color w:val="auto"/>
              </w:rPr>
              <w:t>Class A common stock</w:t>
            </w:r>
          </w:p>
        </w:tc>
        <w:tc>
          <w:tcPr>
            <w:tcW w:w="1160" w:type="dxa"/>
            <w:vAlign w:val="bottom"/>
          </w:tcPr>
          <w:p>
            <w:pPr>
              <w:jc w:val="right"/>
              <w:spacing w:after="0"/>
              <w:rPr>
                <w:sz w:val="20"/>
                <w:szCs w:val="20"/>
                <w:color w:val="auto"/>
              </w:rPr>
            </w:pPr>
            <w:r>
              <w:rPr>
                <w:rFonts w:ascii="Arial" w:cs="Arial" w:eastAsia="Arial" w:hAnsi="Arial"/>
                <w:sz w:val="14"/>
                <w:szCs w:val="14"/>
                <w:color w:val="auto"/>
              </w:rPr>
              <w:t>70,544,036</w:t>
            </w:r>
          </w:p>
        </w:tc>
      </w:tr>
      <w:tr>
        <w:trPr>
          <w:trHeight w:val="211"/>
        </w:trPr>
        <w:tc>
          <w:tcPr>
            <w:tcW w:w="6340" w:type="dxa"/>
            <w:vAlign w:val="bottom"/>
          </w:tcPr>
          <w:p>
            <w:pPr>
              <w:ind w:left="3420"/>
              <w:spacing w:after="0"/>
              <w:rPr>
                <w:sz w:val="20"/>
                <w:szCs w:val="20"/>
                <w:color w:val="auto"/>
              </w:rPr>
            </w:pPr>
            <w:r>
              <w:rPr>
                <w:rFonts w:ascii="Arial" w:cs="Arial" w:eastAsia="Arial" w:hAnsi="Arial"/>
                <w:sz w:val="14"/>
                <w:szCs w:val="14"/>
                <w:color w:val="auto"/>
              </w:rPr>
              <w:t>Class B common stock</w:t>
            </w:r>
          </w:p>
        </w:tc>
        <w:tc>
          <w:tcPr>
            <w:tcW w:w="1160" w:type="dxa"/>
            <w:vAlign w:val="bottom"/>
          </w:tcPr>
          <w:p>
            <w:pPr>
              <w:jc w:val="right"/>
              <w:spacing w:after="0"/>
              <w:rPr>
                <w:sz w:val="20"/>
                <w:szCs w:val="20"/>
                <w:color w:val="auto"/>
              </w:rPr>
            </w:pPr>
            <w:r>
              <w:rPr>
                <w:rFonts w:ascii="Arial" w:cs="Arial" w:eastAsia="Arial" w:hAnsi="Arial"/>
                <w:sz w:val="14"/>
                <w:szCs w:val="14"/>
                <w:color w:val="auto"/>
              </w:rPr>
              <w:t>60,071,226</w:t>
            </w:r>
          </w:p>
        </w:tc>
      </w:tr>
      <w:tr>
        <w:trPr>
          <w:trHeight w:val="211"/>
        </w:trPr>
        <w:tc>
          <w:tcPr>
            <w:tcW w:w="6340" w:type="dxa"/>
            <w:vAlign w:val="bottom"/>
          </w:tcPr>
          <w:p>
            <w:pPr>
              <w:ind w:left="3420"/>
              <w:spacing w:after="0"/>
              <w:rPr>
                <w:sz w:val="20"/>
                <w:szCs w:val="20"/>
                <w:color w:val="auto"/>
              </w:rPr>
            </w:pPr>
            <w:r>
              <w:rPr>
                <w:rFonts w:ascii="Arial" w:cs="Arial" w:eastAsia="Arial" w:hAnsi="Arial"/>
                <w:sz w:val="14"/>
                <w:szCs w:val="14"/>
                <w:color w:val="auto"/>
              </w:rPr>
              <w:t>Class C common stock</w:t>
            </w:r>
          </w:p>
        </w:tc>
        <w:tc>
          <w:tcPr>
            <w:tcW w:w="1160" w:type="dxa"/>
            <w:vAlign w:val="bottom"/>
          </w:tcPr>
          <w:p>
            <w:pPr>
              <w:jc w:val="right"/>
              <w:spacing w:after="0"/>
              <w:rPr>
                <w:sz w:val="20"/>
                <w:szCs w:val="20"/>
                <w:color w:val="auto"/>
              </w:rPr>
            </w:pPr>
            <w:r>
              <w:rPr>
                <w:rFonts w:ascii="Arial" w:cs="Arial" w:eastAsia="Arial" w:hAnsi="Arial"/>
                <w:sz w:val="14"/>
                <w:szCs w:val="14"/>
                <w:color w:val="auto"/>
              </w:rPr>
              <w:t>35,863,929</w:t>
            </w:r>
          </w:p>
        </w:tc>
      </w:tr>
      <w:tr>
        <w:trPr>
          <w:trHeight w:val="211"/>
        </w:trPr>
        <w:tc>
          <w:tcPr>
            <w:tcW w:w="6340" w:type="dxa"/>
            <w:vAlign w:val="bottom"/>
          </w:tcPr>
          <w:p>
            <w:pPr>
              <w:ind w:left="3420"/>
              <w:spacing w:after="0"/>
              <w:rPr>
                <w:sz w:val="20"/>
                <w:szCs w:val="20"/>
                <w:color w:val="auto"/>
              </w:rPr>
            </w:pPr>
            <w:r>
              <w:rPr>
                <w:rFonts w:ascii="Arial" w:cs="Arial" w:eastAsia="Arial" w:hAnsi="Arial"/>
                <w:sz w:val="14"/>
                <w:szCs w:val="14"/>
                <w:color w:val="auto"/>
              </w:rPr>
              <w:t>Class D common stock</w:t>
            </w:r>
          </w:p>
        </w:tc>
        <w:tc>
          <w:tcPr>
            <w:tcW w:w="1160" w:type="dxa"/>
            <w:vAlign w:val="bottom"/>
          </w:tcPr>
          <w:p>
            <w:pPr>
              <w:jc w:val="right"/>
              <w:spacing w:after="0"/>
              <w:rPr>
                <w:sz w:val="20"/>
                <w:szCs w:val="20"/>
                <w:color w:val="auto"/>
              </w:rPr>
            </w:pPr>
            <w:r>
              <w:rPr>
                <w:rFonts w:ascii="Arial" w:cs="Arial" w:eastAsia="Arial" w:hAnsi="Arial"/>
                <w:sz w:val="14"/>
                <w:szCs w:val="14"/>
                <w:color w:val="auto"/>
              </w:rPr>
              <w:t>10,668,841</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Documents Incorporated by Reference</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Portions of the registrant’s definitive proxy statement relating to the 2024 Annual Meeting of Stockholders of Dutch Bros Inc., which will be filed with the Securities and Exchange Commission within 120 days of December 31, 2023, are incorporated by reference in Items 10, 11, 12, 13, and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71621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wp:posOffset>
            </wp:positionV>
            <wp:extent cx="71621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26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1"/>
        </w:trPr>
        <w:tc>
          <w:tcPr>
            <w:tcW w:w="1900" w:type="dxa"/>
            <w:vAlign w:val="bottom"/>
          </w:tcPr>
          <w:p>
            <w:pPr>
              <w:spacing w:after="0"/>
              <w:rPr>
                <w:sz w:val="23"/>
                <w:szCs w:val="23"/>
                <w:color w:val="auto"/>
              </w:rPr>
            </w:pPr>
          </w:p>
        </w:tc>
        <w:tc>
          <w:tcPr>
            <w:tcW w:w="7860" w:type="dxa"/>
            <w:vAlign w:val="bottom"/>
          </w:tcPr>
          <w:p>
            <w:pPr>
              <w:jc w:val="center"/>
              <w:ind w:right="308"/>
              <w:spacing w:after="0"/>
              <w:rPr>
                <w:sz w:val="20"/>
                <w:szCs w:val="20"/>
                <w:color w:val="auto"/>
              </w:rPr>
            </w:pPr>
            <w:r>
              <w:rPr>
                <w:rFonts w:ascii="Arial" w:cs="Arial" w:eastAsia="Arial" w:hAnsi="Arial"/>
                <w:sz w:val="20"/>
                <w:szCs w:val="20"/>
                <w:b w:val="1"/>
                <w:bCs w:val="1"/>
                <w:color w:val="00416B"/>
                <w:w w:val="98"/>
              </w:rPr>
              <w:t>DUTCH BROS INC.</w:t>
            </w:r>
          </w:p>
        </w:tc>
        <w:tc>
          <w:tcPr>
            <w:tcW w:w="1520" w:type="dxa"/>
            <w:vAlign w:val="bottom"/>
          </w:tcPr>
          <w:p>
            <w:pPr>
              <w:spacing w:after="0"/>
              <w:rPr>
                <w:sz w:val="23"/>
                <w:szCs w:val="23"/>
                <w:color w:val="auto"/>
              </w:rPr>
            </w:pPr>
          </w:p>
        </w:tc>
      </w:tr>
      <w:tr>
        <w:trPr>
          <w:trHeight w:val="194"/>
        </w:trPr>
        <w:tc>
          <w:tcPr>
            <w:tcW w:w="1900" w:type="dxa"/>
            <w:vAlign w:val="bottom"/>
          </w:tcPr>
          <w:p>
            <w:pPr>
              <w:spacing w:after="0"/>
              <w:rPr>
                <w:sz w:val="16"/>
                <w:szCs w:val="16"/>
                <w:color w:val="auto"/>
              </w:rPr>
            </w:pPr>
          </w:p>
        </w:tc>
        <w:tc>
          <w:tcPr>
            <w:tcW w:w="7860" w:type="dxa"/>
            <w:vAlign w:val="bottom"/>
          </w:tcPr>
          <w:p>
            <w:pPr>
              <w:jc w:val="center"/>
              <w:ind w:right="308"/>
              <w:spacing w:after="0"/>
              <w:rPr>
                <w:sz w:val="20"/>
                <w:szCs w:val="20"/>
                <w:color w:val="auto"/>
              </w:rPr>
            </w:pPr>
            <w:r>
              <w:rPr>
                <w:rFonts w:ascii="Arial" w:cs="Arial" w:eastAsia="Arial" w:hAnsi="Arial"/>
                <w:sz w:val="14"/>
                <w:szCs w:val="14"/>
                <w:color w:val="131E29"/>
              </w:rPr>
              <w:t>ANNUAL REPORT ON FORM 10-K</w:t>
            </w:r>
          </w:p>
        </w:tc>
        <w:tc>
          <w:tcPr>
            <w:tcW w:w="1520" w:type="dxa"/>
            <w:vAlign w:val="bottom"/>
          </w:tcPr>
          <w:p>
            <w:pPr>
              <w:spacing w:after="0"/>
              <w:rPr>
                <w:sz w:val="16"/>
                <w:szCs w:val="16"/>
                <w:color w:val="auto"/>
              </w:rPr>
            </w:pPr>
          </w:p>
        </w:tc>
      </w:tr>
      <w:tr>
        <w:trPr>
          <w:trHeight w:val="254"/>
        </w:trPr>
        <w:tc>
          <w:tcPr>
            <w:tcW w:w="1900" w:type="dxa"/>
            <w:vAlign w:val="bottom"/>
          </w:tcPr>
          <w:p>
            <w:pPr>
              <w:spacing w:after="0"/>
              <w:rPr>
                <w:sz w:val="22"/>
                <w:szCs w:val="22"/>
                <w:color w:val="auto"/>
              </w:rPr>
            </w:pPr>
          </w:p>
        </w:tc>
        <w:tc>
          <w:tcPr>
            <w:tcW w:w="7860" w:type="dxa"/>
            <w:vAlign w:val="bottom"/>
          </w:tcPr>
          <w:p>
            <w:pPr>
              <w:jc w:val="center"/>
              <w:ind w:right="308"/>
              <w:spacing w:after="0"/>
              <w:rPr>
                <w:sz w:val="20"/>
                <w:szCs w:val="20"/>
                <w:color w:val="auto"/>
              </w:rPr>
            </w:pPr>
            <w:r>
              <w:rPr>
                <w:rFonts w:ascii="Arial" w:cs="Arial" w:eastAsia="Arial" w:hAnsi="Arial"/>
                <w:sz w:val="14"/>
                <w:szCs w:val="14"/>
                <w:color w:val="131E29"/>
                <w:w w:val="99"/>
              </w:rPr>
              <w:t>TABLE OF CONTENTS</w:t>
            </w:r>
          </w:p>
        </w:tc>
        <w:tc>
          <w:tcPr>
            <w:tcW w:w="1520" w:type="dxa"/>
            <w:vAlign w:val="bottom"/>
          </w:tcPr>
          <w:p>
            <w:pPr>
              <w:spacing w:after="0"/>
              <w:rPr>
                <w:sz w:val="22"/>
                <w:szCs w:val="22"/>
                <w:color w:val="auto"/>
              </w:rPr>
            </w:pPr>
          </w:p>
        </w:tc>
      </w:tr>
      <w:tr>
        <w:trPr>
          <w:trHeight w:val="304"/>
        </w:trPr>
        <w:tc>
          <w:tcPr>
            <w:tcW w:w="19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520" w:type="dxa"/>
            <w:vAlign w:val="bottom"/>
          </w:tcPr>
          <w:p>
            <w:pPr>
              <w:ind w:left="840"/>
              <w:spacing w:after="0"/>
              <w:rPr>
                <w:sz w:val="20"/>
                <w:szCs w:val="20"/>
                <w:color w:val="auto"/>
              </w:rPr>
            </w:pPr>
            <w:r>
              <w:rPr>
                <w:rFonts w:ascii="Arial" w:cs="Arial" w:eastAsia="Arial" w:hAnsi="Arial"/>
                <w:sz w:val="14"/>
                <w:szCs w:val="14"/>
                <w:b w:val="1"/>
                <w:bCs w:val="1"/>
                <w:color w:val="131E29"/>
              </w:rPr>
              <w:t>Page</w:t>
            </w:r>
          </w:p>
        </w:tc>
      </w:tr>
      <w:tr>
        <w:trPr>
          <w:trHeight w:val="256"/>
        </w:trPr>
        <w:tc>
          <w:tcPr>
            <w:tcW w:w="19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31E29"/>
              </w:rPr>
              <w:t>Glossary</w:t>
            </w:r>
          </w:p>
        </w:tc>
        <w:tc>
          <w:tcPr>
            <w:tcW w:w="7860" w:type="dxa"/>
            <w:vAlign w:val="bottom"/>
            <w:tcBorders>
              <w:bottom w:val="single" w:sz="8" w:color="DBDBDB"/>
            </w:tcBorders>
          </w:tcPr>
          <w:p>
            <w:pPr>
              <w:spacing w:after="0"/>
              <w:rPr>
                <w:sz w:val="22"/>
                <w:szCs w:val="22"/>
                <w:color w:val="auto"/>
              </w:rPr>
            </w:pPr>
          </w:p>
        </w:tc>
        <w:tc>
          <w:tcPr>
            <w:tcW w:w="1520" w:type="dxa"/>
            <w:vAlign w:val="bottom"/>
            <w:tcBorders>
              <w:bottom w:val="single" w:sz="8" w:color="DBDBDB"/>
            </w:tcBorders>
          </w:tcPr>
          <w:p>
            <w:pPr>
              <w:jc w:val="center"/>
              <w:ind w:left="450"/>
              <w:spacing w:after="0"/>
              <w:rPr>
                <w:sz w:val="20"/>
                <w:szCs w:val="20"/>
                <w:color w:val="auto"/>
              </w:rPr>
            </w:pPr>
            <w:r>
              <w:rPr>
                <w:rFonts w:ascii="Arial" w:cs="Arial" w:eastAsia="Arial" w:hAnsi="Arial"/>
                <w:sz w:val="14"/>
                <w:szCs w:val="14"/>
                <w:color w:val="131E29"/>
              </w:rPr>
              <w:t>1</w:t>
            </w:r>
          </w:p>
        </w:tc>
      </w:tr>
      <w:tr>
        <w:trPr>
          <w:trHeight w:val="202"/>
        </w:trPr>
        <w:tc>
          <w:tcPr>
            <w:tcW w:w="19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31E29"/>
              </w:rPr>
              <w:t>Forward-Looking Statements</w:t>
            </w:r>
          </w:p>
        </w:tc>
        <w:tc>
          <w:tcPr>
            <w:tcW w:w="7860" w:type="dxa"/>
            <w:vAlign w:val="bottom"/>
            <w:tcBorders>
              <w:bottom w:val="single" w:sz="8" w:color="DBDBDB"/>
            </w:tcBorders>
          </w:tcPr>
          <w:p>
            <w:pPr>
              <w:spacing w:after="0"/>
              <w:rPr>
                <w:sz w:val="17"/>
                <w:szCs w:val="17"/>
                <w:color w:val="auto"/>
              </w:rPr>
            </w:pPr>
          </w:p>
        </w:tc>
        <w:tc>
          <w:tcPr>
            <w:tcW w:w="1520" w:type="dxa"/>
            <w:vAlign w:val="bottom"/>
            <w:tcBorders>
              <w:bottom w:val="single" w:sz="8" w:color="DBDBDB"/>
            </w:tcBorders>
          </w:tcPr>
          <w:p>
            <w:pPr>
              <w:jc w:val="center"/>
              <w:ind w:left="450"/>
              <w:spacing w:after="0"/>
              <w:rPr>
                <w:sz w:val="20"/>
                <w:szCs w:val="20"/>
                <w:color w:val="auto"/>
              </w:rPr>
            </w:pPr>
            <w:r>
              <w:rPr>
                <w:rFonts w:ascii="Arial" w:cs="Arial" w:eastAsia="Arial" w:hAnsi="Arial"/>
                <w:sz w:val="14"/>
                <w:szCs w:val="14"/>
                <w:color w:val="131E29"/>
              </w:rPr>
              <w:t>3</w:t>
            </w:r>
          </w:p>
        </w:tc>
      </w:tr>
      <w:tr>
        <w:trPr>
          <w:trHeight w:val="355"/>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2"/>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1.</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Business</w:t>
            </w:r>
          </w:p>
        </w:tc>
        <w:tc>
          <w:tcPr>
            <w:tcW w:w="1520" w:type="dxa"/>
            <w:vAlign w:val="bottom"/>
            <w:tcBorders>
              <w:top w:val="single" w:sz="8" w:color="00416B"/>
              <w:bottom w:val="single" w:sz="8" w:color="D2DCE5"/>
            </w:tcBorders>
          </w:tcPr>
          <w:p>
            <w:pPr>
              <w:jc w:val="center"/>
              <w:ind w:left="450"/>
              <w:spacing w:after="0"/>
              <w:rPr>
                <w:sz w:val="20"/>
                <w:szCs w:val="20"/>
                <w:color w:val="auto"/>
              </w:rPr>
            </w:pPr>
            <w:r>
              <w:rPr>
                <w:rFonts w:ascii="Arial" w:cs="Arial" w:eastAsia="Arial" w:hAnsi="Arial"/>
                <w:sz w:val="14"/>
                <w:szCs w:val="14"/>
                <w:color w:val="131E29"/>
              </w:rPr>
              <w:t>4</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1A.</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Risk Factors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17</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1B.</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Unresolved Staff Comments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60</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1C.</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Cybersecurity</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61</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2.</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Properties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63</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3.</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Legal Proceedings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64</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4.</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Mine Safety Disclosures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64</w:t>
            </w:r>
          </w:p>
        </w:tc>
      </w:tr>
      <w:tr>
        <w:trPr>
          <w:trHeight w:val="440"/>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II</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2"/>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5.</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Market for Registrant’s Common Equity, Related Stockholder Matters and Issuer Purchases of Equity Securities</w:t>
            </w:r>
          </w:p>
        </w:tc>
        <w:tc>
          <w:tcPr>
            <w:tcW w:w="1520" w:type="dxa"/>
            <w:vAlign w:val="bottom"/>
            <w:tcBorders>
              <w:top w:val="single" w:sz="8" w:color="00416B"/>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65</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6.</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[Reserved]</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66</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7.</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Management’s Discussion and Analysis of Financial Condition and Results of Operations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67</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7A.</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Quantitative and Qualitative Disclosures About Market Risk</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86</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8.</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Financial Statements and Supplementary Data</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89"/>
              </w:rPr>
              <w:t>88</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Changes in and Disagreements with Accountants on Accounting and Financial Disclosure</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131</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9A.</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Controls and Procedures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131</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9B.</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Other Information</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132</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9C.</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Disclosure Regarding Foreign Jurisdictions that Prevent Inspections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133</w:t>
            </w:r>
          </w:p>
        </w:tc>
      </w:tr>
      <w:tr>
        <w:trPr>
          <w:trHeight w:val="440"/>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III</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2"/>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10.</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Directors, Executive Officers and Corporate Governance</w:t>
            </w:r>
          </w:p>
        </w:tc>
        <w:tc>
          <w:tcPr>
            <w:tcW w:w="1520" w:type="dxa"/>
            <w:vAlign w:val="bottom"/>
            <w:tcBorders>
              <w:top w:val="single" w:sz="8" w:color="00416B"/>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134</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11.</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Executive Compensation</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134</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12.</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Security Ownership of Certain Beneficial Owners and Management and Related Stockholder Matters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134</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13.</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Certain Relationships and Related Transactions, and Director Independence</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134</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14.</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Principal Accountant Fees and Services</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134</w:t>
            </w:r>
          </w:p>
        </w:tc>
      </w:tr>
      <w:tr>
        <w:trPr>
          <w:trHeight w:val="440"/>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IV</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2"/>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15.</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Exhibits and Financial Statement Schedules</w:t>
            </w:r>
          </w:p>
        </w:tc>
        <w:tc>
          <w:tcPr>
            <w:tcW w:w="1520" w:type="dxa"/>
            <w:vAlign w:val="bottom"/>
            <w:tcBorders>
              <w:top w:val="single" w:sz="8" w:color="00416B"/>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135</w:t>
            </w:r>
          </w:p>
        </w:tc>
      </w:tr>
      <w:tr>
        <w:trPr>
          <w:trHeight w:val="202"/>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16.</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Form 10-K Summary</w:t>
            </w:r>
          </w:p>
        </w:tc>
        <w:tc>
          <w:tcPr>
            <w:tcW w:w="1520" w:type="dxa"/>
            <w:vAlign w:val="bottom"/>
            <w:tcBorders>
              <w:bottom w:val="single" w:sz="8" w:color="D2DCE5"/>
            </w:tcBorders>
          </w:tcPr>
          <w:p>
            <w:pPr>
              <w:jc w:val="center"/>
              <w:ind w:left="430"/>
              <w:spacing w:after="0"/>
              <w:rPr>
                <w:sz w:val="20"/>
                <w:szCs w:val="20"/>
                <w:color w:val="auto"/>
              </w:rPr>
            </w:pPr>
            <w:r>
              <w:rPr>
                <w:rFonts w:ascii="Arial" w:cs="Arial" w:eastAsia="Arial" w:hAnsi="Arial"/>
                <w:sz w:val="14"/>
                <w:szCs w:val="14"/>
                <w:color w:val="131E29"/>
                <w:w w:val="94"/>
              </w:rPr>
              <w:t>137</w:t>
            </w:r>
          </w:p>
        </w:tc>
      </w:tr>
      <w:tr>
        <w:trPr>
          <w:trHeight w:val="211"/>
        </w:trPr>
        <w:tc>
          <w:tcPr>
            <w:tcW w:w="1900" w:type="dxa"/>
            <w:vAlign w:val="bottom"/>
            <w:tcBorders>
              <w:bottom w:val="single" w:sz="8" w:color="D2DCE5"/>
            </w:tcBorders>
          </w:tcPr>
          <w:p>
            <w:pPr>
              <w:spacing w:after="0"/>
              <w:rPr>
                <w:sz w:val="18"/>
                <w:szCs w:val="18"/>
                <w:color w:val="auto"/>
              </w:rPr>
            </w:pPr>
          </w:p>
        </w:tc>
        <w:tc>
          <w:tcPr>
            <w:tcW w:w="7860" w:type="dxa"/>
            <w:vAlign w:val="bottom"/>
            <w:tcBorders>
              <w:bottom w:val="single" w:sz="8" w:color="D2DCE5"/>
            </w:tcBorders>
          </w:tcPr>
          <w:p>
            <w:pPr>
              <w:spacing w:after="0"/>
              <w:rPr>
                <w:sz w:val="18"/>
                <w:szCs w:val="18"/>
                <w:color w:val="auto"/>
              </w:rPr>
            </w:pPr>
          </w:p>
        </w:tc>
        <w:tc>
          <w:tcPr>
            <w:tcW w:w="1520" w:type="dxa"/>
            <w:vAlign w:val="bottom"/>
            <w:tcBorders>
              <w:bottom w:val="single" w:sz="8" w:color="D2DCE5"/>
            </w:tcBorders>
          </w:tcPr>
          <w:p>
            <w:pPr>
              <w:spacing w:after="0"/>
              <w:rPr>
                <w:sz w:val="18"/>
                <w:szCs w:val="18"/>
                <w:color w:val="auto"/>
              </w:rPr>
            </w:pPr>
          </w:p>
        </w:tc>
      </w:tr>
      <w:tr>
        <w:trPr>
          <w:trHeight w:val="314"/>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SIGNATURES</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jc w:val="center"/>
              <w:ind w:left="430"/>
              <w:spacing w:after="0"/>
              <w:rPr>
                <w:sz w:val="20"/>
                <w:szCs w:val="20"/>
                <w:color w:val="auto"/>
              </w:rPr>
            </w:pPr>
            <w:r>
              <w:rPr>
                <w:rFonts w:ascii="Arial" w:cs="Arial" w:eastAsia="Arial" w:hAnsi="Arial"/>
                <w:sz w:val="14"/>
                <w:szCs w:val="14"/>
                <w:color w:val="131E29"/>
                <w:w w:val="94"/>
              </w:rPr>
              <w:t>138</w:t>
            </w:r>
          </w:p>
        </w:tc>
      </w:tr>
      <w:tr>
        <w:trPr>
          <w:trHeight w:val="1301"/>
        </w:trPr>
        <w:tc>
          <w:tcPr>
            <w:tcW w:w="1900" w:type="dxa"/>
            <w:vAlign w:val="bottom"/>
            <w:tcBorders>
              <w:top w:val="single" w:sz="8" w:color="00416B"/>
              <w:bottom w:val="single" w:sz="8" w:color="9A9A9A"/>
            </w:tcBorders>
          </w:tcPr>
          <w:p>
            <w:pPr>
              <w:spacing w:after="0"/>
              <w:rPr>
                <w:sz w:val="24"/>
                <w:szCs w:val="24"/>
                <w:color w:val="auto"/>
              </w:rPr>
            </w:pPr>
          </w:p>
        </w:tc>
        <w:tc>
          <w:tcPr>
            <w:tcW w:w="7860" w:type="dxa"/>
            <w:vAlign w:val="bottom"/>
            <w:tcBorders>
              <w:top w:val="single" w:sz="8" w:color="00416B"/>
              <w:bottom w:val="single" w:sz="8" w:color="9A9A9A"/>
            </w:tcBorders>
          </w:tcPr>
          <w:p>
            <w:pPr>
              <w:spacing w:after="0"/>
              <w:rPr>
                <w:sz w:val="24"/>
                <w:szCs w:val="24"/>
                <w:color w:val="auto"/>
              </w:rPr>
            </w:pPr>
          </w:p>
        </w:tc>
        <w:tc>
          <w:tcPr>
            <w:tcW w:w="152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4" w:name="page5"/>
    <w:bookmarkEnd w:id="4"/>
    <w:p>
      <w:pPr>
        <w:spacing w:after="0"/>
        <w:rPr>
          <w:sz w:val="20"/>
          <w:szCs w:val="20"/>
          <w:color w:val="auto"/>
        </w:rPr>
      </w:pPr>
      <w:r>
        <w:rPr>
          <w:rFonts w:ascii="Arial" w:cs="Arial" w:eastAsia="Arial" w:hAnsi="Arial"/>
          <w:sz w:val="11"/>
          <w:szCs w:val="11"/>
          <w:u w:val="single" w:color="auto"/>
          <w:color w:val="006098"/>
        </w:rPr>
        <w:t>Table of Contents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GLOSSARY</w:t>
      </w:r>
    </w:p>
    <w:p>
      <w:pPr>
        <w:spacing w:after="0" w:line="31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131E29"/>
        </w:rPr>
        <w:t>As used in this Annual Report on Form 10-K (this Form 10-K), the terms identified below have the meanings specified below unless otherwise noted or the context requires otherwise. References in this Form 10-K to “Dutch Bros,” the “Company,” “we,” “us” and “our” refer to Dutch Bros Inc. and its consolidated subsidiaries unless the context indicates otherwise.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20" w:type="dxa"/>
            <w:vAlign w:val="bottom"/>
            <w:tcBorders>
              <w:bottom w:val="single" w:sz="8" w:color="D7282F"/>
            </w:tcBorders>
          </w:tcPr>
          <w:p>
            <w:pPr>
              <w:ind w:left="1120"/>
              <w:spacing w:after="0"/>
              <w:rPr>
                <w:sz w:val="20"/>
                <w:szCs w:val="20"/>
                <w:color w:val="auto"/>
              </w:rPr>
            </w:pPr>
            <w:r>
              <w:rPr>
                <w:rFonts w:ascii="Arial" w:cs="Arial" w:eastAsia="Arial" w:hAnsi="Arial"/>
                <w:sz w:val="14"/>
                <w:szCs w:val="14"/>
                <w:b w:val="1"/>
                <w:bCs w:val="1"/>
                <w:color w:val="006098"/>
              </w:rPr>
              <w:t>TERM</w:t>
            </w:r>
          </w:p>
        </w:tc>
        <w:tc>
          <w:tcPr>
            <w:tcW w:w="100" w:type="dxa"/>
            <w:vAlign w:val="bottom"/>
            <w:tcBorders>
              <w:bottom w:val="single" w:sz="8" w:color="D2DCE5"/>
            </w:tcBorders>
          </w:tcPr>
          <w:p>
            <w:pPr>
              <w:spacing w:after="0"/>
              <w:rPr>
                <w:sz w:val="17"/>
                <w:szCs w:val="17"/>
                <w:color w:val="auto"/>
              </w:rPr>
            </w:pPr>
          </w:p>
        </w:tc>
        <w:tc>
          <w:tcPr>
            <w:tcW w:w="8300" w:type="dxa"/>
            <w:vAlign w:val="bottom"/>
            <w:tcBorders>
              <w:bottom w:val="single" w:sz="8" w:color="D7282F"/>
            </w:tcBorders>
          </w:tcPr>
          <w:p>
            <w:pPr>
              <w:ind w:left="3760"/>
              <w:spacing w:after="0"/>
              <w:rPr>
                <w:sz w:val="20"/>
                <w:szCs w:val="20"/>
                <w:color w:val="auto"/>
              </w:rPr>
            </w:pPr>
            <w:r>
              <w:rPr>
                <w:rFonts w:ascii="Arial" w:cs="Arial" w:eastAsia="Arial" w:hAnsi="Arial"/>
                <w:sz w:val="14"/>
                <w:szCs w:val="14"/>
                <w:b w:val="1"/>
                <w:bCs w:val="1"/>
                <w:color w:val="006098"/>
              </w:rPr>
              <w:t>DEFINITION</w:t>
            </w:r>
          </w:p>
        </w:tc>
        <w:tc>
          <w:tcPr>
            <w:tcW w:w="260" w:type="dxa"/>
            <w:vAlign w:val="bottom"/>
          </w:tcPr>
          <w:p>
            <w:pPr>
              <w:spacing w:after="0"/>
              <w:rPr>
                <w:sz w:val="17"/>
                <w:szCs w:val="17"/>
                <w:color w:val="auto"/>
              </w:rPr>
            </w:pPr>
          </w:p>
        </w:tc>
      </w:tr>
      <w:tr>
        <w:trPr>
          <w:trHeight w:val="20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2022 Credit Facility</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Has the meaning set forth in NOTE 9 — Debt to the consolidated financial statements, included elsewhere in this Form 10-K</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AUV</w:t>
            </w:r>
          </w:p>
        </w:tc>
        <w:tc>
          <w:tcPr>
            <w:tcW w:w="8560" w:type="dxa"/>
            <w:vAlign w:val="bottom"/>
            <w:gridSpan w:val="2"/>
          </w:tcPr>
          <w:p>
            <w:pPr>
              <w:spacing w:after="0"/>
              <w:rPr>
                <w:sz w:val="20"/>
                <w:szCs w:val="20"/>
                <w:color w:val="auto"/>
              </w:rPr>
            </w:pPr>
            <w:r>
              <w:rPr>
                <w:rFonts w:ascii="Arial" w:cs="Arial" w:eastAsia="Arial" w:hAnsi="Arial"/>
                <w:sz w:val="14"/>
                <w:szCs w:val="14"/>
                <w:color w:val="131E29"/>
              </w:rPr>
              <w:t>Average Unit Volume</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Blocker Companies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TSG7 A AIV VI Holdings, LLC and DG Coinvestor Blocker, LLC</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BPS or bps</w:t>
            </w:r>
          </w:p>
        </w:tc>
        <w:tc>
          <w:tcPr>
            <w:tcW w:w="8560" w:type="dxa"/>
            <w:vAlign w:val="bottom"/>
            <w:gridSpan w:val="2"/>
          </w:tcPr>
          <w:p>
            <w:pPr>
              <w:spacing w:after="0"/>
              <w:rPr>
                <w:sz w:val="20"/>
                <w:szCs w:val="20"/>
                <w:color w:val="auto"/>
              </w:rPr>
            </w:pPr>
            <w:r>
              <w:rPr>
                <w:rFonts w:ascii="Arial" w:cs="Arial" w:eastAsia="Arial" w:hAnsi="Arial"/>
                <w:sz w:val="14"/>
                <w:szCs w:val="14"/>
                <w:color w:val="131E29"/>
              </w:rPr>
              <w:t>Basis points which is used to express differences in rates. One basis point is the equivalent of 1/100 of one percent.</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Co-Founder</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Travis Boersma and affiliated entities over which he maintains voting control.</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The Common Units of Dutch Bros OpCo, as defined in the Second LLC Agreement, issued and outstanding immediately prior to</w:t>
            </w:r>
          </w:p>
        </w:tc>
      </w:tr>
      <w:tr>
        <w:trPr>
          <w:trHeight w:val="199"/>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Common Units</w:t>
            </w:r>
          </w:p>
        </w:tc>
        <w:tc>
          <w:tcPr>
            <w:tcW w:w="8560" w:type="dxa"/>
            <w:vAlign w:val="bottom"/>
            <w:gridSpan w:val="2"/>
          </w:tcPr>
          <w:p>
            <w:pPr>
              <w:spacing w:after="0"/>
              <w:rPr>
                <w:sz w:val="20"/>
                <w:szCs w:val="20"/>
                <w:color w:val="auto"/>
              </w:rPr>
            </w:pPr>
            <w:r>
              <w:rPr>
                <w:rFonts w:ascii="Arial" w:cs="Arial" w:eastAsia="Arial" w:hAnsi="Arial"/>
                <w:sz w:val="14"/>
                <w:szCs w:val="14"/>
                <w:color w:val="131E29"/>
              </w:rPr>
              <w:t>recapitalization.</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Continuing Members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Co-Founder and the Sponsor</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DEI</w:t>
            </w:r>
          </w:p>
        </w:tc>
        <w:tc>
          <w:tcPr>
            <w:tcW w:w="8560" w:type="dxa"/>
            <w:vAlign w:val="bottom"/>
            <w:gridSpan w:val="2"/>
          </w:tcPr>
          <w:p>
            <w:pPr>
              <w:spacing w:after="0"/>
              <w:rPr>
                <w:sz w:val="20"/>
                <w:szCs w:val="20"/>
                <w:color w:val="auto"/>
              </w:rPr>
            </w:pPr>
            <w:r>
              <w:rPr>
                <w:rFonts w:ascii="Arial" w:cs="Arial" w:eastAsia="Arial" w:hAnsi="Arial"/>
                <w:sz w:val="14"/>
                <w:szCs w:val="14"/>
                <w:color w:val="131E29"/>
              </w:rPr>
              <w:t>Diversity, Equity, and Inclusion</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Dutch Bros OpCo</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Dutch Mafia, LLC, a Delaware limited liability company and direct subsidiary of Dutch Bros Inc.</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A Delaware corporation, the Class A common stock of which is publicly traded on the New York Stock Exchange under the symbol</w:t>
            </w:r>
          </w:p>
        </w:tc>
      </w:tr>
      <w:tr>
        <w:trPr>
          <w:trHeight w:val="199"/>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Dutch Bros Inc.</w:t>
            </w:r>
          </w:p>
        </w:tc>
        <w:tc>
          <w:tcPr>
            <w:tcW w:w="8560" w:type="dxa"/>
            <w:vAlign w:val="bottom"/>
            <w:gridSpan w:val="2"/>
          </w:tcPr>
          <w:p>
            <w:pPr>
              <w:spacing w:after="0"/>
              <w:rPr>
                <w:sz w:val="20"/>
                <w:szCs w:val="20"/>
                <w:color w:val="auto"/>
              </w:rPr>
            </w:pPr>
            <w:r>
              <w:rPr>
                <w:rFonts w:ascii="Arial" w:cs="Arial" w:eastAsia="Arial" w:hAnsi="Arial"/>
                <w:sz w:val="14"/>
                <w:szCs w:val="14"/>
                <w:color w:val="131E29"/>
              </w:rPr>
              <w:t>“BROS”.</w:t>
            </w:r>
          </w:p>
        </w:tc>
      </w:tr>
      <w:tr>
        <w:trPr>
          <w:trHeight w:val="181"/>
        </w:trPr>
        <w:tc>
          <w:tcPr>
            <w:tcW w:w="2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Has the meaning set forth in NOTE 1 — Organization and Background to the consolidated financial statements, included elsewhere</w:t>
            </w:r>
          </w:p>
        </w:tc>
        <w:tc>
          <w:tcPr>
            <w:tcW w:w="260" w:type="dxa"/>
            <w:vAlign w:val="bottom"/>
          </w:tcPr>
          <w:p>
            <w:pPr>
              <w:spacing w:after="0"/>
              <w:rPr>
                <w:sz w:val="15"/>
                <w:szCs w:val="15"/>
                <w:color w:val="auto"/>
              </w:rPr>
            </w:pPr>
          </w:p>
        </w:tc>
      </w:tr>
      <w:tr>
        <w:trPr>
          <w:trHeight w:val="205"/>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Follow-On Offering</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in this Form 10-K</w:t>
            </w:r>
          </w:p>
        </w:tc>
        <w:tc>
          <w:tcPr>
            <w:tcW w:w="260" w:type="dxa"/>
            <w:vAlign w:val="bottom"/>
          </w:tcPr>
          <w:p>
            <w:pPr>
              <w:spacing w:after="0"/>
              <w:rPr>
                <w:sz w:val="17"/>
                <w:szCs w:val="17"/>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GAAP</w:t>
            </w:r>
          </w:p>
        </w:tc>
        <w:tc>
          <w:tcPr>
            <w:tcW w:w="8560" w:type="dxa"/>
            <w:vAlign w:val="bottom"/>
            <w:gridSpan w:val="2"/>
          </w:tcPr>
          <w:p>
            <w:pPr>
              <w:spacing w:after="0"/>
              <w:rPr>
                <w:sz w:val="20"/>
                <w:szCs w:val="20"/>
                <w:color w:val="auto"/>
              </w:rPr>
            </w:pPr>
            <w:r>
              <w:rPr>
                <w:rFonts w:ascii="Arial" w:cs="Arial" w:eastAsia="Arial" w:hAnsi="Arial"/>
                <w:sz w:val="14"/>
                <w:szCs w:val="14"/>
                <w:color w:val="131E29"/>
              </w:rPr>
              <w:t>U.S. Generally Accepted Accounting Principles</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IPO</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Initial Public Offering</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A group of master broistas who travel to help open new locations and markets. They train new broistas on operations and infuse</w:t>
            </w:r>
          </w:p>
        </w:tc>
      </w:tr>
      <w:tr>
        <w:trPr>
          <w:trHeight w:val="199"/>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MOB</w:t>
            </w:r>
          </w:p>
        </w:tc>
        <w:tc>
          <w:tcPr>
            <w:tcW w:w="8560" w:type="dxa"/>
            <w:vAlign w:val="bottom"/>
            <w:gridSpan w:val="2"/>
          </w:tcPr>
          <w:p>
            <w:pPr>
              <w:spacing w:after="0"/>
              <w:rPr>
                <w:sz w:val="20"/>
                <w:szCs w:val="20"/>
                <w:color w:val="auto"/>
              </w:rPr>
            </w:pPr>
            <w:r>
              <w:rPr>
                <w:rFonts w:ascii="Arial" w:cs="Arial" w:eastAsia="Arial" w:hAnsi="Arial"/>
                <w:sz w:val="14"/>
                <w:szCs w:val="14"/>
                <w:color w:val="131E29"/>
              </w:rPr>
              <w:t>them with the culture of the Company.</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N/M</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A not meaningful percentage.</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Class A common units, Class B voting units and Class C voting units of Dutch Bros OpCo, each as further defined in the Third</w:t>
            </w:r>
          </w:p>
        </w:tc>
      </w:tr>
      <w:tr>
        <w:trPr>
          <w:trHeight w:val="199"/>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OpCo Units</w:t>
            </w:r>
          </w:p>
        </w:tc>
        <w:tc>
          <w:tcPr>
            <w:tcW w:w="8560" w:type="dxa"/>
            <w:vAlign w:val="bottom"/>
            <w:gridSpan w:val="2"/>
          </w:tcPr>
          <w:p>
            <w:pPr>
              <w:spacing w:after="0"/>
              <w:rPr>
                <w:sz w:val="20"/>
                <w:szCs w:val="20"/>
                <w:color w:val="auto"/>
              </w:rPr>
            </w:pPr>
            <w:r>
              <w:rPr>
                <w:rFonts w:ascii="Arial" w:cs="Arial" w:eastAsia="Arial" w:hAnsi="Arial"/>
                <w:sz w:val="14"/>
                <w:szCs w:val="14"/>
                <w:color w:val="131E29"/>
              </w:rPr>
              <w:t>Amended and Restated Limited Liability Company Agreement of Dutch Bros OpCo, collectively.</w:t>
            </w:r>
          </w:p>
        </w:tc>
      </w:tr>
      <w:tr>
        <w:trPr>
          <w:trHeight w:val="181"/>
        </w:trPr>
        <w:tc>
          <w:tcPr>
            <w:tcW w:w="2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TSG7 A AIV VI Holdings-A, L.P. and DG Coinvestor Blocker Aggregator, L.P. or their assignees or successors pursuant to the terms</w:t>
            </w:r>
          </w:p>
        </w:tc>
        <w:tc>
          <w:tcPr>
            <w:tcW w:w="260" w:type="dxa"/>
            <w:vAlign w:val="bottom"/>
          </w:tcPr>
          <w:p>
            <w:pPr>
              <w:spacing w:after="0"/>
              <w:rPr>
                <w:sz w:val="15"/>
                <w:szCs w:val="15"/>
                <w:color w:val="auto"/>
              </w:rPr>
            </w:pPr>
          </w:p>
        </w:tc>
      </w:tr>
      <w:tr>
        <w:trPr>
          <w:trHeight w:val="205"/>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Pre-IPO Blocker Holders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of the certain Reorganization Tax Receivable Agreement.</w:t>
            </w:r>
          </w:p>
        </w:tc>
        <w:tc>
          <w:tcPr>
            <w:tcW w:w="260" w:type="dxa"/>
            <w:vAlign w:val="bottom"/>
          </w:tcPr>
          <w:p>
            <w:pPr>
              <w:spacing w:after="0"/>
              <w:rPr>
                <w:sz w:val="17"/>
                <w:szCs w:val="17"/>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QSR</w:t>
            </w:r>
          </w:p>
        </w:tc>
        <w:tc>
          <w:tcPr>
            <w:tcW w:w="8560" w:type="dxa"/>
            <w:vAlign w:val="bottom"/>
            <w:gridSpan w:val="2"/>
          </w:tcPr>
          <w:p>
            <w:pPr>
              <w:spacing w:after="0"/>
              <w:rPr>
                <w:sz w:val="20"/>
                <w:szCs w:val="20"/>
                <w:color w:val="auto"/>
              </w:rPr>
            </w:pPr>
            <w:r>
              <w:rPr>
                <w:rFonts w:ascii="Arial" w:cs="Arial" w:eastAsia="Arial" w:hAnsi="Arial"/>
                <w:sz w:val="14"/>
                <w:szCs w:val="14"/>
                <w:color w:val="131E29"/>
              </w:rPr>
              <w:t>Quick Service Restaurant</w:t>
            </w:r>
          </w:p>
        </w:tc>
      </w:tr>
      <w:tr>
        <w:trPr>
          <w:trHeight w:val="181"/>
        </w:trPr>
        <w:tc>
          <w:tcPr>
            <w:tcW w:w="2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meaning set forth in NOTE 1 — Organization and Background to the consolidated financial statements, included elsewhere in</w:t>
            </w:r>
          </w:p>
        </w:tc>
        <w:tc>
          <w:tcPr>
            <w:tcW w:w="260" w:type="dxa"/>
            <w:vAlign w:val="bottom"/>
          </w:tcPr>
          <w:p>
            <w:pPr>
              <w:spacing w:after="0"/>
              <w:rPr>
                <w:sz w:val="15"/>
                <w:szCs w:val="15"/>
                <w:color w:val="auto"/>
              </w:rPr>
            </w:pPr>
          </w:p>
        </w:tc>
      </w:tr>
      <w:tr>
        <w:trPr>
          <w:trHeight w:val="205"/>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Reorganization Transactions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this Form 10-K.</w:t>
            </w:r>
          </w:p>
        </w:tc>
        <w:tc>
          <w:tcPr>
            <w:tcW w:w="260" w:type="dxa"/>
            <w:vAlign w:val="bottom"/>
          </w:tcPr>
          <w:p>
            <w:pPr>
              <w:spacing w:after="0"/>
              <w:rPr>
                <w:sz w:val="17"/>
                <w:szCs w:val="17"/>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RSA</w:t>
            </w:r>
          </w:p>
        </w:tc>
        <w:tc>
          <w:tcPr>
            <w:tcW w:w="8560" w:type="dxa"/>
            <w:vAlign w:val="bottom"/>
            <w:gridSpan w:val="2"/>
          </w:tcPr>
          <w:p>
            <w:pPr>
              <w:spacing w:after="0"/>
              <w:rPr>
                <w:sz w:val="20"/>
                <w:szCs w:val="20"/>
                <w:color w:val="auto"/>
              </w:rPr>
            </w:pPr>
            <w:r>
              <w:rPr>
                <w:rFonts w:ascii="Arial" w:cs="Arial" w:eastAsia="Arial" w:hAnsi="Arial"/>
                <w:sz w:val="14"/>
                <w:szCs w:val="14"/>
                <w:color w:val="131E29"/>
              </w:rPr>
              <w:t>Restricted Stock Awards</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RSU</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Restricted Stock Units</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SEC</w:t>
            </w:r>
          </w:p>
        </w:tc>
        <w:tc>
          <w:tcPr>
            <w:tcW w:w="8560" w:type="dxa"/>
            <w:vAlign w:val="bottom"/>
            <w:gridSpan w:val="2"/>
          </w:tcPr>
          <w:p>
            <w:pPr>
              <w:spacing w:after="0"/>
              <w:rPr>
                <w:sz w:val="20"/>
                <w:szCs w:val="20"/>
                <w:color w:val="auto"/>
              </w:rPr>
            </w:pPr>
            <w:r>
              <w:rPr>
                <w:rFonts w:ascii="Arial" w:cs="Arial" w:eastAsia="Arial" w:hAnsi="Arial"/>
                <w:sz w:val="14"/>
                <w:szCs w:val="14"/>
                <w:color w:val="131E29"/>
              </w:rPr>
              <w:t>Securities and Exchange Commission</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Sponsor</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TSG Consumer Partners, L.P. and certain of its affiliates.</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Each have the meaning set forth in NOTE 1 — Organization and Background to the consolidated financial statements, included</w:t>
            </w:r>
          </w:p>
        </w:tc>
      </w:tr>
      <w:tr>
        <w:trPr>
          <w:trHeight w:val="199"/>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Tax Receivable Agreements and TRAs</w:t>
            </w:r>
          </w:p>
        </w:tc>
        <w:tc>
          <w:tcPr>
            <w:tcW w:w="8560" w:type="dxa"/>
            <w:vAlign w:val="bottom"/>
            <w:gridSpan w:val="2"/>
          </w:tcPr>
          <w:p>
            <w:pPr>
              <w:spacing w:after="0"/>
              <w:rPr>
                <w:sz w:val="20"/>
                <w:szCs w:val="20"/>
                <w:color w:val="auto"/>
              </w:rPr>
            </w:pPr>
            <w:r>
              <w:rPr>
                <w:rFonts w:ascii="Arial" w:cs="Arial" w:eastAsia="Arial" w:hAnsi="Arial"/>
                <w:sz w:val="14"/>
                <w:szCs w:val="14"/>
                <w:color w:val="131E29"/>
              </w:rPr>
              <w:t>elsewhere in this Form 10-K.</w:t>
            </w:r>
          </w:p>
        </w:tc>
      </w:tr>
      <w:tr>
        <w:trPr>
          <w:trHeight w:val="21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Western United States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collection of states including Arizona, California, Colorado, Idaho, Nevada, New Mexico, Oregon, Utah and Washington.</w:t>
            </w:r>
          </w:p>
        </w:tc>
        <w:tc>
          <w:tcPr>
            <w:tcW w:w="260" w:type="dxa"/>
            <w:vAlign w:val="bottom"/>
          </w:tcPr>
          <w:p>
            <w:pPr>
              <w:spacing w:after="0"/>
              <w:rPr>
                <w:sz w:val="18"/>
                <w:szCs w:val="18"/>
                <w:color w:val="auto"/>
              </w:rPr>
            </w:pPr>
          </w:p>
        </w:tc>
      </w:tr>
      <w:tr>
        <w:trPr>
          <w:trHeight w:val="1099"/>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2"/>
          </w:tcPr>
          <w:p>
            <w:pPr>
              <w:ind w:left="7040"/>
              <w:spacing w:after="0"/>
              <w:rPr>
                <w:sz w:val="20"/>
                <w:szCs w:val="20"/>
                <w:color w:val="auto"/>
              </w:rPr>
            </w:pP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w:t>
            </w:r>
          </w:p>
        </w:tc>
      </w:tr>
      <w:tr>
        <w:trPr>
          <w:trHeight w:val="75"/>
        </w:trPr>
        <w:tc>
          <w:tcPr>
            <w:tcW w:w="2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-301625</wp:posOffset>
            </wp:positionV>
            <wp:extent cx="133985" cy="187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985" cy="187960"/>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u w:val="single" w:color="auto"/>
          <w:color w:val="006098"/>
        </w:rPr>
        <w:t>Table of Contents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GLOSSARY</w:t>
      </w:r>
    </w:p>
    <w:p>
      <w:pPr>
        <w:spacing w:after="0" w:line="328" w:lineRule="exact"/>
        <w:rPr>
          <w:sz w:val="20"/>
          <w:szCs w:val="20"/>
          <w:color w:val="auto"/>
        </w:rPr>
      </w:pPr>
    </w:p>
    <w:p>
      <w:pPr>
        <w:jc w:val="both"/>
        <w:ind w:right="280"/>
        <w:spacing w:after="0" w:line="297" w:lineRule="auto"/>
        <w:rPr>
          <w:sz w:val="20"/>
          <w:szCs w:val="20"/>
          <w:color w:val="auto"/>
        </w:rPr>
      </w:pPr>
      <w:r>
        <w:rPr>
          <w:rFonts w:ascii="Arial" w:cs="Arial" w:eastAsia="Arial" w:hAnsi="Arial"/>
          <w:sz w:val="11"/>
          <w:szCs w:val="11"/>
          <w:color w:val="131E29"/>
        </w:rPr>
        <w:t>Dutch Bros, our Windmill logo (</w:t>
      </w:r>
      <w:r>
        <w:rPr>
          <w:sz w:val="1"/>
          <w:szCs w:val="1"/>
          <w:color w:val="auto"/>
        </w:rPr>
        <w:drawing>
          <wp:inline distT="0" distB="0" distL="0" distR="0">
            <wp:extent cx="80645" cy="120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645" cy="120650"/>
                    </a:xfrm>
                    <a:prstGeom prst="rect">
                      <a:avLst/>
                    </a:prstGeom>
                    <a:noFill/>
                    <a:ln>
                      <a:noFill/>
                    </a:ln>
                  </pic:spPr>
                </pic:pic>
              </a:graphicData>
            </a:graphic>
          </wp:inline>
        </w:drawing>
      </w:r>
      <w:r>
        <w:rPr>
          <w:rFonts w:ascii="Arial" w:cs="Arial" w:eastAsia="Arial" w:hAnsi="Arial"/>
          <w:sz w:val="11"/>
          <w:szCs w:val="11"/>
          <w:color w:val="131E29"/>
        </w:rPr>
        <w:t>), Dutch Bros. Blue Rebel and our other registered and common law trade names, trademarks and service marks are the property of Dutch Bros Inc. All other trademarks, trade names and service marks appearing in this Form 10-K are the property of their respective owners. Solely for convenience, the trademarks and trade names in this Form 10-K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 w:name="page7"/>
    <w:bookmarkEnd w:id="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FORWARD-LOOKING STATEMENTS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Certain statements in this Form 10-K, including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anticipated capital expenditures,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10-K.</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“Item 1A. Risk Factors” of this report, as such risk factors may be amended, supplemented or superseded from time to time by other reports we file with the SEC.</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You should read the consolidated financial statements and the related notes in this Form 10-K together with our analysis and discussion of our consolidated financial condition and results of operations and other financial information included elsewhere in this Form 10-K.</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Website Disclosure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 w:name="page8"/>
    <w:bookmarkEnd w:id="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62165" cy="80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806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 is a Delaware corporation and its Class A common stock trades on the New York Stock Exchange under the symbol “BROS”.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OUR COMPANY</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 As of December 31, 2023, we had 831 shops, of which 542 were company-operated and 289 were franchise, across 16 states as shown in the graphic below. For additional information regarding company-operated and franchise shops by state, refer to Part I, Item 2 Properties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124460</wp:posOffset>
            </wp:positionV>
            <wp:extent cx="4188460" cy="2436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88460" cy="243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Dutch Bros Experience</w:t>
      </w:r>
    </w:p>
    <w:p>
      <w:pPr>
        <w:spacing w:after="0" w:line="175"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Dutch Bros is more than just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-85725</wp:posOffset>
            </wp:positionV>
            <wp:extent cx="2336165" cy="899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36165" cy="899160"/>
                    </a:xfrm>
                    <a:prstGeom prst="rect">
                      <a:avLst/>
                    </a:prstGeom>
                    <a:noFill/>
                  </pic:spPr>
                </pic:pic>
              </a:graphicData>
            </a:graphic>
          </wp:anchor>
        </w:drawing>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we  serve:  we  are  dedicated  to  making</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differences in the lives of our employees,</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customers, and the communities in which</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we operate. Our people are the key to our</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success, and our broistas are the face of</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Dutch Bros, delivering on the Company’s</w:t>
      </w:r>
    </w:p>
    <w:p>
      <w:pPr>
        <w:spacing w:after="0" w:line="8" w:lineRule="exact"/>
        <w:rPr>
          <w:sz w:val="20"/>
          <w:szCs w:val="20"/>
          <w:color w:val="auto"/>
        </w:rPr>
      </w:pPr>
    </w:p>
    <w:p>
      <w:pPr>
        <w:ind w:left="3820"/>
        <w:spacing w:after="0"/>
        <w:tabs>
          <w:tab w:leader="none" w:pos="4180" w:val="left"/>
          <w:tab w:leader="none" w:pos="4720" w:val="left"/>
          <w:tab w:leader="none" w:pos="4960" w:val="left"/>
          <w:tab w:leader="none" w:pos="5700" w:val="left"/>
          <w:tab w:leader="none" w:pos="6340" w:val="left"/>
        </w:tabs>
        <w:rPr>
          <w:sz w:val="20"/>
          <w:szCs w:val="20"/>
          <w:color w:val="auto"/>
        </w:rPr>
      </w:pPr>
      <w:r>
        <w:rPr>
          <w:rFonts w:ascii="Arial" w:cs="Arial" w:eastAsia="Arial" w:hAnsi="Arial"/>
          <w:sz w:val="14"/>
          <w:szCs w:val="14"/>
          <w:color w:val="131E29"/>
        </w:rPr>
        <w:t>core</w:t>
        <w:tab/>
        <w:t>values</w:t>
        <w:tab/>
        <w:t>of</w:t>
        <w:tab/>
        <w:t>QUALITY,</w:t>
        <w:tab/>
        <w:t>SPEED,</w:t>
      </w:r>
      <w:r>
        <w:rPr>
          <w:sz w:val="20"/>
          <w:szCs w:val="20"/>
          <w:color w:val="auto"/>
        </w:rPr>
        <w:tab/>
      </w:r>
      <w:r>
        <w:rPr>
          <w:rFonts w:ascii="Arial" w:cs="Arial" w:eastAsia="Arial" w:hAnsi="Arial"/>
          <w:sz w:val="13"/>
          <w:szCs w:val="13"/>
          <w:color w:val="131E29"/>
        </w:rPr>
        <w:t>and</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14"/>
          <w:szCs w:val="14"/>
          <w:color w:val="131E29"/>
        </w:rPr>
        <w:t>SERVICE.</w:t>
      </w:r>
    </w:p>
    <w:p>
      <w:pPr>
        <w:spacing w:after="0" w:line="216"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QUALITY: </w:t>
      </w:r>
      <w:r>
        <w:rPr>
          <w:rFonts w:ascii="Arial" w:cs="Arial" w:eastAsia="Arial" w:hAnsi="Arial"/>
          <w:sz w:val="14"/>
          <w:szCs w:val="14"/>
          <w:color w:val="131E29"/>
        </w:rPr>
        <w:t>Our broistas are provided with the resources and training to provide high-quality hand-crafted beverages to our customers.</w:t>
      </w:r>
    </w:p>
    <w:p>
      <w:pPr>
        <w:spacing w:after="0" w:line="134" w:lineRule="exact"/>
        <w:rPr>
          <w:rFonts w:ascii="Arial" w:cs="Arial" w:eastAsia="Arial" w:hAnsi="Arial"/>
          <w:sz w:val="14"/>
          <w:szCs w:val="14"/>
          <w:color w:val="131E29"/>
        </w:rPr>
      </w:pPr>
    </w:p>
    <w:p>
      <w:pPr>
        <w:jc w:val="both"/>
        <w:ind w:left="260" w:hanging="255"/>
        <w:spacing w:after="0" w:line="264" w:lineRule="auto"/>
        <w:tabs>
          <w:tab w:leader="none" w:pos="256"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SPEED: </w:t>
      </w:r>
      <w:r>
        <w:rPr>
          <w:rFonts w:ascii="Arial" w:cs="Arial" w:eastAsia="Arial" w:hAnsi="Arial"/>
          <w:sz w:val="14"/>
          <w:szCs w:val="14"/>
          <w:color w:val="131E29"/>
        </w:rPr>
        <w:t>When our shops are busy, a “runner” broista leaves the shop and greets our customers before they reach the drive-thru window. This runner explains the menu and</w:t>
      </w:r>
      <w:r>
        <w:rPr>
          <w:rFonts w:ascii="Arial" w:cs="Arial" w:eastAsia="Arial" w:hAnsi="Arial"/>
          <w:sz w:val="14"/>
          <w:szCs w:val="14"/>
          <w:b w:val="1"/>
          <w:bCs w:val="1"/>
          <w:color w:val="006098"/>
        </w:rPr>
        <w:t xml:space="preserve"> </w:t>
      </w:r>
      <w:r>
        <w:rPr>
          <w:rFonts w:ascii="Arial" w:cs="Arial" w:eastAsia="Arial" w:hAnsi="Arial"/>
          <w:sz w:val="14"/>
          <w:szCs w:val="14"/>
          <w:color w:val="131E29"/>
        </w:rPr>
        <w:t>helps customers personalize their orders. Using tablets, our runners take orders, sending them to broistas inside the shop, who utilize our flexible systems to hand-craft custom beverages. This system, in combination with “escape lanes,” in many shops that allow customers to receive their drinks and exit before reaching the window if their drinks are ready, helps our team manage throughput all day. See “Our Shops” section for illustration of our shop model.</w:t>
      </w:r>
    </w:p>
    <w:p>
      <w:pPr>
        <w:spacing w:after="0" w:line="9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SERVICE: </w:t>
      </w:r>
      <w:r>
        <w:rPr>
          <w:rFonts w:ascii="Arial" w:cs="Arial" w:eastAsia="Arial" w:hAnsi="Arial"/>
          <w:sz w:val="14"/>
          <w:szCs w:val="14"/>
          <w:color w:val="131E29"/>
        </w:rPr>
        <w:t>We embrace a customer-first attitude and use every interaction during the drive-thru experience to connect with our customers and seek to deliver an experience that</w:t>
      </w:r>
      <w:r>
        <w:rPr>
          <w:rFonts w:ascii="Arial" w:cs="Arial" w:eastAsia="Arial" w:hAnsi="Arial"/>
          <w:sz w:val="14"/>
          <w:szCs w:val="14"/>
          <w:b w:val="1"/>
          <w:bCs w:val="1"/>
          <w:color w:val="006098"/>
        </w:rPr>
        <w:t xml:space="preserve"> </w:t>
      </w:r>
      <w:r>
        <w:rPr>
          <w:rFonts w:ascii="Arial" w:cs="Arial" w:eastAsia="Arial" w:hAnsi="Arial"/>
          <w:sz w:val="14"/>
          <w:szCs w:val="14"/>
          <w:color w:val="131E29"/>
        </w:rPr>
        <w:t>exceeds our customers’ expectations.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combination of hand-crafted and high-quality beverages, our unique drive-thru experience and our community-driven, people-first culture has allowed us to successfully open new shops and continue to share the “Dutch Luv”. To achieve these experiences and create meaningful differentiation in our industry, we and our franchise partners are committed to attracting and retaining broistas who deliver an experience that exceeds our customers’ expectations. We empower our broistas to take the extra step to make each customer interaction remarkable.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Menu</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We sell a wide range of customizable hot, iced, and blended beverages.</w:t>
      </w:r>
    </w:p>
    <w:p>
      <w:pPr>
        <w:spacing w:after="0" w:line="133" w:lineRule="exact"/>
        <w:rPr>
          <w:sz w:val="20"/>
          <w:szCs w:val="20"/>
          <w:color w:val="auto"/>
        </w:rPr>
      </w:pPr>
    </w:p>
    <w:p>
      <w:pPr>
        <w:jc w:val="both"/>
        <w:ind w:left="260" w:hanging="255"/>
        <w:spacing w:after="0" w:line="238"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Coffee: </w:t>
      </w:r>
      <w:r>
        <w:rPr>
          <w:rFonts w:ascii="Arial" w:cs="Arial" w:eastAsia="Arial" w:hAnsi="Arial"/>
          <w:sz w:val="14"/>
          <w:szCs w:val="14"/>
          <w:color w:val="131E29"/>
        </w:rPr>
        <w:t>coffee-based beverages make up ~50%</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Coffee-based beverages include our espresso-based custom drinks, cold brew, and our proprietary “Freeze”</w:t>
      </w:r>
      <w:r>
        <w:rPr>
          <w:rFonts w:ascii="Arial" w:cs="Arial" w:eastAsia="Arial" w:hAnsi="Arial"/>
          <w:sz w:val="14"/>
          <w:szCs w:val="14"/>
          <w:b w:val="1"/>
          <w:bCs w:val="1"/>
          <w:color w:val="006098"/>
        </w:rPr>
        <w:t xml:space="preserve"> </w:t>
      </w:r>
      <w:r>
        <w:rPr>
          <w:rFonts w:ascii="Arial" w:cs="Arial" w:eastAsia="Arial" w:hAnsi="Arial"/>
          <w:sz w:val="14"/>
          <w:szCs w:val="14"/>
          <w:color w:val="131E29"/>
        </w:rPr>
        <w:t>blended beverages. Our Private Reserve coffee is a 100% Arabica three-bean blend, roasted in our Grants Pass facility. In our shops, we utilize premium La Marzocco machines to extract the coffee and deliver shots of smooth, full-bodied espresso.</w:t>
      </w:r>
    </w:p>
    <w:p>
      <w:pPr>
        <w:spacing w:after="0" w:line="109" w:lineRule="exact"/>
        <w:rPr>
          <w:rFonts w:ascii="Arial" w:cs="Arial" w:eastAsia="Arial" w:hAnsi="Arial"/>
          <w:sz w:val="14"/>
          <w:szCs w:val="14"/>
          <w:color w:val="131E29"/>
        </w:rPr>
      </w:pPr>
    </w:p>
    <w:p>
      <w:pPr>
        <w:ind w:left="260" w:hanging="255"/>
        <w:spacing w:after="0" w:line="232"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Energy: </w:t>
      </w:r>
      <w:r>
        <w:rPr>
          <w:rFonts w:ascii="Arial" w:cs="Arial" w:eastAsia="Arial" w:hAnsi="Arial"/>
          <w:sz w:val="14"/>
          <w:szCs w:val="14"/>
          <w:color w:val="131E29"/>
        </w:rPr>
        <w:t>~25%</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is based upon our proprietary Blue Rebel energy drink, which is highly customizable with flavors and modifiers and can be served blended or</w:t>
      </w:r>
      <w:r>
        <w:rPr>
          <w:rFonts w:ascii="Arial" w:cs="Arial" w:eastAsia="Arial" w:hAnsi="Arial"/>
          <w:sz w:val="14"/>
          <w:szCs w:val="14"/>
          <w:b w:val="1"/>
          <w:bCs w:val="1"/>
          <w:color w:val="006098"/>
        </w:rPr>
        <w:t xml:space="preserve"> </w:t>
      </w:r>
      <w:r>
        <w:rPr>
          <w:rFonts w:ascii="Arial" w:cs="Arial" w:eastAsia="Arial" w:hAnsi="Arial"/>
          <w:sz w:val="14"/>
          <w:szCs w:val="14"/>
          <w:color w:val="131E29"/>
        </w:rPr>
        <w:t>over ice. Our energy platform helps unlock the afternoon daypart and helps us appeal to a diverse customer base.</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Other: </w:t>
      </w:r>
      <w:r>
        <w:rPr>
          <w:rFonts w:ascii="Arial" w:cs="Arial" w:eastAsia="Arial" w:hAnsi="Arial"/>
          <w:sz w:val="14"/>
          <w:szCs w:val="14"/>
          <w:color w:val="131E29"/>
        </w:rPr>
        <w:t>the remaining ~25%</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is a wide variety of teas, lemonades, sodas, and smoothies.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06" w:lineRule="exact"/>
        <w:rPr>
          <w:sz w:val="20"/>
          <w:szCs w:val="20"/>
          <w:color w:val="auto"/>
        </w:rPr>
      </w:pPr>
    </w:p>
    <w:p>
      <w:pPr>
        <w:ind w:left="220" w:hanging="215"/>
        <w:spacing w:after="0"/>
        <w:tabs>
          <w:tab w:leader="none" w:pos="220" w:val="left"/>
        </w:tabs>
        <w:numPr>
          <w:ilvl w:val="0"/>
          <w:numId w:val="5"/>
        </w:numPr>
        <w:rPr>
          <w:rFonts w:ascii="Arial" w:cs="Arial" w:eastAsia="Arial" w:hAnsi="Arial"/>
          <w:sz w:val="18"/>
          <w:szCs w:val="18"/>
          <w:color w:val="131E29"/>
          <w:vertAlign w:val="superscript"/>
        </w:rPr>
      </w:pPr>
      <w:r>
        <w:rPr>
          <w:rFonts w:ascii="Arial" w:cs="Arial" w:eastAsia="Arial" w:hAnsi="Arial"/>
          <w:sz w:val="11"/>
          <w:szCs w:val="11"/>
          <w:color w:val="131E29"/>
        </w:rPr>
        <w:t>Based on number of drinks sold across our system in 2023.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 w:name="page10"/>
    <w:bookmarkEnd w:id="9"/>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662305</wp:posOffset>
            </wp:positionV>
            <wp:extent cx="1751965" cy="899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5196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Customers are encouraged to explore our robust “secret”</w:t>
      </w:r>
    </w:p>
    <w:p>
      <w:pPr>
        <w:spacing w:after="0" w:line="22"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menu and customize beverages through the addition of</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flavors and other modifiers. Many of our customers add</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“soft-top,” a sweet, creamy whipped topping that can be</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added to almost any order. High-levels of customization</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encourage innovation, creating a competitive moat and</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helping drive a broad demographic appeal.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Dutch Rewards Loyalty Program</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early 2021, we released our app-based digital loyalty program (Dutch Rewards) and quickly scaled it to account for approximately 60% of transactions by the end of 2021. We have continued to grow penetration even as we have rapidly built new shops and entered new geographies. In 2023, approximately 65% of all transactions were attributable to Dutch Rewards members.</w:t>
      </w:r>
    </w:p>
    <w:p>
      <w:pPr>
        <w:spacing w:after="0" w:line="133" w:lineRule="exact"/>
        <w:rPr>
          <w:sz w:val="20"/>
          <w:szCs w:val="20"/>
          <w:color w:val="auto"/>
        </w:rPr>
      </w:pPr>
    </w:p>
    <w:p>
      <w:pPr>
        <w:jc w:val="both"/>
        <w:ind w:left="20" w:right="6660"/>
        <w:spacing w:after="0" w:line="264" w:lineRule="auto"/>
        <w:rPr>
          <w:sz w:val="20"/>
          <w:szCs w:val="20"/>
          <w:color w:val="auto"/>
        </w:rPr>
      </w:pPr>
      <w:r>
        <w:rPr>
          <w:rFonts w:ascii="Arial" w:cs="Arial" w:eastAsia="Arial" w:hAnsi="Arial"/>
          <w:sz w:val="14"/>
          <w:szCs w:val="14"/>
          <w:color w:val="131E29"/>
        </w:rPr>
        <w:t>Dutch Rewards uses a spend-based model, where customers collect points that can be redeemed for rewards. These rewards can be utilized to receive free drinks or shared with others. Points and rewards generally expire after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-399415</wp:posOffset>
            </wp:positionV>
            <wp:extent cx="1101090" cy="2181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1090" cy="2181225"/>
                    </a:xfrm>
                    <a:prstGeom prst="rect">
                      <a:avLst/>
                    </a:prstGeom>
                    <a:noFill/>
                  </pic:spPr>
                </pic:pic>
              </a:graphicData>
            </a:graphic>
          </wp:anchor>
        </w:drawing>
      </w:r>
    </w:p>
    <w:p>
      <w:pPr>
        <w:spacing w:after="0" w:line="160" w:lineRule="exact"/>
        <w:rPr>
          <w:sz w:val="20"/>
          <w:szCs w:val="20"/>
          <w:color w:val="auto"/>
        </w:rPr>
      </w:pPr>
    </w:p>
    <w:p>
      <w:pPr>
        <w:jc w:val="both"/>
        <w:ind w:left="20" w:right="6640"/>
        <w:spacing w:after="0" w:line="258" w:lineRule="auto"/>
        <w:rPr>
          <w:sz w:val="20"/>
          <w:szCs w:val="20"/>
          <w:color w:val="auto"/>
        </w:rPr>
      </w:pPr>
      <w:r>
        <w:rPr>
          <w:rFonts w:ascii="Arial" w:cs="Arial" w:eastAsia="Arial" w:hAnsi="Arial"/>
          <w:sz w:val="14"/>
          <w:szCs w:val="14"/>
          <w:color w:val="131E29"/>
        </w:rPr>
        <w:t>We offer members the ability to preload funds on their account and pay through our app, a function we call Dutch Pass. In addition to being convenient for customers, Dutch Pass enables us to increase our speed of service by reducing the payment collection time. Our Dutch Pass functionality also allows users to purchase and share digital gift cards, providing more customers the opportunity to share in the Dutch Bros Experience.</w:t>
      </w:r>
    </w:p>
    <w:p>
      <w:pPr>
        <w:spacing w:after="0" w:line="184" w:lineRule="exact"/>
        <w:rPr>
          <w:sz w:val="20"/>
          <w:szCs w:val="20"/>
          <w:color w:val="auto"/>
        </w:rPr>
      </w:pPr>
    </w:p>
    <w:p>
      <w:pPr>
        <w:jc w:val="both"/>
        <w:ind w:left="20" w:right="6660"/>
        <w:spacing w:after="0" w:line="257" w:lineRule="auto"/>
        <w:rPr>
          <w:sz w:val="20"/>
          <w:szCs w:val="20"/>
          <w:color w:val="auto"/>
        </w:rPr>
      </w:pPr>
      <w:r>
        <w:rPr>
          <w:rFonts w:ascii="Arial" w:cs="Arial" w:eastAsia="Arial" w:hAnsi="Arial"/>
          <w:sz w:val="14"/>
          <w:szCs w:val="14"/>
          <w:color w:val="131E29"/>
        </w:rPr>
        <w:t>We utilize Dutch Rewards to communicate and interact directly with our customers and drive traffic. Over time, we have been developing increased sophistication as we have moved toward a more targeted approach where we use consumer insights to drive behaviors that we expect will create lasting value. We intend to continue investing in consumer insights and moving toward more personalized marketing to offer targeted messaging, offers, and rewards that enhance the Dutch Bros experience at an attractive return on investment.</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are a drive-thru focused business: over 90% of our business is conducted through the drive-thru. We believe that our drive-thru business model places a premium on customer convenience without sacrificing the personal experience. Our shops and our real estate strategy are designed from the ground up to support the drive-thru business.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shops typically have a smaller footprint than other drive-thru formats - this compact footprint allows us greater flexibility to place locations on more parcels. We typically target lots that are at least 25,000 square feet to handle substantial car volume. Except for a handful of legacy “coffee houses”, all our shops deploy either a single or double drive-thru window with multiple feeder lanes for traffic flow.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 w:name="page11"/>
    <w:bookmarkEnd w:id="1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2180" w:val="left"/>
          <w:tab w:leader="none" w:pos="5020" w:val="left"/>
        </w:tabs>
        <w:rPr>
          <w:sz w:val="20"/>
          <w:szCs w:val="20"/>
          <w:color w:val="auto"/>
        </w:rPr>
      </w:pPr>
      <w:r>
        <w:rPr>
          <w:rFonts w:ascii="Arial" w:cs="Arial" w:eastAsia="Arial" w:hAnsi="Arial"/>
          <w:sz w:val="14"/>
          <w:szCs w:val="14"/>
          <w:b w:val="1"/>
          <w:bCs w:val="1"/>
          <w:color w:val="006098"/>
        </w:rPr>
        <w:t>Legacy Configuration</w:t>
      </w:r>
      <w:r>
        <w:rPr>
          <w:sz w:val="20"/>
          <w:szCs w:val="20"/>
          <w:color w:val="auto"/>
        </w:rPr>
        <w:tab/>
      </w:r>
      <w:r>
        <w:rPr>
          <w:rFonts w:ascii="Arial" w:cs="Arial" w:eastAsia="Arial" w:hAnsi="Arial"/>
          <w:sz w:val="14"/>
          <w:szCs w:val="14"/>
          <w:b w:val="1"/>
          <w:bCs w:val="1"/>
          <w:color w:val="006098"/>
        </w:rPr>
        <w:t>Current Configuration</w:t>
      </w:r>
      <w:r>
        <w:rPr>
          <w:sz w:val="20"/>
          <w:szCs w:val="20"/>
          <w:color w:val="auto"/>
        </w:rPr>
        <w:tab/>
      </w:r>
      <w:r>
        <w:rPr>
          <w:rFonts w:ascii="Arial" w:cs="Arial" w:eastAsia="Arial" w:hAnsi="Arial"/>
          <w:sz w:val="14"/>
          <w:szCs w:val="14"/>
          <w:b w:val="1"/>
          <w:bCs w:val="1"/>
          <w:color w:val="006098"/>
        </w:rPr>
        <w:t>Endcap Configuration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4584700" cy="1161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84700"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2180" w:val="left"/>
          <w:tab w:leader="none" w:pos="5020" w:val="left"/>
        </w:tabs>
        <w:rPr>
          <w:sz w:val="20"/>
          <w:szCs w:val="20"/>
          <w:color w:val="auto"/>
        </w:rPr>
      </w:pPr>
      <w:r>
        <w:rPr>
          <w:rFonts w:ascii="Arial" w:cs="Arial" w:eastAsia="Arial" w:hAnsi="Arial"/>
          <w:sz w:val="14"/>
          <w:szCs w:val="14"/>
          <w:b w:val="1"/>
          <w:bCs w:val="1"/>
          <w:color w:val="131E29"/>
        </w:rPr>
        <w:t xml:space="preserve">Size: </w:t>
      </w:r>
      <w:r>
        <w:rPr>
          <w:rFonts w:ascii="Arial" w:cs="Arial" w:eastAsia="Arial" w:hAnsi="Arial"/>
          <w:sz w:val="14"/>
          <w:szCs w:val="14"/>
          <w:color w:val="131E29"/>
        </w:rPr>
        <w:t>~500 square feet</w:t>
      </w:r>
      <w:r>
        <w:rPr>
          <w:sz w:val="20"/>
          <w:szCs w:val="20"/>
          <w:color w:val="auto"/>
        </w:rPr>
        <w:tab/>
      </w:r>
      <w:r>
        <w:rPr>
          <w:rFonts w:ascii="Arial" w:cs="Arial" w:eastAsia="Arial" w:hAnsi="Arial"/>
          <w:sz w:val="14"/>
          <w:szCs w:val="14"/>
          <w:b w:val="1"/>
          <w:bCs w:val="1"/>
          <w:color w:val="131E29"/>
        </w:rPr>
        <w:t xml:space="preserve">Size: </w:t>
      </w:r>
      <w:r>
        <w:rPr>
          <w:rFonts w:ascii="Arial" w:cs="Arial" w:eastAsia="Arial" w:hAnsi="Arial"/>
          <w:sz w:val="14"/>
          <w:szCs w:val="14"/>
          <w:color w:val="131E29"/>
        </w:rPr>
        <w:t>~800-1,000 square feet</w:t>
      </w:r>
      <w:r>
        <w:rPr>
          <w:sz w:val="20"/>
          <w:szCs w:val="20"/>
          <w:color w:val="auto"/>
        </w:rPr>
        <w:tab/>
      </w:r>
      <w:r>
        <w:rPr>
          <w:rFonts w:ascii="Arial" w:cs="Arial" w:eastAsia="Arial" w:hAnsi="Arial"/>
          <w:sz w:val="14"/>
          <w:szCs w:val="14"/>
          <w:b w:val="1"/>
          <w:bCs w:val="1"/>
          <w:color w:val="131E29"/>
        </w:rPr>
        <w:t xml:space="preserve">Size: </w:t>
      </w:r>
      <w:r>
        <w:rPr>
          <w:rFonts w:ascii="Arial" w:cs="Arial" w:eastAsia="Arial" w:hAnsi="Arial"/>
          <w:sz w:val="14"/>
          <w:szCs w:val="14"/>
          <w:color w:val="131E29"/>
        </w:rPr>
        <w:t>~1,200 square feet</w:t>
      </w:r>
    </w:p>
    <w:p>
      <w:pPr>
        <w:spacing w:after="0" w:line="93" w:lineRule="exact"/>
        <w:rPr>
          <w:sz w:val="20"/>
          <w:szCs w:val="20"/>
          <w:color w:val="auto"/>
        </w:rPr>
      </w:pPr>
    </w:p>
    <w:p>
      <w:pPr>
        <w:ind w:left="20"/>
        <w:spacing w:after="0"/>
        <w:tabs>
          <w:tab w:leader="none" w:pos="2180" w:val="left"/>
          <w:tab w:leader="none" w:pos="5020" w:val="left"/>
        </w:tabs>
        <w:rPr>
          <w:sz w:val="20"/>
          <w:szCs w:val="20"/>
          <w:color w:val="auto"/>
        </w:rPr>
      </w:pPr>
      <w:r>
        <w:rPr>
          <w:rFonts w:ascii="Arial" w:cs="Arial" w:eastAsia="Arial" w:hAnsi="Arial"/>
          <w:sz w:val="14"/>
          <w:szCs w:val="14"/>
          <w:b w:val="1"/>
          <w:bCs w:val="1"/>
          <w:color w:val="131E29"/>
        </w:rPr>
        <w:t xml:space="preserve">Geographies: </w:t>
      </w:r>
      <w:r>
        <w:rPr>
          <w:rFonts w:ascii="Arial" w:cs="Arial" w:eastAsia="Arial" w:hAnsi="Arial"/>
          <w:sz w:val="14"/>
          <w:szCs w:val="14"/>
          <w:color w:val="131E29"/>
        </w:rPr>
        <w:t>Legacy West</w:t>
      </w:r>
      <w:r>
        <w:rPr>
          <w:sz w:val="20"/>
          <w:szCs w:val="20"/>
          <w:color w:val="auto"/>
        </w:rPr>
        <w:tab/>
      </w:r>
      <w:r>
        <w:rPr>
          <w:rFonts w:ascii="Arial" w:cs="Arial" w:eastAsia="Arial" w:hAnsi="Arial"/>
          <w:sz w:val="14"/>
          <w:szCs w:val="14"/>
          <w:b w:val="1"/>
          <w:bCs w:val="1"/>
          <w:color w:val="131E29"/>
        </w:rPr>
        <w:t xml:space="preserve">Geographies: </w:t>
      </w:r>
      <w:r>
        <w:rPr>
          <w:rFonts w:ascii="Arial" w:cs="Arial" w:eastAsia="Arial" w:hAnsi="Arial"/>
          <w:sz w:val="14"/>
          <w:szCs w:val="14"/>
          <w:color w:val="131E29"/>
        </w:rPr>
        <w:t>Widespread</w:t>
      </w:r>
      <w:r>
        <w:rPr>
          <w:sz w:val="20"/>
          <w:szCs w:val="20"/>
          <w:color w:val="auto"/>
        </w:rPr>
        <w:tab/>
      </w:r>
      <w:r>
        <w:rPr>
          <w:rFonts w:ascii="Arial" w:cs="Arial" w:eastAsia="Arial" w:hAnsi="Arial"/>
          <w:sz w:val="14"/>
          <w:szCs w:val="14"/>
          <w:b w:val="1"/>
          <w:bCs w:val="1"/>
          <w:color w:val="131E29"/>
        </w:rPr>
        <w:t xml:space="preserve">Geographies: </w:t>
      </w:r>
      <w:r>
        <w:rPr>
          <w:rFonts w:ascii="Arial" w:cs="Arial" w:eastAsia="Arial" w:hAnsi="Arial"/>
          <w:sz w:val="14"/>
          <w:szCs w:val="14"/>
          <w:color w:val="131E29"/>
        </w:rPr>
        <w:t>Select Locations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Coast</w:t>
      </w:r>
    </w:p>
    <w:p>
      <w:pPr>
        <w:sectPr>
          <w:pgSz w:w="11900" w:h="16838" w:orient="portrait"/>
          <w:cols w:equalWidth="0" w:num="1">
            <w:col w:w="11280"/>
          </w:cols>
          <w:pgMar w:left="300" w:top="133" w:right="319" w:bottom="1440" w:gutter="0" w:footer="0" w:header="0"/>
        </w:sectPr>
      </w:pPr>
    </w:p>
    <w:p>
      <w:pPr>
        <w:spacing w:after="0" w:line="79" w:lineRule="exact"/>
        <w:rPr>
          <w:sz w:val="20"/>
          <w:szCs w:val="20"/>
          <w:color w:val="auto"/>
        </w:rPr>
      </w:pPr>
    </w:p>
    <w:p>
      <w:pPr>
        <w:jc w:val="both"/>
        <w:ind w:left="20"/>
        <w:spacing w:after="0" w:line="261" w:lineRule="auto"/>
        <w:rPr>
          <w:sz w:val="20"/>
          <w:szCs w:val="20"/>
          <w:color w:val="auto"/>
        </w:rPr>
      </w:pPr>
      <w:r>
        <w:rPr>
          <w:rFonts w:ascii="Arial" w:cs="Arial" w:eastAsia="Arial" w:hAnsi="Arial"/>
          <w:sz w:val="14"/>
          <w:szCs w:val="14"/>
          <w:b w:val="1"/>
          <w:bCs w:val="1"/>
          <w:color w:val="131E29"/>
        </w:rPr>
        <w:t xml:space="preserve">Characteristics: </w:t>
      </w:r>
      <w:r>
        <w:rPr>
          <w:rFonts w:ascii="Arial" w:cs="Arial" w:eastAsia="Arial" w:hAnsi="Arial"/>
          <w:sz w:val="14"/>
          <w:szCs w:val="14"/>
          <w:color w:val="131E29"/>
        </w:rPr>
        <w:t>May have</w:t>
      </w:r>
      <w:r>
        <w:rPr>
          <w:rFonts w:ascii="Arial" w:cs="Arial" w:eastAsia="Arial" w:hAnsi="Arial"/>
          <w:sz w:val="14"/>
          <w:szCs w:val="14"/>
          <w:b w:val="1"/>
          <w:bCs w:val="1"/>
          <w:color w:val="131E29"/>
        </w:rPr>
        <w:t xml:space="preserve"> </w:t>
      </w:r>
      <w:r>
        <w:rPr>
          <w:rFonts w:ascii="Arial" w:cs="Arial" w:eastAsia="Arial" w:hAnsi="Arial"/>
          <w:sz w:val="14"/>
          <w:szCs w:val="14"/>
          <w:color w:val="131E29"/>
        </w:rPr>
        <w:t>drive-thru lanes on both sides of the building; walk-up window optional; no lobby; storage outbuilding may be needed.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131E29"/>
        </w:rPr>
        <w:t xml:space="preserve">Characteristics: </w:t>
      </w:r>
      <w:r>
        <w:rPr>
          <w:rFonts w:ascii="Arial" w:cs="Arial" w:eastAsia="Arial" w:hAnsi="Arial"/>
          <w:sz w:val="14"/>
          <w:szCs w:val="14"/>
          <w:color w:val="131E29"/>
        </w:rPr>
        <w:t>Multiple drive-thru lanes</w:t>
      </w:r>
      <w:r>
        <w:rPr>
          <w:rFonts w:ascii="Arial" w:cs="Arial" w:eastAsia="Arial" w:hAnsi="Arial"/>
          <w:sz w:val="14"/>
          <w:szCs w:val="14"/>
          <w:b w:val="1"/>
          <w:bCs w:val="1"/>
          <w:color w:val="131E29"/>
        </w:rPr>
        <w:t xml:space="preserve"> </w:t>
      </w:r>
      <w:r>
        <w:rPr>
          <w:rFonts w:ascii="Arial" w:cs="Arial" w:eastAsia="Arial" w:hAnsi="Arial"/>
          <w:sz w:val="14"/>
          <w:szCs w:val="14"/>
          <w:color w:val="131E29"/>
        </w:rPr>
        <w:t>served by one window; ample car stacking and circulation, escape lane likely; walk-up window standard; no lobby.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31E29"/>
        </w:rPr>
        <w:t xml:space="preserve">Characteristics: </w:t>
      </w:r>
      <w:r>
        <w:rPr>
          <w:rFonts w:ascii="Arial" w:cs="Arial" w:eastAsia="Arial" w:hAnsi="Arial"/>
          <w:sz w:val="14"/>
          <w:szCs w:val="14"/>
          <w:color w:val="131E29"/>
        </w:rPr>
        <w:t>Attached to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end of a strip center or purpose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131E29"/>
        </w:rPr>
        <w:t>built  with  co-tenants;  may  have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131E29"/>
        </w:rPr>
        <w:t>lobby with walk-up window, but no</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131E29"/>
        </w:rPr>
        <w:t>seating.</w:t>
      </w:r>
    </w:p>
    <w:p>
      <w:pPr>
        <w:spacing w:after="0" w:line="215" w:lineRule="exact"/>
        <w:rPr>
          <w:sz w:val="20"/>
          <w:szCs w:val="20"/>
          <w:color w:val="auto"/>
        </w:rPr>
      </w:pPr>
    </w:p>
    <w:p>
      <w:pPr>
        <w:sectPr>
          <w:pgSz w:w="11900" w:h="16838" w:orient="portrait"/>
          <w:cols w:equalWidth="0" w:num="3">
            <w:col w:w="2120" w:space="80"/>
            <w:col w:w="2740" w:space="100"/>
            <w:col w:w="6240"/>
          </w:cols>
          <w:pgMar w:left="300" w:top="133" w:right="319" w:bottom="1440" w:gutter="0" w:footer="0" w:header="0"/>
          <w:type w:val="continuous"/>
        </w:sectPr>
      </w:pPr>
    </w:p>
    <w:p>
      <w:pPr>
        <w:jc w:val="both"/>
        <w:spacing w:after="0" w:line="288" w:lineRule="auto"/>
        <w:rPr>
          <w:sz w:val="20"/>
          <w:szCs w:val="20"/>
          <w:color w:val="auto"/>
        </w:rPr>
      </w:pPr>
      <w:r>
        <w:rPr>
          <w:rFonts w:ascii="Arial" w:cs="Arial" w:eastAsia="Arial" w:hAnsi="Arial"/>
          <w:sz w:val="14"/>
          <w:szCs w:val="14"/>
          <w:color w:val="131E29"/>
        </w:rPr>
        <w:t>Most of our shops also have walk-up ordering windows and “escape lanes” that enable customers to exit the line after a runner delivers their drink before reaching the window, helping increase throughput and reducing congestion. For illustration of our shop model, see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59055</wp:posOffset>
            </wp:positionV>
            <wp:extent cx="4188460" cy="165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88460" cy="165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Long-Term Franchise Partners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Historically, we used a franchising strategy alongside company-operated shop development to drive growth in select markets. Over time, as we decided to grow more from within, we only offered franchise partnership opportunities to the highest-quality employees within our network. Since 2017, our focus has been a company-operated strategy with all operators recruited from within our system. While we maintain great relationships with our existing franchise partners and they continue to open new shops as they look to infill their high-demand markets, we anticipate that substantially all new shops we open each year will be company-operated shops.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OUR GROWTH STRATEGIES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We are in the early stages of our growth story. We will expand our business to positively impact our communities through the following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108585</wp:posOffset>
            </wp:positionV>
            <wp:extent cx="812165" cy="1221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2165" cy="1221740"/>
                    </a:xfrm>
                    <a:prstGeom prst="rect">
                      <a:avLst/>
                    </a:prstGeom>
                    <a:noFill/>
                  </pic:spPr>
                </pic:pic>
              </a:graphicData>
            </a:graphic>
          </wp:anchor>
        </w:drawing>
      </w:r>
    </w:p>
    <w:p>
      <w:pPr>
        <w:spacing w:after="0" w:line="200"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DEVELOP AND SUPPORT OUR PEOPLE, WHO ARE OUR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61595</wp:posOffset>
            </wp:positionV>
            <wp:extent cx="3302635" cy="16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635" cy="161290"/>
                    </a:xfrm>
                    <a:prstGeom prst="rect">
                      <a:avLst/>
                    </a:prstGeom>
                    <a:noFill/>
                  </pic:spPr>
                </pic:pic>
              </a:graphicData>
            </a:graphic>
          </wp:anchor>
        </w:drawing>
        <w:drawing>
          <wp:anchor simplePos="0" relativeHeight="251657728" behindDoc="1" locked="0" layoutInCell="0" allowOverlap="1">
            <wp:simplePos x="0" y="0"/>
            <wp:positionH relativeFrom="column">
              <wp:posOffset>915670</wp:posOffset>
            </wp:positionH>
            <wp:positionV relativeFrom="paragraph">
              <wp:posOffset>27940</wp:posOffset>
            </wp:positionV>
            <wp:extent cx="330263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635" cy="6985"/>
                    </a:xfrm>
                    <a:prstGeom prst="rect">
                      <a:avLst/>
                    </a:prstGeom>
                    <a:noFill/>
                  </pic:spPr>
                </pic:pic>
              </a:graphicData>
            </a:graphic>
          </wp:anchor>
        </w:drawing>
      </w:r>
    </w:p>
    <w:p>
      <w:pPr>
        <w:spacing w:after="0" w:line="83" w:lineRule="exact"/>
        <w:rPr>
          <w:sz w:val="20"/>
          <w:szCs w:val="20"/>
          <w:color w:val="auto"/>
        </w:rPr>
      </w:pPr>
    </w:p>
    <w:p>
      <w:pPr>
        <w:ind w:left="1700" w:hanging="244"/>
        <w:spacing w:after="0"/>
        <w:tabs>
          <w:tab w:leader="none" w:pos="1700"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Recruit, develop, and retain great people</w:t>
      </w:r>
    </w:p>
    <w:p>
      <w:pPr>
        <w:spacing w:after="0" w:line="145" w:lineRule="exact"/>
        <w:rPr>
          <w:rFonts w:ascii="Arial" w:cs="Arial" w:eastAsia="Arial" w:hAnsi="Arial"/>
          <w:sz w:val="14"/>
          <w:szCs w:val="14"/>
          <w:color w:val="131E29"/>
        </w:rPr>
      </w:pPr>
    </w:p>
    <w:p>
      <w:pPr>
        <w:jc w:val="both"/>
        <w:ind w:left="1720" w:right="4660" w:hanging="264"/>
        <w:spacing w:after="0" w:line="270" w:lineRule="auto"/>
        <w:tabs>
          <w:tab w:leader="none" w:pos="171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Provide robust internal training and career advancement programs, which help develop a high-quality talent pool of candidates seeking larger roles within the Company</w:t>
      </w:r>
    </w:p>
    <w:p>
      <w:pPr>
        <w:spacing w:after="0" w:line="186" w:lineRule="exact"/>
        <w:rPr>
          <w:rFonts w:ascii="Arial" w:cs="Arial" w:eastAsia="Arial" w:hAnsi="Arial"/>
          <w:sz w:val="14"/>
          <w:szCs w:val="14"/>
          <w:color w:val="131E29"/>
        </w:rPr>
      </w:pPr>
    </w:p>
    <w:p>
      <w:pPr>
        <w:ind w:left="1720" w:right="4660" w:hanging="264"/>
        <w:spacing w:after="0" w:line="288" w:lineRule="auto"/>
        <w:tabs>
          <w:tab w:leader="none" w:pos="171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Target 100% internal promotion for regional operators from a list of 350+ qualified candidates with an average tenure of 7 years</w:t>
      </w:r>
    </w:p>
    <w:p>
      <w:pPr>
        <w:spacing w:after="0" w:line="131" w:lineRule="exact"/>
        <w:rPr>
          <w:rFonts w:ascii="Arial" w:cs="Arial" w:eastAsia="Arial" w:hAnsi="Arial"/>
          <w:sz w:val="14"/>
          <w:szCs w:val="14"/>
          <w:color w:val="131E29"/>
        </w:rPr>
      </w:pPr>
    </w:p>
    <w:p>
      <w:pPr>
        <w:ind w:left="1700" w:hanging="244"/>
        <w:spacing w:after="0"/>
        <w:tabs>
          <w:tab w:leader="none" w:pos="1700"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Invest in leadership team to effectively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-897890</wp:posOffset>
            </wp:positionV>
            <wp:extent cx="4201795" cy="2127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1795" cy="212788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-897890</wp:posOffset>
            </wp:positionV>
            <wp:extent cx="4201795" cy="2127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01795" cy="2127885"/>
                    </a:xfrm>
                    <a:prstGeom prst="rect">
                      <a:avLst/>
                    </a:prstGeom>
                    <a:noFill/>
                  </pic:spPr>
                </pic:pic>
              </a:graphicData>
            </a:graphic>
          </wp:anchor>
        </w:drawing>
      </w:r>
    </w:p>
    <w:p>
      <w:pPr>
        <w:spacing w:after="0" w:line="34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006098"/>
        </w:rPr>
        <w:t>OPEN NEW SHOPS WHEREVER PEOPLE WANT GREAT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27940</wp:posOffset>
            </wp:positionV>
            <wp:extent cx="3067685" cy="631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7685" cy="631190"/>
                    </a:xfrm>
                    <a:prstGeom prst="rect">
                      <a:avLst/>
                    </a:prstGeom>
                    <a:noFill/>
                  </pic:spPr>
                </pic:pic>
              </a:graphicData>
            </a:graphic>
          </wp:anchor>
        </w:drawing>
      </w:r>
    </w:p>
    <w:p>
      <w:pPr>
        <w:spacing w:after="0" w:line="126" w:lineRule="exact"/>
        <w:rPr>
          <w:sz w:val="20"/>
          <w:szCs w:val="20"/>
          <w:color w:val="auto"/>
        </w:rPr>
      </w:pPr>
    </w:p>
    <w:p>
      <w:pPr>
        <w:jc w:val="both"/>
        <w:ind w:left="2040" w:right="4700" w:hanging="256"/>
        <w:spacing w:after="0" w:line="264" w:lineRule="auto"/>
        <w:tabs>
          <w:tab w:leader="none" w:pos="2036"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Leverage strong unit-level economics, ample liquidity, and robust underwriting standards to open shops with attractive returns, balancing building types, lease financing structure, and market entry strategies as needed</w:t>
      </w:r>
    </w:p>
    <w:p>
      <w:pPr>
        <w:spacing w:after="0" w:line="285" w:lineRule="exact"/>
        <w:rPr>
          <w:rFonts w:ascii="Arial" w:cs="Arial" w:eastAsia="Arial" w:hAnsi="Arial"/>
          <w:sz w:val="14"/>
          <w:szCs w:val="14"/>
          <w:color w:val="131E29"/>
        </w:rPr>
      </w:pPr>
    </w:p>
    <w:p>
      <w:pPr>
        <w:ind w:left="2040" w:right="4700" w:hanging="256"/>
        <w:spacing w:after="0" w:line="288" w:lineRule="auto"/>
        <w:tabs>
          <w:tab w:leader="none" w:pos="2036"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Target 4,000+ shops with a focus on drive-thru convenience with the long term objective of mid-teen annual percentage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-248920</wp:posOffset>
            </wp:positionV>
            <wp:extent cx="4148455" cy="1731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48455" cy="17316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-248920</wp:posOffset>
            </wp:positionV>
            <wp:extent cx="4148455" cy="1731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48455" cy="1731645"/>
                    </a:xfrm>
                    <a:prstGeom prst="rect">
                      <a:avLst/>
                    </a:prstGeom>
                    <a:noFill/>
                  </pic:spPr>
                </pic:pic>
              </a:graphicData>
            </a:graphic>
          </wp:anchor>
        </w:drawing>
      </w:r>
    </w:p>
    <w:p>
      <w:pPr>
        <w:spacing w:after="0" w:line="29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006098"/>
        </w:rPr>
        <w:t>DEEPEN CUSTOMER ENGAGEMENT TO DRIVE TRAFFIC AND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27940</wp:posOffset>
            </wp:positionV>
            <wp:extent cx="3107690" cy="382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07690" cy="382905"/>
                    </a:xfrm>
                    <a:prstGeom prst="rect">
                      <a:avLst/>
                    </a:prstGeom>
                    <a:noFill/>
                  </pic:spPr>
                </pic:pic>
              </a:graphicData>
            </a:graphic>
          </wp:anchor>
        </w:drawing>
      </w:r>
    </w:p>
    <w:p>
      <w:pPr>
        <w:spacing w:after="0" w:line="83" w:lineRule="exact"/>
        <w:rPr>
          <w:sz w:val="20"/>
          <w:szCs w:val="20"/>
          <w:color w:val="auto"/>
        </w:rPr>
      </w:pPr>
    </w:p>
    <w:p>
      <w:pPr>
        <w:jc w:val="both"/>
        <w:ind w:left="1980" w:right="4700" w:hanging="260"/>
        <w:spacing w:after="0" w:line="270" w:lineRule="auto"/>
        <w:tabs>
          <w:tab w:leader="none" w:pos="197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Continue increasing the sophistication of our rewards program by investing in rewards and analytics and offering more specific and targeted offers</w:t>
      </w:r>
    </w:p>
    <w:p>
      <w:pPr>
        <w:spacing w:after="0" w:line="48" w:lineRule="exact"/>
        <w:rPr>
          <w:rFonts w:ascii="Arial" w:cs="Arial" w:eastAsia="Arial" w:hAnsi="Arial"/>
          <w:sz w:val="14"/>
          <w:szCs w:val="14"/>
          <w:color w:val="131E29"/>
        </w:rPr>
      </w:pPr>
    </w:p>
    <w:p>
      <w:pPr>
        <w:ind w:left="1980" w:right="4700" w:hanging="260"/>
        <w:spacing w:after="0" w:line="288" w:lineRule="auto"/>
        <w:tabs>
          <w:tab w:leader="none" w:pos="197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Build and amplify brand awareness in new and existing markets through paid media and community engagement</w:t>
      </w:r>
    </w:p>
    <w:p>
      <w:pPr>
        <w:spacing w:after="0" w:line="47" w:lineRule="exact"/>
        <w:rPr>
          <w:rFonts w:ascii="Arial" w:cs="Arial" w:eastAsia="Arial" w:hAnsi="Arial"/>
          <w:sz w:val="14"/>
          <w:szCs w:val="14"/>
          <w:color w:val="131E29"/>
        </w:rPr>
      </w:pPr>
    </w:p>
    <w:p>
      <w:pPr>
        <w:ind w:left="1980" w:right="4700" w:hanging="260"/>
        <w:spacing w:after="0" w:line="288" w:lineRule="auto"/>
        <w:tabs>
          <w:tab w:leader="none" w:pos="197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Utilize innovation to keep the brand fresh, encourage trial, and add occasions</w:t>
      </w:r>
    </w:p>
    <w:p>
      <w:pPr>
        <w:spacing w:after="0" w:line="47" w:lineRule="exact"/>
        <w:rPr>
          <w:rFonts w:ascii="Arial" w:cs="Arial" w:eastAsia="Arial" w:hAnsi="Arial"/>
          <w:sz w:val="14"/>
          <w:szCs w:val="14"/>
          <w:color w:val="131E29"/>
        </w:rPr>
      </w:pPr>
    </w:p>
    <w:p>
      <w:pPr>
        <w:ind w:left="1980" w:right="4700" w:hanging="260"/>
        <w:spacing w:after="0" w:line="288" w:lineRule="auto"/>
        <w:tabs>
          <w:tab w:leader="none" w:pos="197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Employ promotions that encourage “multiples-based” purchases and facilitate group-buying behavior and word-of-mouth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-799465</wp:posOffset>
            </wp:positionV>
            <wp:extent cx="4182110" cy="2080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82110" cy="208089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-799465</wp:posOffset>
            </wp:positionV>
            <wp:extent cx="4182110" cy="2080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82110" cy="2080895"/>
                    </a:xfrm>
                    <a:prstGeom prst="rect">
                      <a:avLst/>
                    </a:prstGeom>
                    <a:noFill/>
                  </pic:spPr>
                </pic:pic>
              </a:graphicData>
            </a:graphic>
          </wp:anchor>
        </w:drawing>
      </w:r>
    </w:p>
    <w:p>
      <w:pPr>
        <w:spacing w:after="0" w:line="22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006098"/>
        </w:rPr>
        <w:t>EXPAND 4-WALL MARGINS AND DRIVE G&amp;A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27940</wp:posOffset>
            </wp:positionV>
            <wp:extent cx="2994025" cy="328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4025" cy="328930"/>
                    </a:xfrm>
                    <a:prstGeom prst="rect">
                      <a:avLst/>
                    </a:prstGeom>
                    <a:noFill/>
                  </pic:spPr>
                </pic:pic>
              </a:graphicData>
            </a:graphic>
          </wp:anchor>
        </w:drawing>
      </w:r>
    </w:p>
    <w:p>
      <w:pPr>
        <w:spacing w:after="0" w:line="83" w:lineRule="exact"/>
        <w:rPr>
          <w:sz w:val="20"/>
          <w:szCs w:val="20"/>
          <w:color w:val="auto"/>
        </w:rPr>
      </w:pPr>
    </w:p>
    <w:p>
      <w:pPr>
        <w:ind w:left="2160" w:right="4700" w:hanging="260"/>
        <w:spacing w:after="0" w:line="288" w:lineRule="auto"/>
        <w:tabs>
          <w:tab w:leader="none" w:pos="2156"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Continue targeting year-2 contribution margins of 30%+ for new shops, which support quick paybacks and funds new unit growth</w:t>
      </w:r>
    </w:p>
    <w:p>
      <w:pPr>
        <w:spacing w:after="0" w:line="131" w:lineRule="exact"/>
        <w:rPr>
          <w:rFonts w:ascii="Arial" w:cs="Arial" w:eastAsia="Arial" w:hAnsi="Arial"/>
          <w:sz w:val="14"/>
          <w:szCs w:val="14"/>
          <w:color w:val="131E29"/>
        </w:rPr>
      </w:pPr>
    </w:p>
    <w:p>
      <w:pPr>
        <w:jc w:val="both"/>
        <w:ind w:left="2160" w:right="4700" w:hanging="260"/>
        <w:spacing w:after="0" w:line="270" w:lineRule="auto"/>
        <w:tabs>
          <w:tab w:leader="none" w:pos="2156"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Continue to invest in state-of-the-art roasting facility in Texas to support our expansion strategy and supply chain requirements in what we believe will be a cost-advantaged manner in the long-term</w:t>
      </w:r>
    </w:p>
    <w:p>
      <w:pPr>
        <w:spacing w:after="0" w:line="175" w:lineRule="exact"/>
        <w:rPr>
          <w:rFonts w:ascii="Arial" w:cs="Arial" w:eastAsia="Arial" w:hAnsi="Arial"/>
          <w:sz w:val="14"/>
          <w:szCs w:val="14"/>
          <w:color w:val="131E29"/>
        </w:rPr>
      </w:pPr>
    </w:p>
    <w:p>
      <w:pPr>
        <w:ind w:left="2160" w:right="4700" w:hanging="260"/>
        <w:spacing w:after="0" w:line="288" w:lineRule="auto"/>
        <w:tabs>
          <w:tab w:leader="none" w:pos="2156"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Continue achieving G&amp;A leverage through strong top line growth and smart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-705485</wp:posOffset>
            </wp:positionV>
            <wp:extent cx="2994025" cy="758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94025" cy="75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Sourcing and Supply Chain</w:t>
      </w:r>
    </w:p>
    <w:p>
      <w:pPr>
        <w:spacing w:after="0" w:line="133"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131E29"/>
        </w:rPr>
        <w:t>We pride ourselves on the quality of our coffee. To ensure we are able to consistently deliver high-quality coffee across our 831 shops in our system, we are actively involved in the sourcing, roasting, packaging, and distribution of coffee beans to our systemwide shops.</w:t>
      </w:r>
    </w:p>
    <w:p>
      <w:pPr>
        <w:spacing w:after="0" w:line="121"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We partner with third-party importers and exporters to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-85725</wp:posOffset>
            </wp:positionV>
            <wp:extent cx="1154430" cy="772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4430" cy="772160"/>
                    </a:xfrm>
                    <a:prstGeom prst="rect">
                      <a:avLst/>
                    </a:prstGeom>
                    <a:noFill/>
                  </pic:spPr>
                </pic:pic>
              </a:graphicData>
            </a:graphic>
          </wp:anchor>
        </w:drawing>
      </w:r>
    </w:p>
    <w:p>
      <w:pPr>
        <w:spacing w:after="0" w:line="2"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import our green coffee beans. Through this relationship, we source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high-quality coffee beans from across Central and South America. We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typically purchase coffee contracts 18-24 months in advance of when we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take physical delivery of the beans, allowing us to lock in pricing and to</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better manage our input costs. This practice also allows us to be a good</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partner to our coffee producers, providing security of future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126365</wp:posOffset>
            </wp:positionV>
            <wp:extent cx="1154430" cy="9531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54430" cy="953135"/>
                    </a:xfrm>
                    <a:prstGeom prst="rect">
                      <a:avLst/>
                    </a:prstGeom>
                    <a:noFill/>
                  </pic:spPr>
                </pic:pic>
              </a:graphicData>
            </a:graphic>
          </wp:anchor>
        </w:drawing>
      </w:r>
    </w:p>
    <w:p>
      <w:pPr>
        <w:spacing w:after="0" w:line="186"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We currently roast all our coffee in our roasting facility in Grants Pass,</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Oregon. We roast our coffee bean varietals to specific profiles designed</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to highlight each of the coffee bean’s unique flavors and aromas. After</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the coffee beans are roasted, we blend them to create our signature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Private Reserve espresso.</w:t>
      </w:r>
    </w:p>
    <w:p>
      <w:pPr>
        <w:spacing w:after="0" w:line="163"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We package and ship our Private Reserve, Decaf and White Coffee</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espresso blends to 15 distribution centers that supply all our company-</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4"/>
          <w:szCs w:val="14"/>
          <w:color w:val="131E29"/>
        </w:rPr>
        <w:t>operated and franchised locations.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designed our supply chain to be flexible in response to changes in the market. On average, we typically have approximately four months of green coffee bean inventory stored at our two ports of entry in the United States or at our roasting facility in Grants Pass, Oregon. In the event of a supply disruption in any one of our production origins, we have identified alternate coffee beans with substantially similar flavor profiles that can be sourced and incorporated to produce our blend.</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have taken several steps to increase our diversity of supply and reduce transportation costs as we expand company-operated shops eastward within the United States. We anticipate our new roasting facility in Texas will be operational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92710</wp:posOffset>
            </wp:positionV>
            <wp:extent cx="1214755" cy="704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14755" cy="704850"/>
                    </a:xfrm>
                    <a:prstGeom prst="rect">
                      <a:avLst/>
                    </a:prstGeom>
                    <a:noFill/>
                  </pic:spPr>
                </pic:pic>
              </a:graphicData>
            </a:graphic>
          </wp:anchor>
        </w:drawing>
      </w:r>
    </w:p>
    <w:p>
      <w:pPr>
        <w:spacing w:after="0" w:line="133" w:lineRule="exact"/>
        <w:rPr>
          <w:sz w:val="20"/>
          <w:szCs w:val="20"/>
          <w:color w:val="auto"/>
        </w:rPr>
      </w:pPr>
    </w:p>
    <w:p>
      <w:pPr>
        <w:jc w:val="both"/>
        <w:ind w:left="20" w:right="6780"/>
        <w:spacing w:after="0" w:line="259" w:lineRule="auto"/>
        <w:rPr>
          <w:sz w:val="20"/>
          <w:szCs w:val="20"/>
          <w:color w:val="auto"/>
        </w:rPr>
      </w:pPr>
      <w:r>
        <w:rPr>
          <w:rFonts w:ascii="Arial" w:cs="Arial" w:eastAsia="Arial" w:hAnsi="Arial"/>
          <w:sz w:val="14"/>
          <w:szCs w:val="14"/>
          <w:color w:val="131E29"/>
        </w:rPr>
        <w:t>We also manufacture our own proprietary Dutch Bros. Blue Rebel Energy Drink via a co-bottling and co-packaging relationship. In 2023, we began testing beverage tap systems for our Blue Rebel Energy drink in shops. We believe distributing a portion of our Blue Rebel Energy drink via a “bag in a box” system for use in shop beverage taps will help us reduce our dependence on aluminum cans.</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Quality, Health, and Safety</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and our franchise partners strive to maintain a safe, healthy environment at each shop through the careful training and supervision of personnel and by following rigorous quality standards. Our Quality Assurance team informs, monitors, and reports on standards for preparation and cleaning, as well as inspects every shop in the system on a quarterly basis in preparation for biannual health inspections. As part of our people-first culture, the health and safety of our customers and employees are our highest priority.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Our commitment to beverage and food safety is strengthened through the direct relationship between our supply chain, culinary, food safety, and quality assurance teams. We review our supply partners’ material decisions regarding ingredients, and we reserve the right to conduct spot-checks. We examine each suppliers’ safety and quality records and verify insurance coverage. We believe that our established requirement for franchise partners to purchase certain supplies and equipment from approved vendors further enhances safety and quality within our system.</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People</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people are the driving force of our mission and are fundamental to our success. One of the most important relationships we have is with our employees, who are key members of the communities we love and support. We attract and seek out potential employees by identifying those with a love for life, a natural ability to connect with people under any circumstance, and most of all, a genuine smile!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2023, we and our franchise partners have approximately 24,000 employees, of which 16,000 employees are in our company-operated shops and headquarters.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chart below provides the approximate percentage of systemwide employees by shop type and by state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5715</wp:posOffset>
            </wp:positionV>
            <wp:extent cx="4114800" cy="2960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14800" cy="296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 w:name="page15"/>
    <w:bookmarkEnd w:id="1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The charts below provide the approximate percentages of our company-operated shop and headquarters employees by gender and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95250</wp:posOffset>
            </wp:positionV>
            <wp:extent cx="4094480" cy="20135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94480"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Diversity, Equity, and Inclusion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are committed to DEI in our Company, at the window, and in our communities, cultivating an inclusive environment of love, acceptance, and kindness. Our DEI commitment strives to ensure all customers, crews, and communities are welcomed, honored, and loved. We are actively working to develop a holistic DEI program that can be a resource for everyone we serve. The events of the past several years have offered another reminder of how critically important our efforts have become, and as a result we have taken real, meaningful steps toward advancing our DEI program including, but not limited to, the following:</w:t>
      </w:r>
    </w:p>
    <w:p>
      <w:pPr>
        <w:spacing w:after="0" w:line="95"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hired two female executives in the past 18 months: our Chief Executive Officer and President and Chief Marketing Officer;</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expanded our library of DEI training, events, and resources to headquarters employees and shop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Total Rewards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offer competitive salaries and wages and continually assess them across business environments and labor markets. We are continually making enhancements to our total rewards program to attract and retain top talent as part of our growth strategy. We offer a comprehensive suite of benefits to our broistas, shop management, and headquarters employees, including, but not limited to, the following:</w:t>
      </w:r>
    </w:p>
    <w:p>
      <w:pPr>
        <w:spacing w:after="0" w:line="91"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company-wide minimum wage of at least $10.00 per hour across all markets;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company paid parental leave of more than eight weeks, after one full year of employment for shop management and headquarters employees;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wellness program to help employees live their best lives and free access to our employee assistance program for all employees;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tuition assistance toward employees’ professional development after one full year of employment;</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flexible working arrangements for headquarters employees, including on-site, hybrid, and remote options;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 w:name="page16"/>
    <w:bookmarkEnd w:id="1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tabs>
          <w:tab w:leader="none" w:pos="260" w:val="left"/>
        </w:tabs>
        <w:numPr>
          <w:ilvl w:val="0"/>
          <w:numId w:val="12"/>
        </w:numPr>
        <w:rPr>
          <w:rFonts w:ascii="Arial" w:cs="Arial" w:eastAsia="Arial" w:hAnsi="Arial"/>
          <w:sz w:val="14"/>
          <w:szCs w:val="14"/>
          <w:color w:val="131E29"/>
        </w:rPr>
      </w:pPr>
      <w:r>
        <w:rPr>
          <w:rFonts w:ascii="Arial" w:cs="Arial" w:eastAsia="Arial" w:hAnsi="Arial"/>
          <w:sz w:val="14"/>
          <w:szCs w:val="14"/>
          <w:color w:val="131E29"/>
        </w:rPr>
        <w:t>up to 16 hours of paid volunteer hours for all employees to use when helping out the community;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2"/>
        </w:numPr>
        <w:rPr>
          <w:rFonts w:ascii="Arial" w:cs="Arial" w:eastAsia="Arial" w:hAnsi="Arial"/>
          <w:sz w:val="14"/>
          <w:szCs w:val="14"/>
          <w:color w:val="131E29"/>
        </w:rPr>
      </w:pPr>
      <w:r>
        <w:rPr>
          <w:rFonts w:ascii="Arial" w:cs="Arial" w:eastAsia="Arial" w:hAnsi="Arial"/>
          <w:sz w:val="14"/>
          <w:szCs w:val="14"/>
          <w:color w:val="131E29"/>
        </w:rPr>
        <w:t>team focused culture with growth and leadership opportunities that support career advancement.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Training and Development</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We are committed to inspiring and facilitating personal and professional growth for our people as they fulfill their dreams and contribute to their communities. As part of this commitment, we provide resources to train and develop our people.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Broista Training</w:t>
      </w:r>
    </w:p>
    <w:p>
      <w:pPr>
        <w:spacing w:after="0" w:line="20"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4"/>
          <w:szCs w:val="14"/>
          <w:color w:val="131E29"/>
        </w:rPr>
      </w:pPr>
      <w:r>
        <w:rPr>
          <w:rFonts w:ascii="Arial" w:cs="Arial" w:eastAsia="Arial" w:hAnsi="Arial"/>
          <w:sz w:val="14"/>
          <w:szCs w:val="14"/>
          <w:color w:val="131E29"/>
        </w:rPr>
        <w:t>2 day cultural immersion, history, and fundamental knowledge</w:t>
      </w:r>
    </w:p>
    <w:p>
      <w:pPr>
        <w:spacing w:after="0" w:line="120" w:lineRule="exact"/>
        <w:rPr>
          <w:rFonts w:ascii="Arial" w:cs="Arial" w:eastAsia="Arial" w:hAnsi="Arial"/>
          <w:sz w:val="14"/>
          <w:szCs w:val="14"/>
          <w:color w:val="131E29"/>
        </w:rPr>
      </w:pPr>
    </w:p>
    <w:p>
      <w:pPr>
        <w:ind w:left="260" w:hanging="255"/>
        <w:spacing w:after="0"/>
        <w:tabs>
          <w:tab w:leader="none" w:pos="260" w:val="left"/>
        </w:tabs>
        <w:numPr>
          <w:ilvl w:val="0"/>
          <w:numId w:val="13"/>
        </w:numPr>
        <w:rPr>
          <w:rFonts w:ascii="Arial" w:cs="Arial" w:eastAsia="Arial" w:hAnsi="Arial"/>
          <w:sz w:val="14"/>
          <w:szCs w:val="14"/>
          <w:color w:val="131E29"/>
        </w:rPr>
      </w:pPr>
      <w:r>
        <w:rPr>
          <w:rFonts w:ascii="Arial" w:cs="Arial" w:eastAsia="Arial" w:hAnsi="Arial"/>
          <w:sz w:val="14"/>
          <w:szCs w:val="14"/>
          <w:color w:val="131E29"/>
        </w:rPr>
        <w:t>10 shifts of on-the-job training</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3"/>
        </w:numPr>
        <w:rPr>
          <w:rFonts w:ascii="Arial" w:cs="Arial" w:eastAsia="Arial" w:hAnsi="Arial"/>
          <w:sz w:val="14"/>
          <w:szCs w:val="14"/>
          <w:color w:val="131E29"/>
        </w:rPr>
      </w:pPr>
      <w:r>
        <w:rPr>
          <w:rFonts w:ascii="Arial" w:cs="Arial" w:eastAsia="Arial" w:hAnsi="Arial"/>
          <w:sz w:val="14"/>
          <w:szCs w:val="14"/>
          <w:color w:val="131E29"/>
        </w:rPr>
        <w:t>Review of “Manifesto,” field guide, and employee handbook, and have proficiency tests twice per year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Leadership Pathways</w:t>
      </w:r>
    </w:p>
    <w:p>
      <w:pPr>
        <w:spacing w:after="0" w:line="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exclusively source regional operators, who we view as the linchpins of our field organization and lead between 3-7 shops at scale, from within our organization. For our continued growth, it is critical that we consistently train and develop new leaders. Our leadership development program outlines shop growth opportunities at all levels of the organization and furthers our philosophy of hiring and developing leaders from within. This program provides ample opportunities for our shop broistas to create their own pathway, which can be a mix of Path A and B, to reach their potential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86360</wp:posOffset>
            </wp:positionV>
            <wp:extent cx="6135370" cy="133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35370" cy="133985"/>
                    </a:xfrm>
                    <a:prstGeom prst="rect">
                      <a:avLst/>
                    </a:prstGeom>
                    <a:noFill/>
                  </pic:spPr>
                </pic:pic>
              </a:graphicData>
            </a:graphic>
          </wp:anchor>
        </w:drawing>
      </w:r>
    </w:p>
    <w:p>
      <w:pPr>
        <w:spacing w:after="0" w:line="122"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FFFFFF"/>
        </w:rPr>
        <w:t>Broista</w:t>
      </w:r>
    </w:p>
    <w:p>
      <w:pPr>
        <w:spacing w:after="0" w:line="70" w:lineRule="exact"/>
        <w:rPr>
          <w:sz w:val="20"/>
          <w:szCs w:val="20"/>
          <w:color w:val="auto"/>
        </w:rPr>
      </w:pPr>
    </w:p>
    <w:p>
      <w:pPr>
        <w:jc w:val="center"/>
        <w:ind w:right="100"/>
        <w:spacing w:after="0"/>
        <w:rPr>
          <w:sz w:val="20"/>
          <w:szCs w:val="20"/>
          <w:color w:val="auto"/>
        </w:rPr>
      </w:pPr>
      <w:r>
        <w:rPr>
          <w:rFonts w:ascii="Wingdings" w:cs="Wingdings" w:eastAsia="Wingdings" w:hAnsi="Wingdings"/>
          <w:sz w:val="25"/>
          <w:szCs w:val="25"/>
          <w:b w:val="1"/>
          <w:bCs w:val="1"/>
          <w:color w:val="FDE021"/>
        </w:rPr>
        <w:t>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29210</wp:posOffset>
            </wp:positionV>
            <wp:extent cx="6135370" cy="133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35370" cy="133985"/>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Shift Lead</w:t>
      </w:r>
    </w:p>
    <w:p>
      <w:pPr>
        <w:spacing w:after="0" w:line="70" w:lineRule="exact"/>
        <w:rPr>
          <w:sz w:val="20"/>
          <w:szCs w:val="20"/>
          <w:color w:val="auto"/>
        </w:rPr>
      </w:pPr>
    </w:p>
    <w:tbl>
      <w:tblPr>
        <w:tblLayout w:type="fixed"/>
        <w:tblInd w:w="1240" w:type="dxa"/>
        <w:tblCellMar>
          <w:top w:w="0" w:type="dxa"/>
          <w:left w:w="0" w:type="dxa"/>
          <w:bottom w:w="0" w:type="dxa"/>
          <w:right w:w="0" w:type="dxa"/>
        </w:tblCellMar>
      </w:tblPr>
      <w:tr>
        <w:trPr>
          <w:trHeight w:val="280"/>
        </w:trPr>
        <w:tc>
          <w:tcPr>
            <w:tcW w:w="4260" w:type="dxa"/>
            <w:vAlign w:val="bottom"/>
            <w:gridSpan w:val="2"/>
          </w:tcPr>
          <w:p>
            <w:pPr>
              <w:jc w:val="right"/>
              <w:ind w:right="320"/>
              <w:spacing w:after="0"/>
              <w:rPr>
                <w:sz w:val="20"/>
                <w:szCs w:val="20"/>
                <w:color w:val="auto"/>
              </w:rPr>
            </w:pPr>
            <w:r>
              <w:rPr>
                <w:rFonts w:ascii="Wingdings" w:cs="Wingdings" w:eastAsia="Wingdings" w:hAnsi="Wingdings"/>
                <w:sz w:val="25"/>
                <w:szCs w:val="25"/>
                <w:b w:val="1"/>
                <w:bCs w:val="1"/>
                <w:color w:val="FDE021"/>
              </w:rPr>
              <w:t>í</w:t>
            </w:r>
          </w:p>
        </w:tc>
        <w:tc>
          <w:tcPr>
            <w:tcW w:w="760" w:type="dxa"/>
            <w:vAlign w:val="bottom"/>
          </w:tcPr>
          <w:p>
            <w:pPr>
              <w:jc w:val="right"/>
              <w:ind w:right="73"/>
              <w:spacing w:after="0"/>
              <w:rPr>
                <w:sz w:val="20"/>
                <w:szCs w:val="20"/>
                <w:color w:val="auto"/>
              </w:rPr>
            </w:pPr>
            <w:r>
              <w:rPr>
                <w:rFonts w:ascii="Wingdings" w:cs="Wingdings" w:eastAsia="Wingdings" w:hAnsi="Wingdings"/>
                <w:sz w:val="25"/>
                <w:szCs w:val="25"/>
                <w:b w:val="1"/>
                <w:bCs w:val="1"/>
                <w:color w:val="FDE021"/>
              </w:rPr>
              <w:t>î</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gridSpan w:val="2"/>
          </w:tcPr>
          <w:p>
            <w:pPr>
              <w:jc w:val="right"/>
              <w:ind w:right="2300"/>
              <w:spacing w:after="0"/>
              <w:rPr>
                <w:sz w:val="20"/>
                <w:szCs w:val="20"/>
                <w:color w:val="auto"/>
              </w:rPr>
            </w:pPr>
            <w:r>
              <w:rPr>
                <w:rFonts w:ascii="Arial" w:cs="Arial" w:eastAsia="Arial" w:hAnsi="Arial"/>
                <w:sz w:val="14"/>
                <w:szCs w:val="14"/>
                <w:b w:val="1"/>
                <w:bCs w:val="1"/>
                <w:color w:val="006098"/>
                <w:w w:val="99"/>
              </w:rPr>
              <w:t xml:space="preserve">Path A: </w:t>
            </w:r>
            <w:r>
              <w:rPr>
                <w:rFonts w:ascii="Arial" w:cs="Arial" w:eastAsia="Arial" w:hAnsi="Arial"/>
                <w:sz w:val="14"/>
                <w:szCs w:val="14"/>
                <w:color w:val="131E29"/>
                <w:w w:val="99"/>
              </w:rPr>
              <w:t>Shop Level Operations</w:t>
            </w:r>
          </w:p>
        </w:tc>
        <w:tc>
          <w:tcPr>
            <w:tcW w:w="76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00416B"/>
              </w:rPr>
              <w:t xml:space="preserve">Path B: </w:t>
            </w:r>
            <w:r>
              <w:rPr>
                <w:rFonts w:ascii="Arial" w:cs="Arial" w:eastAsia="Arial" w:hAnsi="Arial"/>
                <w:sz w:val="14"/>
                <w:szCs w:val="14"/>
                <w:color w:val="131E29"/>
              </w:rPr>
              <w:t>Shop Opening Team</w:t>
            </w:r>
          </w:p>
        </w:tc>
        <w:tc>
          <w:tcPr>
            <w:tcW w:w="0" w:type="dxa"/>
            <w:vAlign w:val="bottom"/>
          </w:tcPr>
          <w:p>
            <w:pPr>
              <w:spacing w:after="0"/>
              <w:rPr>
                <w:sz w:val="1"/>
                <w:szCs w:val="1"/>
                <w:color w:val="auto"/>
              </w:rPr>
            </w:pPr>
          </w:p>
        </w:tc>
      </w:tr>
      <w:tr>
        <w:trPr>
          <w:trHeight w:val="339"/>
        </w:trPr>
        <w:tc>
          <w:tcPr>
            <w:tcW w:w="426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Shop Lead</w:t>
            </w: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0" w:type="dxa"/>
            <w:vAlign w:val="bottom"/>
            <w:vMerge w:val="restart"/>
            <w:shd w:val="clear" w:color="auto" w:fill="D2DCE5"/>
          </w:tcPr>
          <w:p>
            <w:pPr>
              <w:jc w:val="center"/>
              <w:spacing w:after="0"/>
              <w:rPr>
                <w:sz w:val="20"/>
                <w:szCs w:val="20"/>
                <w:color w:val="auto"/>
              </w:rPr>
            </w:pPr>
            <w:r>
              <w:rPr>
                <w:rFonts w:ascii="Arial" w:cs="Arial" w:eastAsia="Arial" w:hAnsi="Arial"/>
                <w:sz w:val="14"/>
                <w:szCs w:val="14"/>
                <w:color w:val="131E29"/>
              </w:rPr>
              <w:t>Master of Broistas (MOB)</w:t>
            </w:r>
          </w:p>
        </w:tc>
        <w:tc>
          <w:tcPr>
            <w:tcW w:w="0" w:type="dxa"/>
            <w:vAlign w:val="bottom"/>
          </w:tcPr>
          <w:p>
            <w:pPr>
              <w:spacing w:after="0"/>
              <w:rPr>
                <w:sz w:val="1"/>
                <w:szCs w:val="1"/>
                <w:color w:val="auto"/>
              </w:rPr>
            </w:pPr>
          </w:p>
        </w:tc>
      </w:tr>
      <w:tr>
        <w:trPr>
          <w:trHeight w:val="146"/>
        </w:trPr>
        <w:tc>
          <w:tcPr>
            <w:tcW w:w="3720" w:type="dxa"/>
            <w:vAlign w:val="bottom"/>
            <w:shd w:val="clear" w:color="auto" w:fill="D2DCE5"/>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0" w:type="dxa"/>
            <w:vAlign w:val="bottom"/>
            <w:vMerge w:val="continue"/>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Manager</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Assistant Lead MOB</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Regional Manager</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Lead MOB</w:t>
            </w:r>
          </w:p>
        </w:tc>
        <w:tc>
          <w:tcPr>
            <w:tcW w:w="0" w:type="dxa"/>
            <w:vAlign w:val="bottom"/>
          </w:tcPr>
          <w:p>
            <w:pPr>
              <w:spacing w:after="0"/>
              <w:rPr>
                <w:sz w:val="1"/>
                <w:szCs w:val="1"/>
                <w:color w:val="auto"/>
              </w:rPr>
            </w:pPr>
          </w:p>
        </w:tc>
      </w:tr>
      <w:tr>
        <w:trPr>
          <w:trHeight w:val="433"/>
        </w:trPr>
        <w:tc>
          <w:tcPr>
            <w:tcW w:w="4260" w:type="dxa"/>
            <w:vAlign w:val="bottom"/>
            <w:gridSpan w:val="2"/>
          </w:tcPr>
          <w:p>
            <w:pPr>
              <w:jc w:val="right"/>
              <w:ind w:right="320"/>
              <w:spacing w:after="0"/>
              <w:rPr>
                <w:sz w:val="20"/>
                <w:szCs w:val="20"/>
                <w:color w:val="auto"/>
              </w:rPr>
            </w:pPr>
            <w:r>
              <w:rPr>
                <w:rFonts w:ascii="Wingdings" w:cs="Wingdings" w:eastAsia="Wingdings" w:hAnsi="Wingdings"/>
                <w:sz w:val="25"/>
                <w:szCs w:val="25"/>
                <w:b w:val="1"/>
                <w:bCs w:val="1"/>
                <w:color w:val="FDE021"/>
              </w:rPr>
              <w:t>î</w:t>
            </w:r>
          </w:p>
        </w:tc>
        <w:tc>
          <w:tcPr>
            <w:tcW w:w="760" w:type="dxa"/>
            <w:vAlign w:val="bottom"/>
          </w:tcPr>
          <w:p>
            <w:pPr>
              <w:jc w:val="right"/>
              <w:ind w:right="73"/>
              <w:spacing w:after="0"/>
              <w:rPr>
                <w:sz w:val="20"/>
                <w:szCs w:val="20"/>
                <w:color w:val="auto"/>
              </w:rPr>
            </w:pPr>
            <w:r>
              <w:rPr>
                <w:rFonts w:ascii="Wingdings" w:cs="Wingdings" w:eastAsia="Wingdings" w:hAnsi="Wingdings"/>
                <w:sz w:val="25"/>
                <w:szCs w:val="25"/>
                <w:b w:val="1"/>
                <w:bCs w:val="1"/>
                <w:color w:val="FDE021"/>
              </w:rPr>
              <w:t>í</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27305</wp:posOffset>
            </wp:positionV>
            <wp:extent cx="6135370" cy="133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35370" cy="13398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-1112520</wp:posOffset>
            </wp:positionV>
            <wp:extent cx="6167120" cy="931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67120" cy="931545"/>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Regional Operator</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131E29"/>
        </w:rPr>
        <w:t>This leadership program develops a pipeline of home-grown talent, which we believe will be sufficient for our new shop growth over the next several years.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Philanthropy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Since our inception, we have been dedicated to giving back to the communities in which we serve, and we consider our brand to be a powerful platform for social impact. Our philanthropic efforts support local and national causes. A culture of philanthropy and giving back to build better communities permeates the entire Dutch Bros organization, energizing both our broistas and customers alike.</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host three company-wide givebacks days each year. The Company, along with our franchise partners and Dutch Bros Foundation (the Foundation) provide donations for funds raised in each of these giveback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 w:name="page17"/>
    <w:bookmarkEnd w:id="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days. The Foundation is a not-for-profit founded by the Company that provides philanthropy to coffee farmers and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108585</wp:posOffset>
            </wp:positionV>
            <wp:extent cx="772160" cy="960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2160" cy="960120"/>
                    </a:xfrm>
                    <a:prstGeom prst="rect">
                      <a:avLst/>
                    </a:prstGeom>
                    <a:noFill/>
                  </pic:spPr>
                </pic:pic>
              </a:graphicData>
            </a:graphic>
          </wp:anchor>
        </w:drawing>
        <w:drawing>
          <wp:anchor simplePos="0" relativeHeight="251657728" behindDoc="1" locked="0" layoutInCell="0" allowOverlap="1">
            <wp:simplePos x="0" y="0"/>
            <wp:positionH relativeFrom="column">
              <wp:posOffset>1714500</wp:posOffset>
            </wp:positionH>
            <wp:positionV relativeFrom="paragraph">
              <wp:posOffset>108585</wp:posOffset>
            </wp:positionV>
            <wp:extent cx="772160" cy="9664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2160" cy="96647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108585</wp:posOffset>
            </wp:positionV>
            <wp:extent cx="772160" cy="966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2160" cy="96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spacing w:after="0"/>
        <w:tabs>
          <w:tab w:leader="none" w:pos="2580" w:val="left"/>
          <w:tab w:leader="none" w:pos="5060" w:val="left"/>
        </w:tabs>
        <w:rPr>
          <w:sz w:val="20"/>
          <w:szCs w:val="20"/>
          <w:color w:val="auto"/>
        </w:rPr>
      </w:pPr>
      <w:r>
        <w:rPr>
          <w:rFonts w:ascii="Arial" w:cs="Arial" w:eastAsia="Arial" w:hAnsi="Arial"/>
          <w:sz w:val="14"/>
          <w:szCs w:val="14"/>
          <w:b w:val="1"/>
          <w:bCs w:val="1"/>
          <w:color w:val="006098"/>
        </w:rPr>
        <w:t>“Dutch Luv”</w:t>
      </w:r>
      <w:r>
        <w:rPr>
          <w:sz w:val="20"/>
          <w:szCs w:val="20"/>
          <w:color w:val="auto"/>
        </w:rPr>
        <w:tab/>
      </w:r>
      <w:r>
        <w:rPr>
          <w:rFonts w:ascii="Arial" w:cs="Arial" w:eastAsia="Arial" w:hAnsi="Arial"/>
          <w:sz w:val="14"/>
          <w:szCs w:val="14"/>
          <w:b w:val="1"/>
          <w:bCs w:val="1"/>
          <w:color w:val="006098"/>
        </w:rPr>
        <w:t>“Drink One for Dane”</w:t>
      </w:r>
      <w:r>
        <w:rPr>
          <w:sz w:val="20"/>
          <w:szCs w:val="20"/>
          <w:color w:val="auto"/>
        </w:rPr>
        <w:tab/>
      </w:r>
      <w:r>
        <w:rPr>
          <w:rFonts w:ascii="Arial" w:cs="Arial" w:eastAsia="Arial" w:hAnsi="Arial"/>
          <w:sz w:val="14"/>
          <w:szCs w:val="14"/>
          <w:b w:val="1"/>
          <w:bCs w:val="1"/>
          <w:color w:val="006098"/>
        </w:rPr>
        <w:t>“Buck for Kids”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4188460" cy="671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88460" cy="67119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p>
      <w:pPr>
        <w:spacing w:after="0" w:line="50" w:lineRule="exact"/>
        <w:rPr>
          <w:sz w:val="20"/>
          <w:szCs w:val="20"/>
          <w:color w:val="auto"/>
        </w:rPr>
      </w:pPr>
    </w:p>
    <w:p>
      <w:pPr>
        <w:jc w:val="both"/>
        <w:ind w:left="20"/>
        <w:spacing w:after="0" w:line="261" w:lineRule="auto"/>
        <w:rPr>
          <w:sz w:val="20"/>
          <w:szCs w:val="20"/>
          <w:color w:val="auto"/>
        </w:rPr>
      </w:pPr>
      <w:r>
        <w:rPr>
          <w:rFonts w:ascii="Arial" w:cs="Arial" w:eastAsia="Arial" w:hAnsi="Arial"/>
          <w:sz w:val="14"/>
          <w:szCs w:val="14"/>
          <w:color w:val="131E29"/>
        </w:rPr>
        <w:t>Every February, we donate $1 from every drink sold to local organizations working to fight food insecurity in our communities.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Every May, in honor of our co-founder Dane Boersma, we raise funds for the Muscular Dystrophy Association to find a cause and cure for ALS (Amyotrophic Lateral Sclerosis), or Lou Gehrig’s disease.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131E29"/>
        </w:rPr>
        <w:t>Every September, we dedicate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a day to give $1 from every</w:t>
      </w:r>
    </w:p>
    <w:p>
      <w:pPr>
        <w:spacing w:after="0" w:line="8" w:lineRule="exact"/>
        <w:rPr>
          <w:sz w:val="20"/>
          <w:szCs w:val="20"/>
          <w:color w:val="auto"/>
        </w:rPr>
      </w:pPr>
    </w:p>
    <w:p>
      <w:pPr>
        <w:spacing w:after="0"/>
        <w:tabs>
          <w:tab w:leader="none" w:pos="520" w:val="left"/>
          <w:tab w:leader="none" w:pos="1020" w:val="left"/>
          <w:tab w:leader="none" w:pos="1360" w:val="left"/>
        </w:tabs>
        <w:rPr>
          <w:sz w:val="20"/>
          <w:szCs w:val="20"/>
          <w:color w:val="auto"/>
        </w:rPr>
      </w:pPr>
      <w:r>
        <w:rPr>
          <w:rFonts w:ascii="Arial" w:cs="Arial" w:eastAsia="Arial" w:hAnsi="Arial"/>
          <w:sz w:val="14"/>
          <w:szCs w:val="14"/>
          <w:color w:val="131E29"/>
        </w:rPr>
        <w:t>drink</w:t>
        <w:tab/>
        <w:t>sold</w:t>
      </w:r>
      <w:r>
        <w:rPr>
          <w:sz w:val="20"/>
          <w:szCs w:val="20"/>
          <w:color w:val="auto"/>
        </w:rPr>
        <w:tab/>
      </w:r>
      <w:r>
        <w:rPr>
          <w:rFonts w:ascii="Arial" w:cs="Arial" w:eastAsia="Arial" w:hAnsi="Arial"/>
          <w:sz w:val="14"/>
          <w:szCs w:val="14"/>
          <w:color w:val="131E29"/>
        </w:rPr>
        <w:t>to</w:t>
        <w:tab/>
        <w:t>nonprofit</w:t>
      </w:r>
    </w:p>
    <w:p>
      <w:pPr>
        <w:spacing w:after="0" w:line="8" w:lineRule="exact"/>
        <w:rPr>
          <w:sz w:val="20"/>
          <w:szCs w:val="20"/>
          <w:color w:val="auto"/>
        </w:rPr>
      </w:pPr>
    </w:p>
    <w:p>
      <w:pPr>
        <w:spacing w:after="0"/>
        <w:tabs>
          <w:tab w:leader="none" w:pos="960" w:val="left"/>
          <w:tab w:leader="none" w:pos="1520" w:val="left"/>
        </w:tabs>
        <w:rPr>
          <w:sz w:val="20"/>
          <w:szCs w:val="20"/>
          <w:color w:val="auto"/>
        </w:rPr>
      </w:pPr>
      <w:r>
        <w:rPr>
          <w:rFonts w:ascii="Arial" w:cs="Arial" w:eastAsia="Arial" w:hAnsi="Arial"/>
          <w:sz w:val="14"/>
          <w:szCs w:val="14"/>
          <w:color w:val="131E29"/>
        </w:rPr>
        <w:t>organizations</w:t>
        <w:tab/>
        <w:t>helping</w:t>
        <w:tab/>
        <w:t>create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131E29"/>
        </w:rPr>
        <w:t>brighter futures for local kids.</w:t>
      </w:r>
    </w:p>
    <w:p>
      <w:pPr>
        <w:spacing w:after="0" w:line="279" w:lineRule="exact"/>
        <w:rPr>
          <w:sz w:val="20"/>
          <w:szCs w:val="20"/>
          <w:color w:val="auto"/>
        </w:rPr>
      </w:pPr>
    </w:p>
    <w:p>
      <w:pPr>
        <w:sectPr>
          <w:pgSz w:w="11900" w:h="16838" w:orient="portrait"/>
          <w:cols w:equalWidth="0" w:num="3">
            <w:col w:w="1960" w:space="160"/>
            <w:col w:w="2360" w:space="160"/>
            <w:col w:w="6640"/>
          </w:cols>
          <w:pgMar w:left="300" w:top="133" w:right="319" w:bottom="1440" w:gutter="0" w:footer="0" w:header="0"/>
          <w:type w:val="continuous"/>
        </w:sectPr>
      </w:pPr>
    </w:p>
    <w:p>
      <w:pPr>
        <w:ind w:left="2780"/>
        <w:spacing w:after="0"/>
        <w:rPr>
          <w:sz w:val="20"/>
          <w:szCs w:val="20"/>
          <w:color w:val="auto"/>
        </w:rPr>
      </w:pPr>
      <w:r>
        <w:rPr>
          <w:rFonts w:ascii="Arial" w:cs="Arial" w:eastAsia="Arial" w:hAnsi="Arial"/>
          <w:sz w:val="14"/>
          <w:szCs w:val="14"/>
          <w:b w:val="1"/>
          <w:bCs w:val="1"/>
          <w:color w:val="131E29"/>
        </w:rPr>
        <w:t>2023 Donations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Borders>
              <w:top w:val="single" w:sz="8" w:color="auto"/>
            </w:tcBorders>
            <w:shd w:val="clear" w:color="auto" w:fill="D2DCE5"/>
          </w:tcPr>
          <w:p>
            <w:pPr>
              <w:ind w:left="320"/>
              <w:spacing w:after="0"/>
              <w:rPr>
                <w:sz w:val="20"/>
                <w:szCs w:val="20"/>
                <w:color w:val="auto"/>
              </w:rPr>
            </w:pPr>
            <w:r>
              <w:rPr>
                <w:rFonts w:ascii="Arial" w:cs="Arial" w:eastAsia="Arial" w:hAnsi="Arial"/>
                <w:sz w:val="14"/>
                <w:szCs w:val="14"/>
                <w:color w:val="131E29"/>
              </w:rPr>
              <w:t>More than $0.9 million</w:t>
            </w:r>
          </w:p>
        </w:tc>
        <w:tc>
          <w:tcPr>
            <w:tcW w:w="1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shd w:val="clear" w:color="auto" w:fill="D2DCE5"/>
          </w:tcPr>
          <w:p>
            <w:pPr>
              <w:ind w:left="840"/>
              <w:spacing w:after="0"/>
              <w:rPr>
                <w:sz w:val="20"/>
                <w:szCs w:val="20"/>
                <w:color w:val="auto"/>
              </w:rPr>
            </w:pPr>
            <w:r>
              <w:rPr>
                <w:rFonts w:ascii="Arial" w:cs="Arial" w:eastAsia="Arial" w:hAnsi="Arial"/>
                <w:sz w:val="14"/>
                <w:szCs w:val="14"/>
                <w:color w:val="131E29"/>
              </w:rPr>
              <w:t>$2.5 million</w:t>
            </w:r>
          </w:p>
        </w:tc>
        <w:tc>
          <w:tcPr>
            <w:tcW w:w="1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shd w:val="clear" w:color="auto" w:fill="D2DCE5"/>
          </w:tcPr>
          <w:p>
            <w:pPr>
              <w:ind w:left="280"/>
              <w:spacing w:after="0"/>
              <w:rPr>
                <w:sz w:val="20"/>
                <w:szCs w:val="20"/>
                <w:color w:val="auto"/>
              </w:rPr>
            </w:pPr>
            <w:r>
              <w:rPr>
                <w:rFonts w:ascii="Arial" w:cs="Arial" w:eastAsia="Arial" w:hAnsi="Arial"/>
                <w:sz w:val="14"/>
                <w:szCs w:val="14"/>
                <w:color w:val="131E29"/>
              </w:rPr>
              <w:t>More than $0.9 million</w:t>
            </w:r>
          </w:p>
        </w:tc>
      </w:tr>
    </w:tbl>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Additionally, our operators and franchise partners are empowered to create their own local, shop-specific giveback programs that help support and build relationships within their communities. In addition to the 2023 donations noted above for the Company-wide giveback days, the Company, along with our franchise partners and the Foundation donated nearly $2.5 million in 2023 to various organizations through our local giveback days.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Competition</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beverage industry is highly competitive and fragmented, and our shops compete on a variety of factors, including convenience, taste, price, quality, service, and location. We believe our primary competitors include national and regional coffee chains, local specialty coffee shops, regional drive-thru coffee chains, and drive-thru quick service restaurants with coffee and other beverage programs. Our competitors operate company-operated, franchised, and mixed business models. In addition, due to our proprietary Dutch Bros. Blue Rebel energy beverages, we also compete with convenience stores.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Intellectual Property</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own many registered trademarks and service marks in the United States, the most important of which might be our trademarked Windmill logo. Other important trademarks include our “Dutch Bros,” “Dutch Bros Coffee,” “Dutch Bros Rebel,” and “Dutch Bros. Blue Rebel” word marks and our recognizable Dutch Bros sign logo. We believe the Dutch Bros name and the many distinctive marks associated with it are of significant value and are very important to our business. Accordingly, as a general policy, we pursue registration and monitor the use of our marks in the United States and challenge unauthorized use.</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license the use of our marks to franchise partners, third-party vendors and others through franchise agreements, vendor agreements and licensing agreements. These agreements typically restrict third parties’ activities with respect to use of the marks, impose brand standards requirements, and require licensees to inform us of any potential infringement of the marks.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We register some of our copyrighted material and otherwise rely on common law protection of our copyrighted works. Such copyrighted materials are not material to our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Government Regulation and 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subject to extensive federal, state, local, and foreign laws and regulations, as well as other statutory and regulatory requirements, including those related to, among others, nutritional content labeling and disclosure requirements, food safety regulations, local licensure, building, and zoning regulations, employment regulations, and laws and regulations related to our licensed operations. New laws and regulations or new interpretations of existing laws and regulations may also impact our business. The costs of compliance with these laws and regulations are high, are likely to increase in the future, and any failure on our part to comply with these laws may subject us to significant liabilities and other penalties. See "Risk Related to Regulation and Litigation" in Item 1A, Risk Factors for more information.</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are not aware of any federal, state, or local provisions that have been enacted or adopted regulating the discharge of materials into the environment, or otherwise relating to the protection of the environment, that have materially affected, or are reasonably expected to materially affect, our results of operations, competitive position, or capital expenditures.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Seasonality</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Our business is subject to seasonal fluctuations that impact our revenue and company-operated shop gross profit margins. We typically experience higher nominal system sales in the summer months, which impacts revenue and company-operated shop gross profit margins in our second and third quarters of our fiscal year.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 w:name="page19"/>
    <w:bookmarkEnd w:id="1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Information About our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executive officers of Dutch Bros Inc. as of the filing of this Form 10-K, are as follows: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098"/>
        </w:rPr>
        <w:t>Travis Boersma, 53</w:t>
      </w:r>
    </w:p>
    <w:p>
      <w:pPr>
        <w:ind w:left="7960"/>
        <w:spacing w:after="0"/>
        <w:rPr>
          <w:sz w:val="20"/>
          <w:szCs w:val="20"/>
          <w:color w:val="auto"/>
        </w:rPr>
      </w:pPr>
      <w:r>
        <w:rPr>
          <w:rFonts w:ascii="Arial" w:cs="Arial" w:eastAsia="Arial" w:hAnsi="Arial"/>
          <w:sz w:val="14"/>
          <w:szCs w:val="14"/>
          <w:b w:val="1"/>
          <w:bCs w:val="1"/>
          <w:color w:val="006098"/>
        </w:rPr>
        <w:t>Co-founder and 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21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Mr. Boersma is our Co-Founder and has served as our Executive Chairman since August 2021 and as the Executive Chairman of Dutch Bros OpCo since February 2021. Prior to serving as our Executive Chairman, he served as the Chief Executive Officer of Dutch Bros OpCo from February 2019 to February 2021. Mr. Boersma has led us as Co-Founder since 1992. Mr. Boersma attended Southern Oregon University.</w:t>
      </w:r>
    </w:p>
    <w:p>
      <w:pPr>
        <w:spacing w:after="0" w:line="133" w:lineRule="exact"/>
        <w:rPr>
          <w:sz w:val="20"/>
          <w:szCs w:val="20"/>
          <w:color w:val="auto"/>
        </w:rPr>
      </w:pPr>
    </w:p>
    <w:p>
      <w:pPr>
        <w:ind w:left="20"/>
        <w:spacing w:after="0"/>
        <w:tabs>
          <w:tab w:leader="none" w:pos="8740" w:val="left"/>
        </w:tabs>
        <w:rPr>
          <w:sz w:val="20"/>
          <w:szCs w:val="20"/>
          <w:color w:val="auto"/>
        </w:rPr>
      </w:pPr>
      <w:r>
        <w:rPr>
          <w:rFonts w:ascii="Arial" w:cs="Arial" w:eastAsia="Arial" w:hAnsi="Arial"/>
          <w:sz w:val="14"/>
          <w:szCs w:val="14"/>
          <w:b w:val="1"/>
          <w:bCs w:val="1"/>
          <w:color w:val="006098"/>
        </w:rPr>
        <w:t>Christine Barone, 50</w:t>
      </w:r>
      <w:r>
        <w:rPr>
          <w:sz w:val="20"/>
          <w:szCs w:val="20"/>
          <w:color w:val="auto"/>
        </w:rPr>
        <w:tab/>
      </w:r>
      <w:r>
        <w:rPr>
          <w:rFonts w:ascii="Arial" w:cs="Arial" w:eastAsia="Arial" w:hAnsi="Arial"/>
          <w:sz w:val="14"/>
          <w:szCs w:val="14"/>
          <w:b w:val="1"/>
          <w:bCs w:val="1"/>
          <w:color w:val="006098"/>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6216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Ms. Barone has served as our Chief Executive Officer and as a member of our Board since January 2024, and as our President since February 2023. Ms. Barone has worked in the food service and beverage industries for more than a decade, and most recently served as Chief Executive Officer at True Food Kitchen, a high growth restaurant and lifestyle brand, from August 2016 to February 2023. Prior to that, she served in various leadership roles at Starbucks Corporation (Nasdaq: SBUX). Earlier in her career, she held positions with Bain</w:t>
      </w:r>
    </w:p>
    <w:p>
      <w:pPr>
        <w:ind w:firstLine="5"/>
        <w:spacing w:after="0" w:line="267" w:lineRule="auto"/>
        <w:tabs>
          <w:tab w:leader="none" w:pos="137"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Company and Raymond James. Since March 2020, Ms. Barone has served on the Board of Directors of Yelp Inc. Ms. Barone holds a B.A. in Applied Mathematics and an M.B.A. from Harvard University.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098"/>
        </w:rPr>
        <w:t>Charles Jemley, 60</w:t>
      </w:r>
    </w:p>
    <w:p>
      <w:pPr>
        <w:ind w:left="9780"/>
        <w:spacing w:after="0"/>
        <w:rPr>
          <w:sz w:val="20"/>
          <w:szCs w:val="20"/>
          <w:color w:val="auto"/>
        </w:rPr>
      </w:pPr>
      <w:r>
        <w:rPr>
          <w:rFonts w:ascii="Arial" w:cs="Arial" w:eastAsia="Arial" w:hAnsi="Arial"/>
          <w:sz w:val="14"/>
          <w:szCs w:val="14"/>
          <w:b w:val="1"/>
          <w:bCs w:val="1"/>
          <w:color w:val="006098"/>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216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Mr. Jemley has served as our Chief Financial Officer since August 2021 and the Chief Financial Officer of Dutch Bros OpCo since January 2020. Since June 2017, Mr. Jemley has served as a member of the Board of Directors of Four Corners Property Trust Inc., a real estate investment trust (NYSE: FCPT), where he chairs the Audit Committee and serves as a member of the Nominating and Governance Committee. From July 2018 to December 2019, he served as the Chief Financial Officer of CKE Restaurant Holdings, Inc., a quick service restaurant company. From February 2006 to January 2018, Mr. Jemley served in various senior management positions at Starbucks Corporation (Nasdaq: SBUX), including as Senior Vice President Finance, International and Consumer Products Group. From April 1990 to January 2006, Mr. Jemley served in various positions in finance and store development at Yum! Brands, Inc. (NYSE: YUM) including most recently as the Chief Financial Officer of Yum Restaurants China from December 2003 to January 2006. Mr. Jemley holds an M.B.A. from the Michael G. Foster School of Business at the University of Washington and a B.B.A in Accounting from the University of Louisville.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098"/>
        </w:rPr>
        <w:t>Brian Maxwell, 52</w:t>
      </w:r>
    </w:p>
    <w:p>
      <w:pPr>
        <w:ind w:left="9720"/>
        <w:spacing w:after="0"/>
        <w:rPr>
          <w:sz w:val="20"/>
          <w:szCs w:val="20"/>
          <w:color w:val="auto"/>
        </w:rPr>
      </w:pPr>
      <w:r>
        <w:rPr>
          <w:rFonts w:ascii="Arial" w:cs="Arial" w:eastAsia="Arial" w:hAnsi="Arial"/>
          <w:sz w:val="14"/>
          <w:szCs w:val="14"/>
          <w:b w:val="1"/>
          <w:bCs w:val="1"/>
          <w:color w:val="006098"/>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21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Mr. Maxwell has served as our Chief Operating Officer since August 2021 and the Chief Operating Officer of Dutch Bros OpCo since January 2017, and previously served in various roles at Dutch Bros OpCo, including as the Vice President and General Manager from April 2009 to December 2016, Vice President of Growth from January 2004 to March 2009 and Franchise Coordinator from January 1999 to December 2003. Prior to joining Dutch Bros, Mr. Maxwell worked in finance and investment advising. Mr. Maxwell attended Lewis &amp; Clark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9" w:name="page20"/>
    <w:bookmarkEnd w:id="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4"/>
          <w:szCs w:val="14"/>
          <w:b w:val="1"/>
          <w:bCs w:val="1"/>
          <w:color w:val="006098"/>
        </w:rPr>
        <w:t>Tana Davila, 41</w:t>
      </w:r>
      <w:r>
        <w:rPr>
          <w:sz w:val="20"/>
          <w:szCs w:val="20"/>
          <w:color w:val="auto"/>
        </w:rPr>
        <w:tab/>
      </w:r>
      <w:r>
        <w:rPr>
          <w:rFonts w:ascii="Arial" w:cs="Arial" w:eastAsia="Arial" w:hAnsi="Arial"/>
          <w:sz w:val="13"/>
          <w:szCs w:val="13"/>
          <w:b w:val="1"/>
          <w:bCs w:val="1"/>
          <w:color w:val="006098"/>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6216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Ms. Davila has served as our Chief Marketing Officer since June 2023. Prior to joining Dutch Bros, she served as Chief Marketing Officer at CKE Restaurants, Inc., a quick service restaurant group, from September 2022 to June 2023. Prior to that, she served in various roles at PF Chang’s China Bistro Inc., a casual dining restaurant chain, including most recently as Chief Marketing Officer from September 2019 to August 2022, as Senior Vice President – Marketing from January 2019 to September 2019, and as Vice President – Marketing and Brand Development from November 2017 to January 2019. Ms. Davila is a Fulbright Scholar and holds a B.A. from Washington University in St. Louis, a J.D. from Seton Hall University, and an M.B.A. from Emory University.</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098"/>
        </w:rPr>
        <w:t>Victoria Tullett, 56</w:t>
      </w:r>
    </w:p>
    <w:p>
      <w:pPr>
        <w:ind w:left="10020"/>
        <w:spacing w:after="0"/>
        <w:rPr>
          <w:sz w:val="20"/>
          <w:szCs w:val="20"/>
          <w:color w:val="auto"/>
        </w:rPr>
      </w:pPr>
      <w:r>
        <w:rPr>
          <w:rFonts w:ascii="Arial" w:cs="Arial" w:eastAsia="Arial" w:hAnsi="Arial"/>
          <w:sz w:val="14"/>
          <w:szCs w:val="14"/>
          <w:b w:val="1"/>
          <w:bCs w:val="1"/>
          <w:color w:val="006098"/>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21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Ms. Tullett has served as our Chief Legal Officer since September 2022 and has more than 20 years of experience helping diverse organizations manage operational risk and achieve record levels of growth, compliance, and profitability. Prior to joining Dutch Bros, she served Papa Murphy’s International, a franchise model take-and-bake pizza company, for more than 20 years in various roles, including most recently as Senior Vice President, General Counsel, and head of new store Development from May 2019 to August 2022, and from May 2014 to May 2019, as Chief Legal Officer while the company was publicly traded on the Nasdaq. In addition to her role at Dutch Bros, Ms. Tullett serves on the Board of Directors for Vancouver Symphony Orchestra. Ms. Tullett holds a J.D. from Lewis &amp; Clark, Northwestern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621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131E29"/>
        </w:rPr>
        <w:t>Please refer to our website for a complete listing of our executive management team.</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Available Information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website address is dutchbros.com. Our Form 10-K, Quarterly Reports on Form 10-Q, Current Reports on Form 8-K, and other filings with the SEC, and all amendments to these filings, can be obtained free of charge from our website at https://investors.dutchbros.com/financials/sec-filings/default.aspx or by contacting our Investor Relations department at our office address listed above as soon as reasonably practical following our filing or furnishing of any of these reports with the SEC. The SEC maintains a website that contains reports, proxy and information statements, and other information regarding issuers that file electronically with the SEC at www.sec.gov. We also routinely use the investor relations page on our website as a channel of distribution for important Company information, including press releases, analyst presentations, and financial and corporate governance information.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 w:name="page21"/>
    <w:bookmarkEnd w:id="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1A. RISK FACTORS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Summary of Risk Factors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10-K and our other filings with the SEC before making investment decisions regarding our Class A common stock.</w:t>
      </w:r>
    </w:p>
    <w:p>
      <w:pPr>
        <w:spacing w:after="0" w:line="156"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Evolving consumer preferences and tastes or changes in consumer spending may adversely affect our business.</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78" w:lineRule="exact"/>
        <w:rPr>
          <w:rFonts w:ascii="Arial" w:cs="Arial" w:eastAsia="Arial" w:hAnsi="Arial"/>
          <w:sz w:val="14"/>
          <w:szCs w:val="14"/>
          <w:color w:val="131E29"/>
        </w:rPr>
      </w:pPr>
    </w:p>
    <w:p>
      <w:pPr>
        <w:jc w:val="both"/>
        <w:ind w:left="260" w:hanging="255"/>
        <w:spacing w:after="0" w:line="270"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90"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failure to manage our growth effectively could harm our business and operating results.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inability to identify, recruit, and retain qualified individuals for our shops could slow our growth and adversely impact our ability to operate.</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shops are geographically concentrated in the Western United States, and we could be negatively affected by conditions specific to that region.</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Pandemics or disease outbreaks have had, and may continue to have, an effect on our business and results of operations.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success depends substantially on the value of our brand and failure to preserve its value could have a negative impact on our financial results.</w:t>
      </w:r>
    </w:p>
    <w:p>
      <w:pPr>
        <w:spacing w:after="0" w:line="134" w:lineRule="exact"/>
        <w:rPr>
          <w:rFonts w:ascii="Arial" w:cs="Arial" w:eastAsia="Arial" w:hAnsi="Arial"/>
          <w:sz w:val="14"/>
          <w:szCs w:val="14"/>
          <w:color w:val="131E29"/>
        </w:rPr>
      </w:pPr>
    </w:p>
    <w:p>
      <w:pPr>
        <w:jc w:val="both"/>
        <w:ind w:left="260" w:hanging="255"/>
        <w:spacing w:after="0" w:line="270"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90"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Changes in the availability of and the cost of labor could harm our business.</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culture has contributed to our success, and if we cannot maintain this culture as we grow, we could lose the high employee engagement fostered by our culture,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line="264"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Our Co-Founder and Sponsor continue to have significant influence over us, which could limit your ability to influence the outcome of matters submitted to stockholders for a vote.</w:t>
      </w:r>
    </w:p>
    <w:p>
      <w:pPr>
        <w:spacing w:after="0" w:line="28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Our growth strategy depends in part on opening new shops in existing and new markets. We may be unsuccessful in opening new shops or establishing new markets, which could adversely affect our growth.</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78" w:lineRule="exact"/>
        <w:rPr>
          <w:rFonts w:ascii="Arial" w:cs="Arial" w:eastAsia="Arial" w:hAnsi="Arial"/>
          <w:sz w:val="14"/>
          <w:szCs w:val="14"/>
          <w:color w:val="131E29"/>
        </w:rPr>
      </w:pPr>
    </w:p>
    <w:p>
      <w:pPr>
        <w:jc w:val="both"/>
        <w:ind w:left="260" w:hanging="255"/>
        <w:spacing w:after="0" w:line="270"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 Factors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131E29"/>
        </w:rPr>
        <w:t>You should carefully consider the risks described below in addition to the other information set forth in this Form 10-K, including “Management’s Discussion and Analysis of Financial Condition and Results of Operations,” “Quantitative and Qualitative Disclosures about Market Risk,” our consolidated financial statements and related notes in this Form 10-K,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Evolving consumer preferences and tastes or changes in consumer spending may adversely affect our business.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We may not be successful in introducing new products or new features to our mobile application that are adopted by our customers. Experimentation with and implementation of innovations in products and technologies may result in inefficiencies, such as a slowdown in our shop operations and traffic flow, disruption of workflows, technical glitches, disruption of current systems and technology, and negative customer experiences.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2" w:name="page23"/>
    <w:bookmarkEnd w:id="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Our financial condition and results of operations are subject to, and may be adversely affected by, a number of factors, many of which are also largely outside our control.</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91" w:lineRule="exact"/>
        <w:rPr>
          <w:sz w:val="20"/>
          <w:szCs w:val="20"/>
          <w:color w:val="auto"/>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increases in real estate or labor costs in certain markets, which we have recently experienced;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changes in consumer preferences;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disruptions in our supply chain;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the impact of shortages or inflation on our cost of goods or labor, including construction labor, which we have recently seen;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changes in governmental laws and rules, including those regarding minimum wage, and approaches to taxation;</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labor discord or disruption, geopolitical events, social unrest, war, including repercussions of the war between Russia and Ukraine or the war between Israel and Hamas and the related risk of a larger regional conflict, terrorism, political instability, acts of public violence, boycotts, hostilities and social unrest, COVID-19 variants and other epidemics; and</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adverse outcomes of litigation.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marketing programs may not be successful, and our new menu items and advertising campaigns may not generate increased revenues or profits.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incur costs and expend resources in our marketing efforts on new menu items and advertising campaigns to raise brand awareness and attract and retain customers. For example, we engaged in 2023 in new marketing efforts, including “Fill-a-Tray” promotions.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CosMc’s,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Certain markets may limit the number of drive-thru businesses operating within their geographic region, which could negatively affect our ability to grow into those markets. Some of our competitors have substantially greater financial and other resources to devote to innovation in products, technology, and market and consumer data analytics, including integration, use, or offering of new technologies, including artificial intelligence. We may be unable to offer new or innovative products and technologies to our customers that are offered by our competitors, or there may be a delay in our ability to innovate or implement new technologies. Any of these competitive factors may harm our business.</w:t>
      </w:r>
    </w:p>
    <w:p>
      <w:pPr>
        <w:spacing w:after="0" w:line="10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strategic initiatives and growth strategy may be unsuccessful which could adversely affect our business and financial results.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As of December 31, 2023, Dutch Bros had 831 shops across 16 states, of which 542 were company-operated and 289 were franchised. One of the key means to achieving our growth strategy will be through opening new shops and operating those shops on a profitable basis. During the year ended December 31, 2023, we opened 146 new company-operated shops, across 13 states. Our ability to open new shops is dependent upon a number of factors, many of which are beyond our control, including our and our franchise partners’ ability to:</w:t>
      </w:r>
    </w:p>
    <w:p>
      <w:pPr>
        <w:spacing w:after="0" w:line="95"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identify available and suitable sites, specifically for drive-thru locations;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compete for such sites;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reach acceptable agreements regarding the lease of locations;</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obtain or have available the financing required to acquire and operate a shop, including construction and opening costs, which includes access to build-to-suit leases and ground lease construction arrangements;</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respond to unforeseen engineering or environmental problems with leased premises;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avoid the impact of inclement weather, natural disasters, and other calamities;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hire, train, and retain the skilled management and other employees necessary to meet staffing needs;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4" w:name="page25"/>
    <w:bookmarkEnd w:id="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line="288" w:lineRule="auto"/>
        <w:tabs>
          <w:tab w:leader="none" w:pos="256"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control construction and equipment cost increases for new shops and secure the services of qualified contractors and subcontractors in an increasingly competitive environment.</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As part of our longer-term growth strategy, we expect to continue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5" w:name="page26"/>
    <w:bookmarkEnd w:id="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years. Our ability to operate new shops profitably and increase average shop revenue and comparable shop sales will depend on many factors, some of which are beyond our control, including:</w:t>
      </w:r>
    </w:p>
    <w:p>
      <w:pPr>
        <w:spacing w:after="0" w:line="79"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consumer awareness and understanding of the Dutch Bros brand;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general economic conditions, such as inflation, which can affect shop traffic, local labor costs, and prices we pay for the beverage and other supplies we use;</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consumption patterns and beverage preferences that differ from region to region;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changes in consumer preferences and discretionary spending, which we have seen impacted recently by factors such as inflation;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difficulties obtaining or maintaining adequate relationships with distributors or suppliers in new markets;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increases or continued elevation in prices for commodities, including coffee, milk, and flavored syrups;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inefficiency in our labor costs as the staff gains experience;</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competition, either from our competitors in the food service and restaurant industry or our own shops;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temporary and permanent site characteristics of new shops;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changes in government regulation;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ability to hire, motivate, and retain qualified employees who share our values;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other unanticipated increases in costs, including costs of construction materials and trade labor, any of which could give rise to delays or cost overruns.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If our new shops do not perform as planned or close, our business and future prospects could be harmed. In addition, an inability to achieve our expected average shop revenue could harm our business.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Additionally, opening new shops in existing markets may negatively impact sales at our, and our franchise partners’, existing shops.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 significant in the future as we continue to expand our operations, and we expect it will have an impact on our sales growth, which could, in turn, harm our business.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failure to manage our growth effectively could harm our business and operating results.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6" w:name="page27"/>
    <w:bookmarkEnd w:id="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In January 2024, we announced shifting approximately 40% of our total support staff to our Phoenix, Arizona office by January 1, 2025. If a large portion of our employees are unable to relocate to Arizona, we may see increased turnover in support functions, which could potentially lead to inefficiencies, such as operational delays or disruptions and increased labor costs.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Damage to our brand or reputation or negative publicity could negatively impact our business.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may, from time to time, be faced with negative publicity, including on social media,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related parties, such as our Co-Founder, and their reputation, public perception, or actions, whether or not related to Dutch Bros;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Additionally, there has been a marked increase in the use of social media platforms and similar devices, including blogs, social media websites and other forms of internet-based communications that provide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7" w:name="page28"/>
    <w:bookmarkEnd w:id="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Such platforms could be used for or result in polarizing campaigns or movements involving our brand. Information posted may be adverse to our interests or may be inaccurate, each of which may harm our performance, prospects, or business. The harm may be immediate without affording us an opportunity for redress or correction.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131E29"/>
        </w:rPr>
        <w:t>Ultimately, the risks associated with any such negative publicity or incorrect information cannot be completely eliminated or mitigated and may harm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inability to identify, recruit, and retain qualified individuals for our shops could slow our growth and adversely impact our ability to operate.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0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are subject to the risks associated with leasing space subject to long-term non-cancelable leases and, with respect to the real property that we own, owning real estate.</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operating results and growth strategies are closely tied to the success of our franchise partners and we have limited control with respect to their operations.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Additionally, our franchise partners’ interests may conflict or diverge with our interests in the future, which could have a negative impact on our business.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As of December 31, 2023, approximately 35%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 are geographically concentrated in the Western United States, and we could be negatively affected by conditions specific to that region.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As of December 31, 2023, our company-operated and franchised shops in the Western United States represent approximately 70%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25% of our systemwide net sales in the year ended December 31, 2023.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proprietary supplies, find acceptable replacements or substitutes, or adapt our construction strategies effectively, we may be unable to sustain our growth, and it may negatively affect or business and profitability. Finding acceptable replacements or substitutes may require trial and error that could cause losses or delays. If construction and building materials are not of the quality or durability we typically require, this may lead to increased maintenance costs or even business interruption for necessary repairs or replacements in the future. If we are unable to locate sufficient building or construction materials, or to successfully scale our construction and new shop opening operations, we may not be able to achieve our stated growth objectives.</w:t>
      </w:r>
    </w:p>
    <w:p>
      <w:pPr>
        <w:spacing w:after="0" w:line="9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in 2022 and remained elevated during the year ended December 31, 2023.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also purchase significant amounts of dairy products, particularly milk, to support the needs of our shops. For example, in 2022, there were material increases in dairy costs and such dairy costs remained elevated in 2023. If dairy costs further increase,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 and may be subject to increased costs, which could negatively impact our margins. For example, the cost of sugar increased significantly in 2022 and during the year ended December 31, 2023.</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in 2022, we believe fluctuating increases in gas prices negatively impacted consumer discretionary spending, particularly in the Western United States where such increases were relatively higher and where our shops are geographically concentrated.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1" w:name="page32"/>
    <w:bookmarkEnd w:id="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If we fail to offer high-quality customer experience, our business and reputation will suffer.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continuous growth and expansion have placed, and may continue to place, significant demands on our management and our operational and financial resources.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have a limited history of operating with a substantial remote workforce and the long-term impact on our financial results and business operations are uncertain.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2" w:name="page33"/>
    <w:bookmarkEnd w:id="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 properly classifying employees, and harm to the growth of our business. We may also experience an increased risk of privacy and data security breaches and incidents involving our information technology networks and systems and data processing as more of our employees utilize network connections outside our premises or network, including working at home, while in transit, and in public locations.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006098"/>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fraud,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(and those of the third parties upon which we rely)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market, produce, sell, and distribute our products.</w:t>
      </w: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risk of unauthorized circumvention of our security measures or those of our third parties on whom we rely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artificial intelligence,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While we take steps to detect and remediate vulnerabilities, our security measures (and those of the third parties upon which we rely) may not be adequate to prevent or detect service interruption, system failure data loss, fraud or theft, or other material adverse consequences. Vulnerabilities could be exploited but may not be detected until after a security incident has occurred and we may not be able to anticipate or to implement effective preventative and remedial measures against all vulnerabilities. Furthermore, there may be delays in developing and deploying patches and other remedial measures to adequately address vulnerabilities, and taking such remedial steps could adversely impact or disrupt our operations. We expect similar issues to arise in the future as the Dutch Rewards mobile app is more widely adopted, and as we continue to expand the features and functionality of the Dutch Rewards mobile app.</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Any of the previously identified or similar threats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upon which we rely).</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Applicable data privacy and security obligations may require us to notify relevant stakeholders of security incidents including affected individuals, customers, regulators, and investors.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upon whom we rely) to process payments, regulatory scrutiny, actions or investigations, a loss of confidence in our business, systems and Processing of Sensitive Information, a diversion of management’s time and attention, and significant fines, penalties, assessments, fees and expenses.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response to a security incident or related regulatory actions or litigation, which could have an adverse effect on our business.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Pandemics or disease outbreaks have had, and may continue to have, an effect on our business and results of operations.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Pandemics or disease outbreaks such as the COVID-19 pandemic have impacted and may continue to impact customer traffic at our Dutch Bros shops and may make it more difficult to staff our shops and, in more severe cases, may cause a temporary inability to obtain supplies and may increase commodity costs. The extent of the impact of pandemics or disease outbreaks on our business, operations, and development timelines and plans will depend on the specifics of any particular pandemic or disease outbreak that cannot be predicted at this time.</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Our operations have been, and may continue to be, disrupted when employees or employees of our franchise partners are suspected of having a communicable disease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success is heavily reliant on our franchise partners and another pandemic may cause financial distress for certain franchise partners that have been or will be impacted, such as those partners who were negatively impacted by the COVID-19 pandemic. As a result of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 w:name="page36"/>
    <w:bookmarkEnd w:id="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While we have developed and continue to develop plans to help mitigate the potential negative impact of a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COVID-19 or any other widespread epidemics will not occur, or that the global economy will recover to pre-pandemic levels, either of which could seriously harm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Unstable market and economic conditions may have serious adverse consequences on our business and financial condition.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global credit and financial markets have experienced extreme volatility and disruptions (including as a result of the ongoing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and the war between Israel and Hamas,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Brand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success depends substantially on the value of our brand and failure to preserve its value could have a negative impact on our financial results.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Our corporate reputation could suffer from negative publicity or consumer sentiment regarding our charitable giving practices, campaigns, and marketing around such campaigns, including any change to our charitable giving practices or long-standing giveback days (“Drink One for Dane,” “Dutch Luv,” and “Buck for Kids”). We empower our operators and franchise partners to create their own local, shop-specific giveback programs within their communities. If the recipient of discretionary donations is subject to negative publicity or consumer sentiment, Dutch Bros could experience the same.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For example, the state of California recently enacted Senate Bill 253 and Senate Bill 261, referred to as the Climate Accountability Package, which would require certain companies doing business in California to report on various environmental sustainability matters, including greenhouse gas emissions. These matters and our efforts to address them could expose us to market, operational, reputational, and execution costs or risks.</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10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food-borne illnesses were not identified at our shops, our sales could be adversely affected if instances of food-borne illnesses at other coffee and beverage chains were highly publicized.</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subject to rules governing electronic funds transfers, including the Payment Card Industry Data Security Standard (PCI DSS)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05"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9" w:name="page40"/>
    <w:bookmarkEnd w:id="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People and Culture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Changes in the availability of and the cost of labor could harm our business.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AB1228 in California, which creates a minimum wage of $20 per hour for fast food workers (beginning on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typically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or if such increase is delayed, this is likely to result in lower revenue, and may also reduce margins.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to which we expand.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Changing conditions beyond our control could affect the desirability of working in our shops, such as increases in extreme heat or cold, wildfire smoke, and other extreme weather events that make working outdoors or in a limited space more difficult.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new shops may result in inefficiencies in our staffing, which can increase overtime costs or otherwise impact profitability.</w:t>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In January 2024, our prior Chief Executive Officer, Joth Ricci, transitioned and Christine Barone was appointed as our Chief Executive Officer. In January 2024, we also announced the planned departure of our Chief Financial Officer, Charley Jemley, and hired Joshua Guenser as our Incoming Chief Financial Officer. Changes in our executive management team may also cause disruptions in, and harm to, our business. The loss of one or more of our executive officers or key employees could harm our business.</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In January 2024, we announced shifting approximately 40% of our total support staff to our Phoenix, Arizona office by January 1, 2025, which may create additional challenges maintaining our corporate culture. As we continue to develop and expand across the United States, we will need to maintain our culture among a larger number of employees dispersed in various geographic regions. Any failure to preserve our company culture could negatively affect our future success, including our ability to retain and recruit personnel, and result in a loss of customer loyalty.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Unionization activities may disrupt our operations and affect our profitability.</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Regulation and Litigation</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wage and hour laws, among others, could potentially impact our operations and financial results.</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97" w:lineRule="exact"/>
        <w:rPr>
          <w:sz w:val="20"/>
          <w:szCs w:val="20"/>
          <w:color w:val="auto"/>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changes in the valuation of our deferred tax assets and liabilities;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expected timing and amount of the release of any tax valuation allowance;</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changes in tax laws, regulations, or interpretations thereof; or</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future earnings being lower than anticipated in jurisdictions where we have lower statutory tax rates and higher than anticipated earnings in jurisdictions where we have higher statutory tax rates.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subject to many federal, state, and local laws with which compliance is both costly and complex.</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food service and restaurant industry is subject to extensive federal, state, and local laws and regulations, including those relating to health care reform, building and zoning requirements, and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0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We (and our vendors) are subject to stringent and changing laws, regulations, industry standards, contractual obligations, policies, and other obligations related to data privacy and security. The actual or perceived failure by us or our vendors to comply with such obligations, may harm our business, financial condition and results of operations, and prospects.</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on our behalf.</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our vendors.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In the past few years, numerous states in the United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laws also impose stricter requirements for processing certain personal information, including sensitive personal data, such as data protection impact assessments. These state laws allow for statutory fines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seek to recover potentially significant statutory damages. In addition, other data privacy and security laws have been proposed at the federal, state, and local levels in recent years, which could further complicate compliance efforts. We expect additional comprehensive privacy laws to be enacted. Compliance with data privacy and security laws or regulations may be challenging and cost- and time-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intensive, and may require us to modify our data processing practices and policies and to incur substantial costs and potential liability in an effort to comply with such legislation.</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the PCI 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Furthermore, we rely on a variety of marketing techniques and practices, including email and social media marketing, online targeted advertising, and cookie-based Processing, to sell our products and services and to attract new customers. We, and our vendors,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Additionally,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strive to comply with applicable data privacy and security obligations to the extent possible, but we may at times fail to do so, or may be perceived to have failed to do so. Moreover, despite our efforts, we may not be successful in achieving compliance if our employees, partners or vendors do not comply with applicable data privacy and security obligations. Any failure by us or a third-party processor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5" w:name="page46"/>
    <w:bookmarkEnd w:id="4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Additionally, governmental authorities may adopt broad standards for determining when two or more entities may be deemed joint employers of the same employees. For example, the National Labor Relations Board passed a rule in October 2023, broadening the standards applicable to establishing a joint employer relationship and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If the proposed or similar laws or rules come into effect, it could increase the possibility of Dutch Bros being held liable for our franchise partners’ employment practices.</w:t>
      </w:r>
    </w:p>
    <w:p>
      <w:pPr>
        <w:spacing w:after="0" w:line="9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17 — Commitments and Contingencies to the consolidated financial statements, included elsewhere in this Form 10-K for more information.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at some locations. Lost sales and royalty payments caused by such closures or alterations, plus increased expenses from litigation, would harm our business.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Government regulation and customer consumption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cannot make any assurances regarding our ability to effectively respond to changes in customer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Organizational Structure</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flow to make such distributions, or that applicable state law and contractual restrictions, including negative covenants in our debt instruments, will permit such distributions.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Dutch Bros OpCo Class A common units for shares of Class A common stock or cash.</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10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the statutory expiration period for such net operating losses and the five-year period after the early termination or change of control.</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1" w:name="page52"/>
    <w:bookmarkEnd w:id="5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Ownership of Our Class A Common Stock</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Additional stock issuances (including pursuant to the redemption of Dutch Bros OpCo Class A common units from our Continuing Members) could result in significant dilution to our stockholders and cause the trading price of our Class A common stock to decline.</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 common units from our Continuing Members). Any such issuances could result in substantial dilution to our existing stockholders and cause the trading price of our Class A common stock to decline.</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particular, following the issuance of shares of Class A common stock in connection with the redemption or exchange of Dutch Bros OpCo Class A common units from our Continuing Members and the related cancellation of shares of our Class B common stock or Class C common stock, such shares of Class A common stock will have the same economic rights as other shares of Class A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trading price of our Class A common stock may be volatile, and you could lose all or part of your investment.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91" w:lineRule="exact"/>
        <w:rPr>
          <w:sz w:val="20"/>
          <w:szCs w:val="20"/>
          <w:color w:val="auto"/>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price and volume fluctuations in the overall stock market from time to time;</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volatility in the trading prices and trading volumes of competitors’ stocks;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changes in operating performance and stock market valuations of other companies generally, or those in our industry in particular;</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sales of shares of our Class A common stock by us or our stockholders, including the Continuing Members;</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failure of securities analysts to maintain coverage of us, changes in financial estimates by securities analysts who follow our company, or our failure to meet these estimates or the expectations of investors;</w:t>
      </w:r>
    </w:p>
    <w:p>
      <w:pPr>
        <w:spacing w:after="0" w:line="78" w:lineRule="exact"/>
        <w:rPr>
          <w:rFonts w:ascii="Arial" w:cs="Arial" w:eastAsia="Arial" w:hAnsi="Arial"/>
          <w:sz w:val="14"/>
          <w:szCs w:val="14"/>
          <w:color w:val="131E29"/>
        </w:rPr>
      </w:pPr>
    </w:p>
    <w:p>
      <w:pPr>
        <w:jc w:val="both"/>
        <w:ind w:left="260" w:hanging="255"/>
        <w:spacing w:after="0" w:line="270" w:lineRule="auto"/>
        <w:tabs>
          <w:tab w:leader="none" w:pos="256"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90"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announcements by us or our competitors of new products or services;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the public’s reaction to our press releases, other public announcements, and filings with the SEC;</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rumors and market speculation involving us or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actual or anticipated changes in our results of operations or fluctuations in our results of operations;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actual or anticipated developments in our business, our competitors’ businesses, or the competitive landscape generally;</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litigation involving us, our industry or both, or investigations by regulators into our operations or those of our competitors;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actual or perceived privacy or data security incidents;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developments or disputes concerning our intellectual property or other proprietary rights;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announced or completed acquisitions of businesses, franchises or other assets by us or our competitors;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new laws or regulations or new interpretations of existing laws or regulations applicable to our business;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changes in accounting standards, policies, guidelines, interpretations or principles;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any significant change in our management;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general political and economic conditions and slow or negative growth of our markets.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17 — Commitments and Contingencies to the consolidated financial statements, included elsewhere in this Form 10-K for more information. This litigation, and other litigation, if instituted against us, could result in substantial costs and a diversion of our management’s attention and resources.</w:t>
      </w:r>
    </w:p>
    <w:p>
      <w:pPr>
        <w:spacing w:after="0" w:line="9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The multi-class structure of our common stock has the effect of concentrating voting control with Continuing Members, limiting your ability to influence corporate matters.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Each share of our Class A common stock entitles its holder to one vote on all matters on which stockholders are entitled to vote generally. Our shares of Class B common stock have no economic rights but each share entitles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Class D common stock to have value. Because of the ten-to-one voting ratio between our Class B common stock, on the one hand,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Co-Founder and Sponsor have significant influence over us, which could limit your ability to influence the outcome of matters submitted to stockholders for a vote.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As of December 31, 2023, certain affiliates of our Co-Founder beneficially owned approximately 74.7% of the combined voting power of our Class A common stock, Class B common stock, Class C common stock and Class D common stock, and our Sponsor, directly and through affiliated investment funds, beneficially owns approximately 17.1%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Co-Founder and Sponsor owned approximately 54.5% of the Dutch Bros OpCo Class A common units as of December 31, 2023.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Dutch Bros Inc.,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w:t>
      </w:r>
    </w:p>
    <w:p>
      <w:pPr>
        <w:spacing w:after="0" w:line="277"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As of December 31, 2023, certain affiliates of our Co-Founder beneficially owned approximately 74.7%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269"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a board that is composed of a majority of “independent directors,” as defined under the New York Stock Exchange rules;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a compensation committee that is composed entirely of independent directors; and</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director nominations be made, or recommended to the full board of directors, by its independent directors, or by a nominations/governance committee that is composed entirely of independent directors.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Certain of our directors have in the past and may in the future have relationships with our Sponsor, which may cause conflicts of interest with respect to our business.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Certain of our directors have in the past been, and may in the future be, affiliated with our Sponsor. Such Sponsor-affiliated directors have fiduciary duties to us and, in addition, have duties to our Sponsor. As a result, such a director may face real or apparent conflicts of interest with respect to matters affecting both us and our Sponsor, whose interests may be adverse to ours in some circumstances.</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Future sales of shares of our Class A or Class D common stock could cause the market price of our Class A common stock to decline.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Subject to the terms of the Third Amended and Restated Limited Liability Company Agreement of Dutch Bros OpCo, an aggregate of 96,493,065 Dutch Bros OpCo Class A common units may be redeemed in exchange for shares of our Class A common stock and an aggregate of 10,668,841 shares of Class D common stock may be converted into shares of our Class A common stock as of December 31, 2023. Any shares we issue upon redemption or exchange of Dutch Bros OpCo Class A common units or upon the conversion of shares of Class D common stock, as applicable, will be “restricted securities” as defined in Rule 144 and may not be sold in the absence of registration under the Securities Act of 1933, as amended (Securities Act) unless an exemption from registration is available, including the exemptions contained in Rule 144.</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However, all such shares are now eligible for resale in the public market, subject, in the case of shares held by our affiliates, to volume, manner of sale, and other limitations under Rule 144.</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006098"/>
        </w:rPr>
        <w:t>Our trading price and trading volume could decline if securities or industry analysts do not publish research about our business, or if they publish unfavorable research.</w:t>
      </w: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General Risks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results may fluctuate significantly and may not meet our expectations or those of investors or securities analysts.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91"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changes in consumer tastes and nutritional and dietary trends;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successful identification and acquisition of appropriate sites to timely develop and expand our number of profitable shops;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protection of our brand and reputation;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dependence on a small number of suppliers, including for roasting;</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expectations regarding our future operating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the size of our addressable markets, market share, and market trends;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effective management and continued growth of our workforce and operations;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our ability to attract, retain, and motivate skilled personnel, including key members of our senior management;</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generation of projected same shop sales growth;</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the sufficiency of our cash, cash equivalents, and investments to meet our liquidity needs;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dependence on long-term non-cancelable leases;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our employees and the status of our workers;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our inability to maintain good relationships with our franchising partners;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the timing and amount of deferred expenses related to the maintenance of company-operated shops;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the effects of seasonal trends on our results of operations;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our vulnerability to global financial market conditions, including the continuing effects from the recent recession;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adverse weather conditions in local or regional areas where our shops are located;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our realization of any benefit from our organizational structure net of expenses associated with the same (including our obligations under the Tax Receivable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Any one or more of the factors above may result in significant fluctuations in our results of operations, which may negatively impact the trading price of our Class A common stock.</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You should not rely on our past results as an indicator of our future performance.</w:t>
      </w:r>
    </w:p>
    <w:p>
      <w:pPr>
        <w:spacing w:after="0" w:line="123"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65"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As of December 31, 2023, we had $95.6 million outstanding under our term loan. In addition, subject to certain restrictions under the 2022 Credit Facility, we may incur additional debt.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Our debt could have important consequences to you, including the following:</w:t>
      </w:r>
    </w:p>
    <w:p>
      <w:pPr>
        <w:spacing w:after="0" w:line="135" w:lineRule="exact"/>
        <w:rPr>
          <w:sz w:val="20"/>
          <w:szCs w:val="20"/>
          <w:color w:val="auto"/>
        </w:rPr>
      </w:pPr>
    </w:p>
    <w:p>
      <w:pPr>
        <w:ind w:left="260" w:hanging="255"/>
        <w:spacing w:after="0" w:line="288" w:lineRule="auto"/>
        <w:tabs>
          <w:tab w:leader="none" w:pos="256"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it may be difficult for us to satisfy our obligations, including debt service requirements under our outstanding debt, resulting in possible defaults on and acceleration of such indebtedness;</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we may need to issue additional Class A common stock to fund the repayment of our debt, which would result in additional dilution to existing investors and may cause our stock price to decline;</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our ability to obtain additional financing for working capital, capital expenditures, debt service requirements, or other general corporate purposes may be impaired;</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we are more vulnerable to economic downturns and adverse industry conditions and our flexibility to plan for, or react to, changes in our business or industry is more limited;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4"/>
          <w:szCs w:val="14"/>
          <w:color w:val="131E29"/>
        </w:rPr>
      </w:pPr>
      <w:r>
        <w:rPr>
          <w:rFonts w:ascii="Arial" w:cs="Arial" w:eastAsia="Arial" w:hAnsi="Arial"/>
          <w:sz w:val="14"/>
          <w:szCs w:val="14"/>
          <w:color w:val="131E29"/>
        </w:rPr>
        <w:t>our ability to capitalize on business opportunities and to react to competitive pressures, as compared to our competitors, may be compromised due to our level of debt;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8"/>
        </w:numPr>
        <w:rPr>
          <w:rFonts w:ascii="Arial" w:cs="Arial" w:eastAsia="Arial" w:hAnsi="Arial"/>
          <w:sz w:val="14"/>
          <w:szCs w:val="14"/>
          <w:color w:val="131E29"/>
        </w:rPr>
      </w:pPr>
      <w:r>
        <w:rPr>
          <w:rFonts w:ascii="Arial" w:cs="Arial" w:eastAsia="Arial" w:hAnsi="Arial"/>
          <w:sz w:val="14"/>
          <w:szCs w:val="14"/>
          <w:color w:val="131E29"/>
        </w:rPr>
        <w:t>our ability to borrow additional funds or to refinance debt may be limited.</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Furthermore, all of our debt under our 2022 Credit Facility bears interest at variable rates, which may increase from time to time, for example, we experienced such an increase during the year ended December 31, 2023.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131E29"/>
        </w:rPr>
        <w:t>The covenants under our 2022 Credit Facility restrict our ability, among other things, to:</w:t>
      </w:r>
    </w:p>
    <w:p>
      <w:pPr>
        <w:spacing w:after="0" w:line="135"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incur additional debt;</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grant liens on assets;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sell or dispose of assets;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merge with or acquire other companies, or make other investments;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enter into sale and leaseback transactions and swap agreements;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liquidate or dissolve ourselves;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engage in businesses that are not in a related line of business; or</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pay dividends or make other distributions.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As a result of these restrictions, we may be:</w:t>
      </w:r>
    </w:p>
    <w:p>
      <w:pPr>
        <w:spacing w:after="0" w:line="135"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limited in how we conduct our business;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unable to raise additional debt or equity financing to operate during general economic or business downturns; or</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unable to compete effectively or to take advantage of new business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These restrictions may affect our ability to grow in accordance with our strategy.</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vulnerable to interest rate risk with respect to our debt, and swap agreements entered into to manage such risk may not effectively limit our exposure.</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spacing w:after="0" w:line="9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 connection with the audit of our consolidated financial statements as of and for the year ended December 31, 2022, our management and auditors determined that material weaknesses existed in the internal control over financial reporting because we did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Although we have implemented measures designed to improve our internal control over financial reporting and remediated these material weaknesses, we cannot assure you that the measures we have taken to date will be sufficient to avoid potential future material weaknesses.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If we identify new material weaknesses in our internal control over financial reporting, if we are unable to comply with the requirements of Section 404 of the Sarbanes-Oxley Act,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27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may need additional capital, and we cannot be sure that additional financing will be available.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Historically, we have financed our operations and capital expenditures primarily through sales of OpCo Units that are convertible into our capital stock and debt financing. In September 2023, we raised additional capital through the sale and issuance of approximately 13.3 million shares of our Class A common stock in an underwritten public offering.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spacing w:after="0" w:line="8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regularly maintain cash balances at financial institutions in amounts exceeding the Federal Deposit Insurance Corporation (FDIC) insurance limit. If a financial institution in which we hold such funds fails, 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131E29"/>
        </w:rPr>
        <w:t>Our amended and restated certificate of incorporation provides that, unless we consent in writing to the selection of an alternative forum, the Court of Chancery of the State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Delaware is the exclusive forum for the following types of actions or proceedings under Delaware statutory or common law:</w:t>
      </w:r>
    </w:p>
    <w:p>
      <w:pPr>
        <w:spacing w:after="0" w:line="121"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any derivative claim or cause of action brought on our behalf;</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any claim or cause of action for a breach of fiduciary duty owed by any of our current or former directors, officers, or other employees to us or our stockholders;</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any claim or cause of action as to which the Delaware General Corporation Law confers jurisdiction to the Court of Chancery of the State of Delaware;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governed by the internal-affairs doctrine.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Our charter documents also contain other provisions that could have an anti-takeover effect, such as:</w:t>
      </w:r>
    </w:p>
    <w:p>
      <w:pPr>
        <w:spacing w:after="0" w:line="135"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permitting the board of directors to establish the number of directors and fill any vacancies and newly created directorships;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providing that directors may only be removed pursuant to the provisions of Section 141(k) of the Delaware General Corporation Law;</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prohibiting cumulative voting for directors;</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the ability of the holders of our Class C common stock, voting as a separate class, to elect up to two directors, subject to the limitations set forth in our amended and restated certificate;</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requiring super-majority voting to amend some provisions in our amended and restated bylaws;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authorizing the issuance of “blank check” preferred stock that our board of directors could use to implement a stockholder rights plan;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eliminating the ability of stockholders to call special meetings of stockholders;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our multi-class common stock structure as described above.</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3" w:name="page64"/>
    <w:bookmarkEnd w:id="6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premium for their shares of our Class A common stock and could also affect the price that some investors are willing to pay for our Class A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Catastrophic events may disrupt our business.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Labor discord or disruption, geopolitical events, social unrest, war, including repercussions of the recent war between Russia and Ukraine and the war between Israel and Hamas, terrorism, political instability, acts of public violence, boycotts, hostilities and social unrest, and other health pandemics that lead to avoidance of public places or cause people to stay at home could harm our business.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Additionally, natural disasters or other catastrophic events may cause damage or disruption to our operations, international commerce, and the global economy, and thus could harm our business. In particular, the west coast wildfires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customers to safely drive to and from our shops, which can be negatively affected by extreme weather. Such extreme weather events may affect traffic to our shops and may have a harmful effect on the local economy, decreasing the demand for our products. In addition, the insurance we maintain would likely not be adequate to cover our losses resulting from disasters or other business interruptions.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Economic and business factors that are largely beyond our control may adversely affect consumer behavior and the results of our operations.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may have a negative effect on consumer confidence and discretionary spending. For example, the federal government provided relief from student loan payments beginning in March 2020, and extended such relief multiple times through September 2023, when loan payments resumed. This and similar governmental acts could have significant impact on consumer discretionary spending. A significant decrease in our customer traffic or average value per transaction without a corresponding decrease in costs would put downward pressure on margins and would negatively impact our financial results.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1B.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1C. CYBERSECURITY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 Management and Strategy</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We rely on information technology networks and systems and data processing to manage a variety of business processes and activities, including, without limitation, to process customer payments and conduct our marketing efforts. 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customer data.</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utilize certain third-party service providers to perform a variety of functions, such as to outsource certain business critical functions, to augment staff for after-hours support, to help track chain of custody for physical PCI devices for our shops, application providers, hosting companies, distributors, supply chain resources, property management, cloud-based infrastructure, data center facilities, encryption and authentication technology, corporate productivity services, and other functions. Depending on the nature of the services provided, the sensitivity and quantity of information processed, and the identity of the service provider, for certain service providers, our vendor management process may include reviewing the cybersecurity practices of certain providers, contractually imposing obligations on certain providers related to the services they provide and/or the information they process, conducting security assessments, requiring providers to complete written questionnaires regarding their services and data handling practices, conducting periodic re-assessments during their engagement, using a third party vendor management security company to provide certain ongoing monitoring, or annually collect certain information security-related compliance documentation and reports.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Risks from cybersecurity threats are among those that we address in the Company’s general risk management program. As part of our overall risk management processes, the Company maintains various policies related to information security, including an Incident Response Policy and a Cybersecurity Incident Reporting Policy. We identify cybersecurity threats as part of our risk management processes, including (depending on the environment or systems) through internal monitoring, monitoring the threat environment using manual and automated tools, subscribing to reports and services that identify cybersecurity threats, analyzing reports of threats and actors, conducting scans of the threat environments, evaluating our and our industry’s risk profile, evaluating threats reported to us, conducting threat assessments for internal and external threats, and conducting vulnerability assessments to identify vulnerabilities. Our information technology team is responsible for identifying, assessing, and managing the Company’s cybersecurity threats and risks under the oversight of our Chief Technology Officer. This team works with third parties from time to time to help identify, assess, and manage cybersecurity risks, including professional services firms and other vendors.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Based on our assessment process, we implement and maintain various technical, physical, and organizational measures designed to manage and mitigate cybersecurity risks and potential material impacts. Depending on the environment or systems, we implement measures designed to prevent, detect, respond to, mitigate, and recover from identified and significant cybersecurity threats. The risk management and reduction measures we implement for certain of our environments or systems include: policies and procedures designed to address cybersecurity threats, including an incident response policy, acceptable use policy, and vulnerability management policy; internal and/or external audits of some environments to assess our exposure to cybersecurity threats, environment, compliance with risk mitigation procedures, and effectiveness of relevant controls; documented risk assessments; encryption of certain data; network security controls in certain systems; physical and electronic access controls in certain environments; asset management, tracking and disposal; systems monitoring of certain systems; employee security training; penetration testing of certain environments; and maintaining cyber insurance; and a dedicated cybersecurity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5" w:name="page66"/>
    <w:bookmarkEnd w:id="6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Our business, results of operations, or financial condition could be materially affected as a result of such risks, due to: the cost of and modification of business activities related to prevention or incident response; potential system failure, data loss, fraud or theft, or other material adverse consequences; disruptions, including in operations, due to potential delays in remediation of high risk or critical vulnerabilities; costs of notices and other disclosures that may be required by applicable data privacy and security obligations; or our inability to recover such costs under insurance policies or contractual rights. See "Risks Related to Our Business" in Item 1A, Risk Factors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Governance</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The Audit and Risk Committee of the board of directors is responsible for oversight of the Company’s processes and policies for enterprise risk identification, management, and assessment, including key risks around data privacy, technology, and information security. Our cybersecurity risk assessment and management processes are implemented and maintained by certain Company management, including our Chief Technology Officer (CTO), Leigh Gower, who has more than 20 years of experience in the information technology field, including work in cybersecurity risk management. Prior to serving the Company, our CTO gained cybersecurity experience serving as Vice President, Technology at Blue Nile, as Senior Director, Product &amp; Technology at T-Mobile, and as Management Consultant at Slalom Consulting.</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CTO is responsible for hiring appropriate personnel, helping to integrate cybersecurity risk considerations into the Company’s overall risk management strategy, and communicating key priorities to relevant personnel. Our CTO and her team are responsible for approving budgets, helping prepare for cybersecurity incidents, approving cybersecurity processes, and reviewing security assessments and other security-related reports.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cybersecurity incident response processes are designed to escalate certain cybersecurity incidents to members of management depending on the circumstances, including reporting certain incidents to a cross-functional group responsible for making ongoing assessments of reported incidents, led by our Chief Legal Officer and Chief Technology Officer, and includes members of our standing Disclosure Committee. The Chief Legal Officer is responsible for informing the Audit and Risk Committee regarding the Company’s significant cybersecurity threats and risk and meets with the Audit and Risk Committee at periodic or special meetings to review and discuss issues. Our Chief Legal Officer oversees an annual enterprise risk assessment that addresses certain applicable cybersecurity risks, the results of which are presented to the Audit and Risk Committee. We engage a third party consulting firm to assist with the annual enterprise risk assessment. Our Chief Legal Officer works with the Board, senior management, others at various levels of the organization, and our outside advisors to help identify, assess, and validate the Company’s top risks, taking into account past risk mitigation activities and future plans. Under our Cybersecurity Incident Reporting Policy, the Chief Legal Officer is also responsible for communicating to the Audit and Risk Committee the activities of the Company related to the assessments and reporting of potentially significant cybersecurity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6" w:name="page67"/>
    <w:bookmarkEnd w:id="6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2. PROPERTIES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As of December 31, 2023, we had 542 company-operated and 289 franchise shops with 831 total shops in 16 states. The chart below shows our properties by state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59055</wp:posOffset>
            </wp:positionV>
            <wp:extent cx="4114800" cy="2416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14800" cy="241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131E29"/>
        </w:rPr>
        <w:t>In addition to our company-operated shops, we own and lease the following facilities: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131E29"/>
              </w:rPr>
              <w:t>Location</w:t>
            </w:r>
          </w:p>
        </w:tc>
        <w:tc>
          <w:tcPr>
            <w:tcW w:w="80" w:type="dxa"/>
            <w:vAlign w:val="bottom"/>
            <w:tcBorders>
              <w:bottom w:val="single" w:sz="8" w:color="D2DCE5"/>
            </w:tcBorders>
          </w:tcPr>
          <w:p>
            <w:pPr>
              <w:spacing w:after="0"/>
              <w:rPr>
                <w:sz w:val="17"/>
                <w:szCs w:val="17"/>
                <w:color w:val="auto"/>
              </w:rPr>
            </w:pPr>
          </w:p>
        </w:tc>
        <w:tc>
          <w:tcPr>
            <w:tcW w:w="492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131E29"/>
              </w:rPr>
              <w:t>Primary Function(s)</w:t>
            </w:r>
          </w:p>
        </w:tc>
        <w:tc>
          <w:tcPr>
            <w:tcW w:w="100" w:type="dxa"/>
            <w:vAlign w:val="bottom"/>
            <w:tcBorders>
              <w:bottom w:val="single" w:sz="8" w:color="D2DCE5"/>
            </w:tcBorders>
          </w:tcPr>
          <w:p>
            <w:pPr>
              <w:spacing w:after="0"/>
              <w:rPr>
                <w:sz w:val="17"/>
                <w:szCs w:val="17"/>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131E29"/>
              </w:rPr>
              <w:t>Square Feet</w:t>
            </w:r>
          </w:p>
        </w:tc>
        <w:tc>
          <w:tcPr>
            <w:tcW w:w="80" w:type="dxa"/>
            <w:vAlign w:val="bottom"/>
            <w:tcBorders>
              <w:bottom w:val="single" w:sz="8" w:color="D2DCE5"/>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Owned or Leased</w:t>
            </w:r>
          </w:p>
        </w:tc>
      </w:tr>
      <w:tr>
        <w:trPr>
          <w:trHeight w:val="208"/>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Corporate headquarters</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16,000</w:t>
            </w:r>
          </w:p>
        </w:tc>
        <w:tc>
          <w:tcPr>
            <w:tcW w:w="80" w:type="dxa"/>
            <w:vAlign w:val="bottom"/>
            <w:shd w:val="clear" w:color="auto" w:fill="D2DCE5"/>
          </w:tcPr>
          <w:p>
            <w:pPr>
              <w:spacing w:after="0"/>
              <w:rPr>
                <w:sz w:val="18"/>
                <w:szCs w:val="18"/>
                <w:color w:val="auto"/>
              </w:rPr>
            </w:pPr>
          </w:p>
        </w:tc>
        <w:tc>
          <w:tcPr>
            <w:tcW w:w="174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Owned</w:t>
            </w:r>
          </w:p>
        </w:tc>
      </w:tr>
      <w:tr>
        <w:trPr>
          <w:trHeight w:val="202"/>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Headquarters office space</w:t>
            </w:r>
          </w:p>
        </w:tc>
        <w:tc>
          <w:tcPr>
            <w:tcW w:w="1700" w:type="dxa"/>
            <w:vAlign w:val="bottom"/>
          </w:tcPr>
          <w:p>
            <w:pPr>
              <w:jc w:val="center"/>
              <w:spacing w:after="0"/>
              <w:rPr>
                <w:sz w:val="20"/>
                <w:szCs w:val="20"/>
                <w:color w:val="auto"/>
              </w:rPr>
            </w:pPr>
            <w:r>
              <w:rPr>
                <w:rFonts w:ascii="Arial" w:cs="Arial" w:eastAsia="Arial" w:hAnsi="Arial"/>
                <w:sz w:val="14"/>
                <w:szCs w:val="14"/>
                <w:color w:val="131E29"/>
                <w:w w:val="97"/>
              </w:rPr>
              <w:t>26,000</w:t>
            </w: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131E29"/>
              </w:rPr>
              <w:t>Leased</w:t>
            </w:r>
          </w:p>
        </w:tc>
      </w:tr>
      <w:tr>
        <w:trPr>
          <w:trHeight w:val="221"/>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Roasting and packing facility</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36,000</w:t>
            </w:r>
          </w:p>
        </w:tc>
        <w:tc>
          <w:tcPr>
            <w:tcW w:w="80" w:type="dxa"/>
            <w:vAlign w:val="bottom"/>
            <w:shd w:val="clear" w:color="auto" w:fill="D2DCE5"/>
          </w:tcPr>
          <w:p>
            <w:pPr>
              <w:spacing w:after="0"/>
              <w:rPr>
                <w:sz w:val="19"/>
                <w:szCs w:val="19"/>
                <w:color w:val="auto"/>
              </w:rPr>
            </w:pPr>
          </w:p>
        </w:tc>
        <w:tc>
          <w:tcPr>
            <w:tcW w:w="174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Owned</w:t>
            </w:r>
          </w:p>
        </w:tc>
      </w:tr>
      <w:tr>
        <w:trPr>
          <w:trHeight w:val="202"/>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Roasting and warehouse facility</w:t>
            </w:r>
          </w:p>
        </w:tc>
        <w:tc>
          <w:tcPr>
            <w:tcW w:w="1700" w:type="dxa"/>
            <w:vAlign w:val="bottom"/>
          </w:tcPr>
          <w:p>
            <w:pPr>
              <w:jc w:val="center"/>
              <w:spacing w:after="0"/>
              <w:rPr>
                <w:sz w:val="20"/>
                <w:szCs w:val="20"/>
                <w:color w:val="auto"/>
              </w:rPr>
            </w:pPr>
            <w:r>
              <w:rPr>
                <w:rFonts w:ascii="Arial" w:cs="Arial" w:eastAsia="Arial" w:hAnsi="Arial"/>
                <w:sz w:val="14"/>
                <w:szCs w:val="14"/>
                <w:color w:val="131E29"/>
                <w:w w:val="97"/>
              </w:rPr>
              <w:t>21,000</w:t>
            </w: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131E29"/>
              </w:rPr>
              <w:t>Leased</w:t>
            </w:r>
          </w:p>
        </w:tc>
      </w:tr>
      <w:tr>
        <w:trPr>
          <w:trHeight w:val="221"/>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Aircraft hangar and transportation operations</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84,000</w:t>
            </w:r>
          </w:p>
        </w:tc>
        <w:tc>
          <w:tcPr>
            <w:tcW w:w="80" w:type="dxa"/>
            <w:vAlign w:val="bottom"/>
            <w:shd w:val="clear" w:color="auto" w:fill="D2DCE5"/>
          </w:tcPr>
          <w:p>
            <w:pPr>
              <w:spacing w:after="0"/>
              <w:rPr>
                <w:sz w:val="19"/>
                <w:szCs w:val="19"/>
                <w:color w:val="auto"/>
              </w:rPr>
            </w:pPr>
          </w:p>
        </w:tc>
        <w:tc>
          <w:tcPr>
            <w:tcW w:w="17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Leased</w:t>
            </w:r>
          </w:p>
        </w:tc>
      </w:tr>
      <w:tr>
        <w:trPr>
          <w:trHeight w:val="192"/>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Scottsdale, Arizona</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Office space</w:t>
            </w:r>
          </w:p>
        </w:tc>
        <w:tc>
          <w:tcPr>
            <w:tcW w:w="1700" w:type="dxa"/>
            <w:vAlign w:val="bottom"/>
          </w:tcPr>
          <w:p>
            <w:pPr>
              <w:jc w:val="center"/>
              <w:spacing w:after="0"/>
              <w:rPr>
                <w:sz w:val="20"/>
                <w:szCs w:val="20"/>
                <w:color w:val="auto"/>
              </w:rPr>
            </w:pPr>
            <w:r>
              <w:rPr>
                <w:rFonts w:ascii="Arial" w:cs="Arial" w:eastAsia="Arial" w:hAnsi="Arial"/>
                <w:sz w:val="14"/>
                <w:szCs w:val="14"/>
                <w:color w:val="131E29"/>
                <w:w w:val="96"/>
              </w:rPr>
              <w:t>7,000</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131E29"/>
              </w:rPr>
              <w:t>Leased</w:t>
            </w:r>
          </w:p>
        </w:tc>
      </w:tr>
    </w:tbl>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principal executive offices are located at 110 SW 4th Street, Grants Pass, Oregon, 97526. We believe our current facilities are suitable for our near term needs, and expect to add additional capacity related to the planned shift of approximately 40% of our total support staff to Arizona. In addition, we expect to continue to add additional capacity on an as-needed basis. We are in the process of constructing a roasting facility in Texas to service our shops in new markets as we expand eastward, in line with our growth strategy.</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For additional information regarding leases, see NOTE 2 — Basis of Presentation and Summary of Significant Accounting Policies and NOTE 8 — Leases in our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7" w:name="page68"/>
    <w:bookmarkEnd w:id="6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3. LEGAL PROCEEDINGS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Please refer to NOTE 17 — Commitments and Contingencies under the heading “Legal Proceedings”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4. MINE SAFETY DISCLOSURES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8" w:name="page69"/>
    <w:bookmarkEnd w:id="6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62165" cy="806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165" cy="80645"/>
                    </a:xfrm>
                    <a:prstGeom prst="rect">
                      <a:avLst/>
                    </a:prstGeom>
                    <a:noFill/>
                  </pic:spPr>
                </pic:pic>
              </a:graphicData>
            </a:graphic>
          </wp:anchor>
        </w:drawing>
      </w:r>
    </w:p>
    <w:p>
      <w:pPr>
        <w:spacing w:after="0" w:line="377" w:lineRule="exact"/>
        <w:rPr>
          <w:sz w:val="20"/>
          <w:szCs w:val="20"/>
          <w:color w:val="auto"/>
        </w:rPr>
      </w:pPr>
    </w:p>
    <w:p>
      <w:pPr>
        <w:ind w:right="1080"/>
        <w:spacing w:after="0" w:line="296" w:lineRule="auto"/>
        <w:rPr>
          <w:sz w:val="20"/>
          <w:szCs w:val="20"/>
          <w:color w:val="auto"/>
        </w:rPr>
      </w:pPr>
      <w:r>
        <w:rPr>
          <w:rFonts w:ascii="Arial" w:cs="Arial" w:eastAsia="Arial" w:hAnsi="Arial"/>
          <w:sz w:val="20"/>
          <w:szCs w:val="20"/>
          <w:b w:val="1"/>
          <w:bCs w:val="1"/>
          <w:color w:val="D7282F"/>
        </w:rPr>
        <w:t>ITEM 5. MARKET FOR REGISTRANT’S COMMON EQUITY, RELATED STOCKHOLDER MATTERS AND ISSUER PURCHASES OF EQUITY SECURITIES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Market Information for Common Stock</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Our Class A common stock is traded on the New York Stock Exchange under the symbol “BROS”. There is no established public trading market for our Class B common stock, Class C common stock, or Class D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Stockholders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As of December 31, 2023, our Class A common stock was held by 105 holders of record.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December 31, 2023, we also had three holders of record of our Class B common stock, two holders of record of our Class C common stock, and two holders of record of our Class D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Dividend Policy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131E29"/>
        </w:rPr>
        <w:t>We have not paid dividends on our common stock, and we do not anticipate paying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Stock Performance Graph</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graph below compares the cumulative total stockholder return on our Class A common stock (BROS) with the cumulative total return on the S&amp;P 500 Index (SPX) and the S&amp;P 500 Consumer Discretionary Index (SP500.25), assuming an initial investment of $100 at the market close on September 15, 2021, the date our stock commenced trading on the New York Stock Exchange. Data for the S&amp;P 500 Index and the S&amp;P 500 Consumer Discretionary Index assume reinvestment of dividends. As noted above, no dividends have been declared on our Class A common stock to date.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The comparisons in the graph below are based upon historical data and are not indicative of, nor intend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9" w:name="page70"/>
    <w:bookmarkEnd w:id="69"/>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648335</wp:posOffset>
            </wp:positionV>
            <wp:extent cx="4336415" cy="2349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3641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131E29"/>
              </w:rPr>
              <w:t>September 15,</w:t>
            </w:r>
          </w:p>
        </w:tc>
        <w:tc>
          <w:tcPr>
            <w:tcW w:w="20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131E29"/>
              </w:rPr>
              <w:t>December 31,</w:t>
            </w:r>
          </w:p>
        </w:tc>
        <w:tc>
          <w:tcPr>
            <w:tcW w:w="180" w:type="dxa"/>
            <w:vAlign w:val="bottom"/>
          </w:tcPr>
          <w:p>
            <w:pPr>
              <w:spacing w:after="0"/>
              <w:rPr>
                <w:sz w:val="11"/>
                <w:szCs w:val="11"/>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131E29"/>
              </w:rPr>
              <w:t>December 31,</w:t>
            </w:r>
          </w:p>
        </w:tc>
        <w:tc>
          <w:tcPr>
            <w:tcW w:w="20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131E29"/>
              </w:rPr>
              <w:t>March 31,</w:t>
            </w:r>
          </w:p>
        </w:tc>
        <w:tc>
          <w:tcPr>
            <w:tcW w:w="22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131E29"/>
              </w:rPr>
              <w:t>June 30,</w:t>
            </w:r>
          </w:p>
        </w:tc>
        <w:tc>
          <w:tcPr>
            <w:tcW w:w="200" w:type="dxa"/>
            <w:vAlign w:val="bottom"/>
          </w:tcPr>
          <w:p>
            <w:pPr>
              <w:spacing w:after="0"/>
              <w:rPr>
                <w:sz w:val="11"/>
                <w:szCs w:val="11"/>
                <w:color w:val="auto"/>
              </w:rPr>
            </w:pPr>
          </w:p>
        </w:tc>
        <w:tc>
          <w:tcPr>
            <w:tcW w:w="1280" w:type="dxa"/>
            <w:vAlign w:val="bottom"/>
            <w:gridSpan w:val="2"/>
          </w:tcPr>
          <w:p>
            <w:pPr>
              <w:ind w:left="100"/>
              <w:spacing w:after="0"/>
              <w:rPr>
                <w:sz w:val="20"/>
                <w:szCs w:val="20"/>
                <w:color w:val="auto"/>
              </w:rPr>
            </w:pPr>
            <w:r>
              <w:rPr>
                <w:rFonts w:ascii="Arial" w:cs="Arial" w:eastAsia="Arial" w:hAnsi="Arial"/>
                <w:sz w:val="11"/>
                <w:szCs w:val="11"/>
                <w:b w:val="1"/>
                <w:bCs w:val="1"/>
                <w:color w:val="131E29"/>
              </w:rPr>
              <w:t>September 30,</w:t>
            </w:r>
          </w:p>
        </w:tc>
        <w:tc>
          <w:tcPr>
            <w:tcW w:w="180" w:type="dxa"/>
            <w:vAlign w:val="bottom"/>
          </w:tcPr>
          <w:p>
            <w:pPr>
              <w:spacing w:after="0"/>
              <w:rPr>
                <w:sz w:val="11"/>
                <w:szCs w:val="11"/>
                <w:color w:val="auto"/>
              </w:rPr>
            </w:pPr>
          </w:p>
        </w:tc>
        <w:tc>
          <w:tcPr>
            <w:tcW w:w="1140" w:type="dxa"/>
            <w:vAlign w:val="bottom"/>
          </w:tcPr>
          <w:p>
            <w:pPr>
              <w:jc w:val="right"/>
              <w:ind w:right="244"/>
              <w:spacing w:after="0"/>
              <w:rPr>
                <w:sz w:val="20"/>
                <w:szCs w:val="20"/>
                <w:color w:val="auto"/>
              </w:rPr>
            </w:pPr>
            <w:r>
              <w:rPr>
                <w:rFonts w:ascii="Arial" w:cs="Arial" w:eastAsia="Arial" w:hAnsi="Arial"/>
                <w:sz w:val="11"/>
                <w:szCs w:val="11"/>
                <w:b w:val="1"/>
                <w:bCs w:val="1"/>
                <w:color w:val="131E29"/>
              </w:rPr>
              <w:t>December 31,</w:t>
            </w:r>
          </w:p>
        </w:tc>
      </w:tr>
      <w:tr>
        <w:trPr>
          <w:trHeight w:val="154"/>
        </w:trPr>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504"/>
              <w:spacing w:after="0"/>
              <w:rPr>
                <w:sz w:val="20"/>
                <w:szCs w:val="20"/>
                <w:color w:val="auto"/>
              </w:rPr>
            </w:pPr>
            <w:r>
              <w:rPr>
                <w:rFonts w:ascii="Arial" w:cs="Arial" w:eastAsia="Arial" w:hAnsi="Arial"/>
                <w:sz w:val="11"/>
                <w:szCs w:val="11"/>
                <w:b w:val="1"/>
                <w:bCs w:val="1"/>
                <w:color w:val="131E29"/>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504"/>
              <w:spacing w:after="0"/>
              <w:rPr>
                <w:sz w:val="20"/>
                <w:szCs w:val="20"/>
                <w:color w:val="auto"/>
              </w:rPr>
            </w:pPr>
            <w:r>
              <w:rPr>
                <w:rFonts w:ascii="Arial" w:cs="Arial" w:eastAsia="Arial" w:hAnsi="Arial"/>
                <w:sz w:val="11"/>
                <w:szCs w:val="11"/>
                <w:b w:val="1"/>
                <w:bCs w:val="1"/>
                <w:color w:val="131E29"/>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484"/>
              <w:spacing w:after="0"/>
              <w:rPr>
                <w:sz w:val="20"/>
                <w:szCs w:val="20"/>
                <w:color w:val="auto"/>
              </w:rPr>
            </w:pPr>
            <w:r>
              <w:rPr>
                <w:rFonts w:ascii="Arial" w:cs="Arial" w:eastAsia="Arial" w:hAnsi="Arial"/>
                <w:sz w:val="11"/>
                <w:szCs w:val="11"/>
                <w:b w:val="1"/>
                <w:bCs w:val="1"/>
                <w:color w:val="131E29"/>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84"/>
              <w:spacing w:after="0"/>
              <w:rPr>
                <w:sz w:val="20"/>
                <w:szCs w:val="20"/>
                <w:color w:val="auto"/>
              </w:rPr>
            </w:pPr>
            <w:r>
              <w:rPr>
                <w:rFonts w:ascii="Arial" w:cs="Arial" w:eastAsia="Arial" w:hAnsi="Arial"/>
                <w:sz w:val="11"/>
                <w:szCs w:val="11"/>
                <w:b w:val="1"/>
                <w:bCs w:val="1"/>
                <w:color w:val="131E29"/>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04"/>
              <w:spacing w:after="0"/>
              <w:rPr>
                <w:sz w:val="20"/>
                <w:szCs w:val="20"/>
                <w:color w:val="auto"/>
              </w:rPr>
            </w:pPr>
            <w:r>
              <w:rPr>
                <w:rFonts w:ascii="Arial" w:cs="Arial" w:eastAsia="Arial" w:hAnsi="Arial"/>
                <w:sz w:val="11"/>
                <w:szCs w:val="11"/>
                <w:b w:val="1"/>
                <w:bCs w:val="1"/>
                <w:color w:val="131E29"/>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504"/>
              <w:spacing w:after="0"/>
              <w:rPr>
                <w:sz w:val="20"/>
                <w:szCs w:val="20"/>
                <w:color w:val="auto"/>
              </w:rPr>
            </w:pPr>
            <w:r>
              <w:rPr>
                <w:rFonts w:ascii="Arial" w:cs="Arial" w:eastAsia="Arial" w:hAnsi="Arial"/>
                <w:sz w:val="11"/>
                <w:szCs w:val="11"/>
                <w:b w:val="1"/>
                <w:bCs w:val="1"/>
                <w:color w:val="131E29"/>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484"/>
              <w:spacing w:after="0"/>
              <w:rPr>
                <w:sz w:val="20"/>
                <w:szCs w:val="20"/>
                <w:color w:val="auto"/>
              </w:rPr>
            </w:pPr>
            <w:r>
              <w:rPr>
                <w:rFonts w:ascii="Arial" w:cs="Arial" w:eastAsia="Arial" w:hAnsi="Arial"/>
                <w:sz w:val="11"/>
                <w:szCs w:val="11"/>
                <w:b w:val="1"/>
                <w:bCs w:val="1"/>
                <w:color w:val="131E29"/>
              </w:rPr>
              <w:t>2023</w:t>
            </w:r>
          </w:p>
        </w:tc>
      </w:tr>
      <w:tr>
        <w:trPr>
          <w:trHeight w:val="21"/>
        </w:trPr>
        <w:tc>
          <w:tcPr>
            <w:tcW w:w="166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131E29"/>
            </w:tcBorders>
          </w:tcPr>
          <w:p>
            <w:pPr>
              <w:spacing w:after="0" w:line="20" w:lineRule="exact"/>
              <w:rPr>
                <w:sz w:val="1"/>
                <w:szCs w:val="1"/>
                <w:color w:val="auto"/>
              </w:rPr>
            </w:pPr>
          </w:p>
        </w:tc>
        <w:tc>
          <w:tcPr>
            <w:tcW w:w="120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1180" w:type="dxa"/>
            <w:vAlign w:val="bottom"/>
            <w:tcBorders>
              <w:bottom w:val="single" w:sz="8" w:color="131E29"/>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131E29"/>
            </w:tcBorders>
          </w:tcPr>
          <w:p>
            <w:pPr>
              <w:spacing w:after="0" w:line="20" w:lineRule="exact"/>
              <w:rPr>
                <w:sz w:val="1"/>
                <w:szCs w:val="1"/>
                <w:color w:val="auto"/>
              </w:rPr>
            </w:pPr>
          </w:p>
        </w:tc>
        <w:tc>
          <w:tcPr>
            <w:tcW w:w="114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96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131E29"/>
            </w:tcBorders>
          </w:tcPr>
          <w:p>
            <w:pPr>
              <w:spacing w:after="0" w:line="20" w:lineRule="exact"/>
              <w:rPr>
                <w:sz w:val="1"/>
                <w:szCs w:val="1"/>
                <w:color w:val="auto"/>
              </w:rPr>
            </w:pPr>
          </w:p>
        </w:tc>
        <w:tc>
          <w:tcPr>
            <w:tcW w:w="94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1180" w:type="dxa"/>
            <w:vAlign w:val="bottom"/>
            <w:tcBorders>
              <w:bottom w:val="single" w:sz="8" w:color="131E29"/>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131E29"/>
            </w:tcBorders>
          </w:tcPr>
          <w:p>
            <w:pPr>
              <w:spacing w:after="0" w:line="20" w:lineRule="exact"/>
              <w:rPr>
                <w:sz w:val="1"/>
                <w:szCs w:val="1"/>
                <w:color w:val="auto"/>
              </w:rPr>
            </w:pPr>
          </w:p>
        </w:tc>
        <w:tc>
          <w:tcPr>
            <w:tcW w:w="1140" w:type="dxa"/>
            <w:vAlign w:val="bottom"/>
            <w:tcBorders>
              <w:bottom w:val="single" w:sz="8" w:color="131E29"/>
            </w:tcBorders>
          </w:tcPr>
          <w:p>
            <w:pPr>
              <w:spacing w:after="0" w:line="20" w:lineRule="exact"/>
              <w:rPr>
                <w:sz w:val="1"/>
                <w:szCs w:val="1"/>
                <w:color w:val="auto"/>
              </w:rPr>
            </w:pPr>
          </w:p>
        </w:tc>
      </w:tr>
      <w:tr>
        <w:trPr>
          <w:trHeight w:val="170"/>
        </w:trPr>
        <w:tc>
          <w:tcPr>
            <w:tcW w:w="166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Dutch Bros Inc.</w:t>
            </w:r>
          </w:p>
        </w:tc>
        <w:tc>
          <w:tcPr>
            <w:tcW w:w="180" w:type="dxa"/>
            <w:vAlign w:val="bottom"/>
            <w:shd w:val="clear" w:color="auto" w:fill="D2DCE5"/>
          </w:tcPr>
          <w:p>
            <w:pPr>
              <w:jc w:val="right"/>
              <w:ind w:right="44"/>
              <w:spacing w:after="0"/>
              <w:rPr>
                <w:sz w:val="20"/>
                <w:szCs w:val="20"/>
                <w:color w:val="auto"/>
              </w:rPr>
            </w:pPr>
            <w:r>
              <w:rPr>
                <w:rFonts w:ascii="Arial" w:cs="Arial" w:eastAsia="Arial" w:hAnsi="Arial"/>
                <w:sz w:val="11"/>
                <w:szCs w:val="11"/>
                <w:color w:val="131E29"/>
                <w:w w:val="97"/>
              </w:rPr>
              <w:t>$</w:t>
            </w:r>
          </w:p>
        </w:tc>
        <w:tc>
          <w:tcPr>
            <w:tcW w:w="12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100.00</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4"/>
              <w:spacing w:after="0"/>
              <w:rPr>
                <w:sz w:val="20"/>
                <w:szCs w:val="20"/>
                <w:color w:val="auto"/>
              </w:rPr>
            </w:pPr>
            <w:r>
              <w:rPr>
                <w:rFonts w:ascii="Arial" w:cs="Arial" w:eastAsia="Arial" w:hAnsi="Arial"/>
                <w:sz w:val="11"/>
                <w:szCs w:val="11"/>
                <w:color w:val="131E29"/>
                <w:w w:val="97"/>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138.79</w:t>
            </w: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69"/>
              <w:spacing w:after="0"/>
              <w:rPr>
                <w:sz w:val="20"/>
                <w:szCs w:val="20"/>
                <w:color w:val="auto"/>
              </w:rPr>
            </w:pPr>
            <w:r>
              <w:rPr>
                <w:rFonts w:ascii="Arial" w:cs="Arial" w:eastAsia="Arial" w:hAnsi="Arial"/>
                <w:sz w:val="10"/>
                <w:szCs w:val="10"/>
                <w:color w:val="131E29"/>
                <w:w w:val="71"/>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76.85</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4"/>
              <w:spacing w:after="0"/>
              <w:rPr>
                <w:sz w:val="20"/>
                <w:szCs w:val="20"/>
                <w:color w:val="auto"/>
              </w:rPr>
            </w:pPr>
            <w:r>
              <w:rPr>
                <w:rFonts w:ascii="Arial" w:cs="Arial" w:eastAsia="Arial" w:hAnsi="Arial"/>
                <w:sz w:val="11"/>
                <w:szCs w:val="11"/>
                <w:color w:val="131E29"/>
                <w:w w:val="97"/>
              </w:rPr>
              <w:t>$</w:t>
            </w:r>
          </w:p>
        </w:tc>
        <w:tc>
          <w:tcPr>
            <w:tcW w:w="96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86.23</w:t>
            </w:r>
          </w:p>
        </w:tc>
        <w:tc>
          <w:tcPr>
            <w:tcW w:w="80" w:type="dxa"/>
            <w:vAlign w:val="bottom"/>
            <w:shd w:val="clear" w:color="auto" w:fill="D2DCE5"/>
          </w:tcPr>
          <w:p>
            <w:pPr>
              <w:spacing w:after="0"/>
              <w:rPr>
                <w:sz w:val="14"/>
                <w:szCs w:val="14"/>
                <w:color w:val="auto"/>
              </w:rPr>
            </w:pPr>
          </w:p>
        </w:tc>
        <w:tc>
          <w:tcPr>
            <w:tcW w:w="220" w:type="dxa"/>
            <w:vAlign w:val="bottom"/>
            <w:shd w:val="clear" w:color="auto" w:fill="D2DCE5"/>
          </w:tcPr>
          <w:p>
            <w:pPr>
              <w:jc w:val="right"/>
              <w:ind w:right="84"/>
              <w:spacing w:after="0"/>
              <w:rPr>
                <w:sz w:val="20"/>
                <w:szCs w:val="20"/>
                <w:color w:val="auto"/>
              </w:rPr>
            </w:pPr>
            <w:r>
              <w:rPr>
                <w:rFonts w:ascii="Arial" w:cs="Arial" w:eastAsia="Arial" w:hAnsi="Arial"/>
                <w:sz w:val="11"/>
                <w:szCs w:val="11"/>
                <w:color w:val="131E29"/>
                <w:w w:val="97"/>
              </w:rPr>
              <w:t>$</w:t>
            </w:r>
          </w:p>
        </w:tc>
        <w:tc>
          <w:tcPr>
            <w:tcW w:w="94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77.56</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4"/>
              <w:spacing w:after="0"/>
              <w:rPr>
                <w:sz w:val="20"/>
                <w:szCs w:val="20"/>
                <w:color w:val="auto"/>
              </w:rPr>
            </w:pPr>
            <w:r>
              <w:rPr>
                <w:rFonts w:ascii="Arial" w:cs="Arial" w:eastAsia="Arial" w:hAnsi="Arial"/>
                <w:sz w:val="11"/>
                <w:szCs w:val="11"/>
                <w:color w:val="131E29"/>
                <w:w w:val="97"/>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63.39</w:t>
            </w: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69"/>
              <w:spacing w:after="0"/>
              <w:rPr>
                <w:sz w:val="20"/>
                <w:szCs w:val="20"/>
                <w:color w:val="auto"/>
              </w:rPr>
            </w:pPr>
            <w:r>
              <w:rPr>
                <w:rFonts w:ascii="Arial" w:cs="Arial" w:eastAsia="Arial" w:hAnsi="Arial"/>
                <w:sz w:val="10"/>
                <w:szCs w:val="10"/>
                <w:color w:val="131E29"/>
                <w:w w:val="71"/>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86.34</w:t>
            </w:r>
          </w:p>
        </w:tc>
      </w:tr>
      <w:tr>
        <w:trPr>
          <w:trHeight w:val="171"/>
        </w:trPr>
        <w:tc>
          <w:tcPr>
            <w:tcW w:w="1660" w:type="dxa"/>
            <w:vAlign w:val="bottom"/>
          </w:tcPr>
          <w:p>
            <w:pPr>
              <w:ind w:left="20"/>
              <w:spacing w:after="0"/>
              <w:rPr>
                <w:sz w:val="20"/>
                <w:szCs w:val="20"/>
                <w:color w:val="auto"/>
              </w:rPr>
            </w:pPr>
            <w:r>
              <w:rPr>
                <w:rFonts w:ascii="Arial" w:cs="Arial" w:eastAsia="Arial" w:hAnsi="Arial"/>
                <w:sz w:val="11"/>
                <w:szCs w:val="11"/>
                <w:color w:val="131E29"/>
              </w:rPr>
              <w:t>S&amp;P 500 Index</w:t>
            </w:r>
          </w:p>
        </w:tc>
        <w:tc>
          <w:tcPr>
            <w:tcW w:w="180" w:type="dxa"/>
            <w:vAlign w:val="bottom"/>
          </w:tcPr>
          <w:p>
            <w:pPr>
              <w:jc w:val="right"/>
              <w:ind w:right="44"/>
              <w:spacing w:after="0"/>
              <w:rPr>
                <w:sz w:val="20"/>
                <w:szCs w:val="20"/>
                <w:color w:val="auto"/>
              </w:rPr>
            </w:pPr>
            <w:r>
              <w:rPr>
                <w:rFonts w:ascii="Arial" w:cs="Arial" w:eastAsia="Arial" w:hAnsi="Arial"/>
                <w:sz w:val="11"/>
                <w:szCs w:val="11"/>
                <w:color w:val="131E29"/>
                <w:w w:val="97"/>
              </w:rPr>
              <w:t>$</w:t>
            </w:r>
          </w:p>
        </w:tc>
        <w:tc>
          <w:tcPr>
            <w:tcW w:w="1200" w:type="dxa"/>
            <w:vAlign w:val="bottom"/>
          </w:tcPr>
          <w:p>
            <w:pPr>
              <w:jc w:val="right"/>
              <w:ind w:right="4"/>
              <w:spacing w:after="0"/>
              <w:rPr>
                <w:sz w:val="20"/>
                <w:szCs w:val="20"/>
                <w:color w:val="auto"/>
              </w:rPr>
            </w:pPr>
            <w:r>
              <w:rPr>
                <w:rFonts w:ascii="Arial" w:cs="Arial" w:eastAsia="Arial" w:hAnsi="Arial"/>
                <w:sz w:val="11"/>
                <w:szCs w:val="11"/>
                <w:color w:val="131E29"/>
              </w:rPr>
              <w:t>100.00</w:t>
            </w:r>
          </w:p>
        </w:tc>
        <w:tc>
          <w:tcPr>
            <w:tcW w:w="80" w:type="dxa"/>
            <w:vAlign w:val="bottom"/>
          </w:tcPr>
          <w:p>
            <w:pPr>
              <w:spacing w:after="0"/>
              <w:rPr>
                <w:sz w:val="14"/>
                <w:szCs w:val="14"/>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131E29"/>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131E29"/>
              </w:rPr>
              <w:t>106.37</w:t>
            </w:r>
          </w:p>
        </w:tc>
        <w:tc>
          <w:tcPr>
            <w:tcW w:w="10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131E29"/>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131E29"/>
              </w:rPr>
              <w:t>85.69</w:t>
            </w:r>
          </w:p>
        </w:tc>
        <w:tc>
          <w:tcPr>
            <w:tcW w:w="80" w:type="dxa"/>
            <w:vAlign w:val="bottom"/>
          </w:tcPr>
          <w:p>
            <w:pPr>
              <w:spacing w:after="0"/>
              <w:rPr>
                <w:sz w:val="14"/>
                <w:szCs w:val="14"/>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131E29"/>
                <w:w w:val="97"/>
              </w:rPr>
              <w:t>$</w:t>
            </w:r>
          </w:p>
        </w:tc>
        <w:tc>
          <w:tcPr>
            <w:tcW w:w="960" w:type="dxa"/>
            <w:vAlign w:val="bottom"/>
          </w:tcPr>
          <w:p>
            <w:pPr>
              <w:jc w:val="right"/>
              <w:ind w:right="4"/>
              <w:spacing w:after="0"/>
              <w:rPr>
                <w:sz w:val="20"/>
                <w:szCs w:val="20"/>
                <w:color w:val="auto"/>
              </w:rPr>
            </w:pPr>
            <w:r>
              <w:rPr>
                <w:rFonts w:ascii="Arial" w:cs="Arial" w:eastAsia="Arial" w:hAnsi="Arial"/>
                <w:sz w:val="11"/>
                <w:szCs w:val="11"/>
                <w:color w:val="131E29"/>
              </w:rPr>
              <w:t>91.71</w:t>
            </w:r>
          </w:p>
        </w:tc>
        <w:tc>
          <w:tcPr>
            <w:tcW w:w="80" w:type="dxa"/>
            <w:vAlign w:val="bottom"/>
          </w:tcPr>
          <w:p>
            <w:pPr>
              <w:spacing w:after="0"/>
              <w:rPr>
                <w:sz w:val="14"/>
                <w:szCs w:val="14"/>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131E29"/>
                <w:w w:val="97"/>
              </w:rPr>
              <w:t>$</w:t>
            </w:r>
          </w:p>
        </w:tc>
        <w:tc>
          <w:tcPr>
            <w:tcW w:w="940" w:type="dxa"/>
            <w:vAlign w:val="bottom"/>
          </w:tcPr>
          <w:p>
            <w:pPr>
              <w:jc w:val="right"/>
              <w:ind w:right="4"/>
              <w:spacing w:after="0"/>
              <w:rPr>
                <w:sz w:val="20"/>
                <w:szCs w:val="20"/>
                <w:color w:val="auto"/>
              </w:rPr>
            </w:pPr>
            <w:r>
              <w:rPr>
                <w:rFonts w:ascii="Arial" w:cs="Arial" w:eastAsia="Arial" w:hAnsi="Arial"/>
                <w:sz w:val="11"/>
                <w:szCs w:val="11"/>
                <w:color w:val="131E29"/>
              </w:rPr>
              <w:t>99.32</w:t>
            </w:r>
          </w:p>
        </w:tc>
        <w:tc>
          <w:tcPr>
            <w:tcW w:w="80" w:type="dxa"/>
            <w:vAlign w:val="bottom"/>
          </w:tcPr>
          <w:p>
            <w:pPr>
              <w:spacing w:after="0"/>
              <w:rPr>
                <w:sz w:val="14"/>
                <w:szCs w:val="14"/>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131E29"/>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131E29"/>
              </w:rPr>
              <w:t>95.70</w:t>
            </w:r>
          </w:p>
        </w:tc>
        <w:tc>
          <w:tcPr>
            <w:tcW w:w="10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131E29"/>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131E29"/>
              </w:rPr>
              <w:t>106.45</w:t>
            </w:r>
          </w:p>
        </w:tc>
      </w:tr>
      <w:tr>
        <w:trPr>
          <w:trHeight w:val="150"/>
        </w:trPr>
        <w:tc>
          <w:tcPr>
            <w:tcW w:w="166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S&amp;P 500 Consumer</w:t>
            </w:r>
          </w:p>
        </w:tc>
        <w:tc>
          <w:tcPr>
            <w:tcW w:w="180" w:type="dxa"/>
            <w:vAlign w:val="bottom"/>
            <w:shd w:val="clear" w:color="auto" w:fill="D2DCE5"/>
          </w:tcPr>
          <w:p>
            <w:pPr>
              <w:spacing w:after="0"/>
              <w:rPr>
                <w:sz w:val="13"/>
                <w:szCs w:val="13"/>
                <w:color w:val="auto"/>
              </w:rPr>
            </w:pPr>
          </w:p>
        </w:tc>
        <w:tc>
          <w:tcPr>
            <w:tcW w:w="12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200" w:type="dxa"/>
            <w:vAlign w:val="bottom"/>
            <w:shd w:val="clear" w:color="auto" w:fill="D2DCE5"/>
          </w:tcPr>
          <w:p>
            <w:pPr>
              <w:spacing w:after="0"/>
              <w:rPr>
                <w:sz w:val="13"/>
                <w:szCs w:val="13"/>
                <w:color w:val="auto"/>
              </w:rPr>
            </w:pPr>
          </w:p>
        </w:tc>
        <w:tc>
          <w:tcPr>
            <w:tcW w:w="118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180" w:type="dxa"/>
            <w:vAlign w:val="bottom"/>
            <w:shd w:val="clear" w:color="auto" w:fill="D2DCE5"/>
          </w:tcPr>
          <w:p>
            <w:pPr>
              <w:spacing w:after="0"/>
              <w:rPr>
                <w:sz w:val="13"/>
                <w:szCs w:val="13"/>
                <w:color w:val="auto"/>
              </w:rPr>
            </w:pPr>
          </w:p>
        </w:tc>
        <w:tc>
          <w:tcPr>
            <w:tcW w:w="114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200" w:type="dxa"/>
            <w:vAlign w:val="bottom"/>
            <w:shd w:val="clear" w:color="auto" w:fill="D2DCE5"/>
          </w:tcPr>
          <w:p>
            <w:pPr>
              <w:spacing w:after="0"/>
              <w:rPr>
                <w:sz w:val="13"/>
                <w:szCs w:val="13"/>
                <w:color w:val="auto"/>
              </w:rPr>
            </w:pPr>
          </w:p>
        </w:tc>
        <w:tc>
          <w:tcPr>
            <w:tcW w:w="9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220" w:type="dxa"/>
            <w:vAlign w:val="bottom"/>
            <w:shd w:val="clear" w:color="auto" w:fill="D2DCE5"/>
          </w:tcPr>
          <w:p>
            <w:pPr>
              <w:spacing w:after="0"/>
              <w:rPr>
                <w:sz w:val="13"/>
                <w:szCs w:val="13"/>
                <w:color w:val="auto"/>
              </w:rPr>
            </w:pPr>
          </w:p>
        </w:tc>
        <w:tc>
          <w:tcPr>
            <w:tcW w:w="94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200" w:type="dxa"/>
            <w:vAlign w:val="bottom"/>
            <w:shd w:val="clear" w:color="auto" w:fill="D2DCE5"/>
          </w:tcPr>
          <w:p>
            <w:pPr>
              <w:spacing w:after="0"/>
              <w:rPr>
                <w:sz w:val="13"/>
                <w:szCs w:val="13"/>
                <w:color w:val="auto"/>
              </w:rPr>
            </w:pPr>
          </w:p>
        </w:tc>
        <w:tc>
          <w:tcPr>
            <w:tcW w:w="118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180" w:type="dxa"/>
            <w:vAlign w:val="bottom"/>
            <w:shd w:val="clear" w:color="auto" w:fill="D2DCE5"/>
          </w:tcPr>
          <w:p>
            <w:pPr>
              <w:spacing w:after="0"/>
              <w:rPr>
                <w:sz w:val="13"/>
                <w:szCs w:val="13"/>
                <w:color w:val="auto"/>
              </w:rPr>
            </w:pPr>
          </w:p>
        </w:tc>
        <w:tc>
          <w:tcPr>
            <w:tcW w:w="1140" w:type="dxa"/>
            <w:vAlign w:val="bottom"/>
            <w:shd w:val="clear" w:color="auto" w:fill="D2DCE5"/>
          </w:tcPr>
          <w:p>
            <w:pPr>
              <w:spacing w:after="0"/>
              <w:rPr>
                <w:sz w:val="13"/>
                <w:szCs w:val="13"/>
                <w:color w:val="auto"/>
              </w:rPr>
            </w:pPr>
          </w:p>
        </w:tc>
      </w:tr>
      <w:tr>
        <w:trPr>
          <w:trHeight w:val="175"/>
        </w:trPr>
        <w:tc>
          <w:tcPr>
            <w:tcW w:w="166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Discretionary Index</w:t>
            </w:r>
          </w:p>
        </w:tc>
        <w:tc>
          <w:tcPr>
            <w:tcW w:w="180" w:type="dxa"/>
            <w:vAlign w:val="bottom"/>
            <w:shd w:val="clear" w:color="auto" w:fill="D2DCE5"/>
          </w:tcPr>
          <w:p>
            <w:pPr>
              <w:jc w:val="right"/>
              <w:ind w:right="44"/>
              <w:spacing w:after="0"/>
              <w:rPr>
                <w:sz w:val="20"/>
                <w:szCs w:val="20"/>
                <w:color w:val="auto"/>
              </w:rPr>
            </w:pPr>
            <w:r>
              <w:rPr>
                <w:rFonts w:ascii="Arial" w:cs="Arial" w:eastAsia="Arial" w:hAnsi="Arial"/>
                <w:sz w:val="11"/>
                <w:szCs w:val="11"/>
                <w:color w:val="131E29"/>
                <w:w w:val="97"/>
              </w:rPr>
              <w:t>$</w:t>
            </w:r>
          </w:p>
        </w:tc>
        <w:tc>
          <w:tcPr>
            <w:tcW w:w="12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100.00</w:t>
            </w:r>
          </w:p>
        </w:tc>
        <w:tc>
          <w:tcPr>
            <w:tcW w:w="80" w:type="dxa"/>
            <w:vAlign w:val="bottom"/>
            <w:shd w:val="clear" w:color="auto" w:fill="D2DCE5"/>
          </w:tcPr>
          <w:p>
            <w:pPr>
              <w:spacing w:after="0"/>
              <w:rPr>
                <w:sz w:val="15"/>
                <w:szCs w:val="15"/>
                <w:color w:val="auto"/>
              </w:rPr>
            </w:pPr>
          </w:p>
        </w:tc>
        <w:tc>
          <w:tcPr>
            <w:tcW w:w="200" w:type="dxa"/>
            <w:vAlign w:val="bottom"/>
            <w:shd w:val="clear" w:color="auto" w:fill="D2DCE5"/>
          </w:tcPr>
          <w:p>
            <w:pPr>
              <w:jc w:val="right"/>
              <w:ind w:right="64"/>
              <w:spacing w:after="0"/>
              <w:rPr>
                <w:sz w:val="20"/>
                <w:szCs w:val="20"/>
                <w:color w:val="auto"/>
              </w:rPr>
            </w:pPr>
            <w:r>
              <w:rPr>
                <w:rFonts w:ascii="Arial" w:cs="Arial" w:eastAsia="Arial" w:hAnsi="Arial"/>
                <w:sz w:val="11"/>
                <w:szCs w:val="11"/>
                <w:color w:val="131E29"/>
                <w:w w:val="97"/>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109.67</w:t>
            </w:r>
          </w:p>
        </w:tc>
        <w:tc>
          <w:tcPr>
            <w:tcW w:w="100" w:type="dxa"/>
            <w:vAlign w:val="bottom"/>
            <w:shd w:val="clear" w:color="auto" w:fill="D2DCE5"/>
          </w:tcPr>
          <w:p>
            <w:pPr>
              <w:spacing w:after="0"/>
              <w:rPr>
                <w:sz w:val="15"/>
                <w:szCs w:val="15"/>
                <w:color w:val="auto"/>
              </w:rPr>
            </w:pPr>
          </w:p>
        </w:tc>
        <w:tc>
          <w:tcPr>
            <w:tcW w:w="180" w:type="dxa"/>
            <w:vAlign w:val="bottom"/>
            <w:shd w:val="clear" w:color="auto" w:fill="D2DCE5"/>
          </w:tcPr>
          <w:p>
            <w:pPr>
              <w:jc w:val="right"/>
              <w:ind w:right="69"/>
              <w:spacing w:after="0"/>
              <w:rPr>
                <w:sz w:val="20"/>
                <w:szCs w:val="20"/>
                <w:color w:val="auto"/>
              </w:rPr>
            </w:pPr>
            <w:r>
              <w:rPr>
                <w:rFonts w:ascii="Arial" w:cs="Arial" w:eastAsia="Arial" w:hAnsi="Arial"/>
                <w:sz w:val="10"/>
                <w:szCs w:val="10"/>
                <w:color w:val="131E29"/>
                <w:w w:val="71"/>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68.46</w:t>
            </w:r>
          </w:p>
        </w:tc>
        <w:tc>
          <w:tcPr>
            <w:tcW w:w="80" w:type="dxa"/>
            <w:vAlign w:val="bottom"/>
            <w:shd w:val="clear" w:color="auto" w:fill="D2DCE5"/>
          </w:tcPr>
          <w:p>
            <w:pPr>
              <w:spacing w:after="0"/>
              <w:rPr>
                <w:sz w:val="15"/>
                <w:szCs w:val="15"/>
                <w:color w:val="auto"/>
              </w:rPr>
            </w:pPr>
          </w:p>
        </w:tc>
        <w:tc>
          <w:tcPr>
            <w:tcW w:w="200" w:type="dxa"/>
            <w:vAlign w:val="bottom"/>
            <w:shd w:val="clear" w:color="auto" w:fill="D2DCE5"/>
          </w:tcPr>
          <w:p>
            <w:pPr>
              <w:jc w:val="right"/>
              <w:ind w:right="64"/>
              <w:spacing w:after="0"/>
              <w:rPr>
                <w:sz w:val="20"/>
                <w:szCs w:val="20"/>
                <w:color w:val="auto"/>
              </w:rPr>
            </w:pPr>
            <w:r>
              <w:rPr>
                <w:rFonts w:ascii="Arial" w:cs="Arial" w:eastAsia="Arial" w:hAnsi="Arial"/>
                <w:sz w:val="11"/>
                <w:szCs w:val="11"/>
                <w:color w:val="131E29"/>
                <w:w w:val="97"/>
              </w:rPr>
              <w:t>$</w:t>
            </w:r>
          </w:p>
        </w:tc>
        <w:tc>
          <w:tcPr>
            <w:tcW w:w="96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79.25</w:t>
            </w:r>
          </w:p>
        </w:tc>
        <w:tc>
          <w:tcPr>
            <w:tcW w:w="80" w:type="dxa"/>
            <w:vAlign w:val="bottom"/>
            <w:shd w:val="clear" w:color="auto" w:fill="D2DCE5"/>
          </w:tcPr>
          <w:p>
            <w:pPr>
              <w:spacing w:after="0"/>
              <w:rPr>
                <w:sz w:val="15"/>
                <w:szCs w:val="15"/>
                <w:color w:val="auto"/>
              </w:rPr>
            </w:pPr>
          </w:p>
        </w:tc>
        <w:tc>
          <w:tcPr>
            <w:tcW w:w="220" w:type="dxa"/>
            <w:vAlign w:val="bottom"/>
            <w:shd w:val="clear" w:color="auto" w:fill="D2DCE5"/>
          </w:tcPr>
          <w:p>
            <w:pPr>
              <w:jc w:val="right"/>
              <w:ind w:right="84"/>
              <w:spacing w:after="0"/>
              <w:rPr>
                <w:sz w:val="20"/>
                <w:szCs w:val="20"/>
                <w:color w:val="auto"/>
              </w:rPr>
            </w:pPr>
            <w:r>
              <w:rPr>
                <w:rFonts w:ascii="Arial" w:cs="Arial" w:eastAsia="Arial" w:hAnsi="Arial"/>
                <w:sz w:val="11"/>
                <w:szCs w:val="11"/>
                <w:color w:val="131E29"/>
                <w:w w:val="97"/>
              </w:rPr>
              <w:t>$</w:t>
            </w:r>
          </w:p>
        </w:tc>
        <w:tc>
          <w:tcPr>
            <w:tcW w:w="94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90.59</w:t>
            </w:r>
          </w:p>
        </w:tc>
        <w:tc>
          <w:tcPr>
            <w:tcW w:w="80" w:type="dxa"/>
            <w:vAlign w:val="bottom"/>
            <w:shd w:val="clear" w:color="auto" w:fill="D2DCE5"/>
          </w:tcPr>
          <w:p>
            <w:pPr>
              <w:spacing w:after="0"/>
              <w:rPr>
                <w:sz w:val="15"/>
                <w:szCs w:val="15"/>
                <w:color w:val="auto"/>
              </w:rPr>
            </w:pPr>
          </w:p>
        </w:tc>
        <w:tc>
          <w:tcPr>
            <w:tcW w:w="200" w:type="dxa"/>
            <w:vAlign w:val="bottom"/>
            <w:shd w:val="clear" w:color="auto" w:fill="D2DCE5"/>
          </w:tcPr>
          <w:p>
            <w:pPr>
              <w:jc w:val="right"/>
              <w:ind w:right="64"/>
              <w:spacing w:after="0"/>
              <w:rPr>
                <w:sz w:val="20"/>
                <w:szCs w:val="20"/>
                <w:color w:val="auto"/>
              </w:rPr>
            </w:pPr>
            <w:r>
              <w:rPr>
                <w:rFonts w:ascii="Arial" w:cs="Arial" w:eastAsia="Arial" w:hAnsi="Arial"/>
                <w:sz w:val="11"/>
                <w:szCs w:val="11"/>
                <w:color w:val="131E29"/>
                <w:w w:val="97"/>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86.06</w:t>
            </w:r>
          </w:p>
        </w:tc>
        <w:tc>
          <w:tcPr>
            <w:tcW w:w="100" w:type="dxa"/>
            <w:vAlign w:val="bottom"/>
            <w:shd w:val="clear" w:color="auto" w:fill="D2DCE5"/>
          </w:tcPr>
          <w:p>
            <w:pPr>
              <w:spacing w:after="0"/>
              <w:rPr>
                <w:sz w:val="15"/>
                <w:szCs w:val="15"/>
                <w:color w:val="auto"/>
              </w:rPr>
            </w:pPr>
          </w:p>
        </w:tc>
        <w:tc>
          <w:tcPr>
            <w:tcW w:w="180" w:type="dxa"/>
            <w:vAlign w:val="bottom"/>
            <w:shd w:val="clear" w:color="auto" w:fill="D2DCE5"/>
          </w:tcPr>
          <w:p>
            <w:pPr>
              <w:jc w:val="right"/>
              <w:ind w:right="69"/>
              <w:spacing w:after="0"/>
              <w:rPr>
                <w:sz w:val="20"/>
                <w:szCs w:val="20"/>
                <w:color w:val="auto"/>
              </w:rPr>
            </w:pPr>
            <w:r>
              <w:rPr>
                <w:rFonts w:ascii="Arial" w:cs="Arial" w:eastAsia="Arial" w:hAnsi="Arial"/>
                <w:sz w:val="10"/>
                <w:szCs w:val="10"/>
                <w:color w:val="131E29"/>
                <w:w w:val="71"/>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96.55</w:t>
            </w:r>
          </w:p>
        </w:tc>
      </w:tr>
    </w:tbl>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above Stock Performance Graph and related information shall not be deemed “soliciting material” or to be “filed” with the SEC nor shall such information be incorporated by reference into any future filing under the Securities Act or the Exchange Act, each as amended, except to the extent that we specifically incorporate it by reference into such filing.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Recent Sales of Unregistered Securities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On October 23, 2023, pursuant to Section 3(a)(9) of the Securities Act, we made an unregistered issuance of our Class A common stock via exchange of approximately 4.1 million Dutch Bros OpCo Class A common units held by our Co-Founder for shares of our Class A common stock on a one-for-one basis. Such shares of Class A common stock were then reserved for sale directly by our Co-Founder pursuant to a Rule 10b5-1 trading arrangement, and no proceeds were received by the Company.</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Pursuant to Section 3(a)(9) of the Securities Act, on November 15, 2023 and December 18, 2023, we made an unregistered issuance of our Class A common stock via (i) exchange of approximately 4.2 million Dutch Bros OpCo Class A common units and conversion of approximately 1.4 million shares of Dutch Bros Inc. Class D common stock, and (ii) exchange of approximately 1.0 million Dutch Bros OpCo Class A common units and conversion of approximately 0.3 million shares of Dutch Bros Inc. Class D common stock, respectively, held by our Sponsor for shares of our Class A common stock on a one-for-one basis. Such shares of Class A common stock were then sold directly by our Sponsor pursuant to Rule 144 of the Securities Act, and no proceeds were received by the Company.</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6. [RESERVED]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0" w:name="page71"/>
    <w:bookmarkEnd w:id="7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7. MANAGEMENT’S DISCUSSION AND ANALYSIS OF FINANCIAL CONDITION AND RESULTS OF OPERATIONS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i w:val="1"/>
          <w:iCs w:val="1"/>
          <w:color w:val="131E29"/>
        </w:rPr>
        <w:t>You should read the following discussion and analysis of our financial condition and results of operations together with our audited consolidated financial statements and the related notes included elsewhere in this Form 10-K.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10-K for a discussion of important factors that could cause actual results to differ materially from the results described in or implied by the forward-looking statements contained in the following discussion and analysis.</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i w:val="1"/>
          <w:iCs w:val="1"/>
          <w:color w:val="131E29"/>
        </w:rPr>
        <w:t>In addition, statements that “we believe” and similar statements reflect our beliefs and opinions on the relevant subject. These statements are based on information available to us as of the date of this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Further, the section of this “Management’s Discussion and Analysis of Financial Condition and Results of Operations” generally discusses 2023 and 2022 items and year-to-year comparisons between 2023 and 2022. Discussions of 2021 items and year-to-year comparisons between 2022 and 2021 are not included in this Annual Report on Form 10-K and can be found in “Management’s Discussion and Analysis of Financial Condition and Results of Operations” in Part II, Item 7 of our Annual Report on Form 10-K for the fiscal year ended December 31, 2022, filed with the SEC on February 27, 2023.</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Overview and Highlights</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As of December 31, 2023, we had 831 company-operated and franchised shops in 16 states, an increase of approximately 23.8% from the same period in the prior year. For the year ended December 31, 2023, we generated $965.8 million of revenue, $10.0 million net income, and $0.03 income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67310</wp:posOffset>
            </wp:positionV>
            <wp:extent cx="2812415" cy="1744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12415" cy="174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1" w:name="page72"/>
    <w:bookmarkEnd w:id="7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hanging="175"/>
        <w:spacing w:after="0"/>
        <w:tabs>
          <w:tab w:leader="none" w:pos="180" w:val="left"/>
        </w:tabs>
        <w:numPr>
          <w:ilvl w:val="0"/>
          <w:numId w:val="34"/>
        </w:numPr>
        <w:rPr>
          <w:rFonts w:ascii="Arial" w:cs="Arial" w:eastAsia="Arial" w:hAnsi="Arial"/>
          <w:sz w:val="15"/>
          <w:szCs w:val="15"/>
          <w:color w:val="auto"/>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Key Highlights</w:t>
      </w:r>
    </w:p>
    <w:p>
      <w:pPr>
        <w:spacing w:after="0" w:line="133"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In February 2023, welcomed new Dutch Bros President, Christine Barone, who, in January 2024, assumed the role of CEO, in addition to President.</w:t>
      </w:r>
    </w:p>
    <w:p>
      <w:pPr>
        <w:spacing w:after="0" w:line="134"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Opened 146 company-operated shops across multiple new operating areas in the year ended December 31, 2023, bringing total company-operated shops to 65% of our total shops, an increase of approximately 37% over 2022.</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In September 2023, completed the first follow-on offering since our IPO, resulting in net proceeds of approximately $331 million.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Global Events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Inflation and Minimum Wage Increases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Similar to many of our peers in our industry, we continued to experience the effects of elevated commodity costs due to inflation, including in dairy, coffee, fuel, packaging, and continuing legislated minimum wage increases that took effect this year in certain states. We expect these inflationary pressures to continue to affect our operating results in the foreseeable future. For example, California’s minimum wage will increase to $20 per hour beginning in April 2024 for covered employees in our industry. While these pressures have impacted our operating results, we have taken measures over the past year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General Macroeconomic Uncertainties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As a retailer that is dependent upon consumer discretionary spending, our results of operations are sensitive to changes in macroeconomic conditions. A continued economic downturn may have a material adverse effect on our business, financial condition or results of operations. Our customers may have or in the future have less money available for discretionary purchases and may stop or reduce their purchases of our products.</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On a macro level, conditions (including bank failures and other events affecting financial institutions, rising interest rates, and the impacts of the Russia-Ukraine and Israel-Hamas wars)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2" w:name="page73"/>
    <w:bookmarkEnd w:id="7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tables provide our operating results and explanation of changes for the periods presented.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Consolidated Statements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Borders>
              <w:bottom w:val="single" w:sz="8" w:color="auto"/>
            </w:tcBorders>
          </w:tcPr>
          <w:p>
            <w:pPr>
              <w:spacing w:after="0"/>
              <w:rPr>
                <w:sz w:val="17"/>
                <w:szCs w:val="17"/>
                <w:color w:val="auto"/>
              </w:rPr>
            </w:pPr>
          </w:p>
        </w:tc>
      </w:tr>
      <w:tr>
        <w:trPr>
          <w:trHeight w:val="20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6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08"/>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r>
      <w:tr>
        <w:trPr>
          <w:trHeight w:val="202"/>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tcPr>
          <w:p>
            <w:pPr>
              <w:spacing w:after="0"/>
              <w:rPr>
                <w:sz w:val="17"/>
                <w:szCs w:val="17"/>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403,746</w:t>
            </w: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107,837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80" w:type="dxa"/>
            <w:vAlign w:val="bottom"/>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r>
      <w:tr>
        <w:trPr>
          <w:trHeight w:val="193"/>
        </w:trPr>
        <w:tc>
          <w:tcPr>
            <w:tcW w:w="716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497,876</w:t>
            </w:r>
          </w:p>
        </w:tc>
      </w:tr>
      <w:tr>
        <w:trPr>
          <w:trHeight w:val="201"/>
        </w:trPr>
        <w:tc>
          <w:tcPr>
            <w:tcW w:w="700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10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r>
      <w:tr>
        <w:trPr>
          <w:trHeight w:val="202"/>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COSTS AND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714,480</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558,096</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344,573</w:t>
            </w:r>
          </w:p>
        </w:tc>
      </w:tr>
      <w:tr>
        <w:trPr>
          <w:trHeight w:val="202"/>
        </w:trPr>
        <w:tc>
          <w:tcPr>
            <w:tcW w:w="716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264,529</w:t>
            </w:r>
          </w:p>
        </w:tc>
      </w:tr>
      <w:tr>
        <w:trPr>
          <w:trHeight w:val="202"/>
        </w:trPr>
        <w:tc>
          <w:tcPr>
            <w:tcW w:w="716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Total costs and expenses</w:t>
            </w:r>
          </w:p>
        </w:tc>
        <w:tc>
          <w:tcPr>
            <w:tcW w:w="280" w:type="dxa"/>
            <w:vAlign w:val="bottom"/>
            <w:tcBorders>
              <w:bottom w:val="single" w:sz="8" w:color="auto"/>
            </w:tcBorders>
            <w:shd w:val="clear" w:color="auto" w:fill="D2DCE5"/>
          </w:tcPr>
          <w:p>
            <w:pPr>
              <w:spacing w:after="0"/>
              <w:rPr>
                <w:sz w:val="17"/>
                <w:szCs w:val="17"/>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919,554</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741,624</w:t>
            </w:r>
          </w:p>
        </w:tc>
        <w:tc>
          <w:tcPr>
            <w:tcW w:w="80" w:type="dxa"/>
            <w:vAlign w:val="bottom"/>
            <w:shd w:val="clear" w:color="auto" w:fill="D2DCE5"/>
          </w:tcPr>
          <w:p>
            <w:pPr>
              <w:spacing w:after="0"/>
              <w:rPr>
                <w:sz w:val="17"/>
                <w:szCs w:val="17"/>
                <w:color w:val="auto"/>
              </w:rPr>
            </w:pPr>
          </w:p>
        </w:tc>
        <w:tc>
          <w:tcPr>
            <w:tcW w:w="320" w:type="dxa"/>
            <w:vAlign w:val="bottom"/>
            <w:tcBorders>
              <w:bottom w:val="single" w:sz="8" w:color="auto"/>
            </w:tcBorders>
            <w:shd w:val="clear" w:color="auto" w:fill="D2DCE5"/>
          </w:tcPr>
          <w:p>
            <w:pPr>
              <w:spacing w:after="0"/>
              <w:rPr>
                <w:sz w:val="17"/>
                <w:szCs w:val="17"/>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609,102</w:t>
            </w:r>
          </w:p>
        </w:tc>
      </w:tr>
      <w:tr>
        <w:trPr>
          <w:trHeight w:val="201"/>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1"/>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(LOSS) FROM OPERATIONS</w:t>
            </w: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46,222</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(2,612)</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(111,226)</w:t>
            </w:r>
          </w:p>
        </w:tc>
      </w:tr>
      <w:tr>
        <w:trPr>
          <w:trHeight w:val="211"/>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OTHER EXPENSE</w:t>
            </w: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r>
      <w:tr>
        <w:trPr>
          <w:trHeight w:val="202"/>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(7,093)</w:t>
            </w: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 (expense)</w:t>
            </w: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(1,240)</w:t>
            </w:r>
          </w:p>
        </w:tc>
      </w:tr>
      <w:tr>
        <w:trPr>
          <w:trHeight w:val="193"/>
        </w:trPr>
        <w:tc>
          <w:tcPr>
            <w:tcW w:w="716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other expense</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(29,303)</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(14,042)</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(8,333)</w:t>
            </w:r>
          </w:p>
        </w:tc>
      </w:tr>
      <w:tr>
        <w:trPr>
          <w:trHeight w:val="201"/>
        </w:trPr>
        <w:tc>
          <w:tcPr>
            <w:tcW w:w="700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10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r>
      <w:tr>
        <w:trPr>
          <w:trHeight w:val="202"/>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INCOME (LOSS) BEFORE INCOME TAXES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16,919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(16,654)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(119,559)</w:t>
            </w:r>
          </w:p>
        </w:tc>
      </w:tr>
      <w:tr>
        <w:trPr>
          <w:trHeight w:val="221"/>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6,967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2,599</w:t>
            </w:r>
          </w:p>
        </w:tc>
        <w:tc>
          <w:tcPr>
            <w:tcW w:w="80" w:type="dxa"/>
            <w:vAlign w:val="bottom"/>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(1,628)</w:t>
            </w:r>
          </w:p>
        </w:tc>
      </w:tr>
      <w:tr>
        <w:trPr>
          <w:trHeight w:val="192"/>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(117,931)</w:t>
            </w: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loss attributable to Dutch Bros OpCo prior to the Reorganization Transactions</w:t>
            </w:r>
          </w:p>
        </w:tc>
        <w:tc>
          <w:tcPr>
            <w:tcW w:w="280" w:type="dxa"/>
            <w:vAlign w:val="bottom"/>
            <w:shd w:val="clear" w:color="auto" w:fill="D2DCE5"/>
          </w:tcPr>
          <w:p>
            <w:pPr>
              <w:spacing w:after="0"/>
              <w:rPr>
                <w:sz w:val="19"/>
                <w:szCs w:val="19"/>
                <w:color w:val="auto"/>
              </w:rPr>
            </w:pPr>
          </w:p>
        </w:tc>
        <w:tc>
          <w:tcPr>
            <w:tcW w:w="11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9"/>
                <w:szCs w:val="19"/>
                <w:color w:val="auto"/>
              </w:rPr>
            </w:pPr>
          </w:p>
        </w:tc>
        <w:tc>
          <w:tcPr>
            <w:tcW w:w="11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(67,374)</w:t>
            </w:r>
          </w:p>
        </w:tc>
      </w:tr>
      <w:tr>
        <w:trPr>
          <w:trHeight w:val="202"/>
        </w:trPr>
        <w:tc>
          <w:tcPr>
            <w:tcW w:w="716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Less: Net income (loss) attributable to non-controlling interests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8,234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(14,500)</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(37,878)</w:t>
            </w:r>
          </w:p>
        </w:tc>
      </w:tr>
      <w:tr>
        <w:trPr>
          <w:trHeight w:val="236"/>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 ATTRIBUTABLE TO DUTCH BROS INC.</w:t>
            </w:r>
          </w:p>
        </w:tc>
        <w:tc>
          <w:tcPr>
            <w:tcW w:w="28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r>
      <w:tr>
        <w:trPr>
          <w:trHeight w:val="20"/>
        </w:trPr>
        <w:tc>
          <w:tcPr>
            <w:tcW w:w="70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3" w:name="page74"/>
    <w:bookmarkEnd w:id="7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Segment Financials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2800" w:type="dxa"/>
            <w:vAlign w:val="bottom"/>
            <w:tcBorders>
              <w:bottom w:val="single" w:sz="8" w:color="131E29"/>
            </w:tcBorders>
            <w:gridSpan w:val="6"/>
          </w:tcPr>
          <w:p>
            <w:pPr>
              <w:jc w:val="right"/>
              <w:ind w:right="110"/>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2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000" w:type="dxa"/>
            <w:vAlign w:val="bottom"/>
            <w:tcBorders>
              <w:bottom w:val="single" w:sz="8" w:color="131E29"/>
            </w:tcBorders>
          </w:tcPr>
          <w:p>
            <w:pPr>
              <w:jc w:val="right"/>
              <w:ind w:right="430"/>
              <w:spacing w:after="0"/>
              <w:rPr>
                <w:sz w:val="20"/>
                <w:szCs w:val="20"/>
                <w:color w:val="auto"/>
              </w:rPr>
            </w:pPr>
            <w:r>
              <w:rPr>
                <w:rFonts w:ascii="Arial" w:cs="Arial" w:eastAsia="Arial" w:hAnsi="Arial"/>
                <w:sz w:val="14"/>
                <w:szCs w:val="14"/>
                <w:b w:val="1"/>
                <w:bCs w:val="1"/>
                <w:color w:val="131E29"/>
              </w:rPr>
              <w:t>2021</w:t>
            </w:r>
          </w:p>
        </w:tc>
        <w:tc>
          <w:tcPr>
            <w:tcW w:w="0" w:type="dxa"/>
            <w:vAlign w:val="bottom"/>
          </w:tcPr>
          <w:p>
            <w:pPr>
              <w:spacing w:after="0"/>
              <w:rPr>
                <w:sz w:val="1"/>
                <w:szCs w:val="1"/>
                <w:color w:val="auto"/>
              </w:rPr>
            </w:pPr>
          </w:p>
        </w:tc>
      </w:tr>
      <w:tr>
        <w:trPr>
          <w:trHeight w:val="208"/>
        </w:trPr>
        <w:tc>
          <w:tcPr>
            <w:tcW w:w="71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tcPr>
          <w:p>
            <w:pPr>
              <w:spacing w:after="0"/>
              <w:rPr>
                <w:sz w:val="17"/>
                <w:szCs w:val="17"/>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639,710</w:t>
            </w:r>
          </w:p>
        </w:tc>
        <w:tc>
          <w:tcPr>
            <w:tcW w:w="100" w:type="dxa"/>
            <w:vAlign w:val="bottom"/>
          </w:tcPr>
          <w:p>
            <w:pPr>
              <w:spacing w:after="0"/>
              <w:rPr>
                <w:sz w:val="17"/>
                <w:szCs w:val="17"/>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403,746</w:t>
            </w:r>
          </w:p>
        </w:tc>
        <w:tc>
          <w:tcPr>
            <w:tcW w:w="0" w:type="dxa"/>
            <w:vAlign w:val="bottom"/>
          </w:tcPr>
          <w:p>
            <w:pPr>
              <w:spacing w:after="0"/>
              <w:rPr>
                <w:sz w:val="1"/>
                <w:szCs w:val="1"/>
                <w:color w:val="auto"/>
              </w:rPr>
            </w:pPr>
          </w:p>
        </w:tc>
      </w:tr>
      <w:tr>
        <w:trPr>
          <w:trHeight w:val="221"/>
        </w:trPr>
        <w:tc>
          <w:tcPr>
            <w:tcW w:w="71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107,837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100" w:type="dxa"/>
            <w:vAlign w:val="bottom"/>
            <w:tcBorders>
              <w:bottom w:val="single" w:sz="8" w:color="auto"/>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497,876</w:t>
            </w:r>
          </w:p>
        </w:tc>
        <w:tc>
          <w:tcPr>
            <w:tcW w:w="0" w:type="dxa"/>
            <w:vAlign w:val="bottom"/>
          </w:tcPr>
          <w:p>
            <w:pPr>
              <w:spacing w:after="0"/>
              <w:rPr>
                <w:sz w:val="1"/>
                <w:szCs w:val="1"/>
                <w:color w:val="auto"/>
              </w:rPr>
            </w:pPr>
          </w:p>
        </w:tc>
      </w:tr>
      <w:tr>
        <w:trPr>
          <w:trHeight w:val="201"/>
        </w:trPr>
        <w:tc>
          <w:tcPr>
            <w:tcW w:w="71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677,704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518,383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317,045</w:t>
            </w:r>
          </w:p>
        </w:tc>
        <w:tc>
          <w:tcPr>
            <w:tcW w:w="0" w:type="dxa"/>
            <w:vAlign w:val="bottom"/>
          </w:tcPr>
          <w:p>
            <w:pPr>
              <w:spacing w:after="0"/>
              <w:rPr>
                <w:sz w:val="1"/>
                <w:szCs w:val="1"/>
                <w:color w:val="auto"/>
              </w:rPr>
            </w:pPr>
          </w:p>
        </w:tc>
      </w:tr>
      <w:tr>
        <w:trPr>
          <w:trHeight w:val="221"/>
        </w:trPr>
        <w:tc>
          <w:tcPr>
            <w:tcW w:w="71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36,776</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39,713</w:t>
            </w:r>
          </w:p>
        </w:tc>
        <w:tc>
          <w:tcPr>
            <w:tcW w:w="100" w:type="dxa"/>
            <w:vAlign w:val="bottom"/>
            <w:tcBorders>
              <w:bottom w:val="single" w:sz="8" w:color="auto"/>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27,528</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cost of sales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714,480</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558,096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344,573</w:t>
            </w:r>
          </w:p>
        </w:tc>
        <w:tc>
          <w:tcPr>
            <w:tcW w:w="0" w:type="dxa"/>
            <w:vAlign w:val="bottom"/>
          </w:tcPr>
          <w:p>
            <w:pPr>
              <w:spacing w:after="0"/>
              <w:rPr>
                <w:sz w:val="1"/>
                <w:szCs w:val="1"/>
                <w:color w:val="auto"/>
              </w:rPr>
            </w:pPr>
          </w:p>
        </w:tc>
      </w:tr>
      <w:tr>
        <w:trPr>
          <w:trHeight w:val="201"/>
        </w:trPr>
        <w:tc>
          <w:tcPr>
            <w:tcW w:w="71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Segment gross profit:</w:t>
            </w: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180,235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121,327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86,701</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71,061</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59,589</w:t>
            </w:r>
          </w:p>
        </w:tc>
        <w:tc>
          <w:tcPr>
            <w:tcW w:w="100" w:type="dxa"/>
            <w:vAlign w:val="bottom"/>
            <w:tcBorders>
              <w:bottom w:val="single" w:sz="8" w:color="auto"/>
            </w:tcBorders>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66,602</w:t>
            </w:r>
          </w:p>
        </w:tc>
        <w:tc>
          <w:tcPr>
            <w:tcW w:w="0" w:type="dxa"/>
            <w:vAlign w:val="bottom"/>
          </w:tcPr>
          <w:p>
            <w:pPr>
              <w:spacing w:after="0"/>
              <w:rPr>
                <w:sz w:val="1"/>
                <w:szCs w:val="1"/>
                <w:color w:val="auto"/>
              </w:rPr>
            </w:pPr>
          </w:p>
        </w:tc>
      </w:tr>
      <w:tr>
        <w:trPr>
          <w:trHeight w:val="211"/>
        </w:trPr>
        <w:tc>
          <w:tcPr>
            <w:tcW w:w="7180" w:type="dxa"/>
            <w:vAlign w:val="bottom"/>
            <w:gridSpan w:val="2"/>
          </w:tcPr>
          <w:p>
            <w:pPr>
              <w:ind w:left="280"/>
              <w:spacing w:after="0"/>
              <w:rPr>
                <w:sz w:val="20"/>
                <w:szCs w:val="20"/>
                <w:color w:val="auto"/>
              </w:rPr>
            </w:pPr>
            <w:r>
              <w:rPr>
                <w:rFonts w:ascii="Arial" w:cs="Arial" w:eastAsia="Arial" w:hAnsi="Arial"/>
                <w:sz w:val="14"/>
                <w:szCs w:val="14"/>
                <w:color w:val="131E29"/>
              </w:rPr>
              <w:t>Total gross profit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251,296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180,916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153,303</w:t>
            </w:r>
          </w:p>
        </w:tc>
        <w:tc>
          <w:tcPr>
            <w:tcW w:w="0" w:type="dxa"/>
            <w:vAlign w:val="bottom"/>
          </w:tcPr>
          <w:p>
            <w:pPr>
              <w:spacing w:after="0"/>
              <w:rPr>
                <w:sz w:val="1"/>
                <w:szCs w:val="1"/>
                <w:color w:val="auto"/>
              </w:rPr>
            </w:pPr>
          </w:p>
        </w:tc>
      </w:tr>
      <w:tr>
        <w:trPr>
          <w:trHeight w:val="20"/>
        </w:trPr>
        <w:tc>
          <w:tcPr>
            <w:tcW w:w="69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62,088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36,306</w:t>
            </w:r>
          </w:p>
        </w:tc>
        <w:tc>
          <w:tcPr>
            <w:tcW w:w="100" w:type="dxa"/>
            <w:vAlign w:val="bottom"/>
          </w:tcPr>
          <w:p>
            <w:pPr>
              <w:spacing w:after="0"/>
              <w:rPr>
                <w:sz w:val="17"/>
                <w:szCs w:val="17"/>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16,291</w:t>
            </w:r>
          </w:p>
        </w:tc>
        <w:tc>
          <w:tcPr>
            <w:tcW w:w="0" w:type="dxa"/>
            <w:vAlign w:val="bottom"/>
          </w:tcPr>
          <w:p>
            <w:pPr>
              <w:spacing w:after="0"/>
              <w:rPr>
                <w:sz w:val="1"/>
                <w:szCs w:val="1"/>
                <w:color w:val="auto"/>
              </w:rPr>
            </w:pPr>
          </w:p>
        </w:tc>
      </w:tr>
      <w:tr>
        <w:trPr>
          <w:trHeight w:val="221"/>
        </w:trPr>
        <w:tc>
          <w:tcPr>
            <w:tcW w:w="71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5,398</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5,706</w:t>
            </w: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6,263</w:t>
            </w:r>
          </w:p>
        </w:tc>
        <w:tc>
          <w:tcPr>
            <w:tcW w:w="0" w:type="dxa"/>
            <w:vAlign w:val="bottom"/>
          </w:tcPr>
          <w:p>
            <w:pPr>
              <w:spacing w:after="0"/>
              <w:rPr>
                <w:sz w:val="1"/>
                <w:szCs w:val="1"/>
                <w:color w:val="auto"/>
              </w:rPr>
            </w:pPr>
          </w:p>
        </w:tc>
      </w:tr>
      <w:tr>
        <w:trPr>
          <w:trHeight w:val="202"/>
        </w:trPr>
        <w:tc>
          <w:tcPr>
            <w:tcW w:w="718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All other ¹</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1,649</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2,716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2,663</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depreciation and amortization</w:t>
            </w: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69,135</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44,728</w:t>
            </w:r>
          </w:p>
        </w:tc>
        <w:tc>
          <w:tcPr>
            <w:tcW w:w="100" w:type="dxa"/>
            <w:vAlign w:val="bottom"/>
            <w:tcBorders>
              <w:bottom w:val="single" w:sz="8" w:color="auto"/>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25,217</w:t>
            </w:r>
          </w:p>
        </w:tc>
        <w:tc>
          <w:tcPr>
            <w:tcW w:w="0" w:type="dxa"/>
            <w:vAlign w:val="bottom"/>
          </w:tcPr>
          <w:p>
            <w:pPr>
              <w:spacing w:after="0"/>
              <w:rPr>
                <w:sz w:val="1"/>
                <w:szCs w:val="1"/>
                <w:color w:val="auto"/>
              </w:rPr>
            </w:pPr>
          </w:p>
        </w:tc>
      </w:tr>
      <w:tr>
        <w:trPr>
          <w:trHeight w:val="20"/>
        </w:trPr>
        <w:tc>
          <w:tcPr>
            <w:tcW w:w="71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Segment contribution:</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71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242,323</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102,992</w:t>
            </w:r>
          </w:p>
        </w:tc>
        <w:tc>
          <w:tcPr>
            <w:tcW w:w="0" w:type="dxa"/>
            <w:vAlign w:val="bottom"/>
          </w:tcPr>
          <w:p>
            <w:pPr>
              <w:spacing w:after="0"/>
              <w:rPr>
                <w:sz w:val="1"/>
                <w:szCs w:val="1"/>
                <w:color w:val="auto"/>
              </w:rPr>
            </w:pPr>
          </w:p>
        </w:tc>
      </w:tr>
      <w:tr>
        <w:trPr>
          <w:trHeight w:val="202"/>
        </w:trPr>
        <w:tc>
          <w:tcPr>
            <w:tcW w:w="718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76,459</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65,295</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72,865</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segment contribution</w:t>
            </w: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318,782</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222,928</w:t>
            </w: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175,857</w:t>
            </w:r>
          </w:p>
        </w:tc>
        <w:tc>
          <w:tcPr>
            <w:tcW w:w="0" w:type="dxa"/>
            <w:vAlign w:val="bottom"/>
          </w:tcPr>
          <w:p>
            <w:pPr>
              <w:spacing w:after="0"/>
              <w:rPr>
                <w:sz w:val="1"/>
                <w:szCs w:val="1"/>
                <w:color w:val="auto"/>
              </w:rPr>
            </w:pPr>
          </w:p>
        </w:tc>
      </w:tr>
      <w:tr>
        <w:trPr>
          <w:trHeight w:val="20"/>
        </w:trPr>
        <w:tc>
          <w:tcPr>
            <w:tcW w:w="71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Selling, general and administrative</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(183,528)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(264,529)</w:t>
            </w:r>
          </w:p>
        </w:tc>
        <w:tc>
          <w:tcPr>
            <w:tcW w:w="0" w:type="dxa"/>
            <w:vAlign w:val="bottom"/>
          </w:tcPr>
          <w:p>
            <w:pPr>
              <w:spacing w:after="0"/>
              <w:rPr>
                <w:sz w:val="1"/>
                <w:szCs w:val="1"/>
                <w:color w:val="auto"/>
              </w:rPr>
            </w:pPr>
          </w:p>
        </w:tc>
      </w:tr>
      <w:tr>
        <w:trPr>
          <w:trHeight w:val="221"/>
        </w:trPr>
        <w:tc>
          <w:tcPr>
            <w:tcW w:w="71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(7,093)</w:t>
            </w:r>
          </w:p>
        </w:tc>
        <w:tc>
          <w:tcPr>
            <w:tcW w:w="0" w:type="dxa"/>
            <w:vAlign w:val="bottom"/>
          </w:tcPr>
          <w:p>
            <w:pPr>
              <w:spacing w:after="0"/>
              <w:rPr>
                <w:sz w:val="1"/>
                <w:szCs w:val="1"/>
                <w:color w:val="auto"/>
              </w:rPr>
            </w:pPr>
          </w:p>
        </w:tc>
      </w:tr>
      <w:tr>
        <w:trPr>
          <w:trHeight w:val="202"/>
        </w:trPr>
        <w:tc>
          <w:tcPr>
            <w:tcW w:w="71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income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3,976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(1,240)</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(loss) before income taxes</w:t>
            </w: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16,919</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(16,654)</w:t>
            </w: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(119,559)</w:t>
            </w:r>
          </w:p>
        </w:tc>
        <w:tc>
          <w:tcPr>
            <w:tcW w:w="0" w:type="dxa"/>
            <w:vAlign w:val="bottom"/>
          </w:tcPr>
          <w:p>
            <w:pPr>
              <w:spacing w:after="0"/>
              <w:rPr>
                <w:sz w:val="1"/>
                <w:szCs w:val="1"/>
                <w:color w:val="auto"/>
              </w:rPr>
            </w:pPr>
          </w:p>
        </w:tc>
      </w:tr>
      <w:tr>
        <w:trPr>
          <w:trHeight w:val="20"/>
        </w:trPr>
        <w:tc>
          <w:tcPr>
            <w:tcW w:w="69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w:t>
      </w:r>
    </w:p>
    <w:p>
      <w:pPr>
        <w:spacing w:after="0" w:line="130" w:lineRule="exact"/>
        <w:rPr>
          <w:sz w:val="20"/>
          <w:szCs w:val="20"/>
          <w:color w:val="auto"/>
        </w:rPr>
      </w:pPr>
    </w:p>
    <w:p>
      <w:pPr>
        <w:ind w:left="60" w:hanging="55"/>
        <w:spacing w:after="0"/>
        <w:tabs>
          <w:tab w:leader="none" w:pos="60" w:val="left"/>
        </w:tabs>
        <w:numPr>
          <w:ilvl w:val="0"/>
          <w:numId w:val="36"/>
        </w:numPr>
        <w:rPr>
          <w:rFonts w:ascii="Arial" w:cs="Arial" w:eastAsia="Arial" w:hAnsi="Arial"/>
          <w:sz w:val="14"/>
          <w:szCs w:val="14"/>
          <w:color w:val="auto"/>
          <w:vertAlign w:val="superscript"/>
        </w:rPr>
      </w:pPr>
      <w:r>
        <w:rPr>
          <w:rFonts w:ascii="Arial" w:cs="Arial" w:eastAsia="Arial" w:hAnsi="Arial"/>
          <w:sz w:val="10"/>
          <w:szCs w:val="10"/>
          <w:color w:val="auto"/>
        </w:rPr>
        <w:t>I</w:t>
      </w:r>
      <w:r>
        <w:rPr>
          <w:rFonts w:ascii="Arial" w:cs="Arial" w:eastAsia="Arial" w:hAnsi="Arial"/>
          <w:sz w:val="10"/>
          <w:szCs w:val="10"/>
          <w:color w:val="131E29"/>
        </w:rPr>
        <w:t>ncluded in selling, general and administrative expenses and not part of segment contribution calculation.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4" w:name="page75"/>
    <w:bookmarkEnd w:id="7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Key Performance Indicators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key performance indicators (KPIs) that we use to effectively manage and evaluate our business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131E29"/>
              </w:rPr>
              <w:t>Year Ended December 31,</w:t>
            </w:r>
          </w:p>
        </w:tc>
        <w:tc>
          <w:tcPr>
            <w:tcW w:w="1100" w:type="dxa"/>
            <w:vAlign w:val="bottom"/>
            <w:tcBorders>
              <w:bottom w:val="single" w:sz="8" w:color="auto"/>
            </w:tcBorders>
          </w:tcPr>
          <w:p>
            <w:pPr>
              <w:spacing w:after="0"/>
              <w:rPr>
                <w:sz w:val="17"/>
                <w:szCs w:val="17"/>
                <w:color w:val="auto"/>
              </w:rPr>
            </w:pPr>
          </w:p>
        </w:tc>
      </w:tr>
      <w:tr>
        <w:trPr>
          <w:trHeight w:val="20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shop count data; unaudited)</w:t>
            </w: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131E29"/>
              </w:rPr>
              <w:t>2023</w:t>
            </w:r>
          </w:p>
        </w:tc>
        <w:tc>
          <w:tcPr>
            <w:tcW w:w="14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100" w:type="dxa"/>
            <w:vAlign w:val="bottom"/>
            <w:tcBorders>
              <w:bottom w:val="single" w:sz="8" w:color="131E29"/>
            </w:tcBorders>
          </w:tcPr>
          <w:p>
            <w:pPr>
              <w:jc w:val="right"/>
              <w:ind w:right="470"/>
              <w:spacing w:after="0"/>
              <w:rPr>
                <w:sz w:val="20"/>
                <w:szCs w:val="20"/>
                <w:color w:val="auto"/>
              </w:rPr>
            </w:pPr>
            <w:r>
              <w:rPr>
                <w:rFonts w:ascii="Arial" w:cs="Arial" w:eastAsia="Arial" w:hAnsi="Arial"/>
                <w:sz w:val="14"/>
                <w:szCs w:val="14"/>
                <w:b w:val="1"/>
                <w:bCs w:val="1"/>
                <w:color w:val="131E29"/>
              </w:rPr>
              <w:t>2021</w:t>
            </w:r>
          </w:p>
        </w:tc>
      </w:tr>
      <w:tr>
        <w:trPr>
          <w:trHeight w:val="208"/>
        </w:trPr>
        <w:tc>
          <w:tcPr>
            <w:tcW w:w="68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Shop count, beginning of period</w:t>
            </w: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r>
      <w:tr>
        <w:trPr>
          <w:trHeight w:val="202"/>
        </w:trPr>
        <w:tc>
          <w:tcPr>
            <w:tcW w:w="680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396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271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182</w:t>
            </w:r>
          </w:p>
        </w:tc>
      </w:tr>
      <w:tr>
        <w:trPr>
          <w:trHeight w:val="212"/>
        </w:trPr>
        <w:tc>
          <w:tcPr>
            <w:tcW w:w="68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320" w:type="dxa"/>
            <w:vAlign w:val="bottom"/>
            <w:tcBorders>
              <w:bottom w:val="single" w:sz="8" w:color="auto"/>
            </w:tcBorders>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275</w:t>
            </w:r>
          </w:p>
        </w:tc>
        <w:tc>
          <w:tcPr>
            <w:tcW w:w="14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267</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259</w:t>
            </w:r>
          </w:p>
        </w:tc>
      </w:tr>
      <w:tr>
        <w:trPr>
          <w:trHeight w:val="211"/>
        </w:trPr>
        <w:tc>
          <w:tcPr>
            <w:tcW w:w="6800" w:type="dxa"/>
            <w:vAlign w:val="bottom"/>
            <w:gridSpan w:val="2"/>
          </w:tcPr>
          <w:p>
            <w:pPr>
              <w:ind w:left="400"/>
              <w:spacing w:after="0"/>
              <w:rPr>
                <w:sz w:val="20"/>
                <w:szCs w:val="20"/>
                <w:color w:val="auto"/>
              </w:rPr>
            </w:pPr>
            <w:r>
              <w:rPr>
                <w:rFonts w:ascii="Arial" w:cs="Arial" w:eastAsia="Arial" w:hAnsi="Arial"/>
                <w:sz w:val="14"/>
                <w:szCs w:val="14"/>
                <w:color w:val="131E29"/>
              </w:rPr>
              <w:t>Total shop count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rPr>
              <w:t>671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rPr>
              <w:t>538</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rPr>
              <w:t>441</w:t>
            </w:r>
          </w:p>
        </w:tc>
      </w:tr>
      <w:tr>
        <w:trPr>
          <w:trHeight w:val="20"/>
        </w:trPr>
        <w:tc>
          <w:tcPr>
            <w:tcW w:w="67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8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new openings</w:t>
            </w:r>
          </w:p>
        </w:tc>
        <w:tc>
          <w:tcPr>
            <w:tcW w:w="320" w:type="dxa"/>
            <w:vAlign w:val="bottom"/>
            <w:shd w:val="clear" w:color="auto" w:fill="D2DCE5"/>
          </w:tcPr>
          <w:p>
            <w:pPr>
              <w:spacing w:after="0"/>
              <w:rPr>
                <w:sz w:val="16"/>
                <w:szCs w:val="16"/>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146</w:t>
            </w:r>
          </w:p>
        </w:tc>
        <w:tc>
          <w:tcPr>
            <w:tcW w:w="14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120</w:t>
            </w: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82</w:t>
            </w:r>
          </w:p>
        </w:tc>
      </w:tr>
      <w:tr>
        <w:trPr>
          <w:trHeight w:val="202"/>
        </w:trPr>
        <w:tc>
          <w:tcPr>
            <w:tcW w:w="6800" w:type="dxa"/>
            <w:vAlign w:val="bottom"/>
            <w:gridSpan w:val="2"/>
          </w:tcPr>
          <w:p>
            <w:pPr>
              <w:ind w:left="20"/>
              <w:spacing w:after="0"/>
              <w:rPr>
                <w:sz w:val="20"/>
                <w:szCs w:val="20"/>
                <w:color w:val="auto"/>
              </w:rPr>
            </w:pPr>
            <w:r>
              <w:rPr>
                <w:rFonts w:ascii="Arial" w:cs="Arial" w:eastAsia="Arial" w:hAnsi="Arial"/>
                <w:sz w:val="14"/>
                <w:szCs w:val="14"/>
                <w:color w:val="131E29"/>
              </w:rPr>
              <w:t>Franchised new openings</w:t>
            </w: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16</w:t>
            </w:r>
          </w:p>
        </w:tc>
      </w:tr>
      <w:tr>
        <w:trPr>
          <w:trHeight w:val="221"/>
        </w:trPr>
        <w:tc>
          <w:tcPr>
            <w:tcW w:w="68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Acquisition of franchise shops</w:t>
            </w:r>
          </w:p>
        </w:tc>
        <w:tc>
          <w:tcPr>
            <w:tcW w:w="320" w:type="dxa"/>
            <w:vAlign w:val="bottom"/>
            <w:shd w:val="clear" w:color="auto" w:fill="D2DCE5"/>
          </w:tcPr>
          <w:p>
            <w:pPr>
              <w:spacing w:after="0"/>
              <w:rPr>
                <w:sz w:val="19"/>
                <w:szCs w:val="19"/>
                <w:color w:val="auto"/>
              </w:rPr>
            </w:pPr>
          </w:p>
        </w:tc>
        <w:tc>
          <w:tcPr>
            <w:tcW w:w="1240" w:type="dxa"/>
            <w:vAlign w:val="bottom"/>
            <w:gridSpan w:val="2"/>
            <w:shd w:val="clear" w:color="auto" w:fill="D2DCE5"/>
          </w:tcPr>
          <w:p>
            <w:pPr>
              <w:jc w:val="right"/>
              <w:ind w:right="2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9"/>
                <w:szCs w:val="19"/>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5</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7</w:t>
            </w:r>
          </w:p>
        </w:tc>
      </w:tr>
      <w:tr>
        <w:trPr>
          <w:trHeight w:val="211"/>
        </w:trPr>
        <w:tc>
          <w:tcPr>
            <w:tcW w:w="6800" w:type="dxa"/>
            <w:vAlign w:val="bottom"/>
            <w:gridSpan w:val="2"/>
          </w:tcPr>
          <w:p>
            <w:pPr>
              <w:ind w:left="20"/>
              <w:spacing w:after="0"/>
              <w:rPr>
                <w:sz w:val="20"/>
                <w:szCs w:val="20"/>
                <w:color w:val="auto"/>
              </w:rPr>
            </w:pPr>
            <w:r>
              <w:rPr>
                <w:rFonts w:ascii="Arial" w:cs="Arial" w:eastAsia="Arial" w:hAnsi="Arial"/>
                <w:sz w:val="14"/>
                <w:szCs w:val="14"/>
                <w:color w:val="131E29"/>
              </w:rPr>
              <w:t xml:space="preserve">Re-openings / (Closures) </w:t>
            </w:r>
            <w:r>
              <w:rPr>
                <w:rFonts w:ascii="Arial" w:cs="Arial" w:eastAsia="Arial" w:hAnsi="Arial"/>
                <w:sz w:val="18"/>
                <w:szCs w:val="18"/>
                <w:color w:val="131E29"/>
                <w:vertAlign w:val="superscript"/>
              </w:rPr>
              <w:t>1</w:t>
            </w:r>
          </w:p>
        </w:tc>
        <w:tc>
          <w:tcPr>
            <w:tcW w:w="3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w:t>
            </w:r>
          </w:p>
        </w:tc>
      </w:tr>
      <w:tr>
        <w:trPr>
          <w:trHeight w:val="191"/>
        </w:trPr>
        <w:tc>
          <w:tcPr>
            <w:tcW w:w="6800" w:type="dxa"/>
            <w:vAlign w:val="bottom"/>
            <w:tcBorders>
              <w:top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Shop count, end of period</w:t>
            </w:r>
          </w:p>
        </w:tc>
        <w:tc>
          <w:tcPr>
            <w:tcW w:w="320" w:type="dxa"/>
            <w:vAlign w:val="bottom"/>
            <w:tcBorders>
              <w:top w:val="single" w:sz="8" w:color="auto"/>
            </w:tcBorders>
            <w:shd w:val="clear" w:color="auto" w:fill="D2DCE5"/>
          </w:tcPr>
          <w:p>
            <w:pPr>
              <w:spacing w:after="0"/>
              <w:rPr>
                <w:sz w:val="16"/>
                <w:szCs w:val="16"/>
                <w:color w:val="auto"/>
              </w:rPr>
            </w:pPr>
          </w:p>
        </w:tc>
        <w:tc>
          <w:tcPr>
            <w:tcW w:w="1100" w:type="dxa"/>
            <w:vAlign w:val="bottom"/>
            <w:tcBorders>
              <w:top w:val="single" w:sz="8" w:color="auto"/>
            </w:tcBorders>
            <w:shd w:val="clear" w:color="auto" w:fill="D2DCE5"/>
          </w:tcPr>
          <w:p>
            <w:pPr>
              <w:spacing w:after="0"/>
              <w:rPr>
                <w:sz w:val="16"/>
                <w:szCs w:val="16"/>
                <w:color w:val="auto"/>
              </w:rPr>
            </w:pPr>
          </w:p>
        </w:tc>
        <w:tc>
          <w:tcPr>
            <w:tcW w:w="140" w:type="dxa"/>
            <w:vAlign w:val="bottom"/>
            <w:tcBorders>
              <w:top w:val="single" w:sz="8" w:color="D2DCE5"/>
            </w:tcBorders>
            <w:shd w:val="clear" w:color="auto" w:fill="D2DCE5"/>
          </w:tcPr>
          <w:p>
            <w:pPr>
              <w:spacing w:after="0"/>
              <w:rPr>
                <w:sz w:val="16"/>
                <w:szCs w:val="16"/>
                <w:color w:val="auto"/>
              </w:rPr>
            </w:pPr>
          </w:p>
        </w:tc>
        <w:tc>
          <w:tcPr>
            <w:tcW w:w="320" w:type="dxa"/>
            <w:vAlign w:val="bottom"/>
            <w:tcBorders>
              <w:top w:val="single" w:sz="8" w:color="auto"/>
            </w:tcBorders>
            <w:shd w:val="clear" w:color="auto" w:fill="D2DCE5"/>
          </w:tcPr>
          <w:p>
            <w:pPr>
              <w:spacing w:after="0"/>
              <w:rPr>
                <w:sz w:val="16"/>
                <w:szCs w:val="16"/>
                <w:color w:val="auto"/>
              </w:rPr>
            </w:pPr>
          </w:p>
        </w:tc>
        <w:tc>
          <w:tcPr>
            <w:tcW w:w="1100" w:type="dxa"/>
            <w:vAlign w:val="bottom"/>
            <w:tcBorders>
              <w:top w:val="single" w:sz="8" w:color="auto"/>
            </w:tcBorders>
            <w:shd w:val="clear" w:color="auto" w:fill="D2DCE5"/>
          </w:tcPr>
          <w:p>
            <w:pPr>
              <w:spacing w:after="0"/>
              <w:rPr>
                <w:sz w:val="16"/>
                <w:szCs w:val="16"/>
                <w:color w:val="auto"/>
              </w:rPr>
            </w:pPr>
          </w:p>
        </w:tc>
        <w:tc>
          <w:tcPr>
            <w:tcW w:w="80" w:type="dxa"/>
            <w:vAlign w:val="bottom"/>
            <w:tcBorders>
              <w:top w:val="single" w:sz="8" w:color="D2DCE5"/>
            </w:tcBorders>
            <w:shd w:val="clear" w:color="auto" w:fill="D2DCE5"/>
          </w:tcPr>
          <w:p>
            <w:pPr>
              <w:spacing w:after="0"/>
              <w:rPr>
                <w:sz w:val="16"/>
                <w:szCs w:val="16"/>
                <w:color w:val="auto"/>
              </w:rPr>
            </w:pPr>
          </w:p>
        </w:tc>
        <w:tc>
          <w:tcPr>
            <w:tcW w:w="320" w:type="dxa"/>
            <w:vAlign w:val="bottom"/>
            <w:tcBorders>
              <w:top w:val="single" w:sz="8" w:color="auto"/>
            </w:tcBorders>
            <w:shd w:val="clear" w:color="auto" w:fill="D2DCE5"/>
          </w:tcPr>
          <w:p>
            <w:pPr>
              <w:spacing w:after="0"/>
              <w:rPr>
                <w:sz w:val="16"/>
                <w:szCs w:val="16"/>
                <w:color w:val="auto"/>
              </w:rPr>
            </w:pPr>
          </w:p>
        </w:tc>
        <w:tc>
          <w:tcPr>
            <w:tcW w:w="1100" w:type="dxa"/>
            <w:vAlign w:val="bottom"/>
            <w:tcBorders>
              <w:top w:val="single" w:sz="8" w:color="auto"/>
            </w:tcBorders>
            <w:shd w:val="clear" w:color="auto" w:fill="D2DCE5"/>
          </w:tcPr>
          <w:p>
            <w:pPr>
              <w:spacing w:after="0"/>
              <w:rPr>
                <w:sz w:val="16"/>
                <w:szCs w:val="16"/>
                <w:color w:val="auto"/>
              </w:rPr>
            </w:pPr>
          </w:p>
        </w:tc>
      </w:tr>
      <w:tr>
        <w:trPr>
          <w:trHeight w:val="202"/>
        </w:trPr>
        <w:tc>
          <w:tcPr>
            <w:tcW w:w="680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542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396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271</w:t>
            </w:r>
          </w:p>
        </w:tc>
      </w:tr>
      <w:tr>
        <w:trPr>
          <w:trHeight w:val="212"/>
        </w:trPr>
        <w:tc>
          <w:tcPr>
            <w:tcW w:w="68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320" w:type="dxa"/>
            <w:vAlign w:val="bottom"/>
            <w:tcBorders>
              <w:bottom w:val="single" w:sz="8" w:color="auto"/>
            </w:tcBorders>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289</w:t>
            </w:r>
          </w:p>
        </w:tc>
        <w:tc>
          <w:tcPr>
            <w:tcW w:w="14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275</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267</w:t>
            </w:r>
          </w:p>
        </w:tc>
      </w:tr>
      <w:tr>
        <w:trPr>
          <w:trHeight w:val="211"/>
        </w:trPr>
        <w:tc>
          <w:tcPr>
            <w:tcW w:w="6800" w:type="dxa"/>
            <w:vAlign w:val="bottom"/>
            <w:gridSpan w:val="2"/>
          </w:tcPr>
          <w:p>
            <w:pPr>
              <w:ind w:left="400"/>
              <w:spacing w:after="0"/>
              <w:rPr>
                <w:sz w:val="20"/>
                <w:szCs w:val="20"/>
                <w:color w:val="auto"/>
              </w:rPr>
            </w:pPr>
            <w:r>
              <w:rPr>
                <w:rFonts w:ascii="Arial" w:cs="Arial" w:eastAsia="Arial" w:hAnsi="Arial"/>
                <w:sz w:val="14"/>
                <w:szCs w:val="14"/>
                <w:color w:val="131E29"/>
              </w:rPr>
              <w:t>Total shop count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rPr>
              <w:t>831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rPr>
              <w:t>671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rPr>
              <w:t>538</w:t>
            </w:r>
          </w:p>
        </w:tc>
      </w:tr>
      <w:tr>
        <w:trPr>
          <w:trHeight w:val="20"/>
        </w:trPr>
        <w:tc>
          <w:tcPr>
            <w:tcW w:w="67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
        </w:trPr>
        <w:tc>
          <w:tcPr>
            <w:tcW w:w="6700" w:type="dxa"/>
            <w:vAlign w:val="bottom"/>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320" w:type="dxa"/>
            <w:vAlign w:val="bottom"/>
            <w:shd w:val="clear" w:color="auto" w:fill="D2DCE5"/>
          </w:tcPr>
          <w:p>
            <w:pPr>
              <w:spacing w:after="0"/>
              <w:rPr>
                <w:sz w:val="7"/>
                <w:szCs w:val="7"/>
                <w:color w:val="auto"/>
              </w:rPr>
            </w:pPr>
          </w:p>
        </w:tc>
        <w:tc>
          <w:tcPr>
            <w:tcW w:w="1100" w:type="dxa"/>
            <w:vAlign w:val="bottom"/>
            <w:shd w:val="clear" w:color="auto" w:fill="D2DCE5"/>
          </w:tcPr>
          <w:p>
            <w:pPr>
              <w:spacing w:after="0"/>
              <w:rPr>
                <w:sz w:val="7"/>
                <w:szCs w:val="7"/>
                <w:color w:val="auto"/>
              </w:rPr>
            </w:pPr>
          </w:p>
        </w:tc>
        <w:tc>
          <w:tcPr>
            <w:tcW w:w="140" w:type="dxa"/>
            <w:vAlign w:val="bottom"/>
            <w:shd w:val="clear" w:color="auto" w:fill="D2DCE5"/>
          </w:tcPr>
          <w:p>
            <w:pPr>
              <w:spacing w:after="0"/>
              <w:rPr>
                <w:sz w:val="7"/>
                <w:szCs w:val="7"/>
                <w:color w:val="auto"/>
              </w:rPr>
            </w:pPr>
          </w:p>
        </w:tc>
        <w:tc>
          <w:tcPr>
            <w:tcW w:w="320" w:type="dxa"/>
            <w:vAlign w:val="bottom"/>
            <w:shd w:val="clear" w:color="auto" w:fill="D2DCE5"/>
          </w:tcPr>
          <w:p>
            <w:pPr>
              <w:spacing w:after="0"/>
              <w:rPr>
                <w:sz w:val="7"/>
                <w:szCs w:val="7"/>
                <w:color w:val="auto"/>
              </w:rPr>
            </w:pPr>
          </w:p>
        </w:tc>
        <w:tc>
          <w:tcPr>
            <w:tcW w:w="110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320" w:type="dxa"/>
            <w:vAlign w:val="bottom"/>
            <w:shd w:val="clear" w:color="auto" w:fill="D2DCE5"/>
          </w:tcPr>
          <w:p>
            <w:pPr>
              <w:spacing w:after="0"/>
              <w:rPr>
                <w:sz w:val="7"/>
                <w:szCs w:val="7"/>
                <w:color w:val="auto"/>
              </w:rPr>
            </w:pPr>
          </w:p>
        </w:tc>
        <w:tc>
          <w:tcPr>
            <w:tcW w:w="1100" w:type="dxa"/>
            <w:vAlign w:val="bottom"/>
            <w:shd w:val="clear" w:color="auto" w:fill="D2DCE5"/>
          </w:tcPr>
          <w:p>
            <w:pPr>
              <w:spacing w:after="0"/>
              <w:rPr>
                <w:sz w:val="7"/>
                <w:szCs w:val="7"/>
                <w:color w:val="auto"/>
              </w:rPr>
            </w:pPr>
          </w:p>
        </w:tc>
      </w:tr>
      <w:tr>
        <w:trPr>
          <w:trHeight w:val="211"/>
        </w:trPr>
        <w:tc>
          <w:tcPr>
            <w:tcW w:w="680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AUV </w:t>
            </w:r>
            <w:r>
              <w:rPr>
                <w:rFonts w:ascii="Arial" w:cs="Arial" w:eastAsia="Arial" w:hAnsi="Arial"/>
                <w:sz w:val="18"/>
                <w:szCs w:val="18"/>
                <w:color w:val="131E29"/>
                <w:vertAlign w:val="superscript"/>
              </w:rPr>
              <w:t>2</w:t>
            </w:r>
          </w:p>
        </w:tc>
        <w:tc>
          <w:tcPr>
            <w:tcW w:w="320" w:type="dxa"/>
            <w:vAlign w:val="bottom"/>
          </w:tcPr>
          <w:p>
            <w:pPr>
              <w:jc w:val="right"/>
              <w:ind w:right="170"/>
              <w:spacing w:after="0"/>
              <w:rPr>
                <w:sz w:val="20"/>
                <w:szCs w:val="20"/>
                <w:color w:val="auto"/>
              </w:rPr>
            </w:pPr>
            <w:r>
              <w:rPr>
                <w:rFonts w:ascii="Arial" w:cs="Arial" w:eastAsia="Arial" w:hAnsi="Arial"/>
                <w:sz w:val="14"/>
                <w:szCs w:val="14"/>
                <w:color w:val="131E29"/>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1,973</w:t>
            </w:r>
          </w:p>
        </w:tc>
        <w:tc>
          <w:tcPr>
            <w:tcW w:w="140" w:type="dxa"/>
            <w:vAlign w:val="bottom"/>
          </w:tcPr>
          <w:p>
            <w:pPr>
              <w:spacing w:after="0"/>
              <w:rPr>
                <w:sz w:val="18"/>
                <w:szCs w:val="18"/>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131E29"/>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1,924</w:t>
            </w:r>
          </w:p>
        </w:tc>
        <w:tc>
          <w:tcPr>
            <w:tcW w:w="80" w:type="dxa"/>
            <w:vAlign w:val="bottom"/>
          </w:tcPr>
          <w:p>
            <w:pPr>
              <w:spacing w:after="0"/>
              <w:rPr>
                <w:sz w:val="18"/>
                <w:szCs w:val="18"/>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131E29"/>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1,850</w:t>
            </w:r>
          </w:p>
        </w:tc>
      </w:tr>
      <w:tr>
        <w:trPr>
          <w:trHeight w:val="211"/>
        </w:trPr>
        <w:tc>
          <w:tcPr>
            <w:tcW w:w="68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 xml:space="preserve">Company-operated shops AUV </w:t>
            </w:r>
            <w:r>
              <w:rPr>
                <w:rFonts w:ascii="Arial" w:cs="Arial" w:eastAsia="Arial" w:hAnsi="Arial"/>
                <w:sz w:val="18"/>
                <w:szCs w:val="18"/>
                <w:color w:val="131E29"/>
                <w:vertAlign w:val="superscript"/>
              </w:rPr>
              <w:t>2</w:t>
            </w:r>
          </w:p>
        </w:tc>
        <w:tc>
          <w:tcPr>
            <w:tcW w:w="32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w w:val="76"/>
              </w:rPr>
              <w:t>$</w:t>
            </w: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1,902</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w w:val="76"/>
              </w:rPr>
              <w:t>$</w:t>
            </w: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1,895</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1,752</w:t>
            </w:r>
          </w:p>
        </w:tc>
      </w:tr>
      <w:tr>
        <w:trPr>
          <w:trHeight w:val="127"/>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1"/>
        </w:trPr>
        <w:tc>
          <w:tcPr>
            <w:tcW w:w="68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Systemwide same shop sales </w:t>
            </w:r>
            <w:r>
              <w:rPr>
                <w:rFonts w:ascii="Arial" w:cs="Arial" w:eastAsia="Arial" w:hAnsi="Arial"/>
                <w:sz w:val="18"/>
                <w:szCs w:val="18"/>
                <w:color w:val="131E29"/>
                <w:vertAlign w:val="superscript"/>
              </w:rPr>
              <w:t>3, 4</w:t>
            </w: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2.8 %</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1.0 %</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8.4 %</w:t>
            </w:r>
          </w:p>
        </w:tc>
      </w:tr>
      <w:tr>
        <w:trPr>
          <w:trHeight w:val="211"/>
        </w:trPr>
        <w:tc>
          <w:tcPr>
            <w:tcW w:w="6800" w:type="dxa"/>
            <w:vAlign w:val="bottom"/>
            <w:gridSpan w:val="2"/>
          </w:tcPr>
          <w:p>
            <w:pPr>
              <w:ind w:left="140"/>
              <w:spacing w:after="0"/>
              <w:rPr>
                <w:sz w:val="20"/>
                <w:szCs w:val="20"/>
                <w:color w:val="auto"/>
              </w:rPr>
            </w:pPr>
            <w:r>
              <w:rPr>
                <w:rFonts w:ascii="Arial" w:cs="Arial" w:eastAsia="Arial" w:hAnsi="Arial"/>
                <w:sz w:val="14"/>
                <w:szCs w:val="14"/>
                <w:color w:val="131E29"/>
              </w:rPr>
              <w:t xml:space="preserve">Company-operated same shop sales </w:t>
            </w:r>
            <w:r>
              <w:rPr>
                <w:rFonts w:ascii="Arial" w:cs="Arial" w:eastAsia="Arial" w:hAnsi="Arial"/>
                <w:sz w:val="18"/>
                <w:szCs w:val="18"/>
                <w:color w:val="131E29"/>
                <w:vertAlign w:val="superscript"/>
              </w:rPr>
              <w:t>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1.5 %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0.6 %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9.0 %</w:t>
            </w:r>
          </w:p>
        </w:tc>
      </w:tr>
      <w:tr>
        <w:trPr>
          <w:trHeight w:val="127"/>
        </w:trPr>
        <w:tc>
          <w:tcPr>
            <w:tcW w:w="670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320" w:type="dxa"/>
            <w:vAlign w:val="bottom"/>
            <w:shd w:val="clear" w:color="auto" w:fill="D2DCE5"/>
          </w:tcPr>
          <w:p>
            <w:pPr>
              <w:spacing w:after="0"/>
              <w:rPr>
                <w:sz w:val="11"/>
                <w:szCs w:val="11"/>
                <w:color w:val="auto"/>
              </w:rPr>
            </w:pPr>
          </w:p>
        </w:tc>
        <w:tc>
          <w:tcPr>
            <w:tcW w:w="1100" w:type="dxa"/>
            <w:vAlign w:val="bottom"/>
            <w:shd w:val="clear" w:color="auto" w:fill="D2DCE5"/>
          </w:tcPr>
          <w:p>
            <w:pPr>
              <w:spacing w:after="0"/>
              <w:rPr>
                <w:sz w:val="11"/>
                <w:szCs w:val="11"/>
                <w:color w:val="auto"/>
              </w:rPr>
            </w:pPr>
          </w:p>
        </w:tc>
        <w:tc>
          <w:tcPr>
            <w:tcW w:w="140" w:type="dxa"/>
            <w:vAlign w:val="bottom"/>
            <w:shd w:val="clear" w:color="auto" w:fill="D2DCE5"/>
          </w:tcPr>
          <w:p>
            <w:pPr>
              <w:spacing w:after="0"/>
              <w:rPr>
                <w:sz w:val="11"/>
                <w:szCs w:val="11"/>
                <w:color w:val="auto"/>
              </w:rPr>
            </w:pPr>
          </w:p>
        </w:tc>
        <w:tc>
          <w:tcPr>
            <w:tcW w:w="320" w:type="dxa"/>
            <w:vAlign w:val="bottom"/>
            <w:shd w:val="clear" w:color="auto" w:fill="D2DCE5"/>
          </w:tcPr>
          <w:p>
            <w:pPr>
              <w:spacing w:after="0"/>
              <w:rPr>
                <w:sz w:val="11"/>
                <w:szCs w:val="11"/>
                <w:color w:val="auto"/>
              </w:rPr>
            </w:pPr>
          </w:p>
        </w:tc>
        <w:tc>
          <w:tcPr>
            <w:tcW w:w="110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320" w:type="dxa"/>
            <w:vAlign w:val="bottom"/>
            <w:shd w:val="clear" w:color="auto" w:fill="D2DCE5"/>
          </w:tcPr>
          <w:p>
            <w:pPr>
              <w:spacing w:after="0"/>
              <w:rPr>
                <w:sz w:val="11"/>
                <w:szCs w:val="11"/>
                <w:color w:val="auto"/>
              </w:rPr>
            </w:pPr>
          </w:p>
        </w:tc>
        <w:tc>
          <w:tcPr>
            <w:tcW w:w="1100" w:type="dxa"/>
            <w:vAlign w:val="bottom"/>
            <w:shd w:val="clear" w:color="auto" w:fill="D2DCE5"/>
          </w:tcPr>
          <w:p>
            <w:pPr>
              <w:spacing w:after="0"/>
              <w:rPr>
                <w:sz w:val="11"/>
                <w:szCs w:val="11"/>
                <w:color w:val="auto"/>
              </w:rPr>
            </w:pPr>
          </w:p>
        </w:tc>
      </w:tr>
      <w:tr>
        <w:trPr>
          <w:trHeight w:val="211"/>
        </w:trPr>
        <w:tc>
          <w:tcPr>
            <w:tcW w:w="680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sales </w:t>
            </w:r>
            <w:r>
              <w:rPr>
                <w:rFonts w:ascii="Arial" w:cs="Arial" w:eastAsia="Arial" w:hAnsi="Arial"/>
                <w:sz w:val="18"/>
                <w:szCs w:val="18"/>
                <w:color w:val="131E29"/>
                <w:vertAlign w:val="superscript"/>
              </w:rPr>
              <w:t>4</w:t>
            </w:r>
          </w:p>
        </w:tc>
        <w:tc>
          <w:tcPr>
            <w:tcW w:w="320" w:type="dxa"/>
            <w:vAlign w:val="bottom"/>
          </w:tcPr>
          <w:p>
            <w:pPr>
              <w:jc w:val="right"/>
              <w:ind w:right="170"/>
              <w:spacing w:after="0"/>
              <w:rPr>
                <w:sz w:val="20"/>
                <w:szCs w:val="20"/>
                <w:color w:val="auto"/>
              </w:rPr>
            </w:pPr>
            <w:r>
              <w:rPr>
                <w:rFonts w:ascii="Arial" w:cs="Arial" w:eastAsia="Arial" w:hAnsi="Arial"/>
                <w:sz w:val="14"/>
                <w:szCs w:val="14"/>
                <w:color w:val="131E29"/>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1,444,433</w:t>
            </w:r>
          </w:p>
        </w:tc>
        <w:tc>
          <w:tcPr>
            <w:tcW w:w="140" w:type="dxa"/>
            <w:vAlign w:val="bottom"/>
          </w:tcPr>
          <w:p>
            <w:pPr>
              <w:spacing w:after="0"/>
              <w:rPr>
                <w:sz w:val="18"/>
                <w:szCs w:val="18"/>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131E29"/>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1,163,182</w:t>
            </w:r>
          </w:p>
        </w:tc>
        <w:tc>
          <w:tcPr>
            <w:tcW w:w="80" w:type="dxa"/>
            <w:vAlign w:val="bottom"/>
          </w:tcPr>
          <w:p>
            <w:pPr>
              <w:spacing w:after="0"/>
              <w:rPr>
                <w:sz w:val="18"/>
                <w:szCs w:val="18"/>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131E29"/>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913,822</w:t>
            </w:r>
          </w:p>
        </w:tc>
      </w:tr>
      <w:tr>
        <w:trPr>
          <w:trHeight w:val="211"/>
        </w:trPr>
        <w:tc>
          <w:tcPr>
            <w:tcW w:w="68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operating weeks </w:t>
            </w:r>
            <w:r>
              <w:rPr>
                <w:rFonts w:ascii="Arial" w:cs="Arial" w:eastAsia="Arial" w:hAnsi="Arial"/>
                <w:sz w:val="18"/>
                <w:szCs w:val="18"/>
                <w:color w:val="131E29"/>
                <w:vertAlign w:val="superscript"/>
              </w:rPr>
              <w:t>5</w:t>
            </w: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24,395</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17,489</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11,526</w:t>
            </w:r>
          </w:p>
        </w:tc>
      </w:tr>
      <w:tr>
        <w:trPr>
          <w:trHeight w:val="211"/>
        </w:trPr>
        <w:tc>
          <w:tcPr>
            <w:tcW w:w="6800" w:type="dxa"/>
            <w:vAlign w:val="bottom"/>
            <w:gridSpan w:val="2"/>
          </w:tcPr>
          <w:p>
            <w:pPr>
              <w:ind w:left="20"/>
              <w:spacing w:after="0"/>
              <w:rPr>
                <w:sz w:val="20"/>
                <w:szCs w:val="20"/>
                <w:color w:val="auto"/>
              </w:rPr>
            </w:pPr>
            <w:r>
              <w:rPr>
                <w:rFonts w:ascii="Arial" w:cs="Arial" w:eastAsia="Arial" w:hAnsi="Arial"/>
                <w:sz w:val="14"/>
                <w:szCs w:val="14"/>
                <w:color w:val="131E29"/>
              </w:rPr>
              <w:t xml:space="preserve">Franchising and other operating weeks </w:t>
            </w:r>
            <w:r>
              <w:rPr>
                <w:rFonts w:ascii="Arial" w:cs="Arial" w:eastAsia="Arial" w:hAnsi="Arial"/>
                <w:sz w:val="18"/>
                <w:szCs w:val="18"/>
                <w:color w:val="131E29"/>
                <w:vertAlign w:val="superscript"/>
              </w:rPr>
              <w:t>5</w:t>
            </w:r>
          </w:p>
        </w:tc>
        <w:tc>
          <w:tcPr>
            <w:tcW w:w="3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14,624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13,828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13,175</w:t>
            </w:r>
          </w:p>
        </w:tc>
      </w:tr>
      <w:tr>
        <w:trPr>
          <w:trHeight w:val="127"/>
        </w:trPr>
        <w:tc>
          <w:tcPr>
            <w:tcW w:w="670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320" w:type="dxa"/>
            <w:vAlign w:val="bottom"/>
            <w:shd w:val="clear" w:color="auto" w:fill="D2DCE5"/>
          </w:tcPr>
          <w:p>
            <w:pPr>
              <w:spacing w:after="0"/>
              <w:rPr>
                <w:sz w:val="11"/>
                <w:szCs w:val="11"/>
                <w:color w:val="auto"/>
              </w:rPr>
            </w:pPr>
          </w:p>
        </w:tc>
        <w:tc>
          <w:tcPr>
            <w:tcW w:w="1100" w:type="dxa"/>
            <w:vAlign w:val="bottom"/>
            <w:shd w:val="clear" w:color="auto" w:fill="D2DCE5"/>
          </w:tcPr>
          <w:p>
            <w:pPr>
              <w:spacing w:after="0"/>
              <w:rPr>
                <w:sz w:val="11"/>
                <w:szCs w:val="11"/>
                <w:color w:val="auto"/>
              </w:rPr>
            </w:pPr>
          </w:p>
        </w:tc>
        <w:tc>
          <w:tcPr>
            <w:tcW w:w="140" w:type="dxa"/>
            <w:vAlign w:val="bottom"/>
            <w:shd w:val="clear" w:color="auto" w:fill="D2DCE5"/>
          </w:tcPr>
          <w:p>
            <w:pPr>
              <w:spacing w:after="0"/>
              <w:rPr>
                <w:sz w:val="11"/>
                <w:szCs w:val="11"/>
                <w:color w:val="auto"/>
              </w:rPr>
            </w:pPr>
          </w:p>
        </w:tc>
        <w:tc>
          <w:tcPr>
            <w:tcW w:w="320" w:type="dxa"/>
            <w:vAlign w:val="bottom"/>
            <w:shd w:val="clear" w:color="auto" w:fill="D2DCE5"/>
          </w:tcPr>
          <w:p>
            <w:pPr>
              <w:spacing w:after="0"/>
              <w:rPr>
                <w:sz w:val="11"/>
                <w:szCs w:val="11"/>
                <w:color w:val="auto"/>
              </w:rPr>
            </w:pPr>
          </w:p>
        </w:tc>
        <w:tc>
          <w:tcPr>
            <w:tcW w:w="110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320" w:type="dxa"/>
            <w:vAlign w:val="bottom"/>
            <w:shd w:val="clear" w:color="auto" w:fill="D2DCE5"/>
          </w:tcPr>
          <w:p>
            <w:pPr>
              <w:spacing w:after="0"/>
              <w:rPr>
                <w:sz w:val="11"/>
                <w:szCs w:val="11"/>
                <w:color w:val="auto"/>
              </w:rPr>
            </w:pPr>
          </w:p>
        </w:tc>
        <w:tc>
          <w:tcPr>
            <w:tcW w:w="1100" w:type="dxa"/>
            <w:vAlign w:val="bottom"/>
            <w:shd w:val="clear" w:color="auto" w:fill="D2DCE5"/>
          </w:tcPr>
          <w:p>
            <w:pPr>
              <w:spacing w:after="0"/>
              <w:rPr>
                <w:sz w:val="11"/>
                <w:szCs w:val="11"/>
                <w:color w:val="auto"/>
              </w:rPr>
            </w:pPr>
          </w:p>
        </w:tc>
      </w:tr>
      <w:tr>
        <w:trPr>
          <w:trHeight w:val="258"/>
        </w:trPr>
        <w:tc>
          <w:tcPr>
            <w:tcW w:w="6800" w:type="dxa"/>
            <w:vAlign w:val="bottom"/>
            <w:gridSpan w:val="2"/>
          </w:tcPr>
          <w:p>
            <w:pPr>
              <w:ind w:left="20"/>
              <w:spacing w:after="0"/>
              <w:rPr>
                <w:sz w:val="20"/>
                <w:szCs w:val="20"/>
                <w:color w:val="auto"/>
              </w:rPr>
            </w:pPr>
            <w:r>
              <w:rPr>
                <w:rFonts w:ascii="Arial" w:cs="Arial" w:eastAsia="Arial" w:hAnsi="Arial"/>
                <w:sz w:val="14"/>
                <w:szCs w:val="14"/>
                <w:color w:val="131E29"/>
              </w:rPr>
              <w:t xml:space="preserve">Dutch Rewards member registrations </w:t>
            </w:r>
            <w:r>
              <w:rPr>
                <w:rFonts w:ascii="Arial" w:cs="Arial" w:eastAsia="Arial" w:hAnsi="Arial"/>
                <w:sz w:val="18"/>
                <w:szCs w:val="18"/>
                <w:color w:val="131E29"/>
                <w:vertAlign w:val="superscript"/>
              </w:rPr>
              <w:t>6</w:t>
            </w:r>
          </w:p>
        </w:tc>
        <w:tc>
          <w:tcPr>
            <w:tcW w:w="3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2,252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2,004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131E29"/>
              </w:rPr>
              <w:t>3,202</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131E29"/>
                <w:w w:val="99"/>
              </w:rPr>
              <w:t>Year Ended December 31,</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2"/>
        </w:trPr>
        <w:tc>
          <w:tcPr>
            <w:tcW w:w="5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131E29"/>
              </w:rPr>
              <w:t>2023</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2022</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131E29"/>
              </w:rPr>
              <w:t>%</w:t>
            </w:r>
          </w:p>
        </w:tc>
      </w:tr>
      <w:tr>
        <w:trPr>
          <w:trHeight w:val="208"/>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403,746</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r>
      <w:tr>
        <w:trPr>
          <w:trHeight w:val="205"/>
        </w:trPr>
        <w:tc>
          <w:tcPr>
            <w:tcW w:w="5580" w:type="dxa"/>
            <w:vAlign w:val="bottom"/>
            <w:gridSpan w:val="2"/>
          </w:tcPr>
          <w:p>
            <w:pPr>
              <w:ind w:left="20"/>
              <w:spacing w:after="0"/>
              <w:rPr>
                <w:sz w:val="20"/>
                <w:szCs w:val="20"/>
                <w:color w:val="auto"/>
              </w:rPr>
            </w:pPr>
            <w:r>
              <w:rPr>
                <w:rFonts w:ascii="Arial" w:cs="Arial" w:eastAsia="Arial" w:hAnsi="Arial"/>
                <w:sz w:val="13"/>
                <w:szCs w:val="13"/>
                <w:color w:val="131E29"/>
              </w:rPr>
              <w:t>Company-operated shop gross profit</w:t>
            </w:r>
          </w:p>
        </w:tc>
        <w:tc>
          <w:tcPr>
            <w:tcW w:w="1080" w:type="dxa"/>
            <w:vAlign w:val="bottom"/>
          </w:tcPr>
          <w:p>
            <w:pPr>
              <w:jc w:val="right"/>
              <w:spacing w:after="0"/>
              <w:rPr>
                <w:sz w:val="20"/>
                <w:szCs w:val="20"/>
                <w:color w:val="auto"/>
              </w:rPr>
            </w:pPr>
            <w:r>
              <w:rPr>
                <w:rFonts w:ascii="Arial" w:cs="Arial" w:eastAsia="Arial" w:hAnsi="Arial"/>
                <w:sz w:val="14"/>
                <w:szCs w:val="14"/>
                <w:color w:val="131E29"/>
              </w:rPr>
              <w:t>180,235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21.0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19.0</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86,701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21.5</w:t>
            </w:r>
          </w:p>
        </w:tc>
      </w:tr>
      <w:tr>
        <w:trPr>
          <w:trHeight w:val="218"/>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Company-operated shop contribution </w:t>
            </w:r>
            <w:r>
              <w:rPr>
                <w:rFonts w:ascii="Arial" w:cs="Arial" w:eastAsia="Arial" w:hAnsi="Arial"/>
                <w:sz w:val="16"/>
                <w:szCs w:val="16"/>
                <w:color w:val="131E29"/>
                <w:vertAlign w:val="superscript"/>
              </w:rPr>
              <w:t>7</w:t>
            </w: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242,323</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28.2</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w:t>
            </w:r>
          </w:p>
        </w:tc>
        <w:tc>
          <w:tcPr>
            <w:tcW w:w="8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102,992</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25.5</w:t>
            </w:r>
          </w:p>
        </w:tc>
      </w:tr>
      <w:tr>
        <w:trPr>
          <w:trHeight w:val="205"/>
        </w:trPr>
        <w:tc>
          <w:tcPr>
            <w:tcW w:w="5580" w:type="dxa"/>
            <w:vAlign w:val="bottom"/>
            <w:gridSpan w:val="2"/>
          </w:tcPr>
          <w:p>
            <w:pPr>
              <w:ind w:left="20"/>
              <w:spacing w:after="0"/>
              <w:rPr>
                <w:sz w:val="20"/>
                <w:szCs w:val="20"/>
                <w:color w:val="auto"/>
              </w:rPr>
            </w:pPr>
            <w:r>
              <w:rPr>
                <w:rFonts w:ascii="Arial" w:cs="Arial" w:eastAsia="Arial" w:hAnsi="Arial"/>
                <w:sz w:val="13"/>
                <w:szCs w:val="13"/>
                <w:color w:val="131E29"/>
              </w:rPr>
              <w:t>Selling, general, and administrative expenses</w:t>
            </w:r>
          </w:p>
        </w:tc>
        <w:tc>
          <w:tcPr>
            <w:tcW w:w="1080" w:type="dxa"/>
            <w:vAlign w:val="bottom"/>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21.2</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24.8</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264,529</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53.1</w:t>
            </w:r>
          </w:p>
        </w:tc>
      </w:tr>
      <w:tr>
        <w:trPr>
          <w:trHeight w:val="218"/>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Adjusted selling, general, and administrative expenses </w:t>
            </w:r>
            <w:r>
              <w:rPr>
                <w:rFonts w:ascii="Arial" w:cs="Arial" w:eastAsia="Arial" w:hAnsi="Arial"/>
                <w:sz w:val="16"/>
                <w:szCs w:val="16"/>
                <w:color w:val="131E29"/>
                <w:vertAlign w:val="superscript"/>
              </w:rPr>
              <w:t>7</w:t>
            </w: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160,749</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16.6</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136,441</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18.5</w:t>
            </w:r>
          </w:p>
        </w:tc>
        <w:tc>
          <w:tcPr>
            <w:tcW w:w="8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96,498</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19.4</w:t>
            </w:r>
          </w:p>
        </w:tc>
      </w:tr>
      <w:tr>
        <w:trPr>
          <w:trHeight w:val="205"/>
        </w:trPr>
        <w:tc>
          <w:tcPr>
            <w:tcW w:w="5580" w:type="dxa"/>
            <w:vAlign w:val="bottom"/>
            <w:gridSpan w:val="2"/>
          </w:tcPr>
          <w:p>
            <w:pPr>
              <w:ind w:left="20"/>
              <w:spacing w:after="0"/>
              <w:rPr>
                <w:sz w:val="20"/>
                <w:szCs w:val="20"/>
                <w:color w:val="auto"/>
              </w:rPr>
            </w:pPr>
            <w:r>
              <w:rPr>
                <w:rFonts w:ascii="Arial" w:cs="Arial" w:eastAsia="Arial" w:hAnsi="Arial"/>
                <w:sz w:val="13"/>
                <w:szCs w:val="13"/>
                <w:color w:val="131E29"/>
              </w:rPr>
              <w:t>Net income (loss)</w:t>
            </w:r>
          </w:p>
        </w:tc>
        <w:tc>
          <w:tcPr>
            <w:tcW w:w="1080" w:type="dxa"/>
            <w:vAlign w:val="bottom"/>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(2.6)</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(117,931)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(23.7)</w:t>
            </w:r>
          </w:p>
        </w:tc>
      </w:tr>
      <w:tr>
        <w:trPr>
          <w:trHeight w:val="218"/>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Adjusted EBITDA </w:t>
            </w:r>
            <w:r>
              <w:rPr>
                <w:rFonts w:ascii="Arial" w:cs="Arial" w:eastAsia="Arial" w:hAnsi="Arial"/>
                <w:sz w:val="16"/>
                <w:szCs w:val="16"/>
                <w:color w:val="131E29"/>
                <w:vertAlign w:val="superscript"/>
              </w:rPr>
              <w:t>7</w:t>
            </w: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160,062</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16.6</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91,181</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12.3</w:t>
            </w:r>
          </w:p>
        </w:tc>
        <w:tc>
          <w:tcPr>
            <w:tcW w:w="8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84,132</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5" w:name="page76"/>
    <w:bookmarkEnd w:id="7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19" w:lineRule="exact"/>
        <w:rPr>
          <w:sz w:val="20"/>
          <w:szCs w:val="20"/>
          <w:color w:val="auto"/>
        </w:rPr>
      </w:pPr>
    </w:p>
    <w:p>
      <w:pPr>
        <w:ind w:left="120" w:hanging="115"/>
        <w:spacing w:after="0"/>
        <w:tabs>
          <w:tab w:leader="none" w:pos="120" w:val="left"/>
        </w:tabs>
        <w:numPr>
          <w:ilvl w:val="0"/>
          <w:numId w:val="37"/>
        </w:numPr>
        <w:rPr>
          <w:rFonts w:ascii="Arial" w:cs="Arial" w:eastAsia="Arial" w:hAnsi="Arial"/>
          <w:sz w:val="15"/>
          <w:szCs w:val="15"/>
          <w:color w:val="131E29"/>
          <w:vertAlign w:val="superscript"/>
        </w:rPr>
      </w:pPr>
      <w:r>
        <w:rPr>
          <w:rFonts w:ascii="Arial" w:cs="Arial" w:eastAsia="Arial" w:hAnsi="Arial"/>
          <w:sz w:val="11"/>
          <w:szCs w:val="11"/>
          <w:color w:val="131E29"/>
        </w:rPr>
        <w:t>Represents the re-opening of a shop that was temporarily closed in 2021.</w:t>
      </w:r>
    </w:p>
    <w:p>
      <w:pPr>
        <w:spacing w:after="0" w:line="116" w:lineRule="exact"/>
        <w:rPr>
          <w:sz w:val="20"/>
          <w:szCs w:val="20"/>
          <w:color w:val="auto"/>
        </w:rPr>
      </w:pPr>
    </w:p>
    <w:p>
      <w:pPr>
        <w:jc w:val="both"/>
        <w:ind w:left="140" w:hanging="135"/>
        <w:spacing w:after="0" w:line="229" w:lineRule="auto"/>
        <w:tabs>
          <w:tab w:leader="none" w:pos="135" w:val="left"/>
        </w:tabs>
        <w:numPr>
          <w:ilvl w:val="0"/>
          <w:numId w:val="38"/>
        </w:numPr>
        <w:rPr>
          <w:rFonts w:ascii="Arial" w:cs="Arial" w:eastAsia="Arial" w:hAnsi="Arial"/>
          <w:sz w:val="15"/>
          <w:szCs w:val="15"/>
          <w:color w:val="131E29"/>
          <w:vertAlign w:val="superscript"/>
        </w:rPr>
      </w:pPr>
      <w:r>
        <w:rPr>
          <w:rFonts w:ascii="Arial" w:cs="Arial" w:eastAsia="Arial" w:hAnsi="Arial"/>
          <w:sz w:val="11"/>
          <w:szCs w:val="11"/>
          <w:color w:val="131E29"/>
        </w:rPr>
        <w:t>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w:t>
      </w:r>
    </w:p>
    <w:p>
      <w:pPr>
        <w:spacing w:after="0" w:line="106" w:lineRule="exact"/>
        <w:rPr>
          <w:sz w:val="20"/>
          <w:szCs w:val="20"/>
          <w:color w:val="auto"/>
        </w:rPr>
      </w:pPr>
    </w:p>
    <w:p>
      <w:pPr>
        <w:ind w:left="140" w:hanging="135"/>
        <w:spacing w:after="0" w:line="300" w:lineRule="auto"/>
        <w:tabs>
          <w:tab w:leader="none" w:pos="135" w:val="left"/>
        </w:tabs>
        <w:numPr>
          <w:ilvl w:val="0"/>
          <w:numId w:val="39"/>
        </w:numPr>
        <w:rPr>
          <w:rFonts w:ascii="Arial" w:cs="Arial" w:eastAsia="Arial" w:hAnsi="Arial"/>
          <w:sz w:val="7"/>
          <w:szCs w:val="7"/>
          <w:color w:val="131E29"/>
        </w:rPr>
      </w:pPr>
      <w:r>
        <w:rPr>
          <w:rFonts w:ascii="Arial" w:cs="Arial" w:eastAsia="Arial" w:hAnsi="Arial"/>
          <w:sz w:val="11"/>
          <w:szCs w:val="11"/>
          <w:color w:val="131E29"/>
        </w:rPr>
        <w:t>Same shop sales reflects the change in year-over-year sales, for the comparable shop base, which we define as shops open for 15 complete months or longer as of the first day of the reporting period. Management uses this metric as an indicator of shop growth and future expansion strategy. The number of shops included in the systemwide and company-operated comparable bases for the respective periods are presented in the following table.</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59"/>
        </w:trPr>
        <w:tc>
          <w:tcPr>
            <w:tcW w:w="7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131E29"/>
              </w:rPr>
              <w:t>Year Ended December 31,</w:t>
            </w:r>
          </w:p>
        </w:tc>
        <w:tc>
          <w:tcPr>
            <w:tcW w:w="900" w:type="dxa"/>
            <w:vAlign w:val="bottom"/>
            <w:tcBorders>
              <w:bottom w:val="single" w:sz="8" w:color="auto"/>
            </w:tcBorders>
          </w:tcPr>
          <w:p>
            <w:pPr>
              <w:spacing w:after="0"/>
              <w:rPr>
                <w:sz w:val="13"/>
                <w:szCs w:val="13"/>
                <w:color w:val="auto"/>
              </w:rPr>
            </w:pPr>
          </w:p>
        </w:tc>
      </w:tr>
      <w:tr>
        <w:trPr>
          <w:trHeight w:val="170"/>
        </w:trPr>
        <w:tc>
          <w:tcPr>
            <w:tcW w:w="72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4"/>
                <w:szCs w:val="14"/>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131E29"/>
              </w:rPr>
              <w:t>2023</w:t>
            </w:r>
          </w:p>
        </w:tc>
        <w:tc>
          <w:tcPr>
            <w:tcW w:w="100" w:type="dxa"/>
            <w:vAlign w:val="bottom"/>
            <w:tcBorders>
              <w:bottom w:val="single" w:sz="8" w:color="D2DCE5"/>
            </w:tcBorders>
          </w:tcPr>
          <w:p>
            <w:pPr>
              <w:spacing w:after="0"/>
              <w:rPr>
                <w:sz w:val="14"/>
                <w:szCs w:val="14"/>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131E29"/>
              </w:rPr>
              <w:t>2022</w:t>
            </w:r>
          </w:p>
        </w:tc>
        <w:tc>
          <w:tcPr>
            <w:tcW w:w="80" w:type="dxa"/>
            <w:vAlign w:val="bottom"/>
            <w:tcBorders>
              <w:bottom w:val="single" w:sz="8" w:color="D2DCE5"/>
            </w:tcBorders>
          </w:tcPr>
          <w:p>
            <w:pPr>
              <w:spacing w:after="0"/>
              <w:rPr>
                <w:sz w:val="14"/>
                <w:szCs w:val="14"/>
                <w:color w:val="auto"/>
              </w:rPr>
            </w:pPr>
          </w:p>
        </w:tc>
        <w:tc>
          <w:tcPr>
            <w:tcW w:w="300" w:type="dxa"/>
            <w:vAlign w:val="bottom"/>
            <w:tcBorders>
              <w:bottom w:val="single" w:sz="8" w:color="131E29"/>
            </w:tcBorders>
          </w:tcPr>
          <w:p>
            <w:pPr>
              <w:spacing w:after="0"/>
              <w:rPr>
                <w:sz w:val="14"/>
                <w:szCs w:val="14"/>
                <w:color w:val="auto"/>
              </w:rPr>
            </w:pPr>
          </w:p>
        </w:tc>
        <w:tc>
          <w:tcPr>
            <w:tcW w:w="900" w:type="dxa"/>
            <w:vAlign w:val="bottom"/>
            <w:tcBorders>
              <w:bottom w:val="single" w:sz="8" w:color="131E29"/>
            </w:tcBorders>
          </w:tcPr>
          <w:p>
            <w:pPr>
              <w:jc w:val="right"/>
              <w:ind w:right="424"/>
              <w:spacing w:after="0"/>
              <w:rPr>
                <w:sz w:val="20"/>
                <w:szCs w:val="20"/>
                <w:color w:val="auto"/>
              </w:rPr>
            </w:pPr>
            <w:r>
              <w:rPr>
                <w:rFonts w:ascii="Arial" w:cs="Arial" w:eastAsia="Arial" w:hAnsi="Arial"/>
                <w:sz w:val="11"/>
                <w:szCs w:val="11"/>
                <w:b w:val="1"/>
                <w:bCs w:val="1"/>
                <w:color w:val="131E29"/>
              </w:rPr>
              <w:t>2021</w:t>
            </w:r>
          </w:p>
        </w:tc>
      </w:tr>
      <w:tr>
        <w:trPr>
          <w:trHeight w:val="176"/>
        </w:trPr>
        <w:tc>
          <w:tcPr>
            <w:tcW w:w="736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Systemwide shop base</w:t>
            </w:r>
          </w:p>
        </w:tc>
        <w:tc>
          <w:tcPr>
            <w:tcW w:w="10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503</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1"/>
                <w:szCs w:val="11"/>
                <w:color w:val="131E29"/>
              </w:rPr>
              <w:t>414</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9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354</w:t>
            </w:r>
          </w:p>
        </w:tc>
      </w:tr>
      <w:tr>
        <w:trPr>
          <w:trHeight w:val="163"/>
        </w:trPr>
        <w:tc>
          <w:tcPr>
            <w:tcW w:w="7360" w:type="dxa"/>
            <w:vAlign w:val="bottom"/>
            <w:gridSpan w:val="2"/>
          </w:tcPr>
          <w:p>
            <w:pPr>
              <w:spacing w:after="0"/>
              <w:rPr>
                <w:sz w:val="20"/>
                <w:szCs w:val="20"/>
                <w:color w:val="auto"/>
              </w:rPr>
            </w:pPr>
            <w:r>
              <w:rPr>
                <w:rFonts w:ascii="Arial" w:cs="Arial" w:eastAsia="Arial" w:hAnsi="Arial"/>
                <w:sz w:val="11"/>
                <w:szCs w:val="11"/>
                <w:color w:val="131E29"/>
              </w:rPr>
              <w:t>Company-operated shop base</w:t>
            </w:r>
          </w:p>
        </w:tc>
        <w:tc>
          <w:tcPr>
            <w:tcW w:w="1060" w:type="dxa"/>
            <w:vAlign w:val="bottom"/>
          </w:tcPr>
          <w:p>
            <w:pPr>
              <w:jc w:val="right"/>
              <w:spacing w:after="0"/>
              <w:rPr>
                <w:sz w:val="20"/>
                <w:szCs w:val="20"/>
                <w:color w:val="auto"/>
              </w:rPr>
            </w:pPr>
            <w:r>
              <w:rPr>
                <w:rFonts w:ascii="Arial" w:cs="Arial" w:eastAsia="Arial" w:hAnsi="Arial"/>
                <w:sz w:val="11"/>
                <w:szCs w:val="11"/>
                <w:color w:val="131E29"/>
              </w:rPr>
              <w:t>246</w:t>
            </w:r>
          </w:p>
        </w:tc>
        <w:tc>
          <w:tcPr>
            <w:tcW w:w="1160" w:type="dxa"/>
            <w:vAlign w:val="bottom"/>
            <w:gridSpan w:val="2"/>
          </w:tcPr>
          <w:p>
            <w:pPr>
              <w:jc w:val="right"/>
              <w:spacing w:after="0"/>
              <w:rPr>
                <w:sz w:val="20"/>
                <w:szCs w:val="20"/>
                <w:color w:val="auto"/>
              </w:rPr>
            </w:pPr>
            <w:r>
              <w:rPr>
                <w:rFonts w:ascii="Arial" w:cs="Arial" w:eastAsia="Arial" w:hAnsi="Arial"/>
                <w:sz w:val="11"/>
                <w:szCs w:val="11"/>
                <w:color w:val="131E29"/>
              </w:rPr>
              <w:t>173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131E29"/>
              </w:rPr>
              <w:t>120</w:t>
            </w:r>
          </w:p>
        </w:tc>
      </w:tr>
    </w:tbl>
    <w:p>
      <w:pPr>
        <w:spacing w:after="0" w:line="211" w:lineRule="exact"/>
        <w:rPr>
          <w:sz w:val="20"/>
          <w:szCs w:val="20"/>
          <w:color w:val="auto"/>
        </w:rPr>
      </w:pPr>
    </w:p>
    <w:p>
      <w:pPr>
        <w:jc w:val="both"/>
        <w:ind w:left="140" w:right="60" w:hanging="135"/>
        <w:spacing w:after="0" w:line="239" w:lineRule="auto"/>
        <w:tabs>
          <w:tab w:leader="none" w:pos="188" w:val="left"/>
        </w:tabs>
        <w:numPr>
          <w:ilvl w:val="0"/>
          <w:numId w:val="40"/>
        </w:numPr>
        <w:rPr>
          <w:rFonts w:ascii="Arial" w:cs="Arial" w:eastAsia="Arial" w:hAnsi="Arial"/>
          <w:sz w:val="15"/>
          <w:szCs w:val="15"/>
          <w:color w:val="131E29"/>
          <w:vertAlign w:val="superscript"/>
        </w:rPr>
      </w:pPr>
      <w:r>
        <w:rPr>
          <w:rFonts w:ascii="Arial" w:cs="Arial" w:eastAsia="Arial" w:hAnsi="Arial"/>
          <w:sz w:val="11"/>
          <w:szCs w:val="11"/>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16" w:lineRule="exact"/>
        <w:rPr>
          <w:sz w:val="20"/>
          <w:szCs w:val="20"/>
          <w:color w:val="auto"/>
        </w:rPr>
      </w:pPr>
    </w:p>
    <w:p>
      <w:pPr>
        <w:ind w:left="140" w:hanging="135"/>
        <w:spacing w:after="0" w:line="229" w:lineRule="auto"/>
        <w:tabs>
          <w:tab w:leader="none" w:pos="180" w:val="left"/>
        </w:tabs>
        <w:numPr>
          <w:ilvl w:val="0"/>
          <w:numId w:val="41"/>
        </w:numPr>
        <w:rPr>
          <w:rFonts w:ascii="Arial" w:cs="Arial" w:eastAsia="Arial" w:hAnsi="Arial"/>
          <w:sz w:val="15"/>
          <w:szCs w:val="15"/>
          <w:color w:val="131E29"/>
          <w:vertAlign w:val="superscript"/>
        </w:rPr>
      </w:pPr>
      <w:r>
        <w:rPr>
          <w:rFonts w:ascii="Arial" w:cs="Arial" w:eastAsia="Arial" w:hAnsi="Arial"/>
          <w:sz w:val="11"/>
          <w:szCs w:val="11"/>
          <w:color w:val="131E29"/>
        </w:rPr>
        <w:t>Company-operated and franchise shops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127" w:lineRule="exact"/>
        <w:rPr>
          <w:sz w:val="20"/>
          <w:szCs w:val="20"/>
          <w:color w:val="auto"/>
        </w:rPr>
      </w:pPr>
    </w:p>
    <w:p>
      <w:pPr>
        <w:ind w:left="140" w:hanging="135"/>
        <w:spacing w:after="0" w:line="321" w:lineRule="auto"/>
        <w:tabs>
          <w:tab w:leader="none" w:pos="135" w:val="left"/>
        </w:tabs>
        <w:numPr>
          <w:ilvl w:val="0"/>
          <w:numId w:val="42"/>
        </w:numPr>
        <w:rPr>
          <w:rFonts w:ascii="Arial" w:cs="Arial" w:eastAsia="Arial" w:hAnsi="Arial"/>
          <w:sz w:val="7"/>
          <w:szCs w:val="7"/>
          <w:color w:val="131E29"/>
        </w:rPr>
      </w:pPr>
      <w:r>
        <w:rPr>
          <w:rFonts w:ascii="Arial" w:cs="Arial" w:eastAsia="Arial" w:hAnsi="Arial"/>
          <w:sz w:val="11"/>
          <w:szCs w:val="11"/>
          <w:color w:val="131E29"/>
        </w:rPr>
        <w:t>Dutch Rewards, a digitally-based rewards program available exclusively through the Dutch Rewards mobile app, was launched February 2021. Management uses this metric as an indicator of customer loyalty adoption of our Dutch Rewards mobile app and future promotional plans.</w:t>
      </w:r>
    </w:p>
    <w:p>
      <w:pPr>
        <w:spacing w:after="0" w:line="74" w:lineRule="exact"/>
        <w:rPr>
          <w:sz w:val="20"/>
          <w:szCs w:val="20"/>
          <w:color w:val="auto"/>
        </w:rPr>
      </w:pPr>
    </w:p>
    <w:p>
      <w:pPr>
        <w:ind w:left="120" w:hanging="115"/>
        <w:spacing w:after="0"/>
        <w:tabs>
          <w:tab w:leader="none" w:pos="120" w:val="left"/>
        </w:tabs>
        <w:numPr>
          <w:ilvl w:val="0"/>
          <w:numId w:val="43"/>
        </w:numPr>
        <w:rPr>
          <w:rFonts w:ascii="Arial" w:cs="Arial" w:eastAsia="Arial" w:hAnsi="Arial"/>
          <w:sz w:val="7"/>
          <w:szCs w:val="7"/>
          <w:color w:val="131E29"/>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134"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00416B"/>
        </w:rPr>
        <w:t>Company-operated Shop Results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results for our company-operated shops segment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131E29"/>
              </w:rPr>
              <w:t>Year Ended December 31,</w:t>
            </w: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81"/>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131E29"/>
              </w:rPr>
              <w:t>2022</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131E29"/>
              </w:rPr>
              <w:t>2021</w:t>
            </w:r>
          </w:p>
        </w:tc>
        <w:tc>
          <w:tcPr>
            <w:tcW w:w="720" w:type="dxa"/>
            <w:vAlign w:val="bottom"/>
            <w:tcBorders>
              <w:bottom w:val="single" w:sz="8" w:color="auto"/>
            </w:tcBorders>
          </w:tcPr>
          <w:p>
            <w:pPr>
              <w:spacing w:after="0"/>
              <w:rPr>
                <w:sz w:val="15"/>
                <w:szCs w:val="15"/>
                <w:color w:val="auto"/>
              </w:rPr>
            </w:pPr>
          </w:p>
        </w:tc>
      </w:tr>
      <w:tr>
        <w:trPr>
          <w:trHeight w:val="178"/>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131E29"/>
              </w:rPr>
              <w:t>$</w:t>
            </w:r>
          </w:p>
        </w:tc>
        <w:tc>
          <w:tcPr>
            <w:tcW w:w="8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131E29"/>
              </w:rPr>
              <w:t>%</w:t>
            </w:r>
          </w:p>
        </w:tc>
        <w:tc>
          <w:tcPr>
            <w:tcW w:w="10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131E29"/>
              </w:rPr>
              <w:t>$</w:t>
            </w:r>
          </w:p>
        </w:tc>
        <w:tc>
          <w:tcPr>
            <w:tcW w:w="80" w:type="dxa"/>
            <w:vAlign w:val="bottom"/>
            <w:tcBorders>
              <w:bottom w:val="single" w:sz="8" w:color="D2DCE5"/>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131E29"/>
              </w:rPr>
              <w:t>%</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131E29"/>
              </w:rPr>
              <w:t>$</w:t>
            </w:r>
          </w:p>
        </w:tc>
        <w:tc>
          <w:tcPr>
            <w:tcW w:w="80" w:type="dxa"/>
            <w:vAlign w:val="bottom"/>
            <w:tcBorders>
              <w:bottom w:val="single" w:sz="8" w:color="D2DCE5"/>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131E29"/>
              </w:rPr>
              <w:t>%</w:t>
            </w:r>
          </w:p>
        </w:tc>
      </w:tr>
      <w:tr>
        <w:trPr>
          <w:trHeight w:val="187"/>
        </w:trPr>
        <w:tc>
          <w:tcPr>
            <w:tcW w:w="54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857,939</w:t>
            </w:r>
          </w:p>
        </w:tc>
        <w:tc>
          <w:tcPr>
            <w:tcW w:w="8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c>
          <w:tcPr>
            <w:tcW w:w="10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639,710</w:t>
            </w:r>
          </w:p>
        </w:tc>
        <w:tc>
          <w:tcPr>
            <w:tcW w:w="80" w:type="dxa"/>
            <w:vAlign w:val="bottom"/>
            <w:shd w:val="clear" w:color="auto" w:fill="D2DCE5"/>
          </w:tcPr>
          <w:p>
            <w:pPr>
              <w:spacing w:after="0"/>
              <w:rPr>
                <w:sz w:val="16"/>
                <w:szCs w:val="16"/>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403,746</w:t>
            </w: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r>
      <w:tr>
        <w:trPr>
          <w:trHeight w:val="211"/>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0"/>
        </w:trPr>
        <w:tc>
          <w:tcPr>
            <w:tcW w:w="54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Beverage, food, and packaging costs</w:t>
            </w: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230,133</w:t>
            </w:r>
          </w:p>
        </w:tc>
        <w:tc>
          <w:tcPr>
            <w:tcW w:w="8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26.9</w:t>
            </w:r>
          </w:p>
        </w:tc>
        <w:tc>
          <w:tcPr>
            <w:tcW w:w="10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171,864</w:t>
            </w:r>
          </w:p>
        </w:tc>
        <w:tc>
          <w:tcPr>
            <w:tcW w:w="80" w:type="dxa"/>
            <w:vAlign w:val="bottom"/>
            <w:shd w:val="clear" w:color="auto" w:fill="D2DCE5"/>
          </w:tcPr>
          <w:p>
            <w:pPr>
              <w:spacing w:after="0"/>
              <w:rPr>
                <w:sz w:val="16"/>
                <w:szCs w:val="16"/>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26.9</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102,222</w:t>
            </w: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25.3</w:t>
            </w: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3"/>
                <w:szCs w:val="13"/>
                <w:color w:val="131E29"/>
              </w:rPr>
              <w:t>Labor costs</w:t>
            </w:r>
          </w:p>
        </w:tc>
        <w:tc>
          <w:tcPr>
            <w:tcW w:w="1080" w:type="dxa"/>
            <w:vAlign w:val="bottom"/>
          </w:tcPr>
          <w:p>
            <w:pPr>
              <w:jc w:val="right"/>
              <w:spacing w:after="0"/>
              <w:rPr>
                <w:sz w:val="20"/>
                <w:szCs w:val="20"/>
                <w:color w:val="auto"/>
              </w:rPr>
            </w:pPr>
            <w:r>
              <w:rPr>
                <w:rFonts w:ascii="Arial" w:cs="Arial" w:eastAsia="Arial" w:hAnsi="Arial"/>
                <w:sz w:val="13"/>
                <w:szCs w:val="13"/>
                <w:color w:val="131E29"/>
              </w:rPr>
              <w:t>230,505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26.9</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182,861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131E29"/>
              </w:rPr>
              <w:t>28.6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122,161</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131E29"/>
              </w:rPr>
              <w:t>30.3</w:t>
            </w:r>
          </w:p>
        </w:tc>
      </w:tr>
      <w:tr>
        <w:trPr>
          <w:trHeight w:val="197"/>
        </w:trPr>
        <w:tc>
          <w:tcPr>
            <w:tcW w:w="54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Occupancy and other costs</w:t>
            </w: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140,895</w:t>
            </w:r>
          </w:p>
        </w:tc>
        <w:tc>
          <w:tcPr>
            <w:tcW w:w="80" w:type="dxa"/>
            <w:vAlign w:val="bottom"/>
            <w:shd w:val="clear" w:color="auto" w:fill="D2DCE5"/>
          </w:tcPr>
          <w:p>
            <w:pPr>
              <w:spacing w:after="0"/>
              <w:rPr>
                <w:sz w:val="17"/>
                <w:szCs w:val="17"/>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16.4</w:t>
            </w:r>
          </w:p>
        </w:tc>
        <w:tc>
          <w:tcPr>
            <w:tcW w:w="100" w:type="dxa"/>
            <w:vAlign w:val="bottom"/>
            <w:shd w:val="clear" w:color="auto" w:fill="D2DCE5"/>
          </w:tcPr>
          <w:p>
            <w:pPr>
              <w:spacing w:after="0"/>
              <w:rPr>
                <w:sz w:val="17"/>
                <w:szCs w:val="17"/>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109,366</w:t>
            </w: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17.1</w:t>
            </w:r>
          </w:p>
        </w:tc>
        <w:tc>
          <w:tcPr>
            <w:tcW w:w="80" w:type="dxa"/>
            <w:vAlign w:val="bottom"/>
            <w:shd w:val="clear" w:color="auto" w:fill="D2DCE5"/>
          </w:tcPr>
          <w:p>
            <w:pPr>
              <w:spacing w:after="0"/>
              <w:rPr>
                <w:sz w:val="17"/>
                <w:szCs w:val="17"/>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63,570</w:t>
            </w:r>
          </w:p>
        </w:tc>
        <w:tc>
          <w:tcPr>
            <w:tcW w:w="80" w:type="dxa"/>
            <w:vAlign w:val="bottom"/>
            <w:shd w:val="clear" w:color="auto" w:fill="D2DCE5"/>
          </w:tcPr>
          <w:p>
            <w:pPr>
              <w:spacing w:after="0"/>
              <w:rPr>
                <w:sz w:val="17"/>
                <w:szCs w:val="17"/>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15.7</w:t>
            </w:r>
          </w:p>
        </w:tc>
      </w:tr>
      <w:tr>
        <w:trPr>
          <w:trHeight w:val="184"/>
        </w:trPr>
        <w:tc>
          <w:tcPr>
            <w:tcW w:w="5480" w:type="dxa"/>
            <w:vAlign w:val="bottom"/>
            <w:gridSpan w:val="2"/>
          </w:tcPr>
          <w:p>
            <w:pPr>
              <w:ind w:left="20"/>
              <w:spacing w:after="0"/>
              <w:rPr>
                <w:sz w:val="20"/>
                <w:szCs w:val="20"/>
                <w:color w:val="auto"/>
              </w:rPr>
            </w:pPr>
            <w:r>
              <w:rPr>
                <w:rFonts w:ascii="Arial" w:cs="Arial" w:eastAsia="Arial" w:hAnsi="Arial"/>
                <w:sz w:val="13"/>
                <w:szCs w:val="13"/>
                <w:color w:val="131E29"/>
              </w:rPr>
              <w:t>Pre-opening costs</w:t>
            </w:r>
          </w:p>
        </w:tc>
        <w:tc>
          <w:tcPr>
            <w:tcW w:w="1080" w:type="dxa"/>
            <w:vAlign w:val="bottom"/>
          </w:tcPr>
          <w:p>
            <w:pPr>
              <w:jc w:val="right"/>
              <w:spacing w:after="0"/>
              <w:rPr>
                <w:sz w:val="20"/>
                <w:szCs w:val="20"/>
                <w:color w:val="auto"/>
              </w:rPr>
            </w:pPr>
            <w:r>
              <w:rPr>
                <w:rFonts w:ascii="Arial" w:cs="Arial" w:eastAsia="Arial" w:hAnsi="Arial"/>
                <w:sz w:val="13"/>
                <w:szCs w:val="13"/>
                <w:color w:val="131E29"/>
              </w:rPr>
              <w:t>14,083</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1.6</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17,986</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131E29"/>
              </w:rPr>
              <w:t>2.8</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12,801</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131E29"/>
              </w:rPr>
              <w:t>3.2</w:t>
            </w:r>
          </w:p>
        </w:tc>
      </w:tr>
      <w:tr>
        <w:trPr>
          <w:trHeight w:val="190"/>
        </w:trPr>
        <w:tc>
          <w:tcPr>
            <w:tcW w:w="54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Depreciation and amortization</w:t>
            </w: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62,088</w:t>
            </w:r>
          </w:p>
        </w:tc>
        <w:tc>
          <w:tcPr>
            <w:tcW w:w="80" w:type="dxa"/>
            <w:vAlign w:val="bottom"/>
            <w:shd w:val="clear" w:color="auto" w:fill="D2DCE5"/>
          </w:tcPr>
          <w:p>
            <w:pPr>
              <w:spacing w:after="0"/>
              <w:rPr>
                <w:sz w:val="16"/>
                <w:szCs w:val="16"/>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7.2</w:t>
            </w:r>
          </w:p>
        </w:tc>
        <w:tc>
          <w:tcPr>
            <w:tcW w:w="100" w:type="dxa"/>
            <w:vAlign w:val="bottom"/>
            <w:shd w:val="clear" w:color="auto" w:fill="D2DCE5"/>
          </w:tcPr>
          <w:p>
            <w:pPr>
              <w:spacing w:after="0"/>
              <w:rPr>
                <w:sz w:val="16"/>
                <w:szCs w:val="16"/>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36,306</w:t>
            </w:r>
          </w:p>
        </w:tc>
        <w:tc>
          <w:tcPr>
            <w:tcW w:w="80" w:type="dxa"/>
            <w:vAlign w:val="bottom"/>
            <w:shd w:val="clear" w:color="auto" w:fill="D2DCE5"/>
          </w:tcPr>
          <w:p>
            <w:pPr>
              <w:spacing w:after="0"/>
              <w:rPr>
                <w:sz w:val="16"/>
                <w:szCs w:val="16"/>
                <w:color w:val="auto"/>
              </w:rPr>
            </w:pP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5.6</w:t>
            </w:r>
          </w:p>
        </w:tc>
        <w:tc>
          <w:tcPr>
            <w:tcW w:w="80" w:type="dxa"/>
            <w:vAlign w:val="bottom"/>
            <w:shd w:val="clear" w:color="auto" w:fill="D2DCE5"/>
          </w:tcPr>
          <w:p>
            <w:pPr>
              <w:spacing w:after="0"/>
              <w:rPr>
                <w:sz w:val="16"/>
                <w:szCs w:val="16"/>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16,291</w:t>
            </w:r>
          </w:p>
        </w:tc>
        <w:tc>
          <w:tcPr>
            <w:tcW w:w="80" w:type="dxa"/>
            <w:vAlign w:val="bottom"/>
            <w:shd w:val="clear" w:color="auto" w:fill="D2DCE5"/>
          </w:tcPr>
          <w:p>
            <w:pPr>
              <w:spacing w:after="0"/>
              <w:rPr>
                <w:sz w:val="16"/>
                <w:szCs w:val="16"/>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4.0</w:t>
            </w:r>
          </w:p>
        </w:tc>
      </w:tr>
      <w:tr>
        <w:trPr>
          <w:trHeight w:val="181"/>
        </w:trPr>
        <w:tc>
          <w:tcPr>
            <w:tcW w:w="548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Company-operated shop costs and expenses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677,704</w:t>
            </w:r>
          </w:p>
        </w:tc>
        <w:tc>
          <w:tcPr>
            <w:tcW w:w="8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79.0</w:t>
            </w:r>
          </w:p>
        </w:tc>
        <w:tc>
          <w:tcPr>
            <w:tcW w:w="10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518,383</w:t>
            </w:r>
          </w:p>
        </w:tc>
        <w:tc>
          <w:tcPr>
            <w:tcW w:w="80" w:type="dxa"/>
            <w:vAlign w:val="bottom"/>
            <w:tcBorders>
              <w:bottom w:val="single" w:sz="8" w:color="D2DCE5"/>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81.0</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317,045</w:t>
            </w:r>
          </w:p>
        </w:tc>
        <w:tc>
          <w:tcPr>
            <w:tcW w:w="80" w:type="dxa"/>
            <w:vAlign w:val="bottom"/>
            <w:tcBorders>
              <w:bottom w:val="single" w:sz="8" w:color="D2DCE5"/>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78.5</w:t>
            </w:r>
          </w:p>
        </w:tc>
      </w:tr>
      <w:tr>
        <w:trPr>
          <w:trHeight w:val="212"/>
        </w:trPr>
        <w:tc>
          <w:tcPr>
            <w:tcW w:w="54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3"/>
                <w:szCs w:val="13"/>
                <w:color w:val="131E29"/>
              </w:rPr>
              <w:t>Company-operated shop gross profit</w:t>
            </w: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180,235</w:t>
            </w:r>
          </w:p>
        </w:tc>
        <w:tc>
          <w:tcPr>
            <w:tcW w:w="80" w:type="dxa"/>
            <w:vAlign w:val="bottom"/>
            <w:tcBorders>
              <w:bottom w:val="single" w:sz="8" w:color="D2DCE5"/>
            </w:tcBorders>
            <w:shd w:val="clear" w:color="auto" w:fill="D2DCE5"/>
          </w:tcPr>
          <w:p>
            <w:pPr>
              <w:spacing w:after="0"/>
              <w:rPr>
                <w:sz w:val="18"/>
                <w:szCs w:val="18"/>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21.0</w:t>
            </w:r>
          </w:p>
        </w:tc>
        <w:tc>
          <w:tcPr>
            <w:tcW w:w="10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121,327</w:t>
            </w:r>
          </w:p>
        </w:tc>
        <w:tc>
          <w:tcPr>
            <w:tcW w:w="80" w:type="dxa"/>
            <w:vAlign w:val="bottom"/>
            <w:tcBorders>
              <w:bottom w:val="single" w:sz="8" w:color="D2DCE5"/>
            </w:tcBorders>
            <w:shd w:val="clear" w:color="auto" w:fill="D2DCE5"/>
          </w:tcPr>
          <w:p>
            <w:pPr>
              <w:spacing w:after="0"/>
              <w:rPr>
                <w:sz w:val="18"/>
                <w:szCs w:val="18"/>
                <w:color w:val="auto"/>
              </w:rPr>
            </w:pP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19.0</w:t>
            </w:r>
          </w:p>
        </w:tc>
        <w:tc>
          <w:tcPr>
            <w:tcW w:w="8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86,701</w:t>
            </w:r>
          </w:p>
        </w:tc>
        <w:tc>
          <w:tcPr>
            <w:tcW w:w="80" w:type="dxa"/>
            <w:vAlign w:val="bottom"/>
            <w:tcBorders>
              <w:bottom w:val="single" w:sz="8" w:color="D2DCE5"/>
            </w:tcBorders>
            <w:shd w:val="clear" w:color="auto" w:fill="D2DCE5"/>
          </w:tcPr>
          <w:p>
            <w:pPr>
              <w:spacing w:after="0"/>
              <w:rPr>
                <w:sz w:val="18"/>
                <w:szCs w:val="18"/>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21.5</w:t>
            </w:r>
          </w:p>
        </w:tc>
      </w:tr>
      <w:tr>
        <w:trPr>
          <w:trHeight w:val="20"/>
        </w:trPr>
        <w:tc>
          <w:tcPr>
            <w:tcW w:w="54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r>
      <w:tr>
        <w:trPr>
          <w:trHeight w:val="195"/>
        </w:trPr>
        <w:tc>
          <w:tcPr>
            <w:tcW w:w="5480" w:type="dxa"/>
            <w:vAlign w:val="bottom"/>
            <w:gridSpan w:val="2"/>
          </w:tcPr>
          <w:p>
            <w:pPr>
              <w:ind w:left="140"/>
              <w:spacing w:after="0"/>
              <w:rPr>
                <w:sz w:val="20"/>
                <w:szCs w:val="20"/>
                <w:color w:val="auto"/>
              </w:rPr>
            </w:pPr>
            <w:r>
              <w:rPr>
                <w:rFonts w:ascii="Arial" w:cs="Arial" w:eastAsia="Arial" w:hAnsi="Arial"/>
                <w:sz w:val="13"/>
                <w:szCs w:val="13"/>
                <w:color w:val="131E29"/>
              </w:rPr>
              <w:t xml:space="preserve">Company-operated shop contribution </w:t>
            </w:r>
            <w:r>
              <w:rPr>
                <w:rFonts w:ascii="Arial" w:cs="Arial" w:eastAsia="Arial" w:hAnsi="Arial"/>
                <w:sz w:val="16"/>
                <w:szCs w:val="16"/>
                <w:color w:val="131E29"/>
                <w:vertAlign w:val="superscript"/>
              </w:rPr>
              <w:t>1</w:t>
            </w:r>
          </w:p>
        </w:tc>
        <w:tc>
          <w:tcPr>
            <w:tcW w:w="1080" w:type="dxa"/>
            <w:vAlign w:val="bottom"/>
          </w:tcPr>
          <w:p>
            <w:pPr>
              <w:jc w:val="right"/>
              <w:spacing w:after="0"/>
              <w:rPr>
                <w:sz w:val="20"/>
                <w:szCs w:val="20"/>
                <w:color w:val="auto"/>
              </w:rPr>
            </w:pPr>
            <w:r>
              <w:rPr>
                <w:rFonts w:ascii="Arial" w:cs="Arial" w:eastAsia="Arial" w:hAnsi="Arial"/>
                <w:sz w:val="13"/>
                <w:szCs w:val="13"/>
                <w:color w:val="131E29"/>
              </w:rPr>
              <w:t>242,323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28.2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157,633</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131E29"/>
              </w:rPr>
              <w:t>24.6</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102,992</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131E29"/>
              </w:rPr>
              <w:t>25.5</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19" w:lineRule="exact"/>
        <w:rPr>
          <w:sz w:val="20"/>
          <w:szCs w:val="20"/>
          <w:color w:val="auto"/>
        </w:rPr>
      </w:pPr>
    </w:p>
    <w:p>
      <w:pPr>
        <w:ind w:left="120" w:hanging="115"/>
        <w:spacing w:after="0"/>
        <w:tabs>
          <w:tab w:leader="none" w:pos="120" w:val="left"/>
        </w:tabs>
        <w:numPr>
          <w:ilvl w:val="0"/>
          <w:numId w:val="44"/>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Company-operated Shops Segment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131E29"/>
              </w:rPr>
              <w:t>Year Ended December 31,</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81"/>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5"/>
                <w:szCs w:val="15"/>
                <w:color w:val="auto"/>
              </w:rPr>
            </w:pPr>
          </w:p>
        </w:tc>
        <w:tc>
          <w:tcPr>
            <w:tcW w:w="220" w:type="dxa"/>
            <w:vAlign w:val="bottom"/>
            <w:tcBorders>
              <w:bottom w:val="single" w:sz="8" w:color="131E29"/>
            </w:tcBorders>
          </w:tcPr>
          <w:p>
            <w:pPr>
              <w:spacing w:after="0"/>
              <w:rPr>
                <w:sz w:val="15"/>
                <w:szCs w:val="15"/>
                <w:color w:val="auto"/>
              </w:rPr>
            </w:pPr>
          </w:p>
        </w:tc>
        <w:tc>
          <w:tcPr>
            <w:tcW w:w="760" w:type="dxa"/>
            <w:vAlign w:val="bottom"/>
            <w:tcBorders>
              <w:bottom w:val="single" w:sz="8" w:color="131E29"/>
            </w:tcBorders>
          </w:tcPr>
          <w:p>
            <w:pPr>
              <w:jc w:val="right"/>
              <w:ind w:right="297"/>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780" w:type="dxa"/>
            <w:vAlign w:val="bottom"/>
            <w:tcBorders>
              <w:bottom w:val="single" w:sz="8" w:color="131E29"/>
            </w:tcBorders>
          </w:tcPr>
          <w:p>
            <w:pPr>
              <w:jc w:val="right"/>
              <w:ind w:right="297"/>
              <w:spacing w:after="0"/>
              <w:rPr>
                <w:sz w:val="20"/>
                <w:szCs w:val="20"/>
                <w:color w:val="auto"/>
              </w:rPr>
            </w:pPr>
            <w:r>
              <w:rPr>
                <w:rFonts w:ascii="Arial" w:cs="Arial" w:eastAsia="Arial" w:hAnsi="Arial"/>
                <w:sz w:val="13"/>
                <w:szCs w:val="13"/>
                <w:b w:val="1"/>
                <w:bCs w:val="1"/>
                <w:color w:val="131E29"/>
              </w:rPr>
              <w:t>2022</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800" w:type="dxa"/>
            <w:vAlign w:val="bottom"/>
            <w:tcBorders>
              <w:bottom w:val="single" w:sz="8" w:color="131E29"/>
            </w:tcBorders>
          </w:tcPr>
          <w:p>
            <w:pPr>
              <w:jc w:val="right"/>
              <w:ind w:right="317"/>
              <w:spacing w:after="0"/>
              <w:rPr>
                <w:sz w:val="20"/>
                <w:szCs w:val="20"/>
                <w:color w:val="auto"/>
              </w:rPr>
            </w:pPr>
            <w:r>
              <w:rPr>
                <w:rFonts w:ascii="Arial" w:cs="Arial" w:eastAsia="Arial" w:hAnsi="Arial"/>
                <w:sz w:val="13"/>
                <w:szCs w:val="13"/>
                <w:b w:val="1"/>
                <w:bCs w:val="1"/>
                <w:color w:val="131E29"/>
              </w:rPr>
              <w:t>2021</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437"/>
              <w:spacing w:after="0"/>
              <w:rPr>
                <w:sz w:val="20"/>
                <w:szCs w:val="20"/>
                <w:color w:val="auto"/>
              </w:rPr>
            </w:pPr>
            <w:r>
              <w:rPr>
                <w:rFonts w:ascii="Arial" w:cs="Arial" w:eastAsia="Arial" w:hAnsi="Arial"/>
                <w:sz w:val="13"/>
                <w:szCs w:val="13"/>
                <w:b w:val="1"/>
                <w:bCs w:val="1"/>
                <w:color w:val="131E29"/>
              </w:rPr>
              <w:t>2023 v. 2022</w:t>
            </w:r>
          </w:p>
        </w:tc>
        <w:tc>
          <w:tcPr>
            <w:tcW w:w="80" w:type="dxa"/>
            <w:vAlign w:val="bottom"/>
            <w:tcBorders>
              <w:bottom w:val="single" w:sz="8" w:color="D2DC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2022 v 2021</w:t>
            </w:r>
          </w:p>
        </w:tc>
        <w:tc>
          <w:tcPr>
            <w:tcW w:w="620" w:type="dxa"/>
            <w:vAlign w:val="bottom"/>
            <w:tcBorders>
              <w:bottom w:val="single" w:sz="8" w:color="auto"/>
            </w:tcBorders>
          </w:tcPr>
          <w:p>
            <w:pPr>
              <w:spacing w:after="0"/>
              <w:rPr>
                <w:sz w:val="15"/>
                <w:szCs w:val="15"/>
                <w:color w:val="auto"/>
              </w:rPr>
            </w:pPr>
          </w:p>
        </w:tc>
      </w:tr>
      <w:tr>
        <w:trPr>
          <w:trHeight w:val="184"/>
        </w:trPr>
        <w:tc>
          <w:tcPr>
            <w:tcW w:w="42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22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w w:val="82"/>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857,939</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639,710</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403,746</w:t>
            </w: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jc w:val="right"/>
              <w:ind w:right="13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117"/>
              <w:spacing w:after="0"/>
              <w:rPr>
                <w:sz w:val="20"/>
                <w:szCs w:val="20"/>
                <w:color w:val="auto"/>
              </w:rPr>
            </w:pPr>
            <w:r>
              <w:rPr>
                <w:rFonts w:ascii="Arial" w:cs="Arial" w:eastAsia="Arial" w:hAnsi="Arial"/>
                <w:sz w:val="13"/>
                <w:szCs w:val="13"/>
                <w:color w:val="131E29"/>
              </w:rPr>
              <w:t>218,229</w:t>
            </w:r>
          </w:p>
        </w:tc>
        <w:tc>
          <w:tcPr>
            <w:tcW w:w="62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rPr>
              <w:t>34.1%</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jc w:val="right"/>
              <w:ind w:right="137"/>
              <w:spacing w:after="0"/>
              <w:rPr>
                <w:sz w:val="20"/>
                <w:szCs w:val="20"/>
                <w:color w:val="auto"/>
              </w:rPr>
            </w:pPr>
            <w:r>
              <w:rPr>
                <w:rFonts w:ascii="Arial" w:cs="Arial" w:eastAsia="Arial" w:hAnsi="Arial"/>
                <w:sz w:val="13"/>
                <w:szCs w:val="13"/>
                <w:color w:val="131E29"/>
              </w:rPr>
              <w:t>$</w:t>
            </w:r>
          </w:p>
        </w:tc>
        <w:tc>
          <w:tcPr>
            <w:tcW w:w="1040" w:type="dxa"/>
            <w:vAlign w:val="bottom"/>
            <w:shd w:val="clear" w:color="auto" w:fill="D2DCE5"/>
          </w:tcPr>
          <w:p>
            <w:pPr>
              <w:jc w:val="right"/>
              <w:ind w:right="297"/>
              <w:spacing w:after="0"/>
              <w:rPr>
                <w:sz w:val="20"/>
                <w:szCs w:val="20"/>
                <w:color w:val="auto"/>
              </w:rPr>
            </w:pPr>
            <w:r>
              <w:rPr>
                <w:rFonts w:ascii="Arial" w:cs="Arial" w:eastAsia="Arial" w:hAnsi="Arial"/>
                <w:sz w:val="13"/>
                <w:szCs w:val="13"/>
                <w:color w:val="131E29"/>
              </w:rPr>
              <w:t>235,964</w:t>
            </w:r>
          </w:p>
        </w:tc>
        <w:tc>
          <w:tcPr>
            <w:tcW w:w="620" w:type="dxa"/>
            <w:vAlign w:val="bottom"/>
            <w:shd w:val="clear" w:color="auto" w:fill="D2DCE5"/>
          </w:tcPr>
          <w:p>
            <w:pPr>
              <w:jc w:val="right"/>
              <w:ind w:right="177"/>
              <w:spacing w:after="0"/>
              <w:rPr>
                <w:sz w:val="20"/>
                <w:szCs w:val="20"/>
                <w:color w:val="auto"/>
              </w:rPr>
            </w:pPr>
            <w:r>
              <w:rPr>
                <w:rFonts w:ascii="Arial" w:cs="Arial" w:eastAsia="Arial" w:hAnsi="Arial"/>
                <w:sz w:val="13"/>
                <w:szCs w:val="13"/>
                <w:color w:val="131E29"/>
                <w:w w:val="97"/>
              </w:rPr>
              <w:t>58.4%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Company-operated shop revenue increase was primarily driven by the following:</w:t>
      </w:r>
    </w:p>
    <w:p>
      <w:pPr>
        <w:spacing w:after="0" w:line="121" w:lineRule="exact"/>
        <w:rPr>
          <w:sz w:val="20"/>
          <w:szCs w:val="20"/>
          <w:color w:val="auto"/>
        </w:rPr>
      </w:pPr>
    </w:p>
    <w:p>
      <w:pPr>
        <w:ind w:left="240" w:hanging="235"/>
        <w:spacing w:after="0"/>
        <w:tabs>
          <w:tab w:leader="none" w:pos="240" w:val="left"/>
        </w:tabs>
        <w:numPr>
          <w:ilvl w:val="0"/>
          <w:numId w:val="45"/>
        </w:numPr>
        <w:rPr>
          <w:rFonts w:ascii="Arial" w:cs="Arial" w:eastAsia="Arial" w:hAnsi="Arial"/>
          <w:sz w:val="14"/>
          <w:szCs w:val="14"/>
          <w:b w:val="1"/>
          <w:bCs w:val="1"/>
          <w:color w:val="006098"/>
        </w:rPr>
      </w:pPr>
      <w:r>
        <w:rPr>
          <w:rFonts w:ascii="Arial" w:cs="Arial" w:eastAsia="Arial" w:hAnsi="Arial"/>
          <w:sz w:val="14"/>
          <w:szCs w:val="14"/>
          <w:color w:val="131E29"/>
        </w:rPr>
        <w:t>$208.6 million from company-operated shops opened in the last 15 months.</w:t>
      </w:r>
    </w:p>
    <w:p>
      <w:pPr>
        <w:spacing w:after="0" w:line="90" w:lineRule="exact"/>
        <w:rPr>
          <w:rFonts w:ascii="Arial" w:cs="Arial" w:eastAsia="Arial" w:hAnsi="Arial"/>
          <w:sz w:val="14"/>
          <w:szCs w:val="14"/>
          <w:b w:val="1"/>
          <w:bCs w:val="1"/>
          <w:color w:val="006098"/>
        </w:rPr>
      </w:pPr>
    </w:p>
    <w:p>
      <w:pPr>
        <w:ind w:left="240" w:hanging="235"/>
        <w:spacing w:after="0"/>
        <w:tabs>
          <w:tab w:leader="none" w:pos="240" w:val="left"/>
        </w:tabs>
        <w:numPr>
          <w:ilvl w:val="0"/>
          <w:numId w:val="45"/>
        </w:numPr>
        <w:rPr>
          <w:rFonts w:ascii="Arial" w:cs="Arial" w:eastAsia="Arial" w:hAnsi="Arial"/>
          <w:sz w:val="14"/>
          <w:szCs w:val="14"/>
          <w:b w:val="1"/>
          <w:bCs w:val="1"/>
          <w:color w:val="006098"/>
        </w:rPr>
      </w:pPr>
      <w:r>
        <w:rPr>
          <w:rFonts w:ascii="Arial" w:cs="Arial" w:eastAsia="Arial" w:hAnsi="Arial"/>
          <w:sz w:val="14"/>
          <w:szCs w:val="14"/>
          <w:color w:val="131E29"/>
        </w:rPr>
        <w:t>$9.6 million from an increase in same shop sales in the comparable shop base.</w:t>
      </w:r>
      <w:r>
        <w:rPr>
          <w:rFonts w:ascii="Arial" w:cs="Arial" w:eastAsia="Arial" w:hAnsi="Arial"/>
          <w:sz w:val="18"/>
          <w:szCs w:val="18"/>
          <w:color w:val="131E29"/>
          <w:vertAlign w:val="superscript"/>
        </w:rPr>
        <w:t>1</w:t>
      </w:r>
    </w:p>
    <w:p>
      <w:pPr>
        <w:spacing w:after="0" w:line="48" w:lineRule="exact"/>
        <w:rPr>
          <w:rFonts w:ascii="Arial" w:cs="Arial" w:eastAsia="Arial" w:hAnsi="Arial"/>
          <w:sz w:val="14"/>
          <w:szCs w:val="14"/>
          <w:b w:val="1"/>
          <w:bCs w:val="1"/>
          <w:color w:val="006098"/>
        </w:rPr>
      </w:pPr>
    </w:p>
    <w:p>
      <w:pPr>
        <w:spacing w:after="0"/>
        <w:rPr>
          <w:rFonts w:ascii="Arial" w:cs="Arial" w:eastAsia="Arial" w:hAnsi="Arial"/>
          <w:sz w:val="14"/>
          <w:szCs w:val="14"/>
          <w:b w:val="1"/>
          <w:bCs w:val="1"/>
          <w:color w:val="006098"/>
        </w:rPr>
      </w:pPr>
      <w:r>
        <w:rPr>
          <w:rFonts w:ascii="Arial" w:cs="Arial" w:eastAsia="Arial" w:hAnsi="Arial"/>
          <w:sz w:val="14"/>
          <w:szCs w:val="14"/>
          <w:color w:val="131E29"/>
        </w:rPr>
        <w:t>_________________</w:t>
      </w:r>
    </w:p>
    <w:p>
      <w:pPr>
        <w:spacing w:after="0" w:line="119" w:lineRule="exact"/>
        <w:rPr>
          <w:sz w:val="20"/>
          <w:szCs w:val="20"/>
          <w:color w:val="auto"/>
        </w:rPr>
      </w:pPr>
    </w:p>
    <w:p>
      <w:pPr>
        <w:ind w:left="120" w:hanging="115"/>
        <w:spacing w:after="0"/>
        <w:tabs>
          <w:tab w:leader="none" w:pos="120" w:val="left"/>
        </w:tabs>
        <w:numPr>
          <w:ilvl w:val="0"/>
          <w:numId w:val="46"/>
        </w:numPr>
        <w:rPr>
          <w:rFonts w:ascii="Arial" w:cs="Arial" w:eastAsia="Arial" w:hAnsi="Arial"/>
          <w:sz w:val="15"/>
          <w:szCs w:val="15"/>
          <w:color w:val="131E29"/>
          <w:vertAlign w:val="superscript"/>
        </w:rPr>
      </w:pPr>
      <w:r>
        <w:rPr>
          <w:rFonts w:ascii="Arial" w:cs="Arial" w:eastAsia="Arial" w:hAnsi="Arial"/>
          <w:sz w:val="11"/>
          <w:szCs w:val="11"/>
          <w:color w:val="131E29"/>
        </w:rPr>
        <w:t>For purposes of calculating company-operated same shop revenue, the revenue for 246 company-operated shops was included in the comparable shop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77470</wp:posOffset>
            </wp:positionV>
            <wp:extent cx="4188460" cy="1094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88460" cy="109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43" w:lineRule="exact"/>
        <w:rPr>
          <w:sz w:val="20"/>
          <w:szCs w:val="20"/>
          <w:color w:val="auto"/>
        </w:rPr>
      </w:pPr>
    </w:p>
    <w:p>
      <w:pPr>
        <w:ind w:left="140" w:right="80" w:hanging="135"/>
        <w:spacing w:after="0" w:line="301" w:lineRule="auto"/>
        <w:tabs>
          <w:tab w:leader="none" w:pos="135" w:val="left"/>
        </w:tabs>
        <w:numPr>
          <w:ilvl w:val="0"/>
          <w:numId w:val="47"/>
        </w:numPr>
        <w:rPr>
          <w:rFonts w:ascii="Arial" w:cs="Arial" w:eastAsia="Arial" w:hAnsi="Arial"/>
          <w:sz w:val="7"/>
          <w:szCs w:val="7"/>
          <w:color w:val="131E29"/>
        </w:rPr>
      </w:pPr>
      <w:r>
        <w:rPr>
          <w:rFonts w:ascii="Arial" w:cs="Arial" w:eastAsia="Arial" w:hAnsi="Arial"/>
          <w:sz w:val="11"/>
          <w:szCs w:val="11"/>
          <w:color w:val="131E29"/>
        </w:rPr>
        <w:t>The comparable shop bases were 120, 173, and 246 for the three years ended December 31, 2021, 2022, and 2023, respectively. The comparable shop base includes mature shops, which we define as open longer than 15 months.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Beverage, Food, and Packaging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131E29"/>
              </w:rPr>
              <w:t>Year Ended December 31,</w:t>
            </w: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940" w:type="dxa"/>
            <w:vAlign w:val="bottom"/>
            <w:tcBorders>
              <w:bottom w:val="single" w:sz="8" w:color="131E29"/>
            </w:tcBorders>
          </w:tcPr>
          <w:p>
            <w:pPr>
              <w:jc w:val="right"/>
              <w:ind w:right="370"/>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900" w:type="dxa"/>
            <w:vAlign w:val="bottom"/>
            <w:tcBorders>
              <w:bottom w:val="single" w:sz="8" w:color="131E29"/>
            </w:tcBorders>
          </w:tcPr>
          <w:p>
            <w:pPr>
              <w:jc w:val="right"/>
              <w:ind w:right="35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900" w:type="dxa"/>
            <w:vAlign w:val="bottom"/>
            <w:tcBorders>
              <w:bottom w:val="single" w:sz="8" w:color="131E29"/>
            </w:tcBorders>
          </w:tcPr>
          <w:p>
            <w:pPr>
              <w:jc w:val="right"/>
              <w:ind w:right="350"/>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7"/>
                <w:szCs w:val="17"/>
                <w:color w:val="auto"/>
              </w:rPr>
            </w:pPr>
          </w:p>
        </w:tc>
        <w:tc>
          <w:tcPr>
            <w:tcW w:w="340" w:type="dxa"/>
            <w:vAlign w:val="bottom"/>
            <w:tcBorders>
              <w:bottom w:val="single" w:sz="8" w:color="131E29"/>
            </w:tcBorders>
          </w:tcPr>
          <w:p>
            <w:pPr>
              <w:spacing w:after="0"/>
              <w:rPr>
                <w:sz w:val="17"/>
                <w:szCs w:val="17"/>
                <w:color w:val="auto"/>
              </w:rPr>
            </w:pPr>
          </w:p>
        </w:tc>
        <w:tc>
          <w:tcPr>
            <w:tcW w:w="1340" w:type="dxa"/>
            <w:vAlign w:val="bottom"/>
            <w:tcBorders>
              <w:bottom w:val="single" w:sz="8" w:color="131E29"/>
            </w:tcBorders>
          </w:tcPr>
          <w:p>
            <w:pPr>
              <w:jc w:val="right"/>
              <w:ind w:right="10"/>
              <w:spacing w:after="0"/>
              <w:rPr>
                <w:sz w:val="20"/>
                <w:szCs w:val="20"/>
                <w:color w:val="auto"/>
              </w:rPr>
            </w:pPr>
            <w:r>
              <w:rPr>
                <w:rFonts w:ascii="Arial" w:cs="Arial" w:eastAsia="Arial" w:hAnsi="Arial"/>
                <w:sz w:val="14"/>
                <w:szCs w:val="14"/>
                <w:b w:val="1"/>
                <w:bCs w:val="1"/>
                <w:color w:val="131E29"/>
              </w:rPr>
              <w:t>2023 v. 2022</w:t>
            </w:r>
          </w:p>
        </w:tc>
        <w:tc>
          <w:tcPr>
            <w:tcW w:w="400" w:type="dxa"/>
            <w:vAlign w:val="bottom"/>
            <w:tcBorders>
              <w:bottom w:val="single" w:sz="8" w:color="131E29"/>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400" w:type="dxa"/>
            <w:vAlign w:val="bottom"/>
            <w:tcBorders>
              <w:bottom w:val="single" w:sz="8" w:color="131E29"/>
            </w:tcBorders>
          </w:tcPr>
          <w:p>
            <w:pPr>
              <w:ind w:left="500"/>
              <w:spacing w:after="0"/>
              <w:rPr>
                <w:sz w:val="20"/>
                <w:szCs w:val="20"/>
                <w:color w:val="auto"/>
              </w:rPr>
            </w:pPr>
            <w:r>
              <w:rPr>
                <w:rFonts w:ascii="Arial" w:cs="Arial" w:eastAsia="Arial" w:hAnsi="Arial"/>
                <w:sz w:val="14"/>
                <w:szCs w:val="14"/>
                <w:b w:val="1"/>
                <w:bCs w:val="1"/>
                <w:color w:val="131E29"/>
              </w:rPr>
              <w:t>2022 v 2021</w:t>
            </w:r>
          </w:p>
        </w:tc>
        <w:tc>
          <w:tcPr>
            <w:tcW w:w="440" w:type="dxa"/>
            <w:vAlign w:val="bottom"/>
            <w:tcBorders>
              <w:bottom w:val="single" w:sz="8" w:color="131E29"/>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Beverage, food and packaging costs</w:t>
            </w:r>
          </w:p>
        </w:tc>
        <w:tc>
          <w:tcPr>
            <w:tcW w:w="28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230,133</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w w:val="76"/>
              </w:rPr>
              <w:t>$</w:t>
            </w:r>
          </w:p>
        </w:tc>
        <w:tc>
          <w:tcPr>
            <w:tcW w:w="90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171,864</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90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102,222</w:t>
            </w:r>
          </w:p>
        </w:tc>
        <w:tc>
          <w:tcPr>
            <w:tcW w:w="80" w:type="dxa"/>
            <w:vAlign w:val="bottom"/>
            <w:shd w:val="clear" w:color="auto" w:fill="D2DCE5"/>
          </w:tcPr>
          <w:p>
            <w:pPr>
              <w:spacing w:after="0"/>
              <w:rPr>
                <w:sz w:val="18"/>
                <w:szCs w:val="18"/>
                <w:color w:val="auto"/>
              </w:rPr>
            </w:pPr>
          </w:p>
        </w:tc>
        <w:tc>
          <w:tcPr>
            <w:tcW w:w="34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rPr>
              <w:t>$</w:t>
            </w:r>
          </w:p>
        </w:tc>
        <w:tc>
          <w:tcPr>
            <w:tcW w:w="1340" w:type="dxa"/>
            <w:vAlign w:val="bottom"/>
            <w:shd w:val="clear" w:color="auto" w:fill="D2DCE5"/>
          </w:tcPr>
          <w:p>
            <w:pPr>
              <w:jc w:val="right"/>
              <w:ind w:right="590"/>
              <w:spacing w:after="0"/>
              <w:rPr>
                <w:sz w:val="20"/>
                <w:szCs w:val="20"/>
                <w:color w:val="auto"/>
              </w:rPr>
            </w:pPr>
            <w:r>
              <w:rPr>
                <w:rFonts w:ascii="Arial" w:cs="Arial" w:eastAsia="Arial" w:hAnsi="Arial"/>
                <w:sz w:val="14"/>
                <w:szCs w:val="14"/>
                <w:color w:val="131E29"/>
              </w:rPr>
              <w:t>58,269</w:t>
            </w:r>
          </w:p>
        </w:tc>
        <w:tc>
          <w:tcPr>
            <w:tcW w:w="4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33.9</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w w:val="76"/>
              </w:rPr>
              <w:t>$</w:t>
            </w:r>
          </w:p>
        </w:tc>
        <w:tc>
          <w:tcPr>
            <w:tcW w:w="1400" w:type="dxa"/>
            <w:vAlign w:val="bottom"/>
            <w:shd w:val="clear" w:color="auto" w:fill="D2DCE5"/>
          </w:tcPr>
          <w:p>
            <w:pPr>
              <w:jc w:val="right"/>
              <w:ind w:right="650"/>
              <w:spacing w:after="0"/>
              <w:rPr>
                <w:sz w:val="20"/>
                <w:szCs w:val="20"/>
                <w:color w:val="auto"/>
              </w:rPr>
            </w:pPr>
            <w:r>
              <w:rPr>
                <w:rFonts w:ascii="Arial" w:cs="Arial" w:eastAsia="Arial" w:hAnsi="Arial"/>
                <w:sz w:val="14"/>
                <w:szCs w:val="14"/>
                <w:color w:val="131E29"/>
              </w:rPr>
              <w:t>69,642</w:t>
            </w:r>
          </w:p>
        </w:tc>
        <w:tc>
          <w:tcPr>
            <w:tcW w:w="4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68.1</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61"/>
        </w:trPr>
        <w:tc>
          <w:tcPr>
            <w:tcW w:w="258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company-operated</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26.9 %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131E29"/>
              </w:rPr>
              <w:t>26.9 %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131E29"/>
              </w:rPr>
              <w:t>25.3 %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vMerge w:val="restart"/>
          </w:tcPr>
          <w:p>
            <w:pPr>
              <w:jc w:val="right"/>
              <w:ind w:right="550"/>
              <w:spacing w:after="0"/>
              <w:rPr>
                <w:sz w:val="20"/>
                <w:szCs w:val="20"/>
                <w:color w:val="auto"/>
              </w:rPr>
            </w:pPr>
            <w:r>
              <w:rPr>
                <w:rFonts w:ascii="Arial" w:cs="Arial" w:eastAsia="Arial" w:hAnsi="Arial"/>
                <w:sz w:val="14"/>
                <w:szCs w:val="14"/>
                <w:color w:val="131E29"/>
              </w:rPr>
              <w:t>N/A</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131E29"/>
              </w:rPr>
              <w:t>bps</w:t>
            </w:r>
          </w:p>
        </w:tc>
        <w:tc>
          <w:tcPr>
            <w:tcW w:w="320" w:type="dxa"/>
            <w:vAlign w:val="bottom"/>
          </w:tcPr>
          <w:p>
            <w:pPr>
              <w:spacing w:after="0"/>
              <w:rPr>
                <w:sz w:val="13"/>
                <w:szCs w:val="13"/>
                <w:color w:val="auto"/>
              </w:rPr>
            </w:pPr>
          </w:p>
        </w:tc>
        <w:tc>
          <w:tcPr>
            <w:tcW w:w="1400" w:type="dxa"/>
            <w:vAlign w:val="bottom"/>
            <w:vMerge w:val="restart"/>
          </w:tcPr>
          <w:p>
            <w:pPr>
              <w:ind w:left="500"/>
              <w:spacing w:after="0"/>
              <w:rPr>
                <w:sz w:val="20"/>
                <w:szCs w:val="20"/>
                <w:color w:val="auto"/>
              </w:rPr>
            </w:pPr>
            <w:r>
              <w:rPr>
                <w:rFonts w:ascii="Arial" w:cs="Arial" w:eastAsia="Arial" w:hAnsi="Arial"/>
                <w:sz w:val="14"/>
                <w:szCs w:val="14"/>
                <w:color w:val="131E29"/>
              </w:rPr>
              <w:t>N/A</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131E29"/>
              </w:rPr>
              <w:t>160</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bps</w:t>
            </w:r>
          </w:p>
        </w:tc>
        <w:tc>
          <w:tcPr>
            <w:tcW w:w="0" w:type="dxa"/>
            <w:vAlign w:val="bottom"/>
          </w:tcPr>
          <w:p>
            <w:pPr>
              <w:spacing w:after="0"/>
              <w:rPr>
                <w:sz w:val="1"/>
                <w:szCs w:val="1"/>
                <w:color w:val="auto"/>
              </w:rPr>
            </w:pPr>
          </w:p>
        </w:tc>
      </w:tr>
      <w:tr>
        <w:trPr>
          <w:trHeight w:val="169"/>
        </w:trPr>
        <w:tc>
          <w:tcPr>
            <w:tcW w:w="2580" w:type="dxa"/>
            <w:vAlign w:val="bottom"/>
            <w:gridSpan w:val="2"/>
          </w:tcPr>
          <w:p>
            <w:pPr>
              <w:ind w:left="20"/>
              <w:spacing w:after="0"/>
              <w:rPr>
                <w:sz w:val="20"/>
                <w:szCs w:val="20"/>
                <w:color w:val="auto"/>
              </w:rPr>
            </w:pPr>
            <w:r>
              <w:rPr>
                <w:rFonts w:ascii="Arial" w:cs="Arial" w:eastAsia="Arial" w:hAnsi="Arial"/>
                <w:sz w:val="13"/>
                <w:szCs w:val="13"/>
                <w:i w:val="1"/>
                <w:iCs w:val="1"/>
                <w:color w:val="131E29"/>
              </w:rPr>
              <w:t>shop revenues</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7" w:name="page78"/>
    <w:bookmarkEnd w:id="7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4"/>
          <w:szCs w:val="14"/>
          <w:color w:val="131E29"/>
        </w:rPr>
        <w:t>The beverage, food and packaging costs impacts for the year-over-year comparison, in dollars and basis points (as a percentage of current year company-operated shop revenues), were driven by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5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except BPS; unaudited)</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554"/>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500" w:type="dxa"/>
            <w:vAlign w:val="bottom"/>
            <w:tcBorders>
              <w:bottom w:val="single" w:sz="8" w:color="131E29"/>
            </w:tcBorders>
          </w:tcPr>
          <w:p>
            <w:pPr>
              <w:spacing w:after="0"/>
              <w:rPr>
                <w:sz w:val="17"/>
                <w:szCs w:val="17"/>
                <w:color w:val="auto"/>
              </w:rPr>
            </w:pPr>
          </w:p>
        </w:tc>
        <w:tc>
          <w:tcPr>
            <w:tcW w:w="820" w:type="dxa"/>
            <w:vAlign w:val="bottom"/>
            <w:tcBorders>
              <w:bottom w:val="single" w:sz="8" w:color="131E29"/>
            </w:tcBorders>
          </w:tcPr>
          <w:p>
            <w:pPr>
              <w:jc w:val="right"/>
              <w:ind w:right="454"/>
              <w:spacing w:after="0"/>
              <w:rPr>
                <w:sz w:val="20"/>
                <w:szCs w:val="20"/>
                <w:color w:val="auto"/>
              </w:rPr>
            </w:pPr>
            <w:r>
              <w:rPr>
                <w:rFonts w:ascii="Arial" w:cs="Arial" w:eastAsia="Arial" w:hAnsi="Arial"/>
                <w:sz w:val="14"/>
                <w:szCs w:val="14"/>
                <w:b w:val="1"/>
                <w:bCs w:val="1"/>
                <w:color w:val="131E29"/>
                <w:w w:val="97"/>
              </w:rPr>
              <w:t>BPS</w:t>
            </w:r>
          </w:p>
        </w:tc>
        <w:tc>
          <w:tcPr>
            <w:tcW w:w="0" w:type="dxa"/>
            <w:vAlign w:val="bottom"/>
          </w:tcPr>
          <w:p>
            <w:pPr>
              <w:spacing w:after="0"/>
              <w:rPr>
                <w:sz w:val="1"/>
                <w:szCs w:val="1"/>
                <w:color w:val="auto"/>
              </w:rPr>
            </w:pPr>
          </w:p>
        </w:tc>
      </w:tr>
      <w:tr>
        <w:trPr>
          <w:trHeight w:val="187"/>
        </w:trPr>
        <w:tc>
          <w:tcPr>
            <w:tcW w:w="2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26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8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1380" w:type="dxa"/>
            <w:vAlign w:val="bottom"/>
            <w:shd w:val="clear" w:color="auto" w:fill="D2DCE5"/>
          </w:tcPr>
          <w:p>
            <w:pPr>
              <w:spacing w:after="0"/>
              <w:rPr>
                <w:sz w:val="16"/>
                <w:szCs w:val="16"/>
                <w:color w:val="auto"/>
              </w:rPr>
            </w:pPr>
          </w:p>
        </w:tc>
        <w:tc>
          <w:tcPr>
            <w:tcW w:w="720" w:type="dxa"/>
            <w:vAlign w:val="bottom"/>
            <w:gridSpan w:val="3"/>
            <w:shd w:val="clear" w:color="auto" w:fill="D2DCE5"/>
          </w:tcPr>
          <w:p>
            <w:pPr>
              <w:jc w:val="right"/>
              <w:ind w:right="100"/>
              <w:spacing w:after="0"/>
              <w:rPr>
                <w:sz w:val="20"/>
                <w:szCs w:val="20"/>
                <w:color w:val="auto"/>
              </w:rPr>
            </w:pPr>
            <w:r>
              <w:rPr>
                <w:rFonts w:ascii="Arial" w:cs="Arial" w:eastAsia="Arial" w:hAnsi="Arial"/>
                <w:sz w:val="13"/>
                <w:szCs w:val="13"/>
                <w:color w:val="131E29"/>
              </w:rPr>
              <w:t>$</w:t>
            </w:r>
          </w:p>
        </w:tc>
        <w:tc>
          <w:tcPr>
            <w:tcW w:w="80" w:type="dxa"/>
            <w:vAlign w:val="bottom"/>
            <w:shd w:val="clear" w:color="auto" w:fill="D2DCE5"/>
          </w:tcPr>
          <w:p>
            <w:pPr>
              <w:spacing w:after="0"/>
              <w:rPr>
                <w:sz w:val="16"/>
                <w:szCs w:val="16"/>
                <w:color w:val="auto"/>
              </w:rPr>
            </w:pPr>
          </w:p>
        </w:tc>
        <w:tc>
          <w:tcPr>
            <w:tcW w:w="22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49,089</w:t>
            </w:r>
          </w:p>
        </w:tc>
        <w:tc>
          <w:tcPr>
            <w:tcW w:w="80" w:type="dxa"/>
            <w:vAlign w:val="bottom"/>
            <w:shd w:val="clear" w:color="auto" w:fill="D2DCE5"/>
          </w:tcPr>
          <w:p>
            <w:pPr>
              <w:spacing w:after="0"/>
              <w:rPr>
                <w:sz w:val="16"/>
                <w:szCs w:val="16"/>
                <w:color w:val="auto"/>
              </w:rPr>
            </w:pPr>
          </w:p>
        </w:tc>
        <w:tc>
          <w:tcPr>
            <w:tcW w:w="500" w:type="dxa"/>
            <w:vAlign w:val="bottom"/>
            <w:shd w:val="clear" w:color="auto" w:fill="D2DCE5"/>
          </w:tcPr>
          <w:p>
            <w:pPr>
              <w:spacing w:after="0"/>
              <w:rPr>
                <w:sz w:val="16"/>
                <w:szCs w:val="16"/>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131E29"/>
              </w:rPr>
              <w:t>Ingredient costs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4,241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131E29"/>
              </w:rPr>
              <w:t>50</w:t>
            </w: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Volume</w:t>
            </w:r>
          </w:p>
        </w:tc>
        <w:tc>
          <w:tcPr>
            <w:tcW w:w="2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380" w:type="dxa"/>
            <w:vAlign w:val="bottom"/>
            <w:shd w:val="clear" w:color="auto" w:fill="D2DCE5"/>
          </w:tcPr>
          <w:p>
            <w:pPr>
              <w:spacing w:after="0"/>
              <w:rPr>
                <w:sz w:val="17"/>
                <w:szCs w:val="17"/>
                <w:color w:val="auto"/>
              </w:rPr>
            </w:pPr>
          </w:p>
        </w:tc>
        <w:tc>
          <w:tcPr>
            <w:tcW w:w="4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971</w:t>
            </w:r>
          </w:p>
        </w:tc>
        <w:tc>
          <w:tcPr>
            <w:tcW w:w="80" w:type="dxa"/>
            <w:vAlign w:val="bottom"/>
            <w:shd w:val="clear" w:color="auto" w:fill="D2DCE5"/>
          </w:tcPr>
          <w:p>
            <w:pPr>
              <w:spacing w:after="0"/>
              <w:rPr>
                <w:sz w:val="17"/>
                <w:szCs w:val="17"/>
                <w:color w:val="auto"/>
              </w:rPr>
            </w:pPr>
          </w:p>
        </w:tc>
        <w:tc>
          <w:tcPr>
            <w:tcW w:w="500" w:type="dxa"/>
            <w:vAlign w:val="bottom"/>
            <w:shd w:val="clear" w:color="auto" w:fill="D2DCE5"/>
          </w:tcPr>
          <w:p>
            <w:pPr>
              <w:spacing w:after="0"/>
              <w:rPr>
                <w:sz w:val="17"/>
                <w:szCs w:val="17"/>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131E29"/>
              </w:rPr>
              <w:t>Timing</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ind w:left="620"/>
              <w:spacing w:after="0"/>
              <w:rPr>
                <w:sz w:val="20"/>
                <w:szCs w:val="20"/>
                <w:color w:val="auto"/>
              </w:rPr>
            </w:pPr>
            <w:r>
              <w:rPr>
                <w:rFonts w:ascii="Arial" w:cs="Arial" w:eastAsia="Arial" w:hAnsi="Arial"/>
                <w:sz w:val="13"/>
                <w:szCs w:val="13"/>
                <w:color w:val="131E29"/>
              </w:rPr>
              <w:t>N/A</w:t>
            </w:r>
          </w:p>
        </w:tc>
        <w:tc>
          <w:tcPr>
            <w:tcW w:w="820" w:type="dxa"/>
            <w:vAlign w:val="bottom"/>
          </w:tcPr>
          <w:p>
            <w:pPr>
              <w:jc w:val="right"/>
              <w:spacing w:after="0"/>
              <w:rPr>
                <w:sz w:val="20"/>
                <w:szCs w:val="20"/>
                <w:color w:val="auto"/>
              </w:rPr>
            </w:pPr>
            <w:r>
              <w:rPr>
                <w:rFonts w:ascii="Arial" w:cs="Arial" w:eastAsia="Arial" w:hAnsi="Arial"/>
                <w:sz w:val="13"/>
                <w:szCs w:val="13"/>
                <w:color w:val="131E29"/>
              </w:rPr>
              <w:t>30</w:t>
            </w: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2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380" w:type="dxa"/>
            <w:vAlign w:val="bottom"/>
            <w:shd w:val="clear" w:color="auto" w:fill="D2DCE5"/>
          </w:tcPr>
          <w:p>
            <w:pPr>
              <w:spacing w:after="0"/>
              <w:rPr>
                <w:sz w:val="17"/>
                <w:szCs w:val="17"/>
                <w:color w:val="auto"/>
              </w:rPr>
            </w:pPr>
          </w:p>
        </w:tc>
        <w:tc>
          <w:tcPr>
            <w:tcW w:w="4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1420" w:type="dxa"/>
            <w:vAlign w:val="bottom"/>
            <w:gridSpan w:val="3"/>
            <w:shd w:val="clear" w:color="auto" w:fill="D2DCE5"/>
          </w:tcPr>
          <w:p>
            <w:pPr>
              <w:ind w:left="620"/>
              <w:spacing w:after="0"/>
              <w:rPr>
                <w:sz w:val="20"/>
                <w:szCs w:val="20"/>
                <w:color w:val="auto"/>
              </w:rPr>
            </w:pPr>
            <w:r>
              <w:rPr>
                <w:rFonts w:ascii="Arial" w:cs="Arial" w:eastAsia="Arial" w:hAnsi="Arial"/>
                <w:sz w:val="13"/>
                <w:szCs w:val="13"/>
                <w:color w:val="131E29"/>
              </w:rPr>
              <w:t>N/A</w:t>
            </w:r>
          </w:p>
        </w:tc>
        <w:tc>
          <w:tcPr>
            <w:tcW w:w="8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(130)</w:t>
            </w:r>
          </w:p>
        </w:tc>
        <w:tc>
          <w:tcPr>
            <w:tcW w:w="0" w:type="dxa"/>
            <w:vAlign w:val="bottom"/>
          </w:tcPr>
          <w:p>
            <w:pPr>
              <w:spacing w:after="0"/>
              <w:rPr>
                <w:sz w:val="1"/>
                <w:szCs w:val="1"/>
                <w:color w:val="auto"/>
              </w:rPr>
            </w:pPr>
          </w:p>
        </w:tc>
      </w:tr>
      <w:tr>
        <w:trPr>
          <w:trHeight w:val="184"/>
        </w:trPr>
        <w:tc>
          <w:tcPr>
            <w:tcW w:w="2560" w:type="dxa"/>
            <w:vAlign w:val="bottom"/>
            <w:tcBorders>
              <w:bottom w:val="single" w:sz="8" w:color="131E29"/>
            </w:tcBorders>
            <w:gridSpan w:val="2"/>
          </w:tcPr>
          <w:p>
            <w:pPr>
              <w:ind w:left="20"/>
              <w:spacing w:after="0"/>
              <w:rPr>
                <w:sz w:val="20"/>
                <w:szCs w:val="20"/>
                <w:color w:val="auto"/>
              </w:rPr>
            </w:pPr>
            <w:r>
              <w:rPr>
                <w:rFonts w:ascii="Arial" w:cs="Arial" w:eastAsia="Arial" w:hAnsi="Arial"/>
                <w:sz w:val="13"/>
                <w:szCs w:val="13"/>
                <w:color w:val="131E29"/>
              </w:rPr>
              <w:t>Other</w:t>
            </w:r>
          </w:p>
        </w:tc>
        <w:tc>
          <w:tcPr>
            <w:tcW w:w="260" w:type="dxa"/>
            <w:vAlign w:val="bottom"/>
            <w:tcBorders>
              <w:bottom w:val="single" w:sz="8" w:color="131E29"/>
            </w:tcBorders>
          </w:tcPr>
          <w:p>
            <w:pPr>
              <w:spacing w:after="0"/>
              <w:rPr>
                <w:sz w:val="15"/>
                <w:szCs w:val="15"/>
                <w:color w:val="auto"/>
              </w:rPr>
            </w:pPr>
          </w:p>
        </w:tc>
        <w:tc>
          <w:tcPr>
            <w:tcW w:w="96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260" w:type="dxa"/>
            <w:vAlign w:val="bottom"/>
            <w:tcBorders>
              <w:bottom w:val="single" w:sz="8" w:color="131E29"/>
            </w:tcBorders>
          </w:tcPr>
          <w:p>
            <w:pPr>
              <w:spacing w:after="0"/>
              <w:rPr>
                <w:sz w:val="15"/>
                <w:szCs w:val="15"/>
                <w:color w:val="auto"/>
              </w:rPr>
            </w:pPr>
          </w:p>
        </w:tc>
        <w:tc>
          <w:tcPr>
            <w:tcW w:w="88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260" w:type="dxa"/>
            <w:vAlign w:val="bottom"/>
            <w:tcBorders>
              <w:bottom w:val="single" w:sz="8" w:color="131E29"/>
            </w:tcBorders>
          </w:tcPr>
          <w:p>
            <w:pPr>
              <w:spacing w:after="0"/>
              <w:rPr>
                <w:sz w:val="15"/>
                <w:szCs w:val="15"/>
                <w:color w:val="auto"/>
              </w:rPr>
            </w:pPr>
          </w:p>
        </w:tc>
        <w:tc>
          <w:tcPr>
            <w:tcW w:w="72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320" w:type="dxa"/>
            <w:vAlign w:val="bottom"/>
            <w:tcBorders>
              <w:bottom w:val="single" w:sz="8" w:color="131E29"/>
            </w:tcBorders>
          </w:tcPr>
          <w:p>
            <w:pPr>
              <w:spacing w:after="0"/>
              <w:rPr>
                <w:sz w:val="15"/>
                <w:szCs w:val="15"/>
                <w:color w:val="auto"/>
              </w:rPr>
            </w:pPr>
          </w:p>
        </w:tc>
        <w:tc>
          <w:tcPr>
            <w:tcW w:w="1380" w:type="dxa"/>
            <w:vAlign w:val="bottom"/>
            <w:tcBorders>
              <w:bottom w:val="single" w:sz="8" w:color="131E29"/>
            </w:tcBorders>
          </w:tcPr>
          <w:p>
            <w:pPr>
              <w:spacing w:after="0"/>
              <w:rPr>
                <w:sz w:val="15"/>
                <w:szCs w:val="15"/>
                <w:color w:val="auto"/>
              </w:rPr>
            </w:pPr>
          </w:p>
        </w:tc>
        <w:tc>
          <w:tcPr>
            <w:tcW w:w="460" w:type="dxa"/>
            <w:vAlign w:val="bottom"/>
            <w:tcBorders>
              <w:bottom w:val="single" w:sz="8" w:color="131E29"/>
            </w:tcBorders>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220" w:type="dxa"/>
            <w:vAlign w:val="bottom"/>
            <w:tcBorders>
              <w:bottom w:val="single" w:sz="8" w:color="131E29"/>
            </w:tcBorders>
          </w:tcPr>
          <w:p>
            <w:pPr>
              <w:spacing w:after="0"/>
              <w:rPr>
                <w:sz w:val="15"/>
                <w:szCs w:val="15"/>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3,968</w:t>
            </w:r>
          </w:p>
        </w:tc>
        <w:tc>
          <w:tcPr>
            <w:tcW w:w="80" w:type="dxa"/>
            <w:vAlign w:val="bottom"/>
            <w:tcBorders>
              <w:bottom w:val="single" w:sz="8" w:color="D2DCE5"/>
            </w:tcBorders>
          </w:tcPr>
          <w:p>
            <w:pPr>
              <w:spacing w:after="0"/>
              <w:rPr>
                <w:sz w:val="15"/>
                <w:szCs w:val="15"/>
                <w:color w:val="auto"/>
              </w:rPr>
            </w:pPr>
          </w:p>
        </w:tc>
        <w:tc>
          <w:tcPr>
            <w:tcW w:w="500" w:type="dxa"/>
            <w:vAlign w:val="bottom"/>
            <w:tcBorders>
              <w:bottom w:val="single" w:sz="8" w:color="131E29"/>
            </w:tcBorders>
          </w:tcPr>
          <w:p>
            <w:pPr>
              <w:spacing w:after="0"/>
              <w:rPr>
                <w:sz w:val="15"/>
                <w:szCs w:val="15"/>
                <w:color w:val="auto"/>
              </w:rPr>
            </w:pPr>
          </w:p>
        </w:tc>
        <w:tc>
          <w:tcPr>
            <w:tcW w:w="82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50</w:t>
            </w:r>
          </w:p>
        </w:tc>
        <w:tc>
          <w:tcPr>
            <w:tcW w:w="0" w:type="dxa"/>
            <w:vAlign w:val="bottom"/>
          </w:tcPr>
          <w:p>
            <w:pPr>
              <w:spacing w:after="0"/>
              <w:rPr>
                <w:sz w:val="1"/>
                <w:szCs w:val="1"/>
                <w:color w:val="auto"/>
              </w:rPr>
            </w:pPr>
          </w:p>
        </w:tc>
      </w:tr>
      <w:tr>
        <w:trPr>
          <w:trHeight w:val="184"/>
        </w:trPr>
        <w:tc>
          <w:tcPr>
            <w:tcW w:w="2560" w:type="dxa"/>
            <w:vAlign w:val="bottom"/>
            <w:gridSpan w:val="2"/>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26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8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380" w:type="dxa"/>
            <w:vAlign w:val="bottom"/>
            <w:shd w:val="clear" w:color="auto" w:fill="D2DCE5"/>
          </w:tcPr>
          <w:p>
            <w:pPr>
              <w:spacing w:after="0"/>
              <w:rPr>
                <w:sz w:val="15"/>
                <w:szCs w:val="15"/>
                <w:color w:val="auto"/>
              </w:rPr>
            </w:pPr>
          </w:p>
        </w:tc>
        <w:tc>
          <w:tcPr>
            <w:tcW w:w="720" w:type="dxa"/>
            <w:vAlign w:val="bottom"/>
            <w:gridSpan w:val="3"/>
            <w:shd w:val="clear" w:color="auto" w:fill="D2DCE5"/>
          </w:tcPr>
          <w:p>
            <w:pPr>
              <w:jc w:val="right"/>
              <w:ind w:right="100"/>
              <w:spacing w:after="0"/>
              <w:rPr>
                <w:sz w:val="20"/>
                <w:szCs w:val="20"/>
                <w:color w:val="auto"/>
              </w:rPr>
            </w:pPr>
            <w:r>
              <w:rPr>
                <w:rFonts w:ascii="Arial" w:cs="Arial" w:eastAsia="Arial" w:hAnsi="Arial"/>
                <w:sz w:val="13"/>
                <w:szCs w:val="13"/>
                <w:b w:val="1"/>
                <w:bCs w:val="1"/>
                <w:color w:val="131E29"/>
              </w:rPr>
              <w:t>$</w:t>
            </w:r>
          </w:p>
        </w:tc>
        <w:tc>
          <w:tcPr>
            <w:tcW w:w="80" w:type="dxa"/>
            <w:vAlign w:val="bottom"/>
            <w:shd w:val="clear" w:color="auto" w:fill="D2DCE5"/>
          </w:tcPr>
          <w:p>
            <w:pPr>
              <w:spacing w:after="0"/>
              <w:rPr>
                <w:sz w:val="15"/>
                <w:szCs w:val="15"/>
                <w:color w:val="auto"/>
              </w:rPr>
            </w:pPr>
          </w:p>
        </w:tc>
        <w:tc>
          <w:tcPr>
            <w:tcW w:w="220" w:type="dxa"/>
            <w:vAlign w:val="bottom"/>
            <w:shd w:val="clear" w:color="auto" w:fill="D2DCE5"/>
          </w:tcPr>
          <w:p>
            <w:pPr>
              <w:spacing w:after="0"/>
              <w:rPr>
                <w:sz w:val="15"/>
                <w:szCs w:val="15"/>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b w:val="1"/>
                <w:bCs w:val="1"/>
                <w:color w:val="131E29"/>
              </w:rPr>
              <w:t>58,269</w:t>
            </w:r>
          </w:p>
        </w:tc>
        <w:tc>
          <w:tcPr>
            <w:tcW w:w="80" w:type="dxa"/>
            <w:vAlign w:val="bottom"/>
            <w:shd w:val="clear" w:color="auto" w:fill="D2DCE5"/>
          </w:tcPr>
          <w:p>
            <w:pPr>
              <w:spacing w:after="0"/>
              <w:rPr>
                <w:sz w:val="15"/>
                <w:szCs w:val="15"/>
                <w:color w:val="auto"/>
              </w:rPr>
            </w:pPr>
          </w:p>
        </w:tc>
        <w:tc>
          <w:tcPr>
            <w:tcW w:w="500" w:type="dxa"/>
            <w:vAlign w:val="bottom"/>
            <w:shd w:val="clear" w:color="auto" w:fill="D2DCE5"/>
          </w:tcPr>
          <w:p>
            <w:pPr>
              <w:spacing w:after="0"/>
              <w:rPr>
                <w:sz w:val="15"/>
                <w:szCs w:val="15"/>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3"/>
                <w:szCs w:val="13"/>
                <w:b w:val="1"/>
                <w:bCs w:val="1"/>
                <w:color w:val="131E29"/>
              </w:rPr>
              <w:t>—</w:t>
            </w:r>
          </w:p>
        </w:tc>
        <w:tc>
          <w:tcPr>
            <w:tcW w:w="0" w:type="dxa"/>
            <w:vAlign w:val="bottom"/>
          </w:tcPr>
          <w:p>
            <w:pPr>
              <w:spacing w:after="0"/>
              <w:rPr>
                <w:sz w:val="1"/>
                <w:szCs w:val="1"/>
                <w:color w:val="auto"/>
              </w:rPr>
            </w:pPr>
          </w:p>
        </w:tc>
      </w:tr>
      <w:tr>
        <w:trPr>
          <w:trHeight w:val="374"/>
        </w:trPr>
        <w:tc>
          <w:tcPr>
            <w:tcW w:w="2560" w:type="dxa"/>
            <w:vAlign w:val="bottom"/>
            <w:tcBorders>
              <w:top w:val="single" w:sz="8" w:color="131E29"/>
            </w:tcBorders>
            <w:gridSpan w:val="2"/>
          </w:tcPr>
          <w:p>
            <w:pPr>
              <w:spacing w:after="0"/>
              <w:rPr>
                <w:sz w:val="20"/>
                <w:szCs w:val="20"/>
                <w:color w:val="auto"/>
              </w:rPr>
            </w:pPr>
            <w:r>
              <w:rPr>
                <w:rFonts w:ascii="Arial" w:cs="Arial" w:eastAsia="Arial" w:hAnsi="Arial"/>
                <w:sz w:val="14"/>
                <w:szCs w:val="14"/>
                <w:b w:val="1"/>
                <w:bCs w:val="1"/>
                <w:i w:val="1"/>
                <w:iCs w:val="1"/>
                <w:color w:val="006098"/>
              </w:rPr>
              <w:t>Labor Costs</w:t>
            </w:r>
          </w:p>
        </w:tc>
        <w:tc>
          <w:tcPr>
            <w:tcW w:w="260" w:type="dxa"/>
            <w:vAlign w:val="bottom"/>
            <w:tcBorders>
              <w:top w:val="single" w:sz="8" w:color="131E29"/>
            </w:tcBorders>
          </w:tcPr>
          <w:p>
            <w:pPr>
              <w:spacing w:after="0"/>
              <w:rPr>
                <w:sz w:val="24"/>
                <w:szCs w:val="24"/>
                <w:color w:val="auto"/>
              </w:rPr>
            </w:pPr>
          </w:p>
        </w:tc>
        <w:tc>
          <w:tcPr>
            <w:tcW w:w="96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60" w:type="dxa"/>
            <w:vAlign w:val="bottom"/>
            <w:tcBorders>
              <w:top w:val="single" w:sz="8" w:color="131E29"/>
            </w:tcBorders>
          </w:tcPr>
          <w:p>
            <w:pPr>
              <w:spacing w:after="0"/>
              <w:rPr>
                <w:sz w:val="24"/>
                <w:szCs w:val="24"/>
                <w:color w:val="auto"/>
              </w:rPr>
            </w:pPr>
          </w:p>
        </w:tc>
        <w:tc>
          <w:tcPr>
            <w:tcW w:w="88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60" w:type="dxa"/>
            <w:vAlign w:val="bottom"/>
            <w:tcBorders>
              <w:top w:val="single" w:sz="8" w:color="131E29"/>
            </w:tcBorders>
          </w:tcPr>
          <w:p>
            <w:pPr>
              <w:spacing w:after="0"/>
              <w:rPr>
                <w:sz w:val="24"/>
                <w:szCs w:val="24"/>
                <w:color w:val="auto"/>
              </w:rPr>
            </w:pPr>
          </w:p>
        </w:tc>
        <w:tc>
          <w:tcPr>
            <w:tcW w:w="720" w:type="dxa"/>
            <w:vAlign w:val="bottom"/>
            <w:tcBorders>
              <w:top w:val="single" w:sz="8" w:color="131E29"/>
            </w:tcBorders>
          </w:tcPr>
          <w:p>
            <w:pPr>
              <w:spacing w:after="0"/>
              <w:rPr>
                <w:sz w:val="24"/>
                <w:szCs w:val="24"/>
                <w:color w:val="auto"/>
              </w:rPr>
            </w:pPr>
          </w:p>
        </w:tc>
        <w:tc>
          <w:tcPr>
            <w:tcW w:w="18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320" w:type="dxa"/>
            <w:vAlign w:val="bottom"/>
            <w:tcBorders>
              <w:top w:val="single" w:sz="8" w:color="131E29"/>
            </w:tcBorders>
          </w:tcPr>
          <w:p>
            <w:pPr>
              <w:spacing w:after="0"/>
              <w:rPr>
                <w:sz w:val="24"/>
                <w:szCs w:val="24"/>
                <w:color w:val="auto"/>
              </w:rPr>
            </w:pPr>
          </w:p>
        </w:tc>
        <w:tc>
          <w:tcPr>
            <w:tcW w:w="1380" w:type="dxa"/>
            <w:vAlign w:val="bottom"/>
            <w:tcBorders>
              <w:top w:val="single" w:sz="8" w:color="131E29"/>
            </w:tcBorders>
          </w:tcPr>
          <w:p>
            <w:pPr>
              <w:spacing w:after="0"/>
              <w:rPr>
                <w:sz w:val="24"/>
                <w:szCs w:val="24"/>
                <w:color w:val="auto"/>
              </w:rPr>
            </w:pPr>
          </w:p>
        </w:tc>
        <w:tc>
          <w:tcPr>
            <w:tcW w:w="460" w:type="dxa"/>
            <w:vAlign w:val="bottom"/>
            <w:tcBorders>
              <w:top w:val="single" w:sz="8" w:color="131E29"/>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20" w:type="dxa"/>
            <w:vAlign w:val="bottom"/>
            <w:tcBorders>
              <w:top w:val="single" w:sz="8" w:color="131E29"/>
            </w:tcBorders>
          </w:tcPr>
          <w:p>
            <w:pPr>
              <w:spacing w:after="0"/>
              <w:rPr>
                <w:sz w:val="24"/>
                <w:szCs w:val="24"/>
                <w:color w:val="auto"/>
              </w:rPr>
            </w:pPr>
          </w:p>
        </w:tc>
        <w:tc>
          <w:tcPr>
            <w:tcW w:w="840" w:type="dxa"/>
            <w:vAlign w:val="bottom"/>
            <w:tcBorders>
              <w:top w:val="single" w:sz="8" w:color="131E29"/>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131E29"/>
            </w:tcBorders>
          </w:tcPr>
          <w:p>
            <w:pPr>
              <w:spacing w:after="0"/>
              <w:rPr>
                <w:sz w:val="24"/>
                <w:szCs w:val="24"/>
                <w:color w:val="auto"/>
              </w:rPr>
            </w:pPr>
          </w:p>
        </w:tc>
        <w:tc>
          <w:tcPr>
            <w:tcW w:w="820" w:type="dxa"/>
            <w:vAlign w:val="bottom"/>
            <w:tcBorders>
              <w:top w:val="single" w:sz="8" w:color="131E29"/>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131E29"/>
                <w:w w:val="98"/>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39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880" w:type="dxa"/>
            <w:vAlign w:val="bottom"/>
            <w:tcBorders>
              <w:bottom w:val="single" w:sz="8" w:color="131E29"/>
            </w:tcBorders>
          </w:tcPr>
          <w:p>
            <w:pPr>
              <w:jc w:val="right"/>
              <w:ind w:right="3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720" w:type="dxa"/>
            <w:vAlign w:val="bottom"/>
            <w:tcBorders>
              <w:bottom w:val="single" w:sz="8" w:color="131E29"/>
            </w:tcBorders>
          </w:tcPr>
          <w:p>
            <w:pPr>
              <w:jc w:val="right"/>
              <w:ind w:right="170"/>
              <w:spacing w:after="0"/>
              <w:rPr>
                <w:sz w:val="20"/>
                <w:szCs w:val="20"/>
                <w:color w:val="auto"/>
              </w:rPr>
            </w:pPr>
            <w:r>
              <w:rPr>
                <w:rFonts w:ascii="Arial" w:cs="Arial" w:eastAsia="Arial" w:hAnsi="Arial"/>
                <w:sz w:val="14"/>
                <w:szCs w:val="14"/>
                <w:b w:val="1"/>
                <w:bCs w:val="1"/>
                <w:color w:val="131E29"/>
              </w:rPr>
              <w:t>2021</w:t>
            </w:r>
          </w:p>
        </w:tc>
        <w:tc>
          <w:tcPr>
            <w:tcW w:w="18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380" w:type="dxa"/>
            <w:vAlign w:val="bottom"/>
            <w:tcBorders>
              <w:bottom w:val="single" w:sz="8" w:color="131E29"/>
            </w:tcBorders>
          </w:tcPr>
          <w:p>
            <w:pPr>
              <w:ind w:left="480"/>
              <w:spacing w:after="0"/>
              <w:rPr>
                <w:sz w:val="20"/>
                <w:szCs w:val="20"/>
                <w:color w:val="auto"/>
              </w:rPr>
            </w:pPr>
            <w:r>
              <w:rPr>
                <w:rFonts w:ascii="Arial" w:cs="Arial" w:eastAsia="Arial" w:hAnsi="Arial"/>
                <w:sz w:val="14"/>
                <w:szCs w:val="14"/>
                <w:b w:val="1"/>
                <w:bCs w:val="1"/>
                <w:color w:val="131E29"/>
              </w:rPr>
              <w:t>2023 v. 2022</w:t>
            </w:r>
          </w:p>
        </w:tc>
        <w:tc>
          <w:tcPr>
            <w:tcW w:w="46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18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1420" w:type="dxa"/>
            <w:vAlign w:val="bottom"/>
            <w:tcBorders>
              <w:bottom w:val="single" w:sz="8" w:color="131E29"/>
            </w:tcBorders>
            <w:gridSpan w:val="3"/>
          </w:tcPr>
          <w:p>
            <w:pPr>
              <w:ind w:left="620"/>
              <w:spacing w:after="0"/>
              <w:rPr>
                <w:sz w:val="20"/>
                <w:szCs w:val="20"/>
                <w:color w:val="auto"/>
              </w:rPr>
            </w:pPr>
            <w:r>
              <w:rPr>
                <w:rFonts w:ascii="Arial" w:cs="Arial" w:eastAsia="Arial" w:hAnsi="Arial"/>
                <w:sz w:val="14"/>
                <w:szCs w:val="14"/>
                <w:b w:val="1"/>
                <w:bCs w:val="1"/>
                <w:color w:val="131E29"/>
              </w:rPr>
              <w:t>2022 v 2021</w:t>
            </w:r>
          </w:p>
        </w:tc>
        <w:tc>
          <w:tcPr>
            <w:tcW w:w="82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Labor costs</w:t>
            </w:r>
          </w:p>
        </w:tc>
        <w:tc>
          <w:tcPr>
            <w:tcW w:w="26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230,505</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182,861</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122,161</w:t>
            </w:r>
          </w:p>
        </w:tc>
        <w:tc>
          <w:tcPr>
            <w:tcW w:w="580" w:type="dxa"/>
            <w:vAlign w:val="bottom"/>
            <w:gridSpan w:val="3"/>
            <w:shd w:val="clear" w:color="auto" w:fill="D2DCE5"/>
          </w:tcPr>
          <w:p>
            <w:pPr>
              <w:jc w:val="right"/>
              <w:ind w:right="240"/>
              <w:spacing w:after="0"/>
              <w:rPr>
                <w:sz w:val="20"/>
                <w:szCs w:val="20"/>
                <w:color w:val="auto"/>
              </w:rPr>
            </w:pPr>
            <w:r>
              <w:rPr>
                <w:rFonts w:ascii="Arial" w:cs="Arial" w:eastAsia="Arial" w:hAnsi="Arial"/>
                <w:sz w:val="14"/>
                <w:szCs w:val="14"/>
                <w:color w:val="131E29"/>
              </w:rPr>
              <w:t>$</w:t>
            </w:r>
          </w:p>
        </w:tc>
        <w:tc>
          <w:tcPr>
            <w:tcW w:w="1380" w:type="dxa"/>
            <w:vAlign w:val="bottom"/>
            <w:shd w:val="clear" w:color="auto" w:fill="D2DCE5"/>
          </w:tcPr>
          <w:p>
            <w:pPr>
              <w:jc w:val="right"/>
              <w:ind w:right="630"/>
              <w:spacing w:after="0"/>
              <w:rPr>
                <w:sz w:val="20"/>
                <w:szCs w:val="20"/>
                <w:color w:val="auto"/>
              </w:rPr>
            </w:pPr>
            <w:r>
              <w:rPr>
                <w:rFonts w:ascii="Arial" w:cs="Arial" w:eastAsia="Arial" w:hAnsi="Arial"/>
                <w:sz w:val="14"/>
                <w:szCs w:val="14"/>
                <w:color w:val="131E29"/>
              </w:rPr>
              <w:t>47,644</w:t>
            </w:r>
          </w:p>
        </w:tc>
        <w:tc>
          <w:tcPr>
            <w:tcW w:w="1020" w:type="dxa"/>
            <w:vAlign w:val="bottom"/>
            <w:gridSpan w:val="5"/>
            <w:shd w:val="clear" w:color="auto" w:fill="D2DCE5"/>
          </w:tcPr>
          <w:p>
            <w:pPr>
              <w:ind w:left="120"/>
              <w:spacing w:after="0"/>
              <w:rPr>
                <w:sz w:val="20"/>
                <w:szCs w:val="20"/>
                <w:color w:val="auto"/>
              </w:rPr>
            </w:pPr>
            <w:r>
              <w:rPr>
                <w:rFonts w:ascii="Arial" w:cs="Arial" w:eastAsia="Arial" w:hAnsi="Arial"/>
                <w:sz w:val="14"/>
                <w:szCs w:val="14"/>
                <w:color w:val="131E29"/>
              </w:rPr>
              <w:t>26.1   %  $</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60,700</w:t>
            </w:r>
          </w:p>
        </w:tc>
        <w:tc>
          <w:tcPr>
            <w:tcW w:w="80" w:type="dxa"/>
            <w:vAlign w:val="bottom"/>
            <w:shd w:val="clear" w:color="auto" w:fill="D2DCE5"/>
          </w:tcPr>
          <w:p>
            <w:pPr>
              <w:spacing w:after="0"/>
              <w:rPr>
                <w:sz w:val="18"/>
                <w:szCs w:val="18"/>
                <w:color w:val="auto"/>
              </w:rPr>
            </w:pPr>
          </w:p>
        </w:tc>
        <w:tc>
          <w:tcPr>
            <w:tcW w:w="500" w:type="dxa"/>
            <w:vAlign w:val="bottom"/>
            <w:shd w:val="clear" w:color="auto" w:fill="D2DCE5"/>
          </w:tcPr>
          <w:p>
            <w:pPr>
              <w:spacing w:after="0"/>
              <w:rPr>
                <w:sz w:val="18"/>
                <w:szCs w:val="18"/>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49.7   %</w:t>
            </w:r>
          </w:p>
        </w:tc>
        <w:tc>
          <w:tcPr>
            <w:tcW w:w="0" w:type="dxa"/>
            <w:vAlign w:val="bottom"/>
          </w:tcPr>
          <w:p>
            <w:pPr>
              <w:spacing w:after="0"/>
              <w:rPr>
                <w:sz w:val="1"/>
                <w:szCs w:val="1"/>
                <w:color w:val="auto"/>
              </w:rPr>
            </w:pPr>
          </w:p>
        </w:tc>
      </w:tr>
      <w:tr>
        <w:trPr>
          <w:trHeight w:val="161"/>
        </w:trPr>
        <w:tc>
          <w:tcPr>
            <w:tcW w:w="256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company-operated</w:t>
            </w: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131E29"/>
              </w:rPr>
              <w:t>26.9 %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131E29"/>
              </w:rPr>
              <w:t>28.6 %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131E29"/>
              </w:rPr>
              <w:t>30.3 %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vMerge w:val="restart"/>
          </w:tcPr>
          <w:p>
            <w:pPr>
              <w:ind w:left="480"/>
              <w:spacing w:after="0"/>
              <w:rPr>
                <w:sz w:val="20"/>
                <w:szCs w:val="20"/>
                <w:color w:val="auto"/>
              </w:rPr>
            </w:pPr>
            <w:r>
              <w:rPr>
                <w:rFonts w:ascii="Arial" w:cs="Arial" w:eastAsia="Arial" w:hAnsi="Arial"/>
                <w:sz w:val="14"/>
                <w:szCs w:val="14"/>
                <w:color w:val="131E29"/>
              </w:rPr>
              <w:t>N/A</w:t>
            </w:r>
          </w:p>
        </w:tc>
        <w:tc>
          <w:tcPr>
            <w:tcW w:w="1020" w:type="dxa"/>
            <w:vAlign w:val="bottom"/>
            <w:gridSpan w:val="5"/>
            <w:vMerge w:val="restart"/>
          </w:tcPr>
          <w:p>
            <w:pPr>
              <w:ind w:left="100"/>
              <w:spacing w:after="0"/>
              <w:rPr>
                <w:sz w:val="20"/>
                <w:szCs w:val="20"/>
                <w:color w:val="auto"/>
              </w:rPr>
            </w:pPr>
            <w:r>
              <w:rPr>
                <w:rFonts w:ascii="Arial" w:cs="Arial" w:eastAsia="Arial" w:hAnsi="Arial"/>
                <w:sz w:val="14"/>
                <w:szCs w:val="14"/>
                <w:color w:val="131E29"/>
              </w:rPr>
              <w:t>(170) bps</w:t>
            </w:r>
          </w:p>
        </w:tc>
        <w:tc>
          <w:tcPr>
            <w:tcW w:w="1420" w:type="dxa"/>
            <w:vAlign w:val="bottom"/>
            <w:gridSpan w:val="3"/>
            <w:vMerge w:val="restart"/>
          </w:tcPr>
          <w:p>
            <w:pPr>
              <w:ind w:left="620"/>
              <w:spacing w:after="0"/>
              <w:rPr>
                <w:sz w:val="20"/>
                <w:szCs w:val="20"/>
                <w:color w:val="auto"/>
              </w:rPr>
            </w:pPr>
            <w:r>
              <w:rPr>
                <w:rFonts w:ascii="Arial" w:cs="Arial" w:eastAsia="Arial" w:hAnsi="Arial"/>
                <w:sz w:val="14"/>
                <w:szCs w:val="14"/>
                <w:color w:val="131E29"/>
              </w:rPr>
              <w:t>N/A</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131E29"/>
              </w:rPr>
              <w:t>(170) bps</w:t>
            </w:r>
          </w:p>
        </w:tc>
        <w:tc>
          <w:tcPr>
            <w:tcW w:w="0" w:type="dxa"/>
            <w:vAlign w:val="bottom"/>
          </w:tcPr>
          <w:p>
            <w:pPr>
              <w:spacing w:after="0"/>
              <w:rPr>
                <w:sz w:val="1"/>
                <w:szCs w:val="1"/>
                <w:color w:val="auto"/>
              </w:rPr>
            </w:pPr>
          </w:p>
        </w:tc>
      </w:tr>
      <w:tr>
        <w:trPr>
          <w:trHeight w:val="169"/>
        </w:trPr>
        <w:tc>
          <w:tcPr>
            <w:tcW w:w="2560" w:type="dxa"/>
            <w:vAlign w:val="bottom"/>
            <w:gridSpan w:val="2"/>
          </w:tcPr>
          <w:p>
            <w:pPr>
              <w:ind w:left="20"/>
              <w:spacing w:after="0"/>
              <w:rPr>
                <w:sz w:val="20"/>
                <w:szCs w:val="20"/>
                <w:color w:val="auto"/>
              </w:rPr>
            </w:pPr>
            <w:r>
              <w:rPr>
                <w:rFonts w:ascii="Arial" w:cs="Arial" w:eastAsia="Arial" w:hAnsi="Arial"/>
                <w:sz w:val="13"/>
                <w:szCs w:val="13"/>
                <w:i w:val="1"/>
                <w:iCs w:val="1"/>
                <w:color w:val="131E29"/>
              </w:rPr>
              <w:t>shop revenues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The labor costs impacts for the year-over-year comparison, presented in dollars and basis points (as a percentage of current year company-operated shop revenues), were driven by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80" w:type="dxa"/>
            <w:vAlign w:val="bottom"/>
            <w:tcBorders>
              <w:bottom w:val="single" w:sz="8" w:color="131E29"/>
            </w:tcBorders>
          </w:tcPr>
          <w:p>
            <w:pPr>
              <w:spacing w:after="0"/>
              <w:rPr>
                <w:sz w:val="17"/>
                <w:szCs w:val="17"/>
                <w:color w:val="auto"/>
              </w:rPr>
            </w:pPr>
          </w:p>
        </w:tc>
        <w:tc>
          <w:tcPr>
            <w:tcW w:w="1060" w:type="dxa"/>
            <w:vAlign w:val="bottom"/>
            <w:tcBorders>
              <w:bottom w:val="single" w:sz="8" w:color="131E29"/>
            </w:tcBorders>
          </w:tcPr>
          <w:p>
            <w:pPr>
              <w:jc w:val="right"/>
              <w:ind w:right="616"/>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600" w:type="dxa"/>
            <w:vAlign w:val="bottom"/>
            <w:tcBorders>
              <w:bottom w:val="single" w:sz="8" w:color="131E29"/>
            </w:tcBorders>
          </w:tcPr>
          <w:p>
            <w:pPr>
              <w:jc w:val="right"/>
              <w:ind w:right="596"/>
              <w:spacing w:after="0"/>
              <w:rPr>
                <w:sz w:val="20"/>
                <w:szCs w:val="20"/>
                <w:color w:val="auto"/>
              </w:rPr>
            </w:pPr>
            <w:r>
              <w:rPr>
                <w:rFonts w:ascii="Arial" w:cs="Arial" w:eastAsia="Arial" w:hAnsi="Arial"/>
                <w:sz w:val="14"/>
                <w:szCs w:val="14"/>
                <w:b w:val="1"/>
                <w:bCs w:val="1"/>
                <w:color w:val="131E29"/>
              </w:rPr>
              <w:t>BPS</w:t>
            </w:r>
          </w:p>
        </w:tc>
      </w:tr>
      <w:tr>
        <w:trPr>
          <w:trHeight w:val="187"/>
        </w:trPr>
        <w:tc>
          <w:tcPr>
            <w:tcW w:w="81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80" w:type="dxa"/>
            <w:vAlign w:val="bottom"/>
            <w:shd w:val="clear" w:color="auto" w:fill="D2DCE5"/>
          </w:tcPr>
          <w:p>
            <w:pPr>
              <w:jc w:val="right"/>
              <w:ind w:right="237"/>
              <w:spacing w:after="0"/>
              <w:rPr>
                <w:sz w:val="20"/>
                <w:szCs w:val="20"/>
                <w:color w:val="auto"/>
              </w:rPr>
            </w:pPr>
            <w:r>
              <w:rPr>
                <w:rFonts w:ascii="Arial" w:cs="Arial" w:eastAsia="Arial" w:hAnsi="Arial"/>
                <w:sz w:val="13"/>
                <w:szCs w:val="13"/>
                <w:color w:val="131E29"/>
                <w:w w:val="82"/>
              </w:rPr>
              <w:t>$</w:t>
            </w:r>
          </w:p>
        </w:tc>
        <w:tc>
          <w:tcPr>
            <w:tcW w:w="10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52,966</w:t>
            </w:r>
          </w:p>
        </w:tc>
        <w:tc>
          <w:tcPr>
            <w:tcW w:w="80" w:type="dxa"/>
            <w:vAlign w:val="bottom"/>
            <w:shd w:val="clear" w:color="auto" w:fill="D2DCE5"/>
          </w:tcPr>
          <w:p>
            <w:pPr>
              <w:spacing w:after="0"/>
              <w:rPr>
                <w:sz w:val="16"/>
                <w:szCs w:val="16"/>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r>
      <w:tr>
        <w:trPr>
          <w:trHeight w:val="184"/>
        </w:trPr>
        <w:tc>
          <w:tcPr>
            <w:tcW w:w="8160" w:type="dxa"/>
            <w:vAlign w:val="bottom"/>
            <w:gridSpan w:val="2"/>
          </w:tcPr>
          <w:p>
            <w:pPr>
              <w:ind w:left="20"/>
              <w:spacing w:after="0"/>
              <w:rPr>
                <w:sz w:val="20"/>
                <w:szCs w:val="20"/>
                <w:color w:val="auto"/>
              </w:rPr>
            </w:pPr>
            <w:r>
              <w:rPr>
                <w:rFonts w:ascii="Arial" w:cs="Arial" w:eastAsia="Arial" w:hAnsi="Arial"/>
                <w:sz w:val="13"/>
                <w:szCs w:val="13"/>
                <w:color w:val="131E29"/>
              </w:rPr>
              <w:t>Staffing management</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131E29"/>
              </w:rPr>
              <w:t>(8,276)</w:t>
            </w: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131E29"/>
              </w:rPr>
              <w:t>(100)</w:t>
            </w:r>
          </w:p>
        </w:tc>
      </w:tr>
      <w:tr>
        <w:trPr>
          <w:trHeight w:val="197"/>
        </w:trPr>
        <w:tc>
          <w:tcPr>
            <w:tcW w:w="81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Volume</w:t>
            </w:r>
          </w:p>
        </w:tc>
        <w:tc>
          <w:tcPr>
            <w:tcW w:w="380" w:type="dxa"/>
            <w:vAlign w:val="bottom"/>
            <w:shd w:val="clear" w:color="auto" w:fill="D2DCE5"/>
          </w:tcPr>
          <w:p>
            <w:pPr>
              <w:spacing w:after="0"/>
              <w:rPr>
                <w:sz w:val="17"/>
                <w:szCs w:val="17"/>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517</w:t>
            </w:r>
          </w:p>
        </w:tc>
        <w:tc>
          <w:tcPr>
            <w:tcW w:w="80" w:type="dxa"/>
            <w:vAlign w:val="bottom"/>
            <w:shd w:val="clear" w:color="auto" w:fill="D2DCE5"/>
          </w:tcPr>
          <w:p>
            <w:pPr>
              <w:spacing w:after="0"/>
              <w:rPr>
                <w:sz w:val="17"/>
                <w:szCs w:val="17"/>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r>
      <w:tr>
        <w:trPr>
          <w:trHeight w:val="184"/>
        </w:trPr>
        <w:tc>
          <w:tcPr>
            <w:tcW w:w="8160" w:type="dxa"/>
            <w:vAlign w:val="bottom"/>
            <w:gridSpan w:val="2"/>
          </w:tcPr>
          <w:p>
            <w:pPr>
              <w:ind w:left="20"/>
              <w:spacing w:after="0"/>
              <w:rPr>
                <w:sz w:val="20"/>
                <w:szCs w:val="20"/>
                <w:color w:val="auto"/>
              </w:rPr>
            </w:pPr>
            <w:r>
              <w:rPr>
                <w:rFonts w:ascii="Arial" w:cs="Arial" w:eastAsia="Arial" w:hAnsi="Arial"/>
                <w:sz w:val="13"/>
                <w:szCs w:val="13"/>
                <w:color w:val="131E29"/>
              </w:rPr>
              <w:t>Timing</w:t>
            </w:r>
          </w:p>
        </w:tc>
        <w:tc>
          <w:tcPr>
            <w:tcW w:w="380" w:type="dxa"/>
            <w:vAlign w:val="bottom"/>
          </w:tcPr>
          <w:p>
            <w:pPr>
              <w:spacing w:after="0"/>
              <w:rPr>
                <w:sz w:val="15"/>
                <w:szCs w:val="15"/>
                <w:color w:val="auto"/>
              </w:rPr>
            </w:pPr>
          </w:p>
        </w:tc>
        <w:tc>
          <w:tcPr>
            <w:tcW w:w="1140" w:type="dxa"/>
            <w:vAlign w:val="bottom"/>
            <w:gridSpan w:val="2"/>
          </w:tcPr>
          <w:p>
            <w:pPr>
              <w:ind w:left="820"/>
              <w:spacing w:after="0"/>
              <w:rPr>
                <w:sz w:val="20"/>
                <w:szCs w:val="20"/>
                <w:color w:val="auto"/>
              </w:rPr>
            </w:pPr>
            <w:r>
              <w:rPr>
                <w:rFonts w:ascii="Arial" w:cs="Arial" w:eastAsia="Arial" w:hAnsi="Arial"/>
                <w:sz w:val="13"/>
                <w:szCs w:val="13"/>
                <w:color w:val="131E29"/>
              </w:rPr>
              <w:t>N/A</w:t>
            </w:r>
          </w:p>
        </w:tc>
        <w:tc>
          <w:tcPr>
            <w:tcW w:w="1600" w:type="dxa"/>
            <w:vAlign w:val="bottom"/>
          </w:tcPr>
          <w:p>
            <w:pPr>
              <w:jc w:val="right"/>
              <w:spacing w:after="0"/>
              <w:rPr>
                <w:sz w:val="20"/>
                <w:szCs w:val="20"/>
                <w:color w:val="auto"/>
              </w:rPr>
            </w:pPr>
            <w:r>
              <w:rPr>
                <w:rFonts w:ascii="Arial" w:cs="Arial" w:eastAsia="Arial" w:hAnsi="Arial"/>
                <w:sz w:val="13"/>
                <w:szCs w:val="13"/>
                <w:color w:val="131E29"/>
              </w:rPr>
              <w:t>20</w:t>
            </w:r>
          </w:p>
        </w:tc>
      </w:tr>
      <w:tr>
        <w:trPr>
          <w:trHeight w:val="197"/>
        </w:trPr>
        <w:tc>
          <w:tcPr>
            <w:tcW w:w="81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380" w:type="dxa"/>
            <w:vAlign w:val="bottom"/>
            <w:shd w:val="clear" w:color="auto" w:fill="D2DCE5"/>
          </w:tcPr>
          <w:p>
            <w:pPr>
              <w:spacing w:after="0"/>
              <w:rPr>
                <w:sz w:val="17"/>
                <w:szCs w:val="17"/>
                <w:color w:val="auto"/>
              </w:rPr>
            </w:pPr>
          </w:p>
        </w:tc>
        <w:tc>
          <w:tcPr>
            <w:tcW w:w="1140" w:type="dxa"/>
            <w:vAlign w:val="bottom"/>
            <w:gridSpan w:val="2"/>
            <w:shd w:val="clear" w:color="auto" w:fill="D2DCE5"/>
          </w:tcPr>
          <w:p>
            <w:pPr>
              <w:ind w:left="820"/>
              <w:spacing w:after="0"/>
              <w:rPr>
                <w:sz w:val="20"/>
                <w:szCs w:val="20"/>
                <w:color w:val="auto"/>
              </w:rPr>
            </w:pPr>
            <w:r>
              <w:rPr>
                <w:rFonts w:ascii="Arial" w:cs="Arial" w:eastAsia="Arial" w:hAnsi="Arial"/>
                <w:sz w:val="13"/>
                <w:szCs w:val="13"/>
                <w:color w:val="131E29"/>
              </w:rPr>
              <w:t>N/A</w:t>
            </w:r>
          </w:p>
        </w:tc>
        <w:tc>
          <w:tcPr>
            <w:tcW w:w="16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(130)</w:t>
            </w:r>
          </w:p>
        </w:tc>
      </w:tr>
      <w:tr>
        <w:trPr>
          <w:trHeight w:val="184"/>
        </w:trPr>
        <w:tc>
          <w:tcPr>
            <w:tcW w:w="8080" w:type="dxa"/>
            <w:vAlign w:val="bottom"/>
            <w:tcBorders>
              <w:bottom w:val="single" w:sz="8" w:color="131E29"/>
            </w:tcBorders>
          </w:tcPr>
          <w:p>
            <w:pPr>
              <w:ind w:left="20"/>
              <w:spacing w:after="0"/>
              <w:rPr>
                <w:sz w:val="20"/>
                <w:szCs w:val="20"/>
                <w:color w:val="auto"/>
              </w:rPr>
            </w:pPr>
            <w:r>
              <w:rPr>
                <w:rFonts w:ascii="Arial" w:cs="Arial" w:eastAsia="Arial" w:hAnsi="Arial"/>
                <w:sz w:val="13"/>
                <w:szCs w:val="13"/>
                <w:color w:val="131E29"/>
              </w:rPr>
              <w:t>Other</w:t>
            </w:r>
          </w:p>
        </w:tc>
        <w:tc>
          <w:tcPr>
            <w:tcW w:w="80" w:type="dxa"/>
            <w:vAlign w:val="bottom"/>
            <w:tcBorders>
              <w:bottom w:val="single" w:sz="8" w:color="D2DCE5"/>
            </w:tcBorders>
          </w:tcPr>
          <w:p>
            <w:pPr>
              <w:spacing w:after="0"/>
              <w:rPr>
                <w:sz w:val="15"/>
                <w:szCs w:val="15"/>
                <w:color w:val="auto"/>
              </w:rPr>
            </w:pPr>
          </w:p>
        </w:tc>
        <w:tc>
          <w:tcPr>
            <w:tcW w:w="380" w:type="dxa"/>
            <w:vAlign w:val="bottom"/>
            <w:tcBorders>
              <w:bottom w:val="single" w:sz="8" w:color="131E29"/>
            </w:tcBorders>
          </w:tcPr>
          <w:p>
            <w:pPr>
              <w:spacing w:after="0"/>
              <w:rPr>
                <w:sz w:val="15"/>
                <w:szCs w:val="15"/>
                <w:color w:val="auto"/>
              </w:rPr>
            </w:pPr>
          </w:p>
        </w:tc>
        <w:tc>
          <w:tcPr>
            <w:tcW w:w="106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2,437</w:t>
            </w:r>
          </w:p>
        </w:tc>
        <w:tc>
          <w:tcPr>
            <w:tcW w:w="80" w:type="dxa"/>
            <w:vAlign w:val="bottom"/>
            <w:tcBorders>
              <w:bottom w:val="single" w:sz="8" w:color="D2DCE5"/>
            </w:tcBorders>
          </w:tcPr>
          <w:p>
            <w:pPr>
              <w:spacing w:after="0"/>
              <w:rPr>
                <w:sz w:val="15"/>
                <w:szCs w:val="15"/>
                <w:color w:val="auto"/>
              </w:rPr>
            </w:pPr>
          </w:p>
        </w:tc>
        <w:tc>
          <w:tcPr>
            <w:tcW w:w="160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40</w:t>
            </w:r>
          </w:p>
        </w:tc>
      </w:tr>
      <w:tr>
        <w:trPr>
          <w:trHeight w:val="184"/>
        </w:trPr>
        <w:tc>
          <w:tcPr>
            <w:tcW w:w="8080" w:type="dxa"/>
            <w:vAlign w:val="bottom"/>
            <w:tcBorders>
              <w:bottom w:val="single" w:sz="8" w:color="131E29"/>
            </w:tcBorders>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80" w:type="dxa"/>
            <w:vAlign w:val="bottom"/>
            <w:shd w:val="clear" w:color="auto" w:fill="D2DCE5"/>
          </w:tcPr>
          <w:p>
            <w:pPr>
              <w:spacing w:after="0"/>
              <w:rPr>
                <w:sz w:val="15"/>
                <w:szCs w:val="15"/>
                <w:color w:val="auto"/>
              </w:rPr>
            </w:pPr>
          </w:p>
        </w:tc>
        <w:tc>
          <w:tcPr>
            <w:tcW w:w="380" w:type="dxa"/>
            <w:vAlign w:val="bottom"/>
            <w:tcBorders>
              <w:bottom w:val="single" w:sz="8" w:color="131E29"/>
            </w:tcBorders>
            <w:shd w:val="clear" w:color="auto" w:fill="D2DCE5"/>
          </w:tcPr>
          <w:p>
            <w:pPr>
              <w:jc w:val="right"/>
              <w:ind w:right="237"/>
              <w:spacing w:after="0"/>
              <w:rPr>
                <w:sz w:val="20"/>
                <w:szCs w:val="20"/>
                <w:color w:val="auto"/>
              </w:rPr>
            </w:pPr>
            <w:r>
              <w:rPr>
                <w:rFonts w:ascii="Arial" w:cs="Arial" w:eastAsia="Arial" w:hAnsi="Arial"/>
                <w:sz w:val="13"/>
                <w:szCs w:val="13"/>
                <w:b w:val="1"/>
                <w:bCs w:val="1"/>
                <w:color w:val="131E29"/>
                <w:w w:val="82"/>
              </w:rPr>
              <w:t>$</w:t>
            </w:r>
          </w:p>
        </w:tc>
        <w:tc>
          <w:tcPr>
            <w:tcW w:w="10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47,644</w:t>
            </w:r>
          </w:p>
        </w:tc>
        <w:tc>
          <w:tcPr>
            <w:tcW w:w="80" w:type="dxa"/>
            <w:vAlign w:val="bottom"/>
            <w:shd w:val="clear" w:color="auto" w:fill="D2DCE5"/>
          </w:tcPr>
          <w:p>
            <w:pPr>
              <w:spacing w:after="0"/>
              <w:rPr>
                <w:sz w:val="15"/>
                <w:szCs w:val="15"/>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(170)</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Occupancy and Other Costs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131E29"/>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920" w:type="dxa"/>
            <w:vAlign w:val="bottom"/>
            <w:tcBorders>
              <w:bottom w:val="single" w:sz="8" w:color="131E29"/>
            </w:tcBorders>
          </w:tcPr>
          <w:p>
            <w:pPr>
              <w:jc w:val="right"/>
              <w:ind w:right="37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920" w:type="dxa"/>
            <w:vAlign w:val="bottom"/>
            <w:tcBorders>
              <w:bottom w:val="single" w:sz="8" w:color="131E29"/>
            </w:tcBorders>
          </w:tcPr>
          <w:p>
            <w:pPr>
              <w:jc w:val="right"/>
              <w:ind w:right="37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0"/>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360" w:type="dxa"/>
            <w:vAlign w:val="bottom"/>
            <w:tcBorders>
              <w:bottom w:val="single" w:sz="8" w:color="131E29"/>
            </w:tcBorders>
          </w:tcPr>
          <w:p>
            <w:pPr>
              <w:ind w:left="460"/>
              <w:spacing w:after="0"/>
              <w:rPr>
                <w:sz w:val="20"/>
                <w:szCs w:val="20"/>
                <w:color w:val="auto"/>
              </w:rPr>
            </w:pPr>
            <w:r>
              <w:rPr>
                <w:rFonts w:ascii="Arial" w:cs="Arial" w:eastAsia="Arial" w:hAnsi="Arial"/>
                <w:sz w:val="14"/>
                <w:szCs w:val="14"/>
                <w:b w:val="1"/>
                <w:bCs w:val="1"/>
                <w:color w:val="131E29"/>
              </w:rPr>
              <w:t>2023 v. 2022</w:t>
            </w:r>
          </w:p>
        </w:tc>
        <w:tc>
          <w:tcPr>
            <w:tcW w:w="70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380" w:type="dxa"/>
            <w:vAlign w:val="bottom"/>
            <w:tcBorders>
              <w:bottom w:val="single" w:sz="8" w:color="131E29"/>
            </w:tcBorders>
          </w:tcPr>
          <w:p>
            <w:pPr>
              <w:ind w:left="500"/>
              <w:spacing w:after="0"/>
              <w:rPr>
                <w:sz w:val="20"/>
                <w:szCs w:val="20"/>
                <w:color w:val="auto"/>
              </w:rPr>
            </w:pPr>
            <w:r>
              <w:rPr>
                <w:rFonts w:ascii="Arial" w:cs="Arial" w:eastAsia="Arial" w:hAnsi="Arial"/>
                <w:sz w:val="14"/>
                <w:szCs w:val="14"/>
                <w:b w:val="1"/>
                <w:bCs w:val="1"/>
                <w:color w:val="131E29"/>
              </w:rPr>
              <w:t>2022 v 2021</w:t>
            </w:r>
          </w:p>
        </w:tc>
        <w:tc>
          <w:tcPr>
            <w:tcW w:w="420" w:type="dxa"/>
            <w:vAlign w:val="bottom"/>
            <w:tcBorders>
              <w:bottom w:val="single" w:sz="8" w:color="131E29"/>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Occupancy and other costs</w:t>
            </w: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92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140,895</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2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109,366</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63,570</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w w:val="76"/>
              </w:rPr>
              <w:t>$</w:t>
            </w:r>
          </w:p>
        </w:tc>
        <w:tc>
          <w:tcPr>
            <w:tcW w:w="1360" w:type="dxa"/>
            <w:vAlign w:val="bottom"/>
            <w:shd w:val="clear" w:color="auto" w:fill="D2DCE5"/>
          </w:tcPr>
          <w:p>
            <w:pPr>
              <w:jc w:val="right"/>
              <w:ind w:right="630"/>
              <w:spacing w:after="0"/>
              <w:rPr>
                <w:sz w:val="20"/>
                <w:szCs w:val="20"/>
                <w:color w:val="auto"/>
              </w:rPr>
            </w:pPr>
            <w:r>
              <w:rPr>
                <w:rFonts w:ascii="Arial" w:cs="Arial" w:eastAsia="Arial" w:hAnsi="Arial"/>
                <w:sz w:val="14"/>
                <w:szCs w:val="14"/>
                <w:color w:val="131E29"/>
              </w:rPr>
              <w:t>31,529</w:t>
            </w:r>
          </w:p>
        </w:tc>
        <w:tc>
          <w:tcPr>
            <w:tcW w:w="1100" w:type="dxa"/>
            <w:vAlign w:val="bottom"/>
            <w:gridSpan w:val="3"/>
            <w:shd w:val="clear" w:color="auto" w:fill="D2DCE5"/>
          </w:tcPr>
          <w:p>
            <w:pPr>
              <w:jc w:val="right"/>
              <w:ind w:right="220"/>
              <w:spacing w:after="0"/>
              <w:rPr>
                <w:sz w:val="20"/>
                <w:szCs w:val="20"/>
                <w:color w:val="auto"/>
              </w:rPr>
            </w:pPr>
            <w:r>
              <w:rPr>
                <w:rFonts w:ascii="Arial" w:cs="Arial" w:eastAsia="Arial" w:hAnsi="Arial"/>
                <w:sz w:val="14"/>
                <w:szCs w:val="14"/>
                <w:color w:val="131E29"/>
              </w:rPr>
              <w:t>28.8   %  $</w:t>
            </w:r>
          </w:p>
        </w:tc>
        <w:tc>
          <w:tcPr>
            <w:tcW w:w="1380" w:type="dxa"/>
            <w:vAlign w:val="bottom"/>
            <w:shd w:val="clear" w:color="auto" w:fill="D2DCE5"/>
          </w:tcPr>
          <w:p>
            <w:pPr>
              <w:jc w:val="right"/>
              <w:ind w:right="630"/>
              <w:spacing w:after="0"/>
              <w:rPr>
                <w:sz w:val="20"/>
                <w:szCs w:val="20"/>
                <w:color w:val="auto"/>
              </w:rPr>
            </w:pPr>
            <w:r>
              <w:rPr>
                <w:rFonts w:ascii="Arial" w:cs="Arial" w:eastAsia="Arial" w:hAnsi="Arial"/>
                <w:sz w:val="14"/>
                <w:szCs w:val="14"/>
                <w:color w:val="131E29"/>
              </w:rPr>
              <w:t>45,796</w:t>
            </w:r>
          </w:p>
        </w:tc>
        <w:tc>
          <w:tcPr>
            <w:tcW w:w="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72.0</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61"/>
        </w:trPr>
        <w:tc>
          <w:tcPr>
            <w:tcW w:w="270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company-operated shop</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131E29"/>
              </w:rPr>
              <w:t>16.4 %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131E29"/>
              </w:rPr>
              <w:t>17.1 %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131E29"/>
              </w:rPr>
              <w:t>15.7 %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vMerge w:val="restart"/>
          </w:tcPr>
          <w:p>
            <w:pPr>
              <w:ind w:left="480"/>
              <w:spacing w:after="0"/>
              <w:rPr>
                <w:sz w:val="20"/>
                <w:szCs w:val="20"/>
                <w:color w:val="auto"/>
              </w:rPr>
            </w:pPr>
            <w:r>
              <w:rPr>
                <w:rFonts w:ascii="Arial" w:cs="Arial" w:eastAsia="Arial" w:hAnsi="Arial"/>
                <w:sz w:val="14"/>
                <w:szCs w:val="14"/>
                <w:color w:val="131E29"/>
              </w:rPr>
              <w:t>N/A</w:t>
            </w:r>
          </w:p>
        </w:tc>
        <w:tc>
          <w:tcPr>
            <w:tcW w:w="110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131E29"/>
              </w:rPr>
              <w:t>(70) bps</w:t>
            </w:r>
          </w:p>
        </w:tc>
        <w:tc>
          <w:tcPr>
            <w:tcW w:w="1380" w:type="dxa"/>
            <w:vAlign w:val="bottom"/>
            <w:vMerge w:val="restart"/>
          </w:tcPr>
          <w:p>
            <w:pPr>
              <w:ind w:left="480"/>
              <w:spacing w:after="0"/>
              <w:rPr>
                <w:sz w:val="20"/>
                <w:szCs w:val="20"/>
                <w:color w:val="auto"/>
              </w:rPr>
            </w:pPr>
            <w:r>
              <w:rPr>
                <w:rFonts w:ascii="Arial" w:cs="Arial" w:eastAsia="Arial" w:hAnsi="Arial"/>
                <w:sz w:val="14"/>
                <w:szCs w:val="14"/>
                <w:color w:val="131E29"/>
              </w:rPr>
              <w:t>N/A</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131E29"/>
              </w:rPr>
              <w:t>140</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bps</w:t>
            </w:r>
          </w:p>
        </w:tc>
        <w:tc>
          <w:tcPr>
            <w:tcW w:w="0" w:type="dxa"/>
            <w:vAlign w:val="bottom"/>
          </w:tcPr>
          <w:p>
            <w:pPr>
              <w:spacing w:after="0"/>
              <w:rPr>
                <w:sz w:val="1"/>
                <w:szCs w:val="1"/>
                <w:color w:val="auto"/>
              </w:rPr>
            </w:pPr>
          </w:p>
        </w:tc>
      </w:tr>
      <w:tr>
        <w:trPr>
          <w:trHeight w:val="169"/>
        </w:trPr>
        <w:tc>
          <w:tcPr>
            <w:tcW w:w="2700" w:type="dxa"/>
            <w:vAlign w:val="bottom"/>
            <w:gridSpan w:val="2"/>
          </w:tcPr>
          <w:p>
            <w:pPr>
              <w:ind w:left="20"/>
              <w:spacing w:after="0"/>
              <w:rPr>
                <w:sz w:val="20"/>
                <w:szCs w:val="20"/>
                <w:color w:val="auto"/>
              </w:rPr>
            </w:pPr>
            <w:r>
              <w:rPr>
                <w:rFonts w:ascii="Arial" w:cs="Arial" w:eastAsia="Arial" w:hAnsi="Arial"/>
                <w:sz w:val="13"/>
                <w:szCs w:val="13"/>
                <w:i w:val="1"/>
                <w:iCs w:val="1"/>
                <w:color w:val="131E29"/>
              </w:rPr>
              <w:t>revenues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8" w:name="page79"/>
    <w:bookmarkEnd w:id="7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4"/>
          <w:szCs w:val="14"/>
          <w:color w:val="131E29"/>
        </w:rPr>
        <w:t>The occupancy and other costs impacts for the year-over-year comparison, presented in dollars and basis points (as a percentage of current year company-operated shop revenues), were driven by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except BPS; unaudited)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500" w:type="dxa"/>
            <w:vAlign w:val="bottom"/>
            <w:tcBorders>
              <w:bottom w:val="single" w:sz="8" w:color="131E29"/>
            </w:tcBorders>
          </w:tcPr>
          <w:p>
            <w:pPr>
              <w:spacing w:after="0"/>
              <w:rPr>
                <w:sz w:val="17"/>
                <w:szCs w:val="17"/>
                <w:color w:val="auto"/>
              </w:rPr>
            </w:pPr>
          </w:p>
        </w:tc>
        <w:tc>
          <w:tcPr>
            <w:tcW w:w="300" w:type="dxa"/>
            <w:vAlign w:val="bottom"/>
            <w:tcBorders>
              <w:bottom w:val="single" w:sz="8" w:color="131E29"/>
            </w:tcBorders>
            <w:gridSpan w:val="2"/>
          </w:tcPr>
          <w:p>
            <w:pPr>
              <w:jc w:val="right"/>
              <w:ind w:right="40"/>
              <w:spacing w:after="0"/>
              <w:rPr>
                <w:sz w:val="20"/>
                <w:szCs w:val="20"/>
                <w:color w:val="auto"/>
              </w:rPr>
            </w:pPr>
            <w:r>
              <w:rPr>
                <w:rFonts w:ascii="Arial" w:cs="Arial" w:eastAsia="Arial" w:hAnsi="Arial"/>
                <w:sz w:val="14"/>
                <w:szCs w:val="14"/>
                <w:b w:val="1"/>
                <w:bCs w:val="1"/>
                <w:color w:val="131E29"/>
              </w:rPr>
              <w:t>$</w:t>
            </w:r>
          </w:p>
        </w:tc>
        <w:tc>
          <w:tcPr>
            <w:tcW w:w="140" w:type="dxa"/>
            <w:vAlign w:val="bottom"/>
            <w:tcBorders>
              <w:bottom w:val="single" w:sz="8" w:color="131E29"/>
            </w:tcBorders>
          </w:tcPr>
          <w:p>
            <w:pPr>
              <w:spacing w:after="0"/>
              <w:rPr>
                <w:sz w:val="17"/>
                <w:szCs w:val="17"/>
                <w:color w:val="auto"/>
              </w:rPr>
            </w:pPr>
          </w:p>
        </w:tc>
        <w:tc>
          <w:tcPr>
            <w:tcW w:w="50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BPS</w:t>
            </w:r>
          </w:p>
        </w:tc>
        <w:tc>
          <w:tcPr>
            <w:tcW w:w="360" w:type="dxa"/>
            <w:vAlign w:val="bottom"/>
            <w:tcBorders>
              <w:bottom w:val="single" w:sz="8" w:color="131E29"/>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13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00" w:type="dxa"/>
            <w:vAlign w:val="bottom"/>
            <w:shd w:val="clear" w:color="auto" w:fill="D2DCE5"/>
          </w:tcPr>
          <w:p>
            <w:pPr>
              <w:jc w:val="right"/>
              <w:ind w:right="352"/>
              <w:spacing w:after="0"/>
              <w:rPr>
                <w:sz w:val="20"/>
                <w:szCs w:val="20"/>
                <w:color w:val="auto"/>
              </w:rPr>
            </w:pPr>
            <w:r>
              <w:rPr>
                <w:rFonts w:ascii="Arial" w:cs="Arial" w:eastAsia="Arial" w:hAnsi="Arial"/>
                <w:sz w:val="13"/>
                <w:szCs w:val="13"/>
                <w:color w:val="131E29"/>
                <w:w w:val="82"/>
              </w:rPr>
              <w:t>$</w:t>
            </w:r>
          </w:p>
        </w:tc>
        <w:tc>
          <w:tcPr>
            <w:tcW w:w="2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31,747</w:t>
            </w:r>
          </w:p>
        </w:tc>
        <w:tc>
          <w:tcPr>
            <w:tcW w:w="80" w:type="dxa"/>
            <w:vAlign w:val="bottom"/>
            <w:shd w:val="clear" w:color="auto" w:fill="D2DCE5"/>
          </w:tcPr>
          <w:p>
            <w:pPr>
              <w:spacing w:after="0"/>
              <w:rPr>
                <w:sz w:val="16"/>
                <w:szCs w:val="16"/>
                <w:color w:val="auto"/>
              </w:rPr>
            </w:pPr>
          </w:p>
        </w:tc>
        <w:tc>
          <w:tcPr>
            <w:tcW w:w="98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2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c>
          <w:tcPr>
            <w:tcW w:w="0" w:type="dxa"/>
            <w:vAlign w:val="bottom"/>
          </w:tcPr>
          <w:p>
            <w:pPr>
              <w:spacing w:after="0"/>
              <w:rPr>
                <w:sz w:val="1"/>
                <w:szCs w:val="1"/>
                <w:color w:val="auto"/>
              </w:rPr>
            </w:pPr>
          </w:p>
        </w:tc>
      </w:tr>
      <w:tr>
        <w:trPr>
          <w:trHeight w:val="184"/>
        </w:trPr>
        <w:tc>
          <w:tcPr>
            <w:tcW w:w="2960" w:type="dxa"/>
            <w:vAlign w:val="bottom"/>
            <w:gridSpan w:val="2"/>
          </w:tcPr>
          <w:p>
            <w:pPr>
              <w:ind w:left="20"/>
              <w:spacing w:after="0"/>
              <w:rPr>
                <w:sz w:val="20"/>
                <w:szCs w:val="20"/>
                <w:color w:val="auto"/>
              </w:rPr>
            </w:pPr>
            <w:r>
              <w:rPr>
                <w:rFonts w:ascii="Arial" w:cs="Arial" w:eastAsia="Arial" w:hAnsi="Arial"/>
                <w:sz w:val="13"/>
                <w:szCs w:val="13"/>
                <w:color w:val="131E29"/>
              </w:rPr>
              <w:t>Timing</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131E29"/>
              </w:rPr>
              <w:t>N/A</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131E29"/>
              </w:rPr>
              <w:t>10</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13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0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580" w:type="dxa"/>
            <w:vAlign w:val="bottom"/>
            <w:gridSpan w:val="2"/>
            <w:shd w:val="clear" w:color="auto" w:fill="D2DCE5"/>
          </w:tcPr>
          <w:p>
            <w:pPr>
              <w:ind w:left="260"/>
              <w:spacing w:after="0"/>
              <w:rPr>
                <w:sz w:val="20"/>
                <w:szCs w:val="20"/>
                <w:color w:val="auto"/>
              </w:rPr>
            </w:pPr>
            <w:r>
              <w:rPr>
                <w:rFonts w:ascii="Arial" w:cs="Arial" w:eastAsia="Arial" w:hAnsi="Arial"/>
                <w:sz w:val="13"/>
                <w:szCs w:val="13"/>
                <w:color w:val="131E29"/>
              </w:rPr>
              <w:t>N/A</w:t>
            </w:r>
          </w:p>
        </w:tc>
        <w:tc>
          <w:tcPr>
            <w:tcW w:w="9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260" w:type="dxa"/>
            <w:vAlign w:val="bottom"/>
            <w:shd w:val="clear" w:color="auto" w:fill="D2DCE5"/>
          </w:tcPr>
          <w:p>
            <w:pPr>
              <w:jc w:val="right"/>
              <w:spacing w:after="0"/>
              <w:rPr>
                <w:sz w:val="20"/>
                <w:szCs w:val="20"/>
                <w:color w:val="auto"/>
              </w:rPr>
            </w:pPr>
            <w:r>
              <w:rPr>
                <w:rFonts w:ascii="Arial" w:cs="Arial" w:eastAsia="Arial" w:hAnsi="Arial"/>
                <w:sz w:val="13"/>
                <w:szCs w:val="13"/>
                <w:color w:val="131E29"/>
                <w:w w:val="94"/>
              </w:rPr>
              <w:t>(80)</w:t>
            </w:r>
          </w:p>
        </w:tc>
        <w:tc>
          <w:tcPr>
            <w:tcW w:w="0" w:type="dxa"/>
            <w:vAlign w:val="bottom"/>
          </w:tcPr>
          <w:p>
            <w:pPr>
              <w:spacing w:after="0"/>
              <w:rPr>
                <w:sz w:val="1"/>
                <w:szCs w:val="1"/>
                <w:color w:val="auto"/>
              </w:rPr>
            </w:pPr>
          </w:p>
        </w:tc>
      </w:tr>
      <w:tr>
        <w:trPr>
          <w:trHeight w:val="184"/>
        </w:trPr>
        <w:tc>
          <w:tcPr>
            <w:tcW w:w="2960" w:type="dxa"/>
            <w:vAlign w:val="bottom"/>
            <w:tcBorders>
              <w:bottom w:val="single" w:sz="8" w:color="131E29"/>
            </w:tcBorders>
            <w:gridSpan w:val="2"/>
          </w:tcPr>
          <w:p>
            <w:pPr>
              <w:ind w:left="20"/>
              <w:spacing w:after="0"/>
              <w:rPr>
                <w:sz w:val="20"/>
                <w:szCs w:val="20"/>
                <w:color w:val="auto"/>
              </w:rPr>
            </w:pPr>
            <w:r>
              <w:rPr>
                <w:rFonts w:ascii="Arial" w:cs="Arial" w:eastAsia="Arial" w:hAnsi="Arial"/>
                <w:sz w:val="13"/>
                <w:szCs w:val="13"/>
                <w:color w:val="131E29"/>
              </w:rPr>
              <w:t>Other</w:t>
            </w:r>
          </w:p>
        </w:tc>
        <w:tc>
          <w:tcPr>
            <w:tcW w:w="240" w:type="dxa"/>
            <w:vAlign w:val="bottom"/>
            <w:tcBorders>
              <w:bottom w:val="single" w:sz="8" w:color="131E29"/>
            </w:tcBorders>
          </w:tcPr>
          <w:p>
            <w:pPr>
              <w:spacing w:after="0"/>
              <w:rPr>
                <w:sz w:val="15"/>
                <w:szCs w:val="15"/>
                <w:color w:val="auto"/>
              </w:rPr>
            </w:pPr>
          </w:p>
        </w:tc>
        <w:tc>
          <w:tcPr>
            <w:tcW w:w="84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86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680" w:type="dxa"/>
            <w:vAlign w:val="bottom"/>
            <w:tcBorders>
              <w:bottom w:val="single" w:sz="8" w:color="131E29"/>
            </w:tcBorders>
          </w:tcPr>
          <w:p>
            <w:pPr>
              <w:spacing w:after="0"/>
              <w:rPr>
                <w:sz w:val="15"/>
                <w:szCs w:val="15"/>
                <w:color w:val="auto"/>
              </w:rPr>
            </w:pPr>
          </w:p>
        </w:tc>
        <w:tc>
          <w:tcPr>
            <w:tcW w:w="160" w:type="dxa"/>
            <w:vAlign w:val="bottom"/>
            <w:tcBorders>
              <w:bottom w:val="single" w:sz="8" w:color="131E29"/>
            </w:tcBorders>
          </w:tcPr>
          <w:p>
            <w:pPr>
              <w:spacing w:after="0"/>
              <w:rPr>
                <w:sz w:val="15"/>
                <w:szCs w:val="15"/>
                <w:color w:val="auto"/>
              </w:rPr>
            </w:pPr>
          </w:p>
        </w:tc>
        <w:tc>
          <w:tcPr>
            <w:tcW w:w="100" w:type="dxa"/>
            <w:vAlign w:val="bottom"/>
            <w:tcBorders>
              <w:bottom w:val="single" w:sz="8" w:color="131E29"/>
            </w:tcBorders>
          </w:tcPr>
          <w:p>
            <w:pPr>
              <w:spacing w:after="0"/>
              <w:rPr>
                <w:sz w:val="15"/>
                <w:szCs w:val="15"/>
                <w:color w:val="auto"/>
              </w:rPr>
            </w:pPr>
          </w:p>
        </w:tc>
        <w:tc>
          <w:tcPr>
            <w:tcW w:w="280" w:type="dxa"/>
            <w:vAlign w:val="bottom"/>
            <w:tcBorders>
              <w:bottom w:val="single" w:sz="8" w:color="131E29"/>
            </w:tcBorders>
          </w:tcPr>
          <w:p>
            <w:pPr>
              <w:spacing w:after="0"/>
              <w:rPr>
                <w:sz w:val="15"/>
                <w:szCs w:val="15"/>
                <w:color w:val="auto"/>
              </w:rPr>
            </w:pPr>
          </w:p>
        </w:tc>
        <w:tc>
          <w:tcPr>
            <w:tcW w:w="1320" w:type="dxa"/>
            <w:vAlign w:val="bottom"/>
            <w:tcBorders>
              <w:bottom w:val="single" w:sz="8" w:color="131E29"/>
            </w:tcBorders>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500" w:type="dxa"/>
            <w:vAlign w:val="bottom"/>
            <w:tcBorders>
              <w:bottom w:val="single" w:sz="8" w:color="131E29"/>
            </w:tcBorders>
          </w:tcPr>
          <w:p>
            <w:pPr>
              <w:spacing w:after="0"/>
              <w:rPr>
                <w:sz w:val="15"/>
                <w:szCs w:val="15"/>
                <w:color w:val="auto"/>
              </w:rPr>
            </w:pPr>
          </w:p>
        </w:tc>
        <w:tc>
          <w:tcPr>
            <w:tcW w:w="22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140" w:type="dxa"/>
            <w:vAlign w:val="bottom"/>
            <w:tcBorders>
              <w:bottom w:val="single" w:sz="8" w:color="131E29"/>
            </w:tcBorders>
          </w:tcPr>
          <w:p>
            <w:pPr>
              <w:spacing w:after="0"/>
              <w:rPr>
                <w:sz w:val="15"/>
                <w:szCs w:val="15"/>
                <w:color w:val="auto"/>
              </w:rPr>
            </w:pPr>
          </w:p>
        </w:tc>
        <w:tc>
          <w:tcPr>
            <w:tcW w:w="50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(218)</w:t>
            </w:r>
          </w:p>
        </w:tc>
        <w:tc>
          <w:tcPr>
            <w:tcW w:w="80" w:type="dxa"/>
            <w:vAlign w:val="bottom"/>
            <w:tcBorders>
              <w:bottom w:val="single" w:sz="8" w:color="D2DCE5"/>
            </w:tcBorders>
          </w:tcPr>
          <w:p>
            <w:pPr>
              <w:spacing w:after="0"/>
              <w:rPr>
                <w:sz w:val="15"/>
                <w:szCs w:val="15"/>
                <w:color w:val="auto"/>
              </w:rPr>
            </w:pPr>
          </w:p>
        </w:tc>
        <w:tc>
          <w:tcPr>
            <w:tcW w:w="980" w:type="dxa"/>
            <w:vAlign w:val="bottom"/>
            <w:tcBorders>
              <w:bottom w:val="single" w:sz="8" w:color="131E29"/>
            </w:tcBorders>
          </w:tcPr>
          <w:p>
            <w:pPr>
              <w:spacing w:after="0"/>
              <w:rPr>
                <w:sz w:val="15"/>
                <w:szCs w:val="15"/>
                <w:color w:val="auto"/>
              </w:rPr>
            </w:pPr>
          </w:p>
        </w:tc>
        <w:tc>
          <w:tcPr>
            <w:tcW w:w="360" w:type="dxa"/>
            <w:vAlign w:val="bottom"/>
            <w:tcBorders>
              <w:bottom w:val="single" w:sz="8" w:color="131E29"/>
            </w:tcBorders>
          </w:tcPr>
          <w:p>
            <w:pPr>
              <w:spacing w:after="0"/>
              <w:rPr>
                <w:sz w:val="15"/>
                <w:szCs w:val="15"/>
                <w:color w:val="auto"/>
              </w:rPr>
            </w:pPr>
          </w:p>
        </w:tc>
        <w:tc>
          <w:tcPr>
            <w:tcW w:w="26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w:t>
            </w:r>
          </w:p>
        </w:tc>
        <w:tc>
          <w:tcPr>
            <w:tcW w:w="0" w:type="dxa"/>
            <w:vAlign w:val="bottom"/>
          </w:tcPr>
          <w:p>
            <w:pPr>
              <w:spacing w:after="0"/>
              <w:rPr>
                <w:sz w:val="1"/>
                <w:szCs w:val="1"/>
                <w:color w:val="auto"/>
              </w:rPr>
            </w:pPr>
          </w:p>
        </w:tc>
      </w:tr>
      <w:tr>
        <w:trPr>
          <w:trHeight w:val="184"/>
        </w:trPr>
        <w:tc>
          <w:tcPr>
            <w:tcW w:w="2960" w:type="dxa"/>
            <w:vAlign w:val="bottom"/>
            <w:tcBorders>
              <w:bottom w:val="single" w:sz="8" w:color="131E29"/>
            </w:tcBorders>
            <w:gridSpan w:val="2"/>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240" w:type="dxa"/>
            <w:vAlign w:val="bottom"/>
            <w:tcBorders>
              <w:bottom w:val="single" w:sz="8" w:color="131E29"/>
            </w:tcBorders>
            <w:shd w:val="clear" w:color="auto" w:fill="D2DCE5"/>
          </w:tcPr>
          <w:p>
            <w:pPr>
              <w:spacing w:after="0"/>
              <w:rPr>
                <w:sz w:val="15"/>
                <w:szCs w:val="15"/>
                <w:color w:val="auto"/>
              </w:rPr>
            </w:pPr>
          </w:p>
        </w:tc>
        <w:tc>
          <w:tcPr>
            <w:tcW w:w="840" w:type="dxa"/>
            <w:vAlign w:val="bottom"/>
            <w:tcBorders>
              <w:bottom w:val="single" w:sz="8" w:color="131E29"/>
            </w:tcBorders>
            <w:shd w:val="clear" w:color="auto" w:fill="D2DCE5"/>
          </w:tcPr>
          <w:p>
            <w:pPr>
              <w:spacing w:after="0"/>
              <w:rPr>
                <w:sz w:val="15"/>
                <w:szCs w:val="15"/>
                <w:color w:val="auto"/>
              </w:rPr>
            </w:pPr>
          </w:p>
        </w:tc>
        <w:tc>
          <w:tcPr>
            <w:tcW w:w="80" w:type="dxa"/>
            <w:vAlign w:val="bottom"/>
            <w:tcBorders>
              <w:bottom w:val="single" w:sz="8" w:color="131E29"/>
            </w:tcBorders>
            <w:shd w:val="clear" w:color="auto" w:fill="D2DCE5"/>
          </w:tcPr>
          <w:p>
            <w:pPr>
              <w:spacing w:after="0"/>
              <w:rPr>
                <w:sz w:val="15"/>
                <w:szCs w:val="15"/>
                <w:color w:val="auto"/>
              </w:rPr>
            </w:pPr>
          </w:p>
        </w:tc>
        <w:tc>
          <w:tcPr>
            <w:tcW w:w="240" w:type="dxa"/>
            <w:vAlign w:val="bottom"/>
            <w:tcBorders>
              <w:bottom w:val="single" w:sz="8" w:color="131E29"/>
            </w:tcBorders>
            <w:shd w:val="clear" w:color="auto" w:fill="D2DCE5"/>
          </w:tcPr>
          <w:p>
            <w:pPr>
              <w:spacing w:after="0"/>
              <w:rPr>
                <w:sz w:val="15"/>
                <w:szCs w:val="15"/>
                <w:color w:val="auto"/>
              </w:rPr>
            </w:pPr>
          </w:p>
        </w:tc>
        <w:tc>
          <w:tcPr>
            <w:tcW w:w="860" w:type="dxa"/>
            <w:vAlign w:val="bottom"/>
            <w:tcBorders>
              <w:bottom w:val="single" w:sz="8" w:color="131E29"/>
            </w:tcBorders>
            <w:shd w:val="clear" w:color="auto" w:fill="D2DCE5"/>
          </w:tcPr>
          <w:p>
            <w:pPr>
              <w:spacing w:after="0"/>
              <w:rPr>
                <w:sz w:val="15"/>
                <w:szCs w:val="15"/>
                <w:color w:val="auto"/>
              </w:rPr>
            </w:pPr>
          </w:p>
        </w:tc>
        <w:tc>
          <w:tcPr>
            <w:tcW w:w="80" w:type="dxa"/>
            <w:vAlign w:val="bottom"/>
            <w:tcBorders>
              <w:bottom w:val="single" w:sz="8" w:color="131E29"/>
            </w:tcBorders>
            <w:shd w:val="clear" w:color="auto" w:fill="D2DCE5"/>
          </w:tcPr>
          <w:p>
            <w:pPr>
              <w:spacing w:after="0"/>
              <w:rPr>
                <w:sz w:val="15"/>
                <w:szCs w:val="15"/>
                <w:color w:val="auto"/>
              </w:rPr>
            </w:pPr>
          </w:p>
        </w:tc>
        <w:tc>
          <w:tcPr>
            <w:tcW w:w="240" w:type="dxa"/>
            <w:vAlign w:val="bottom"/>
            <w:tcBorders>
              <w:bottom w:val="single" w:sz="8" w:color="131E29"/>
            </w:tcBorders>
            <w:shd w:val="clear" w:color="auto" w:fill="D2DCE5"/>
          </w:tcPr>
          <w:p>
            <w:pPr>
              <w:spacing w:after="0"/>
              <w:rPr>
                <w:sz w:val="15"/>
                <w:szCs w:val="15"/>
                <w:color w:val="auto"/>
              </w:rPr>
            </w:pPr>
          </w:p>
        </w:tc>
        <w:tc>
          <w:tcPr>
            <w:tcW w:w="680" w:type="dxa"/>
            <w:vAlign w:val="bottom"/>
            <w:tcBorders>
              <w:bottom w:val="single" w:sz="8" w:color="131E29"/>
            </w:tcBorders>
            <w:shd w:val="clear" w:color="auto" w:fill="D2DCE5"/>
          </w:tcPr>
          <w:p>
            <w:pPr>
              <w:spacing w:after="0"/>
              <w:rPr>
                <w:sz w:val="15"/>
                <w:szCs w:val="15"/>
                <w:color w:val="auto"/>
              </w:rPr>
            </w:pPr>
          </w:p>
        </w:tc>
        <w:tc>
          <w:tcPr>
            <w:tcW w:w="160" w:type="dxa"/>
            <w:vAlign w:val="bottom"/>
            <w:tcBorders>
              <w:bottom w:val="single" w:sz="8" w:color="131E29"/>
            </w:tcBorders>
            <w:shd w:val="clear" w:color="auto" w:fill="D2DCE5"/>
          </w:tcPr>
          <w:p>
            <w:pPr>
              <w:spacing w:after="0"/>
              <w:rPr>
                <w:sz w:val="15"/>
                <w:szCs w:val="15"/>
                <w:color w:val="auto"/>
              </w:rPr>
            </w:pPr>
          </w:p>
        </w:tc>
        <w:tc>
          <w:tcPr>
            <w:tcW w:w="100" w:type="dxa"/>
            <w:vAlign w:val="bottom"/>
            <w:tcBorders>
              <w:bottom w:val="single" w:sz="8" w:color="131E29"/>
            </w:tcBorders>
            <w:shd w:val="clear" w:color="auto" w:fill="D2DCE5"/>
          </w:tcPr>
          <w:p>
            <w:pPr>
              <w:spacing w:after="0"/>
              <w:rPr>
                <w:sz w:val="15"/>
                <w:szCs w:val="15"/>
                <w:color w:val="auto"/>
              </w:rPr>
            </w:pPr>
          </w:p>
        </w:tc>
        <w:tc>
          <w:tcPr>
            <w:tcW w:w="280" w:type="dxa"/>
            <w:vAlign w:val="bottom"/>
            <w:tcBorders>
              <w:bottom w:val="single" w:sz="8" w:color="131E29"/>
            </w:tcBorders>
            <w:shd w:val="clear" w:color="auto" w:fill="D2DCE5"/>
          </w:tcPr>
          <w:p>
            <w:pPr>
              <w:spacing w:after="0"/>
              <w:rPr>
                <w:sz w:val="15"/>
                <w:szCs w:val="15"/>
                <w:color w:val="auto"/>
              </w:rPr>
            </w:pPr>
          </w:p>
        </w:tc>
        <w:tc>
          <w:tcPr>
            <w:tcW w:w="1320" w:type="dxa"/>
            <w:vAlign w:val="bottom"/>
            <w:tcBorders>
              <w:bottom w:val="single" w:sz="8" w:color="131E29"/>
            </w:tcBorders>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00" w:type="dxa"/>
            <w:vAlign w:val="bottom"/>
            <w:tcBorders>
              <w:bottom w:val="single" w:sz="8" w:color="131E29"/>
            </w:tcBorders>
            <w:shd w:val="clear" w:color="auto" w:fill="D2DCE5"/>
          </w:tcPr>
          <w:p>
            <w:pPr>
              <w:jc w:val="right"/>
              <w:ind w:right="352"/>
              <w:spacing w:after="0"/>
              <w:rPr>
                <w:sz w:val="20"/>
                <w:szCs w:val="20"/>
                <w:color w:val="auto"/>
              </w:rPr>
            </w:pPr>
            <w:r>
              <w:rPr>
                <w:rFonts w:ascii="Arial" w:cs="Arial" w:eastAsia="Arial" w:hAnsi="Arial"/>
                <w:sz w:val="13"/>
                <w:szCs w:val="13"/>
                <w:b w:val="1"/>
                <w:bCs w:val="1"/>
                <w:color w:val="131E29"/>
                <w:w w:val="82"/>
              </w:rPr>
              <w:t>$</w:t>
            </w:r>
          </w:p>
        </w:tc>
        <w:tc>
          <w:tcPr>
            <w:tcW w:w="220" w:type="dxa"/>
            <w:vAlign w:val="bottom"/>
            <w:tcBorders>
              <w:bottom w:val="single" w:sz="8" w:color="131E29"/>
            </w:tcBorders>
            <w:shd w:val="clear" w:color="auto" w:fill="D2DCE5"/>
          </w:tcPr>
          <w:p>
            <w:pPr>
              <w:spacing w:after="0"/>
              <w:rPr>
                <w:sz w:val="15"/>
                <w:szCs w:val="15"/>
                <w:color w:val="auto"/>
              </w:rPr>
            </w:pPr>
          </w:p>
        </w:tc>
        <w:tc>
          <w:tcPr>
            <w:tcW w:w="80" w:type="dxa"/>
            <w:vAlign w:val="bottom"/>
            <w:tcBorders>
              <w:bottom w:val="single" w:sz="8" w:color="131E29"/>
            </w:tcBorders>
            <w:shd w:val="clear" w:color="auto" w:fill="D2DCE5"/>
          </w:tcPr>
          <w:p>
            <w:pPr>
              <w:spacing w:after="0"/>
              <w:rPr>
                <w:sz w:val="15"/>
                <w:szCs w:val="15"/>
                <w:color w:val="auto"/>
              </w:rPr>
            </w:pPr>
          </w:p>
        </w:tc>
        <w:tc>
          <w:tcPr>
            <w:tcW w:w="140" w:type="dxa"/>
            <w:vAlign w:val="bottom"/>
            <w:tcBorders>
              <w:bottom w:val="single" w:sz="8" w:color="131E29"/>
            </w:tcBorders>
            <w:shd w:val="clear" w:color="auto" w:fill="D2DCE5"/>
          </w:tcPr>
          <w:p>
            <w:pPr>
              <w:spacing w:after="0"/>
              <w:rPr>
                <w:sz w:val="15"/>
                <w:szCs w:val="15"/>
                <w:color w:val="auto"/>
              </w:rPr>
            </w:pPr>
          </w:p>
        </w:tc>
        <w:tc>
          <w:tcPr>
            <w:tcW w:w="5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31,529</w:t>
            </w:r>
          </w:p>
        </w:tc>
        <w:tc>
          <w:tcPr>
            <w:tcW w:w="80" w:type="dxa"/>
            <w:vAlign w:val="bottom"/>
            <w:shd w:val="clear" w:color="auto" w:fill="D2DCE5"/>
          </w:tcPr>
          <w:p>
            <w:pPr>
              <w:spacing w:after="0"/>
              <w:rPr>
                <w:sz w:val="15"/>
                <w:szCs w:val="15"/>
                <w:color w:val="auto"/>
              </w:rPr>
            </w:pPr>
          </w:p>
        </w:tc>
        <w:tc>
          <w:tcPr>
            <w:tcW w:w="980" w:type="dxa"/>
            <w:vAlign w:val="bottom"/>
            <w:tcBorders>
              <w:bottom w:val="single" w:sz="8" w:color="131E29"/>
            </w:tcBorders>
            <w:shd w:val="clear" w:color="auto" w:fill="D2DCE5"/>
          </w:tcPr>
          <w:p>
            <w:pPr>
              <w:spacing w:after="0"/>
              <w:rPr>
                <w:sz w:val="15"/>
                <w:szCs w:val="15"/>
                <w:color w:val="auto"/>
              </w:rPr>
            </w:pPr>
          </w:p>
        </w:tc>
        <w:tc>
          <w:tcPr>
            <w:tcW w:w="360" w:type="dxa"/>
            <w:vAlign w:val="bottom"/>
            <w:tcBorders>
              <w:bottom w:val="single" w:sz="8" w:color="131E29"/>
            </w:tcBorders>
            <w:shd w:val="clear" w:color="auto" w:fill="D2DCE5"/>
          </w:tcPr>
          <w:p>
            <w:pPr>
              <w:spacing w:after="0"/>
              <w:rPr>
                <w:sz w:val="15"/>
                <w:szCs w:val="15"/>
                <w:color w:val="auto"/>
              </w:rPr>
            </w:pPr>
          </w:p>
        </w:tc>
        <w:tc>
          <w:tcPr>
            <w:tcW w:w="2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w w:val="94"/>
              </w:rPr>
              <w:t>(70)</w:t>
            </w:r>
          </w:p>
        </w:tc>
        <w:tc>
          <w:tcPr>
            <w:tcW w:w="0" w:type="dxa"/>
            <w:vAlign w:val="bottom"/>
          </w:tcPr>
          <w:p>
            <w:pPr>
              <w:spacing w:after="0"/>
              <w:rPr>
                <w:sz w:val="1"/>
                <w:szCs w:val="1"/>
                <w:color w:val="auto"/>
              </w:rPr>
            </w:pPr>
          </w:p>
        </w:tc>
      </w:tr>
      <w:tr>
        <w:trPr>
          <w:trHeight w:val="374"/>
        </w:trPr>
        <w:tc>
          <w:tcPr>
            <w:tcW w:w="296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Pre-opening 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131E29"/>
              </w:rPr>
              <w:t>Year Ended December 31,</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shop data; unaudited)</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680" w:type="dxa"/>
            <w:vAlign w:val="bottom"/>
            <w:tcBorders>
              <w:bottom w:val="single" w:sz="8" w:color="131E29"/>
            </w:tcBorders>
          </w:tcPr>
          <w:p>
            <w:pPr>
              <w:jc w:val="right"/>
              <w:ind w:right="150"/>
              <w:spacing w:after="0"/>
              <w:rPr>
                <w:sz w:val="20"/>
                <w:szCs w:val="20"/>
                <w:color w:val="auto"/>
              </w:rPr>
            </w:pPr>
            <w:r>
              <w:rPr>
                <w:rFonts w:ascii="Arial" w:cs="Arial" w:eastAsia="Arial" w:hAnsi="Arial"/>
                <w:sz w:val="14"/>
                <w:szCs w:val="14"/>
                <w:b w:val="1"/>
                <w:bCs w:val="1"/>
                <w:color w:val="131E29"/>
              </w:rPr>
              <w:t>2021</w:t>
            </w:r>
          </w:p>
        </w:tc>
        <w:tc>
          <w:tcPr>
            <w:tcW w:w="160" w:type="dxa"/>
            <w:vAlign w:val="bottom"/>
            <w:tcBorders>
              <w:bottom w:val="single" w:sz="8" w:color="131E29"/>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1400" w:type="dxa"/>
            <w:vAlign w:val="bottom"/>
            <w:tcBorders>
              <w:bottom w:val="single" w:sz="8" w:color="131E29"/>
            </w:tcBorders>
            <w:gridSpan w:val="2"/>
          </w:tcPr>
          <w:p>
            <w:pPr>
              <w:ind w:left="500"/>
              <w:spacing w:after="0"/>
              <w:rPr>
                <w:sz w:val="20"/>
                <w:szCs w:val="20"/>
                <w:color w:val="auto"/>
              </w:rPr>
            </w:pPr>
            <w:r>
              <w:rPr>
                <w:rFonts w:ascii="Arial" w:cs="Arial" w:eastAsia="Arial" w:hAnsi="Arial"/>
                <w:sz w:val="14"/>
                <w:szCs w:val="14"/>
                <w:b w:val="1"/>
                <w:bCs w:val="1"/>
                <w:color w:val="131E29"/>
              </w:rPr>
              <w:t>2023 v. 2022</w:t>
            </w:r>
          </w:p>
        </w:tc>
        <w:tc>
          <w:tcPr>
            <w:tcW w:w="500" w:type="dxa"/>
            <w:vAlign w:val="bottom"/>
            <w:tcBorders>
              <w:bottom w:val="single" w:sz="8" w:color="131E29"/>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131E29"/>
            </w:tcBorders>
          </w:tcPr>
          <w:p>
            <w:pPr>
              <w:spacing w:after="0"/>
              <w:rPr>
                <w:sz w:val="17"/>
                <w:szCs w:val="17"/>
                <w:color w:val="auto"/>
              </w:rPr>
            </w:pPr>
          </w:p>
        </w:tc>
        <w:tc>
          <w:tcPr>
            <w:tcW w:w="50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980" w:type="dxa"/>
            <w:vAlign w:val="bottom"/>
            <w:tcBorders>
              <w:bottom w:val="single" w:sz="8" w:color="131E29"/>
            </w:tcBorders>
          </w:tcPr>
          <w:p>
            <w:pPr>
              <w:jc w:val="right"/>
              <w:ind w:right="70"/>
              <w:spacing w:after="0"/>
              <w:rPr>
                <w:sz w:val="20"/>
                <w:szCs w:val="20"/>
                <w:color w:val="auto"/>
              </w:rPr>
            </w:pPr>
            <w:r>
              <w:rPr>
                <w:rFonts w:ascii="Arial" w:cs="Arial" w:eastAsia="Arial" w:hAnsi="Arial"/>
                <w:sz w:val="14"/>
                <w:szCs w:val="14"/>
                <w:b w:val="1"/>
                <w:bCs w:val="1"/>
                <w:color w:val="131E29"/>
              </w:rPr>
              <w:t>2022 v 2021</w:t>
            </w:r>
          </w:p>
        </w:tc>
        <w:tc>
          <w:tcPr>
            <w:tcW w:w="360" w:type="dxa"/>
            <w:vAlign w:val="bottom"/>
            <w:tcBorders>
              <w:bottom w:val="single" w:sz="8" w:color="131E29"/>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Pre-opening costs</w:t>
            </w:r>
          </w:p>
        </w:tc>
        <w:tc>
          <w:tcPr>
            <w:tcW w:w="24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w w:val="76"/>
              </w:rPr>
              <w:t>$</w:t>
            </w:r>
          </w:p>
        </w:tc>
        <w:tc>
          <w:tcPr>
            <w:tcW w:w="84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14,083</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17,986</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12,801</w:t>
            </w:r>
          </w:p>
        </w:tc>
        <w:tc>
          <w:tcPr>
            <w:tcW w:w="540" w:type="dxa"/>
            <w:vAlign w:val="bottom"/>
            <w:gridSpan w:val="3"/>
            <w:shd w:val="clear" w:color="auto" w:fill="D2DCE5"/>
          </w:tcPr>
          <w:p>
            <w:pPr>
              <w:jc w:val="right"/>
              <w:ind w:right="200"/>
              <w:spacing w:after="0"/>
              <w:rPr>
                <w:sz w:val="20"/>
                <w:szCs w:val="20"/>
                <w:color w:val="auto"/>
              </w:rPr>
            </w:pPr>
            <w:r>
              <w:rPr>
                <w:rFonts w:ascii="Arial" w:cs="Arial" w:eastAsia="Arial" w:hAnsi="Arial"/>
                <w:sz w:val="14"/>
                <w:szCs w:val="14"/>
                <w:color w:val="131E29"/>
              </w:rPr>
              <w:t>$</w:t>
            </w:r>
          </w:p>
        </w:tc>
        <w:tc>
          <w:tcPr>
            <w:tcW w:w="1320" w:type="dxa"/>
            <w:vAlign w:val="bottom"/>
            <w:shd w:val="clear" w:color="auto" w:fill="D2DCE5"/>
          </w:tcPr>
          <w:p>
            <w:pPr>
              <w:jc w:val="right"/>
              <w:ind w:right="590"/>
              <w:spacing w:after="0"/>
              <w:rPr>
                <w:sz w:val="20"/>
                <w:szCs w:val="20"/>
                <w:color w:val="auto"/>
              </w:rPr>
            </w:pPr>
            <w:r>
              <w:rPr>
                <w:rFonts w:ascii="Arial" w:cs="Arial" w:eastAsia="Arial" w:hAnsi="Arial"/>
                <w:sz w:val="14"/>
                <w:szCs w:val="14"/>
                <w:color w:val="131E29"/>
              </w:rPr>
              <w:t>(3,903)</w:t>
            </w:r>
          </w:p>
        </w:tc>
        <w:tc>
          <w:tcPr>
            <w:tcW w:w="80" w:type="dxa"/>
            <w:vAlign w:val="bottom"/>
            <w:shd w:val="clear" w:color="auto" w:fill="D2DCE5"/>
          </w:tcPr>
          <w:p>
            <w:pPr>
              <w:spacing w:after="0"/>
              <w:rPr>
                <w:sz w:val="18"/>
                <w:szCs w:val="18"/>
                <w:color w:val="auto"/>
              </w:rPr>
            </w:pPr>
          </w:p>
        </w:tc>
        <w:tc>
          <w:tcPr>
            <w:tcW w:w="5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(21.7)</w:t>
            </w:r>
          </w:p>
        </w:tc>
        <w:tc>
          <w:tcPr>
            <w:tcW w:w="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gridSpan w:val="3"/>
            <w:shd w:val="clear" w:color="auto" w:fill="D2DCE5"/>
          </w:tcPr>
          <w:p>
            <w:pPr>
              <w:jc w:val="right"/>
              <w:ind w:right="690"/>
              <w:spacing w:after="0"/>
              <w:rPr>
                <w:sz w:val="20"/>
                <w:szCs w:val="20"/>
                <w:color w:val="auto"/>
              </w:rPr>
            </w:pPr>
            <w:r>
              <w:rPr>
                <w:rFonts w:ascii="Arial" w:cs="Arial" w:eastAsia="Arial" w:hAnsi="Arial"/>
                <w:sz w:val="14"/>
                <w:szCs w:val="14"/>
                <w:color w:val="131E29"/>
              </w:rPr>
              <w:t>5,185</w:t>
            </w:r>
          </w:p>
        </w:tc>
        <w:tc>
          <w:tcPr>
            <w:tcW w:w="3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40.5</w:t>
            </w:r>
          </w:p>
        </w:tc>
        <w:tc>
          <w:tcPr>
            <w:tcW w:w="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61"/>
        </w:trPr>
        <w:tc>
          <w:tcPr>
            <w:tcW w:w="296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company-operated shop</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131E29"/>
              </w:rPr>
              <w:t>1.6 %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131E29"/>
              </w:rPr>
              <w:t>2.8 %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3.2 %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color w:val="131E29"/>
              </w:rPr>
              <w:t>N/A</w:t>
            </w: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131E29"/>
              </w:rPr>
              <w:t>(120) bps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650"/>
              <w:spacing w:after="0"/>
              <w:rPr>
                <w:sz w:val="20"/>
                <w:szCs w:val="20"/>
                <w:color w:val="auto"/>
              </w:rPr>
            </w:pPr>
            <w:r>
              <w:rPr>
                <w:rFonts w:ascii="Arial" w:cs="Arial" w:eastAsia="Arial" w:hAnsi="Arial"/>
                <w:sz w:val="14"/>
                <w:szCs w:val="14"/>
                <w:color w:val="131E29"/>
              </w:rPr>
              <w:t>N/A</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131E29"/>
              </w:rPr>
              <w:t>(40) bps</w:t>
            </w:r>
          </w:p>
        </w:tc>
        <w:tc>
          <w:tcPr>
            <w:tcW w:w="0" w:type="dxa"/>
            <w:vAlign w:val="bottom"/>
          </w:tcPr>
          <w:p>
            <w:pPr>
              <w:spacing w:after="0"/>
              <w:rPr>
                <w:sz w:val="1"/>
                <w:szCs w:val="1"/>
                <w:color w:val="auto"/>
              </w:rPr>
            </w:pPr>
          </w:p>
        </w:tc>
      </w:tr>
      <w:tr>
        <w:trPr>
          <w:trHeight w:val="179"/>
        </w:trPr>
        <w:tc>
          <w:tcPr>
            <w:tcW w:w="2960" w:type="dxa"/>
            <w:vAlign w:val="bottom"/>
            <w:gridSpan w:val="2"/>
          </w:tcPr>
          <w:p>
            <w:pPr>
              <w:ind w:left="20"/>
              <w:spacing w:after="0"/>
              <w:rPr>
                <w:sz w:val="20"/>
                <w:szCs w:val="20"/>
                <w:color w:val="auto"/>
              </w:rPr>
            </w:pPr>
            <w:r>
              <w:rPr>
                <w:rFonts w:ascii="Arial" w:cs="Arial" w:eastAsia="Arial" w:hAnsi="Arial"/>
                <w:sz w:val="13"/>
                <w:szCs w:val="13"/>
                <w:i w:val="1"/>
                <w:iCs w:val="1"/>
                <w:color w:val="131E29"/>
              </w:rPr>
              <w:t>revenues</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New company-operated shops opened</w:t>
            </w:r>
          </w:p>
        </w:tc>
        <w:tc>
          <w:tcPr>
            <w:tcW w:w="240" w:type="dxa"/>
            <w:vAlign w:val="bottom"/>
            <w:shd w:val="clear" w:color="auto" w:fill="D2DCE5"/>
          </w:tcPr>
          <w:p>
            <w:pPr>
              <w:spacing w:after="0"/>
              <w:rPr>
                <w:sz w:val="19"/>
                <w:szCs w:val="19"/>
                <w:color w:val="auto"/>
              </w:rPr>
            </w:pPr>
          </w:p>
        </w:tc>
        <w:tc>
          <w:tcPr>
            <w:tcW w:w="84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146</w:t>
            </w: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6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120</w:t>
            </w: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82</w:t>
            </w:r>
          </w:p>
        </w:tc>
        <w:tc>
          <w:tcPr>
            <w:tcW w:w="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320" w:type="dxa"/>
            <w:vAlign w:val="bottom"/>
            <w:shd w:val="clear" w:color="auto" w:fill="D2DCE5"/>
          </w:tcPr>
          <w:p>
            <w:pPr>
              <w:jc w:val="right"/>
              <w:ind w:right="630"/>
              <w:spacing w:after="0"/>
              <w:rPr>
                <w:sz w:val="20"/>
                <w:szCs w:val="20"/>
                <w:color w:val="auto"/>
              </w:rPr>
            </w:pPr>
            <w:r>
              <w:rPr>
                <w:rFonts w:ascii="Arial" w:cs="Arial" w:eastAsia="Arial" w:hAnsi="Arial"/>
                <w:sz w:val="14"/>
                <w:szCs w:val="14"/>
                <w:color w:val="131E29"/>
              </w:rPr>
              <w:t>26</w:t>
            </w:r>
          </w:p>
        </w:tc>
        <w:tc>
          <w:tcPr>
            <w:tcW w:w="80" w:type="dxa"/>
            <w:vAlign w:val="bottom"/>
            <w:shd w:val="clear" w:color="auto" w:fill="D2DCE5"/>
          </w:tcPr>
          <w:p>
            <w:pPr>
              <w:spacing w:after="0"/>
              <w:rPr>
                <w:sz w:val="19"/>
                <w:szCs w:val="19"/>
                <w:color w:val="auto"/>
              </w:rPr>
            </w:pPr>
          </w:p>
        </w:tc>
        <w:tc>
          <w:tcPr>
            <w:tcW w:w="5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5"/>
              </w:rPr>
              <w:t>21.7</w:t>
            </w:r>
          </w:p>
        </w:tc>
        <w:tc>
          <w:tcPr>
            <w:tcW w:w="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5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80" w:type="dxa"/>
            <w:vAlign w:val="bottom"/>
            <w:shd w:val="clear" w:color="auto" w:fill="D2DCE5"/>
          </w:tcPr>
          <w:p>
            <w:pPr>
              <w:jc w:val="right"/>
              <w:ind w:right="650"/>
              <w:spacing w:after="0"/>
              <w:rPr>
                <w:sz w:val="20"/>
                <w:szCs w:val="20"/>
                <w:color w:val="auto"/>
              </w:rPr>
            </w:pPr>
            <w:r>
              <w:rPr>
                <w:rFonts w:ascii="Arial" w:cs="Arial" w:eastAsia="Arial" w:hAnsi="Arial"/>
                <w:sz w:val="14"/>
                <w:szCs w:val="14"/>
                <w:color w:val="131E29"/>
              </w:rPr>
              <w:t>38</w:t>
            </w:r>
          </w:p>
        </w:tc>
        <w:tc>
          <w:tcPr>
            <w:tcW w:w="3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46.3</w:t>
            </w:r>
          </w:p>
        </w:tc>
        <w:tc>
          <w:tcPr>
            <w:tcW w:w="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59"/>
        </w:trPr>
        <w:tc>
          <w:tcPr>
            <w:tcW w:w="2960" w:type="dxa"/>
            <w:vAlign w:val="bottom"/>
            <w:gridSpan w:val="2"/>
          </w:tcPr>
          <w:p>
            <w:pPr>
              <w:ind w:left="20"/>
              <w:spacing w:after="0"/>
              <w:rPr>
                <w:sz w:val="20"/>
                <w:szCs w:val="20"/>
                <w:color w:val="auto"/>
              </w:rPr>
            </w:pPr>
            <w:r>
              <w:rPr>
                <w:rFonts w:ascii="Arial" w:cs="Arial" w:eastAsia="Arial" w:hAnsi="Arial"/>
                <w:sz w:val="13"/>
                <w:szCs w:val="13"/>
                <w:color w:val="131E29"/>
              </w:rPr>
              <w:t>Pre-opening costs per new company-operated</w:t>
            </w:r>
          </w:p>
        </w:tc>
        <w:tc>
          <w:tcPr>
            <w:tcW w:w="240" w:type="dxa"/>
            <w:vAlign w:val="bottom"/>
            <w:vMerge w:val="restart"/>
          </w:tcPr>
          <w:p>
            <w:pPr>
              <w:jc w:val="right"/>
              <w:ind w:right="90"/>
              <w:spacing w:after="0"/>
              <w:rPr>
                <w:sz w:val="20"/>
                <w:szCs w:val="20"/>
                <w:color w:val="auto"/>
              </w:rPr>
            </w:pPr>
            <w:r>
              <w:rPr>
                <w:rFonts w:ascii="Arial" w:cs="Arial" w:eastAsia="Arial" w:hAnsi="Arial"/>
                <w:sz w:val="14"/>
                <w:szCs w:val="14"/>
                <w:color w:val="131E29"/>
                <w:w w:val="76"/>
              </w:rPr>
              <w:t>$</w:t>
            </w:r>
          </w:p>
        </w:tc>
        <w:tc>
          <w:tcPr>
            <w:tcW w:w="840" w:type="dxa"/>
            <w:vAlign w:val="bottom"/>
            <w:vMerge w:val="restart"/>
          </w:tcPr>
          <w:p>
            <w:pPr>
              <w:jc w:val="right"/>
              <w:ind w:right="110"/>
              <w:spacing w:after="0"/>
              <w:rPr>
                <w:sz w:val="20"/>
                <w:szCs w:val="20"/>
                <w:color w:val="auto"/>
              </w:rPr>
            </w:pPr>
            <w:r>
              <w:rPr>
                <w:rFonts w:ascii="Arial" w:cs="Arial" w:eastAsia="Arial" w:hAnsi="Arial"/>
                <w:sz w:val="14"/>
                <w:szCs w:val="14"/>
                <w:color w:val="131E29"/>
              </w:rPr>
              <w:t>96</w:t>
            </w:r>
          </w:p>
        </w:tc>
        <w:tc>
          <w:tcPr>
            <w:tcW w:w="80" w:type="dxa"/>
            <w:vAlign w:val="bottom"/>
          </w:tcPr>
          <w:p>
            <w:pPr>
              <w:spacing w:after="0"/>
              <w:rPr>
                <w:sz w:val="13"/>
                <w:szCs w:val="13"/>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4"/>
                <w:szCs w:val="14"/>
                <w:color w:val="131E29"/>
              </w:rPr>
              <w:t>$</w:t>
            </w:r>
          </w:p>
        </w:tc>
        <w:tc>
          <w:tcPr>
            <w:tcW w:w="860" w:type="dxa"/>
            <w:vAlign w:val="bottom"/>
            <w:vMerge w:val="restart"/>
          </w:tcPr>
          <w:p>
            <w:pPr>
              <w:jc w:val="right"/>
              <w:ind w:right="130"/>
              <w:spacing w:after="0"/>
              <w:rPr>
                <w:sz w:val="20"/>
                <w:szCs w:val="20"/>
                <w:color w:val="auto"/>
              </w:rPr>
            </w:pPr>
            <w:r>
              <w:rPr>
                <w:rFonts w:ascii="Arial" w:cs="Arial" w:eastAsia="Arial" w:hAnsi="Arial"/>
                <w:sz w:val="14"/>
                <w:szCs w:val="14"/>
                <w:color w:val="131E29"/>
              </w:rPr>
              <w:t>150</w:t>
            </w:r>
          </w:p>
        </w:tc>
        <w:tc>
          <w:tcPr>
            <w:tcW w:w="80" w:type="dxa"/>
            <w:vAlign w:val="bottom"/>
          </w:tcPr>
          <w:p>
            <w:pPr>
              <w:spacing w:after="0"/>
              <w:rPr>
                <w:sz w:val="13"/>
                <w:szCs w:val="13"/>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4"/>
                <w:szCs w:val="14"/>
                <w:color w:val="131E29"/>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31E29"/>
              </w:rPr>
              <w:t>156</w:t>
            </w: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131E29"/>
              </w:rPr>
              <w:t>$</w:t>
            </w:r>
          </w:p>
        </w:tc>
        <w:tc>
          <w:tcPr>
            <w:tcW w:w="1320" w:type="dxa"/>
            <w:vAlign w:val="bottom"/>
            <w:vMerge w:val="restart"/>
          </w:tcPr>
          <w:p>
            <w:pPr>
              <w:jc w:val="right"/>
              <w:ind w:right="590"/>
              <w:spacing w:after="0"/>
              <w:rPr>
                <w:sz w:val="20"/>
                <w:szCs w:val="20"/>
                <w:color w:val="auto"/>
              </w:rPr>
            </w:pPr>
            <w:r>
              <w:rPr>
                <w:rFonts w:ascii="Arial" w:cs="Arial" w:eastAsia="Arial" w:hAnsi="Arial"/>
                <w:sz w:val="14"/>
                <w:szCs w:val="14"/>
                <w:color w:val="131E29"/>
              </w:rPr>
              <w:t>(54)</w:t>
            </w:r>
          </w:p>
        </w:tc>
        <w:tc>
          <w:tcPr>
            <w:tcW w:w="8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color w:val="131E29"/>
                <w:w w:val="98"/>
              </w:rPr>
              <w:t>(36.0)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650"/>
              <w:spacing w:after="0"/>
              <w:rPr>
                <w:sz w:val="20"/>
                <w:szCs w:val="20"/>
                <w:color w:val="auto"/>
              </w:rPr>
            </w:pPr>
            <w:r>
              <w:rPr>
                <w:rFonts w:ascii="Arial" w:cs="Arial" w:eastAsia="Arial" w:hAnsi="Arial"/>
                <w:sz w:val="14"/>
                <w:szCs w:val="14"/>
                <w:color w:val="131E29"/>
              </w:rPr>
              <w:t>(6)</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131E29"/>
              </w:rPr>
              <w:t>(3.8)</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71"/>
        </w:trPr>
        <w:tc>
          <w:tcPr>
            <w:tcW w:w="2960" w:type="dxa"/>
            <w:vAlign w:val="bottom"/>
            <w:gridSpan w:val="2"/>
          </w:tcPr>
          <w:p>
            <w:pPr>
              <w:ind w:left="20"/>
              <w:spacing w:after="0"/>
              <w:rPr>
                <w:sz w:val="20"/>
                <w:szCs w:val="20"/>
                <w:color w:val="auto"/>
              </w:rPr>
            </w:pPr>
            <w:r>
              <w:rPr>
                <w:rFonts w:ascii="Arial" w:cs="Arial" w:eastAsia="Arial" w:hAnsi="Arial"/>
                <w:sz w:val="13"/>
                <w:szCs w:val="13"/>
                <w:color w:val="131E29"/>
              </w:rPr>
              <w:t>shop</w:t>
            </w: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The decrease in pre-opening costs was primarily driven by opening a higher proportion of shops in existing markets, which do not require as much support, in the year ended December 31, 2023 as compared to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Depreciation and Amortization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4"/>
                <w:szCs w:val="14"/>
                <w:b w:val="1"/>
                <w:bCs w:val="1"/>
                <w:color w:val="131E29"/>
              </w:rPr>
              <w:t>Year Ended December 31,</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0"/>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720" w:type="dxa"/>
            <w:vAlign w:val="bottom"/>
            <w:tcBorders>
              <w:bottom w:val="single" w:sz="8" w:color="131E29"/>
            </w:tcBorders>
          </w:tcPr>
          <w:p>
            <w:pPr>
              <w:jc w:val="right"/>
              <w:ind w:right="190"/>
              <w:spacing w:after="0"/>
              <w:rPr>
                <w:sz w:val="20"/>
                <w:szCs w:val="20"/>
                <w:color w:val="auto"/>
              </w:rPr>
            </w:pPr>
            <w:r>
              <w:rPr>
                <w:rFonts w:ascii="Arial" w:cs="Arial" w:eastAsia="Arial" w:hAnsi="Arial"/>
                <w:sz w:val="14"/>
                <w:szCs w:val="14"/>
                <w:b w:val="1"/>
                <w:bCs w:val="1"/>
                <w:color w:val="131E29"/>
              </w:rPr>
              <w:t>2021</w:t>
            </w:r>
          </w:p>
        </w:tc>
        <w:tc>
          <w:tcPr>
            <w:tcW w:w="12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1420" w:type="dxa"/>
            <w:vAlign w:val="bottom"/>
            <w:tcBorders>
              <w:bottom w:val="single" w:sz="8" w:color="131E29"/>
            </w:tcBorders>
          </w:tcPr>
          <w:p>
            <w:pPr>
              <w:ind w:left="520"/>
              <w:spacing w:after="0"/>
              <w:rPr>
                <w:sz w:val="20"/>
                <w:szCs w:val="20"/>
                <w:color w:val="auto"/>
              </w:rPr>
            </w:pPr>
            <w:r>
              <w:rPr>
                <w:rFonts w:ascii="Arial" w:cs="Arial" w:eastAsia="Arial" w:hAnsi="Arial"/>
                <w:sz w:val="14"/>
                <w:szCs w:val="14"/>
                <w:b w:val="1"/>
                <w:bCs w:val="1"/>
                <w:color w:val="131E29"/>
              </w:rPr>
              <w:t>2023 v. 2022</w:t>
            </w:r>
          </w:p>
        </w:tc>
        <w:tc>
          <w:tcPr>
            <w:tcW w:w="420" w:type="dxa"/>
            <w:vAlign w:val="bottom"/>
            <w:tcBorders>
              <w:bottom w:val="single" w:sz="8" w:color="131E29"/>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40" w:type="dxa"/>
            <w:vAlign w:val="bottom"/>
            <w:tcBorders>
              <w:bottom w:val="single" w:sz="8" w:color="131E29"/>
            </w:tcBorders>
          </w:tcPr>
          <w:p>
            <w:pPr>
              <w:spacing w:after="0"/>
              <w:rPr>
                <w:sz w:val="17"/>
                <w:szCs w:val="17"/>
                <w:color w:val="auto"/>
              </w:rPr>
            </w:pPr>
          </w:p>
        </w:tc>
        <w:tc>
          <w:tcPr>
            <w:tcW w:w="1360" w:type="dxa"/>
            <w:vAlign w:val="bottom"/>
            <w:tcBorders>
              <w:bottom w:val="single" w:sz="8" w:color="131E29"/>
            </w:tcBorders>
          </w:tcPr>
          <w:p>
            <w:pPr>
              <w:jc w:val="right"/>
              <w:ind w:right="10"/>
              <w:spacing w:after="0"/>
              <w:rPr>
                <w:sz w:val="20"/>
                <w:szCs w:val="20"/>
                <w:color w:val="auto"/>
              </w:rPr>
            </w:pPr>
            <w:r>
              <w:rPr>
                <w:rFonts w:ascii="Arial" w:cs="Arial" w:eastAsia="Arial" w:hAnsi="Arial"/>
                <w:sz w:val="14"/>
                <w:szCs w:val="14"/>
                <w:b w:val="1"/>
                <w:bCs w:val="1"/>
                <w:color w:val="131E29"/>
              </w:rPr>
              <w:t>2022 v 2021</w:t>
            </w:r>
          </w:p>
        </w:tc>
        <w:tc>
          <w:tcPr>
            <w:tcW w:w="460" w:type="dxa"/>
            <w:vAlign w:val="bottom"/>
            <w:tcBorders>
              <w:bottom w:val="single" w:sz="8" w:color="131E29"/>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Depreciation and amortization</w:t>
            </w: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62,088</w:t>
            </w: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w w:val="76"/>
              </w:rPr>
              <w:t>$</w:t>
            </w:r>
          </w:p>
        </w:tc>
        <w:tc>
          <w:tcPr>
            <w:tcW w:w="84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36,306</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16,291</w:t>
            </w:r>
          </w:p>
        </w:tc>
        <w:tc>
          <w:tcPr>
            <w:tcW w:w="480" w:type="dxa"/>
            <w:vAlign w:val="bottom"/>
            <w:gridSpan w:val="3"/>
            <w:shd w:val="clear" w:color="auto" w:fill="D2DCE5"/>
          </w:tcPr>
          <w:p>
            <w:pPr>
              <w:jc w:val="right"/>
              <w:ind w:right="180"/>
              <w:spacing w:after="0"/>
              <w:rPr>
                <w:sz w:val="20"/>
                <w:szCs w:val="20"/>
                <w:color w:val="auto"/>
              </w:rPr>
            </w:pPr>
            <w:r>
              <w:rPr>
                <w:rFonts w:ascii="Arial" w:cs="Arial" w:eastAsia="Arial" w:hAnsi="Arial"/>
                <w:sz w:val="14"/>
                <w:szCs w:val="14"/>
                <w:color w:val="131E29"/>
              </w:rPr>
              <w:t>$</w:t>
            </w:r>
          </w:p>
        </w:tc>
        <w:tc>
          <w:tcPr>
            <w:tcW w:w="1420" w:type="dxa"/>
            <w:vAlign w:val="bottom"/>
            <w:shd w:val="clear" w:color="auto" w:fill="D2DCE5"/>
          </w:tcPr>
          <w:p>
            <w:pPr>
              <w:jc w:val="right"/>
              <w:ind w:right="730"/>
              <w:spacing w:after="0"/>
              <w:rPr>
                <w:sz w:val="20"/>
                <w:szCs w:val="20"/>
                <w:color w:val="auto"/>
              </w:rPr>
            </w:pPr>
            <w:r>
              <w:rPr>
                <w:rFonts w:ascii="Arial" w:cs="Arial" w:eastAsia="Arial" w:hAnsi="Arial"/>
                <w:sz w:val="14"/>
                <w:szCs w:val="14"/>
                <w:color w:val="131E29"/>
              </w:rPr>
              <w:t>25,782</w:t>
            </w:r>
          </w:p>
        </w:tc>
        <w:tc>
          <w:tcPr>
            <w:tcW w:w="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71.0</w:t>
            </w:r>
          </w:p>
        </w:tc>
        <w:tc>
          <w:tcPr>
            <w:tcW w:w="700" w:type="dxa"/>
            <w:vAlign w:val="bottom"/>
            <w:gridSpan w:val="3"/>
            <w:shd w:val="clear" w:color="auto" w:fill="D2DCE5"/>
          </w:tcPr>
          <w:p>
            <w:pPr>
              <w:jc w:val="right"/>
              <w:ind w:right="240"/>
              <w:spacing w:after="0"/>
              <w:rPr>
                <w:sz w:val="20"/>
                <w:szCs w:val="20"/>
                <w:color w:val="auto"/>
              </w:rPr>
            </w:pPr>
            <w:r>
              <w:rPr>
                <w:rFonts w:ascii="Arial" w:cs="Arial" w:eastAsia="Arial" w:hAnsi="Arial"/>
                <w:sz w:val="14"/>
                <w:szCs w:val="14"/>
                <w:color w:val="131E29"/>
              </w:rPr>
              <w:t>%  $</w:t>
            </w:r>
          </w:p>
        </w:tc>
        <w:tc>
          <w:tcPr>
            <w:tcW w:w="1360" w:type="dxa"/>
            <w:vAlign w:val="bottom"/>
            <w:shd w:val="clear" w:color="auto" w:fill="D2DCE5"/>
          </w:tcPr>
          <w:p>
            <w:pPr>
              <w:jc w:val="right"/>
              <w:ind w:right="630"/>
              <w:spacing w:after="0"/>
              <w:rPr>
                <w:sz w:val="20"/>
                <w:szCs w:val="20"/>
                <w:color w:val="auto"/>
              </w:rPr>
            </w:pPr>
            <w:r>
              <w:rPr>
                <w:rFonts w:ascii="Arial" w:cs="Arial" w:eastAsia="Arial" w:hAnsi="Arial"/>
                <w:sz w:val="14"/>
                <w:szCs w:val="14"/>
                <w:color w:val="131E29"/>
              </w:rPr>
              <w:t>20,015</w:t>
            </w:r>
          </w:p>
        </w:tc>
        <w:tc>
          <w:tcPr>
            <w:tcW w:w="4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122.9</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71"/>
        </w:trPr>
        <w:tc>
          <w:tcPr>
            <w:tcW w:w="286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company-operated shop</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131E29"/>
              </w:rPr>
              <w:t>7.2 %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131E29"/>
              </w:rPr>
              <w:t>5.6 %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4.0 %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vMerge w:val="restart"/>
          </w:tcPr>
          <w:p>
            <w:pPr>
              <w:ind w:left="440"/>
              <w:spacing w:after="0"/>
              <w:rPr>
                <w:sz w:val="20"/>
                <w:szCs w:val="20"/>
                <w:color w:val="auto"/>
              </w:rPr>
            </w:pPr>
            <w:r>
              <w:rPr>
                <w:rFonts w:ascii="Arial" w:cs="Arial" w:eastAsia="Arial" w:hAnsi="Arial"/>
                <w:sz w:val="14"/>
                <w:szCs w:val="14"/>
                <w:color w:val="131E29"/>
              </w:rPr>
              <w:t>N/A</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131E29"/>
              </w:rPr>
              <w:t>160</w:t>
            </w: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131E29"/>
              </w:rPr>
              <w:t>bps</w:t>
            </w:r>
          </w:p>
        </w:tc>
        <w:tc>
          <w:tcPr>
            <w:tcW w:w="1360" w:type="dxa"/>
            <w:vAlign w:val="bottom"/>
            <w:vMerge w:val="restart"/>
          </w:tcPr>
          <w:p>
            <w:pPr>
              <w:jc w:val="right"/>
              <w:ind w:right="590"/>
              <w:spacing w:after="0"/>
              <w:rPr>
                <w:sz w:val="20"/>
                <w:szCs w:val="20"/>
                <w:color w:val="auto"/>
              </w:rPr>
            </w:pPr>
            <w:r>
              <w:rPr>
                <w:rFonts w:ascii="Arial" w:cs="Arial" w:eastAsia="Arial" w:hAnsi="Arial"/>
                <w:sz w:val="14"/>
                <w:szCs w:val="14"/>
                <w:color w:val="131E29"/>
              </w:rPr>
              <w:t>N/A</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131E29"/>
              </w:rPr>
              <w:t>160</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bps</w:t>
            </w:r>
          </w:p>
        </w:tc>
        <w:tc>
          <w:tcPr>
            <w:tcW w:w="0" w:type="dxa"/>
            <w:vAlign w:val="bottom"/>
          </w:tcPr>
          <w:p>
            <w:pPr>
              <w:spacing w:after="0"/>
              <w:rPr>
                <w:sz w:val="1"/>
                <w:szCs w:val="1"/>
                <w:color w:val="auto"/>
              </w:rPr>
            </w:pPr>
          </w:p>
        </w:tc>
      </w:tr>
      <w:tr>
        <w:trPr>
          <w:trHeight w:val="165"/>
        </w:trPr>
        <w:tc>
          <w:tcPr>
            <w:tcW w:w="2860" w:type="dxa"/>
            <w:vAlign w:val="bottom"/>
            <w:gridSpan w:val="2"/>
          </w:tcPr>
          <w:p>
            <w:pPr>
              <w:ind w:left="20"/>
              <w:spacing w:after="0"/>
              <w:rPr>
                <w:sz w:val="20"/>
                <w:szCs w:val="20"/>
                <w:color w:val="auto"/>
              </w:rPr>
            </w:pPr>
            <w:r>
              <w:rPr>
                <w:rFonts w:ascii="Arial" w:cs="Arial" w:eastAsia="Arial" w:hAnsi="Arial"/>
                <w:sz w:val="13"/>
                <w:szCs w:val="13"/>
                <w:i w:val="1"/>
                <w:iCs w:val="1"/>
                <w:color w:val="131E29"/>
              </w:rPr>
              <w:t>revenues</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depreciation and amortization was primarily driven by the opening of 146 new company-operated shops during 2023.</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9" w:name="page80"/>
    <w:bookmarkEnd w:id="7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020" w:type="dxa"/>
            <w:vAlign w:val="bottom"/>
            <w:gridSpan w:val="5"/>
          </w:tcPr>
          <w:p>
            <w:pPr>
              <w:spacing w:after="0"/>
              <w:rPr>
                <w:sz w:val="20"/>
                <w:szCs w:val="20"/>
                <w:color w:val="auto"/>
              </w:rPr>
            </w:pPr>
            <w:r>
              <w:rPr>
                <w:rFonts w:ascii="Arial" w:cs="Arial" w:eastAsia="Arial" w:hAnsi="Arial"/>
                <w:sz w:val="14"/>
                <w:szCs w:val="14"/>
                <w:b w:val="1"/>
                <w:bCs w:val="1"/>
                <w:i w:val="1"/>
                <w:iCs w:val="1"/>
                <w:color w:val="006098"/>
              </w:rPr>
              <w:t>Company-operated Shop Gross Profit and Contribution</w:t>
            </w:r>
            <w:r>
              <w:rPr>
                <w:rFonts w:ascii="Arial" w:cs="Arial" w:eastAsia="Arial" w:hAnsi="Arial"/>
                <w:sz w:val="18"/>
                <w:szCs w:val="18"/>
                <w:b w:val="1"/>
                <w:bCs w:val="1"/>
                <w:i w:val="1"/>
                <w:iCs w:val="1"/>
                <w:color w:val="006098"/>
                <w:vertAlign w:val="superscript"/>
              </w:rPr>
              <w:t>1</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91"/>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131E29"/>
              </w:rPr>
              <w:t>Year Ended December 31,</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202"/>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5"/>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5"/>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4"/>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460" w:type="dxa"/>
            <w:vAlign w:val="bottom"/>
            <w:tcBorders>
              <w:bottom w:val="single" w:sz="8" w:color="131E29"/>
            </w:tcBorders>
          </w:tcPr>
          <w:p>
            <w:pPr>
              <w:jc w:val="right"/>
              <w:ind w:right="75"/>
              <w:spacing w:after="0"/>
              <w:rPr>
                <w:sz w:val="20"/>
                <w:szCs w:val="20"/>
                <w:color w:val="auto"/>
              </w:rPr>
            </w:pPr>
            <w:r>
              <w:rPr>
                <w:rFonts w:ascii="Arial" w:cs="Arial" w:eastAsia="Arial" w:hAnsi="Arial"/>
                <w:sz w:val="14"/>
                <w:szCs w:val="14"/>
                <w:b w:val="1"/>
                <w:bCs w:val="1"/>
                <w:color w:val="131E29"/>
              </w:rPr>
              <w:t>2023 v. 2022</w:t>
            </w:r>
          </w:p>
        </w:tc>
        <w:tc>
          <w:tcPr>
            <w:tcW w:w="420" w:type="dxa"/>
            <w:vAlign w:val="bottom"/>
            <w:tcBorders>
              <w:bottom w:val="single" w:sz="8" w:color="131E29"/>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131E29"/>
            </w:tcBorders>
          </w:tcPr>
          <w:p>
            <w:pPr>
              <w:spacing w:after="0"/>
              <w:rPr>
                <w:sz w:val="17"/>
                <w:szCs w:val="17"/>
                <w:color w:val="auto"/>
              </w:rPr>
            </w:pPr>
          </w:p>
        </w:tc>
        <w:tc>
          <w:tcPr>
            <w:tcW w:w="1400" w:type="dxa"/>
            <w:vAlign w:val="bottom"/>
            <w:tcBorders>
              <w:bottom w:val="single" w:sz="8" w:color="131E29"/>
            </w:tcBorders>
          </w:tcPr>
          <w:p>
            <w:pPr>
              <w:ind w:left="480"/>
              <w:spacing w:after="0"/>
              <w:rPr>
                <w:sz w:val="20"/>
                <w:szCs w:val="20"/>
                <w:color w:val="auto"/>
              </w:rPr>
            </w:pPr>
            <w:r>
              <w:rPr>
                <w:rFonts w:ascii="Arial" w:cs="Arial" w:eastAsia="Arial" w:hAnsi="Arial"/>
                <w:sz w:val="14"/>
                <w:szCs w:val="14"/>
                <w:b w:val="1"/>
                <w:bCs w:val="1"/>
                <w:color w:val="131E29"/>
              </w:rPr>
              <w:t>2022 v 2021</w:t>
            </w:r>
          </w:p>
        </w:tc>
        <w:tc>
          <w:tcPr>
            <w:tcW w:w="480" w:type="dxa"/>
            <w:vAlign w:val="bottom"/>
            <w:tcBorders>
              <w:bottom w:val="single" w:sz="8" w:color="131E29"/>
            </w:tcBorders>
          </w:tcPr>
          <w:p>
            <w:pPr>
              <w:spacing w:after="0"/>
              <w:rPr>
                <w:sz w:val="17"/>
                <w:szCs w:val="17"/>
                <w:color w:val="auto"/>
              </w:rPr>
            </w:pPr>
          </w:p>
        </w:tc>
        <w:tc>
          <w:tcPr>
            <w:tcW w:w="200" w:type="dxa"/>
            <w:vAlign w:val="bottom"/>
            <w:tcBorders>
              <w:bottom w:val="single" w:sz="8" w:color="131E29"/>
            </w:tcBorders>
          </w:tcPr>
          <w:p>
            <w:pPr>
              <w:spacing w:after="0"/>
              <w:rPr>
                <w:sz w:val="17"/>
                <w:szCs w:val="17"/>
                <w:color w:val="auto"/>
              </w:rPr>
            </w:pPr>
          </w:p>
        </w:tc>
      </w:tr>
      <w:tr>
        <w:trPr>
          <w:trHeight w:val="187"/>
        </w:trPr>
        <w:tc>
          <w:tcPr>
            <w:tcW w:w="28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Company-operated shop gross profit</w:t>
            </w:r>
          </w:p>
        </w:tc>
        <w:tc>
          <w:tcPr>
            <w:tcW w:w="24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rPr>
              <w:t>$</w:t>
            </w:r>
          </w:p>
        </w:tc>
        <w:tc>
          <w:tcPr>
            <w:tcW w:w="840" w:type="dxa"/>
            <w:vAlign w:val="bottom"/>
            <w:shd w:val="clear" w:color="auto" w:fill="D2DCE5"/>
          </w:tcPr>
          <w:p>
            <w:pPr>
              <w:jc w:val="right"/>
              <w:ind w:right="95"/>
              <w:spacing w:after="0"/>
              <w:rPr>
                <w:sz w:val="20"/>
                <w:szCs w:val="20"/>
                <w:color w:val="auto"/>
              </w:rPr>
            </w:pPr>
            <w:r>
              <w:rPr>
                <w:rFonts w:ascii="Arial" w:cs="Arial" w:eastAsia="Arial" w:hAnsi="Arial"/>
                <w:sz w:val="13"/>
                <w:szCs w:val="13"/>
                <w:color w:val="131E29"/>
              </w:rPr>
              <w:t>180,235</w:t>
            </w:r>
          </w:p>
        </w:tc>
        <w:tc>
          <w:tcPr>
            <w:tcW w:w="100" w:type="dxa"/>
            <w:vAlign w:val="bottom"/>
            <w:shd w:val="clear" w:color="auto" w:fill="D2DCE5"/>
          </w:tcPr>
          <w:p>
            <w:pPr>
              <w:spacing w:after="0"/>
              <w:rPr>
                <w:sz w:val="16"/>
                <w:szCs w:val="16"/>
                <w:color w:val="auto"/>
              </w:rPr>
            </w:pPr>
          </w:p>
        </w:tc>
        <w:tc>
          <w:tcPr>
            <w:tcW w:w="22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95"/>
              <w:spacing w:after="0"/>
              <w:rPr>
                <w:sz w:val="20"/>
                <w:szCs w:val="20"/>
                <w:color w:val="auto"/>
              </w:rPr>
            </w:pPr>
            <w:r>
              <w:rPr>
                <w:rFonts w:ascii="Arial" w:cs="Arial" w:eastAsia="Arial" w:hAnsi="Arial"/>
                <w:sz w:val="13"/>
                <w:szCs w:val="13"/>
                <w:color w:val="131E29"/>
              </w:rPr>
              <w:t>121,327</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114"/>
              <w:spacing w:after="0"/>
              <w:rPr>
                <w:sz w:val="20"/>
                <w:szCs w:val="20"/>
                <w:color w:val="auto"/>
              </w:rPr>
            </w:pPr>
            <w:r>
              <w:rPr>
                <w:rFonts w:ascii="Arial" w:cs="Arial" w:eastAsia="Arial" w:hAnsi="Arial"/>
                <w:sz w:val="13"/>
                <w:szCs w:val="13"/>
                <w:color w:val="131E29"/>
              </w:rPr>
              <w:t>86,701</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jc w:val="right"/>
              <w:ind w:right="157"/>
              <w:spacing w:after="0"/>
              <w:rPr>
                <w:sz w:val="20"/>
                <w:szCs w:val="20"/>
                <w:color w:val="auto"/>
              </w:rPr>
            </w:pPr>
            <w:r>
              <w:rPr>
                <w:rFonts w:ascii="Arial" w:cs="Arial" w:eastAsia="Arial" w:hAnsi="Arial"/>
                <w:sz w:val="13"/>
                <w:szCs w:val="13"/>
                <w:color w:val="131E29"/>
                <w:w w:val="82"/>
              </w:rPr>
              <w:t>$</w:t>
            </w:r>
          </w:p>
        </w:tc>
        <w:tc>
          <w:tcPr>
            <w:tcW w:w="1460" w:type="dxa"/>
            <w:vAlign w:val="bottom"/>
            <w:shd w:val="clear" w:color="auto" w:fill="D2DCE5"/>
          </w:tcPr>
          <w:p>
            <w:pPr>
              <w:jc w:val="right"/>
              <w:ind w:right="775"/>
              <w:spacing w:after="0"/>
              <w:rPr>
                <w:sz w:val="20"/>
                <w:szCs w:val="20"/>
                <w:color w:val="auto"/>
              </w:rPr>
            </w:pPr>
            <w:r>
              <w:rPr>
                <w:rFonts w:ascii="Arial" w:cs="Arial" w:eastAsia="Arial" w:hAnsi="Arial"/>
                <w:sz w:val="13"/>
                <w:szCs w:val="13"/>
                <w:color w:val="131E29"/>
              </w:rPr>
              <w:t>58,908</w:t>
            </w:r>
          </w:p>
        </w:tc>
        <w:tc>
          <w:tcPr>
            <w:tcW w:w="4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48.6</w:t>
            </w:r>
          </w:p>
        </w:tc>
        <w:tc>
          <w:tcPr>
            <w:tcW w:w="2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c>
          <w:tcPr>
            <w:tcW w:w="100" w:type="dxa"/>
            <w:vAlign w:val="bottom"/>
            <w:shd w:val="clear" w:color="auto" w:fill="D2DCE5"/>
          </w:tcPr>
          <w:p>
            <w:pPr>
              <w:spacing w:after="0"/>
              <w:rPr>
                <w:sz w:val="16"/>
                <w:szCs w:val="16"/>
                <w:color w:val="auto"/>
              </w:rPr>
            </w:pPr>
          </w:p>
        </w:tc>
        <w:tc>
          <w:tcPr>
            <w:tcW w:w="340" w:type="dxa"/>
            <w:vAlign w:val="bottom"/>
            <w:shd w:val="clear" w:color="auto" w:fill="D2DCE5"/>
          </w:tcPr>
          <w:p>
            <w:pPr>
              <w:jc w:val="right"/>
              <w:ind w:right="197"/>
              <w:spacing w:after="0"/>
              <w:rPr>
                <w:sz w:val="20"/>
                <w:szCs w:val="20"/>
                <w:color w:val="auto"/>
              </w:rPr>
            </w:pPr>
            <w:r>
              <w:rPr>
                <w:rFonts w:ascii="Arial" w:cs="Arial" w:eastAsia="Arial" w:hAnsi="Arial"/>
                <w:sz w:val="13"/>
                <w:szCs w:val="13"/>
                <w:color w:val="131E29"/>
                <w:w w:val="82"/>
              </w:rPr>
              <w:t>$</w:t>
            </w:r>
          </w:p>
        </w:tc>
        <w:tc>
          <w:tcPr>
            <w:tcW w:w="1400" w:type="dxa"/>
            <w:vAlign w:val="bottom"/>
            <w:shd w:val="clear" w:color="auto" w:fill="D2DCE5"/>
          </w:tcPr>
          <w:p>
            <w:pPr>
              <w:jc w:val="right"/>
              <w:ind w:right="675"/>
              <w:spacing w:after="0"/>
              <w:rPr>
                <w:sz w:val="20"/>
                <w:szCs w:val="20"/>
                <w:color w:val="auto"/>
              </w:rPr>
            </w:pPr>
            <w:r>
              <w:rPr>
                <w:rFonts w:ascii="Arial" w:cs="Arial" w:eastAsia="Arial" w:hAnsi="Arial"/>
                <w:sz w:val="13"/>
                <w:szCs w:val="13"/>
                <w:color w:val="131E29"/>
              </w:rPr>
              <w:t>34,626</w:t>
            </w:r>
          </w:p>
        </w:tc>
        <w:tc>
          <w:tcPr>
            <w:tcW w:w="480" w:type="dxa"/>
            <w:vAlign w:val="bottom"/>
            <w:shd w:val="clear" w:color="auto" w:fill="D2DCE5"/>
          </w:tcPr>
          <w:p>
            <w:pPr>
              <w:jc w:val="right"/>
              <w:ind w:right="37"/>
              <w:spacing w:after="0"/>
              <w:rPr>
                <w:sz w:val="20"/>
                <w:szCs w:val="20"/>
                <w:color w:val="auto"/>
              </w:rPr>
            </w:pPr>
            <w:r>
              <w:rPr>
                <w:rFonts w:ascii="Arial" w:cs="Arial" w:eastAsia="Arial" w:hAnsi="Arial"/>
                <w:sz w:val="13"/>
                <w:szCs w:val="13"/>
                <w:color w:val="131E29"/>
              </w:rPr>
              <w:t>39.9</w:t>
            </w:r>
          </w:p>
        </w:tc>
        <w:tc>
          <w:tcPr>
            <w:tcW w:w="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4"/>
        </w:trPr>
        <w:tc>
          <w:tcPr>
            <w:tcW w:w="2840" w:type="dxa"/>
            <w:vAlign w:val="bottom"/>
            <w:gridSpan w:val="2"/>
          </w:tcPr>
          <w:p>
            <w:pPr>
              <w:ind w:left="20"/>
              <w:spacing w:after="0"/>
              <w:rPr>
                <w:sz w:val="20"/>
                <w:szCs w:val="20"/>
                <w:color w:val="auto"/>
              </w:rPr>
            </w:pPr>
            <w:r>
              <w:rPr>
                <w:rFonts w:ascii="Arial" w:cs="Arial" w:eastAsia="Arial" w:hAnsi="Arial"/>
                <w:sz w:val="11"/>
                <w:szCs w:val="11"/>
                <w:i w:val="1"/>
                <w:iCs w:val="1"/>
                <w:color w:val="131E29"/>
              </w:rPr>
              <w:t>As a percentage of company-operated shop revenues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21.0 %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19.0 %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21.5 %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ind w:right="735"/>
              <w:spacing w:after="0"/>
              <w:rPr>
                <w:sz w:val="20"/>
                <w:szCs w:val="20"/>
                <w:color w:val="auto"/>
              </w:rPr>
            </w:pPr>
            <w:r>
              <w:rPr>
                <w:rFonts w:ascii="Arial" w:cs="Arial" w:eastAsia="Arial" w:hAnsi="Arial"/>
                <w:sz w:val="13"/>
                <w:szCs w:val="13"/>
                <w:color w:val="131E29"/>
              </w:rPr>
              <w:t>N/A</w:t>
            </w:r>
          </w:p>
        </w:tc>
        <w:tc>
          <w:tcPr>
            <w:tcW w:w="420" w:type="dxa"/>
            <w:vAlign w:val="bottom"/>
          </w:tcPr>
          <w:p>
            <w:pPr>
              <w:jc w:val="right"/>
              <w:spacing w:after="0"/>
              <w:rPr>
                <w:sz w:val="20"/>
                <w:szCs w:val="20"/>
                <w:color w:val="auto"/>
              </w:rPr>
            </w:pPr>
            <w:r>
              <w:rPr>
                <w:rFonts w:ascii="Arial" w:cs="Arial" w:eastAsia="Arial" w:hAnsi="Arial"/>
                <w:sz w:val="13"/>
                <w:szCs w:val="13"/>
                <w:color w:val="131E29"/>
              </w:rPr>
              <w:t>200</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131E29"/>
              </w:rPr>
              <w:t>bps</w:t>
            </w:r>
          </w:p>
        </w:tc>
        <w:tc>
          <w:tcPr>
            <w:tcW w:w="340" w:type="dxa"/>
            <w:vAlign w:val="bottom"/>
          </w:tcPr>
          <w:p>
            <w:pPr>
              <w:spacing w:after="0"/>
              <w:rPr>
                <w:sz w:val="15"/>
                <w:szCs w:val="15"/>
                <w:color w:val="auto"/>
              </w:rPr>
            </w:pPr>
          </w:p>
        </w:tc>
        <w:tc>
          <w:tcPr>
            <w:tcW w:w="1400" w:type="dxa"/>
            <w:vAlign w:val="bottom"/>
          </w:tcPr>
          <w:p>
            <w:pPr>
              <w:ind w:left="480"/>
              <w:spacing w:after="0"/>
              <w:rPr>
                <w:sz w:val="20"/>
                <w:szCs w:val="20"/>
                <w:color w:val="auto"/>
              </w:rPr>
            </w:pPr>
            <w:r>
              <w:rPr>
                <w:rFonts w:ascii="Arial" w:cs="Arial" w:eastAsia="Arial" w:hAnsi="Arial"/>
                <w:sz w:val="13"/>
                <w:szCs w:val="13"/>
                <w:color w:val="131E29"/>
              </w:rPr>
              <w:t>N/A</w:t>
            </w:r>
          </w:p>
        </w:tc>
        <w:tc>
          <w:tcPr>
            <w:tcW w:w="680" w:type="dxa"/>
            <w:vAlign w:val="bottom"/>
            <w:gridSpan w:val="2"/>
          </w:tcPr>
          <w:p>
            <w:pPr>
              <w:jc w:val="right"/>
              <w:spacing w:after="0"/>
              <w:rPr>
                <w:sz w:val="20"/>
                <w:szCs w:val="20"/>
                <w:color w:val="auto"/>
              </w:rPr>
            </w:pPr>
            <w:r>
              <w:rPr>
                <w:rFonts w:ascii="Arial" w:cs="Arial" w:eastAsia="Arial" w:hAnsi="Arial"/>
                <w:sz w:val="13"/>
                <w:szCs w:val="13"/>
                <w:color w:val="131E29"/>
              </w:rPr>
              <w:t>(250) bps</w:t>
            </w:r>
          </w:p>
        </w:tc>
      </w:tr>
      <w:tr>
        <w:trPr>
          <w:trHeight w:val="197"/>
        </w:trPr>
        <w:tc>
          <w:tcPr>
            <w:tcW w:w="28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 xml:space="preserve">Company-operated shop contribution </w:t>
            </w:r>
            <w:r>
              <w:rPr>
                <w:rFonts w:ascii="Arial" w:cs="Arial" w:eastAsia="Arial" w:hAnsi="Arial"/>
                <w:sz w:val="14"/>
                <w:szCs w:val="14"/>
                <w:color w:val="131E29"/>
                <w:vertAlign w:val="superscript"/>
              </w:rPr>
              <w:t>1</w:t>
            </w:r>
          </w:p>
        </w:tc>
        <w:tc>
          <w:tcPr>
            <w:tcW w:w="24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rPr>
              <w:t>$</w:t>
            </w:r>
          </w:p>
        </w:tc>
        <w:tc>
          <w:tcPr>
            <w:tcW w:w="840" w:type="dxa"/>
            <w:vAlign w:val="bottom"/>
            <w:shd w:val="clear" w:color="auto" w:fill="D2DCE5"/>
          </w:tcPr>
          <w:p>
            <w:pPr>
              <w:jc w:val="right"/>
              <w:ind w:right="95"/>
              <w:spacing w:after="0"/>
              <w:rPr>
                <w:sz w:val="20"/>
                <w:szCs w:val="20"/>
                <w:color w:val="auto"/>
              </w:rPr>
            </w:pPr>
            <w:r>
              <w:rPr>
                <w:rFonts w:ascii="Arial" w:cs="Arial" w:eastAsia="Arial" w:hAnsi="Arial"/>
                <w:sz w:val="13"/>
                <w:szCs w:val="13"/>
                <w:color w:val="131E29"/>
              </w:rPr>
              <w:t>242,323</w:t>
            </w:r>
          </w:p>
        </w:tc>
        <w:tc>
          <w:tcPr>
            <w:tcW w:w="100" w:type="dxa"/>
            <w:vAlign w:val="bottom"/>
            <w:shd w:val="clear" w:color="auto" w:fill="D2DCE5"/>
          </w:tcPr>
          <w:p>
            <w:pPr>
              <w:spacing w:after="0"/>
              <w:rPr>
                <w:sz w:val="17"/>
                <w:szCs w:val="17"/>
                <w:color w:val="auto"/>
              </w:rPr>
            </w:pPr>
          </w:p>
        </w:tc>
        <w:tc>
          <w:tcPr>
            <w:tcW w:w="22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95"/>
              <w:spacing w:after="0"/>
              <w:rPr>
                <w:sz w:val="20"/>
                <w:szCs w:val="20"/>
                <w:color w:val="auto"/>
              </w:rPr>
            </w:pPr>
            <w:r>
              <w:rPr>
                <w:rFonts w:ascii="Arial" w:cs="Arial" w:eastAsia="Arial" w:hAnsi="Arial"/>
                <w:sz w:val="13"/>
                <w:szCs w:val="13"/>
                <w:color w:val="131E29"/>
              </w:rPr>
              <w:t>157,633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114"/>
              <w:spacing w:after="0"/>
              <w:rPr>
                <w:sz w:val="20"/>
                <w:szCs w:val="20"/>
                <w:color w:val="auto"/>
              </w:rPr>
            </w:pPr>
            <w:r>
              <w:rPr>
                <w:rFonts w:ascii="Arial" w:cs="Arial" w:eastAsia="Arial" w:hAnsi="Arial"/>
                <w:sz w:val="13"/>
                <w:szCs w:val="13"/>
                <w:color w:val="131E29"/>
              </w:rPr>
              <w:t>102,992</w:t>
            </w: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jc w:val="right"/>
              <w:ind w:right="157"/>
              <w:spacing w:after="0"/>
              <w:rPr>
                <w:sz w:val="20"/>
                <w:szCs w:val="20"/>
                <w:color w:val="auto"/>
              </w:rPr>
            </w:pPr>
            <w:r>
              <w:rPr>
                <w:rFonts w:ascii="Arial" w:cs="Arial" w:eastAsia="Arial" w:hAnsi="Arial"/>
                <w:sz w:val="13"/>
                <w:szCs w:val="13"/>
                <w:color w:val="131E29"/>
                <w:w w:val="82"/>
              </w:rPr>
              <w:t>$</w:t>
            </w:r>
          </w:p>
        </w:tc>
        <w:tc>
          <w:tcPr>
            <w:tcW w:w="1460" w:type="dxa"/>
            <w:vAlign w:val="bottom"/>
            <w:shd w:val="clear" w:color="auto" w:fill="D2DCE5"/>
          </w:tcPr>
          <w:p>
            <w:pPr>
              <w:jc w:val="right"/>
              <w:ind w:right="775"/>
              <w:spacing w:after="0"/>
              <w:rPr>
                <w:sz w:val="20"/>
                <w:szCs w:val="20"/>
                <w:color w:val="auto"/>
              </w:rPr>
            </w:pPr>
            <w:r>
              <w:rPr>
                <w:rFonts w:ascii="Arial" w:cs="Arial" w:eastAsia="Arial" w:hAnsi="Arial"/>
                <w:sz w:val="13"/>
                <w:szCs w:val="13"/>
                <w:color w:val="131E29"/>
              </w:rPr>
              <w:t>84,690</w:t>
            </w:r>
          </w:p>
        </w:tc>
        <w:tc>
          <w:tcPr>
            <w:tcW w:w="4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53.7</w:t>
            </w:r>
          </w:p>
        </w:tc>
        <w:tc>
          <w:tcPr>
            <w:tcW w:w="2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c>
          <w:tcPr>
            <w:tcW w:w="100" w:type="dxa"/>
            <w:vAlign w:val="bottom"/>
            <w:shd w:val="clear" w:color="auto" w:fill="D2DCE5"/>
          </w:tcPr>
          <w:p>
            <w:pPr>
              <w:spacing w:after="0"/>
              <w:rPr>
                <w:sz w:val="17"/>
                <w:szCs w:val="17"/>
                <w:color w:val="auto"/>
              </w:rPr>
            </w:pPr>
          </w:p>
        </w:tc>
        <w:tc>
          <w:tcPr>
            <w:tcW w:w="340" w:type="dxa"/>
            <w:vAlign w:val="bottom"/>
            <w:shd w:val="clear" w:color="auto" w:fill="D2DCE5"/>
          </w:tcPr>
          <w:p>
            <w:pPr>
              <w:jc w:val="right"/>
              <w:ind w:right="197"/>
              <w:spacing w:after="0"/>
              <w:rPr>
                <w:sz w:val="20"/>
                <w:szCs w:val="20"/>
                <w:color w:val="auto"/>
              </w:rPr>
            </w:pPr>
            <w:r>
              <w:rPr>
                <w:rFonts w:ascii="Arial" w:cs="Arial" w:eastAsia="Arial" w:hAnsi="Arial"/>
                <w:sz w:val="13"/>
                <w:szCs w:val="13"/>
                <w:color w:val="131E29"/>
                <w:w w:val="82"/>
              </w:rPr>
              <w:t>$</w:t>
            </w:r>
          </w:p>
        </w:tc>
        <w:tc>
          <w:tcPr>
            <w:tcW w:w="1400" w:type="dxa"/>
            <w:vAlign w:val="bottom"/>
            <w:shd w:val="clear" w:color="auto" w:fill="D2DCE5"/>
          </w:tcPr>
          <w:p>
            <w:pPr>
              <w:jc w:val="right"/>
              <w:ind w:right="675"/>
              <w:spacing w:after="0"/>
              <w:rPr>
                <w:sz w:val="20"/>
                <w:szCs w:val="20"/>
                <w:color w:val="auto"/>
              </w:rPr>
            </w:pPr>
            <w:r>
              <w:rPr>
                <w:rFonts w:ascii="Arial" w:cs="Arial" w:eastAsia="Arial" w:hAnsi="Arial"/>
                <w:sz w:val="13"/>
                <w:szCs w:val="13"/>
                <w:color w:val="131E29"/>
              </w:rPr>
              <w:t>54,641</w:t>
            </w:r>
          </w:p>
        </w:tc>
        <w:tc>
          <w:tcPr>
            <w:tcW w:w="480" w:type="dxa"/>
            <w:vAlign w:val="bottom"/>
            <w:shd w:val="clear" w:color="auto" w:fill="D2DCE5"/>
          </w:tcPr>
          <w:p>
            <w:pPr>
              <w:jc w:val="right"/>
              <w:ind w:right="37"/>
              <w:spacing w:after="0"/>
              <w:rPr>
                <w:sz w:val="20"/>
                <w:szCs w:val="20"/>
                <w:color w:val="auto"/>
              </w:rPr>
            </w:pPr>
            <w:r>
              <w:rPr>
                <w:rFonts w:ascii="Arial" w:cs="Arial" w:eastAsia="Arial" w:hAnsi="Arial"/>
                <w:sz w:val="13"/>
                <w:szCs w:val="13"/>
                <w:color w:val="131E29"/>
              </w:rPr>
              <w:t>53.1</w:t>
            </w:r>
          </w:p>
        </w:tc>
        <w:tc>
          <w:tcPr>
            <w:tcW w:w="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77"/>
        </w:trPr>
        <w:tc>
          <w:tcPr>
            <w:tcW w:w="2840" w:type="dxa"/>
            <w:vAlign w:val="bottom"/>
            <w:gridSpan w:val="2"/>
          </w:tcPr>
          <w:p>
            <w:pPr>
              <w:ind w:left="20"/>
              <w:spacing w:after="0"/>
              <w:rPr>
                <w:sz w:val="20"/>
                <w:szCs w:val="20"/>
                <w:color w:val="auto"/>
              </w:rPr>
            </w:pPr>
            <w:r>
              <w:rPr>
                <w:rFonts w:ascii="Arial" w:cs="Arial" w:eastAsia="Arial" w:hAnsi="Arial"/>
                <w:sz w:val="11"/>
                <w:szCs w:val="11"/>
                <w:i w:val="1"/>
                <w:iCs w:val="1"/>
                <w:color w:val="131E29"/>
              </w:rPr>
              <w:t>As a percentage of company-operated shop revenues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28.2 %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24.6 %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25.5 %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ind w:right="735"/>
              <w:spacing w:after="0"/>
              <w:rPr>
                <w:sz w:val="20"/>
                <w:szCs w:val="20"/>
                <w:color w:val="auto"/>
              </w:rPr>
            </w:pPr>
            <w:r>
              <w:rPr>
                <w:rFonts w:ascii="Arial" w:cs="Arial" w:eastAsia="Arial" w:hAnsi="Arial"/>
                <w:sz w:val="13"/>
                <w:szCs w:val="13"/>
                <w:color w:val="131E29"/>
              </w:rPr>
              <w:t>N/A</w:t>
            </w:r>
          </w:p>
        </w:tc>
        <w:tc>
          <w:tcPr>
            <w:tcW w:w="420" w:type="dxa"/>
            <w:vAlign w:val="bottom"/>
          </w:tcPr>
          <w:p>
            <w:pPr>
              <w:jc w:val="right"/>
              <w:spacing w:after="0"/>
              <w:rPr>
                <w:sz w:val="20"/>
                <w:szCs w:val="20"/>
                <w:color w:val="auto"/>
              </w:rPr>
            </w:pPr>
            <w:r>
              <w:rPr>
                <w:rFonts w:ascii="Arial" w:cs="Arial" w:eastAsia="Arial" w:hAnsi="Arial"/>
                <w:sz w:val="13"/>
                <w:szCs w:val="13"/>
                <w:color w:val="131E29"/>
              </w:rPr>
              <w:t>360</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131E29"/>
              </w:rPr>
              <w:t>bps</w:t>
            </w:r>
          </w:p>
        </w:tc>
        <w:tc>
          <w:tcPr>
            <w:tcW w:w="340" w:type="dxa"/>
            <w:vAlign w:val="bottom"/>
          </w:tcPr>
          <w:p>
            <w:pPr>
              <w:spacing w:after="0"/>
              <w:rPr>
                <w:sz w:val="15"/>
                <w:szCs w:val="15"/>
                <w:color w:val="auto"/>
              </w:rPr>
            </w:pPr>
          </w:p>
        </w:tc>
        <w:tc>
          <w:tcPr>
            <w:tcW w:w="1400" w:type="dxa"/>
            <w:vAlign w:val="bottom"/>
          </w:tcPr>
          <w:p>
            <w:pPr>
              <w:ind w:left="480"/>
              <w:spacing w:after="0"/>
              <w:rPr>
                <w:sz w:val="20"/>
                <w:szCs w:val="20"/>
                <w:color w:val="auto"/>
              </w:rPr>
            </w:pPr>
            <w:r>
              <w:rPr>
                <w:rFonts w:ascii="Arial" w:cs="Arial" w:eastAsia="Arial" w:hAnsi="Arial"/>
                <w:sz w:val="13"/>
                <w:szCs w:val="13"/>
                <w:color w:val="131E29"/>
              </w:rPr>
              <w:t>N/A</w:t>
            </w:r>
          </w:p>
        </w:tc>
        <w:tc>
          <w:tcPr>
            <w:tcW w:w="680" w:type="dxa"/>
            <w:vAlign w:val="bottom"/>
            <w:gridSpan w:val="2"/>
          </w:tcPr>
          <w:p>
            <w:pPr>
              <w:jc w:val="right"/>
              <w:spacing w:after="0"/>
              <w:rPr>
                <w:sz w:val="20"/>
                <w:szCs w:val="20"/>
                <w:color w:val="auto"/>
              </w:rPr>
            </w:pPr>
            <w:r>
              <w:rPr>
                <w:rFonts w:ascii="Arial" w:cs="Arial" w:eastAsia="Arial" w:hAnsi="Arial"/>
                <w:sz w:val="13"/>
                <w:szCs w:val="13"/>
                <w:color w:val="131E29"/>
              </w:rPr>
              <w:t>(90) bps</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19" w:lineRule="exact"/>
        <w:rPr>
          <w:sz w:val="20"/>
          <w:szCs w:val="20"/>
          <w:color w:val="auto"/>
        </w:rPr>
      </w:pPr>
    </w:p>
    <w:p>
      <w:pPr>
        <w:ind w:left="120" w:hanging="115"/>
        <w:spacing w:after="0"/>
        <w:tabs>
          <w:tab w:leader="none" w:pos="120" w:val="left"/>
        </w:tabs>
        <w:numPr>
          <w:ilvl w:val="0"/>
          <w:numId w:val="48"/>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4"/>
          <w:szCs w:val="14"/>
          <w:color w:val="131E29"/>
        </w:rPr>
        <w:t>The Company-operated shop gross profit and contribution impacts for the year-over-year comparison, presented in basis points (as a percentage of current year company-operated shop revenues), were driven by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7"/>
                <w:szCs w:val="17"/>
                <w:color w:val="auto"/>
              </w:rPr>
            </w:pPr>
          </w:p>
        </w:tc>
        <w:tc>
          <w:tcPr>
            <w:tcW w:w="1600" w:type="dxa"/>
            <w:vAlign w:val="bottom"/>
            <w:tcBorders>
              <w:bottom w:val="single" w:sz="8" w:color="131E29"/>
            </w:tcBorders>
          </w:tcPr>
          <w:p>
            <w:pPr>
              <w:jc w:val="right"/>
              <w:ind w:right="590"/>
              <w:spacing w:after="0"/>
              <w:rPr>
                <w:sz w:val="20"/>
                <w:szCs w:val="20"/>
                <w:color w:val="auto"/>
              </w:rPr>
            </w:pPr>
            <w:r>
              <w:rPr>
                <w:rFonts w:ascii="Arial" w:cs="Arial" w:eastAsia="Arial" w:hAnsi="Arial"/>
                <w:sz w:val="14"/>
                <w:szCs w:val="14"/>
                <w:b w:val="1"/>
                <w:bCs w:val="1"/>
                <w:color w:val="131E29"/>
              </w:rPr>
              <w:t>BPS</w:t>
            </w:r>
          </w:p>
        </w:tc>
      </w:tr>
      <w:tr>
        <w:trPr>
          <w:trHeight w:val="208"/>
        </w:trPr>
        <w:tc>
          <w:tcPr>
            <w:tcW w:w="9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Ingredient costs</w:t>
            </w:r>
          </w:p>
        </w:tc>
        <w:tc>
          <w:tcPr>
            <w:tcW w:w="1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(50)</w:t>
            </w:r>
          </w:p>
        </w:tc>
      </w:tr>
      <w:tr>
        <w:trPr>
          <w:trHeight w:val="202"/>
        </w:trPr>
        <w:tc>
          <w:tcPr>
            <w:tcW w:w="96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Labor costs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70</w:t>
            </w:r>
          </w:p>
        </w:tc>
      </w:tr>
      <w:tr>
        <w:trPr>
          <w:trHeight w:val="211"/>
        </w:trPr>
        <w:tc>
          <w:tcPr>
            <w:tcW w:w="96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Costs decreases</w:t>
            </w:r>
          </w:p>
        </w:tc>
        <w:tc>
          <w:tcPr>
            <w:tcW w:w="1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w:t>
            </w:r>
          </w:p>
        </w:tc>
      </w:tr>
      <w:tr>
        <w:trPr>
          <w:trHeight w:val="202"/>
        </w:trPr>
        <w:tc>
          <w:tcPr>
            <w:tcW w:w="96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Menu prices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360</w:t>
            </w:r>
          </w:p>
        </w:tc>
      </w:tr>
      <w:tr>
        <w:trPr>
          <w:trHeight w:val="211"/>
        </w:trPr>
        <w:tc>
          <w:tcPr>
            <w:tcW w:w="96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Pricing and discounts</w:t>
            </w: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360</w:t>
            </w:r>
          </w:p>
        </w:tc>
      </w:tr>
      <w:tr>
        <w:trPr>
          <w:trHeight w:val="193"/>
        </w:trPr>
        <w:tc>
          <w:tcPr>
            <w:tcW w:w="96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Pre-opening costs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120</w:t>
            </w:r>
          </w:p>
        </w:tc>
      </w:tr>
      <w:tr>
        <w:trPr>
          <w:trHeight w:val="211"/>
        </w:trPr>
        <w:tc>
          <w:tcPr>
            <w:tcW w:w="96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New shop related items</w:t>
            </w: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120</w:t>
            </w:r>
          </w:p>
        </w:tc>
      </w:t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color w:val="131E29"/>
              </w:rPr>
              <w:t>Leverage (deleverage)</w:t>
            </w:r>
          </w:p>
        </w:tc>
        <w:tc>
          <w:tcPr>
            <w:tcW w:w="1600" w:type="dxa"/>
            <w:vAlign w:val="bottom"/>
          </w:tcPr>
          <w:p>
            <w:pPr>
              <w:jc w:val="right"/>
              <w:spacing w:after="0"/>
              <w:rPr>
                <w:sz w:val="20"/>
                <w:szCs w:val="20"/>
                <w:color w:val="auto"/>
              </w:rPr>
            </w:pPr>
            <w:r>
              <w:rPr>
                <w:rFonts w:ascii="Arial" w:cs="Arial" w:eastAsia="Arial" w:hAnsi="Arial"/>
                <w:sz w:val="14"/>
                <w:szCs w:val="14"/>
                <w:color w:val="131E29"/>
              </w:rPr>
              <w:t>20</w:t>
            </w:r>
          </w:p>
        </w:tc>
      </w:tr>
      <w:tr>
        <w:trPr>
          <w:trHeight w:val="221"/>
        </w:trPr>
        <w:tc>
          <w:tcPr>
            <w:tcW w:w="9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Loyalty points breakage </w:t>
            </w:r>
            <w:r>
              <w:rPr>
                <w:rFonts w:ascii="Arial" w:cs="Arial" w:eastAsia="Arial" w:hAnsi="Arial"/>
                <w:sz w:val="18"/>
                <w:szCs w:val="18"/>
                <w:color w:val="131E29"/>
                <w:vertAlign w:val="superscript"/>
              </w:rPr>
              <w:t>2</w:t>
            </w:r>
          </w:p>
        </w:tc>
        <w:tc>
          <w:tcPr>
            <w:tcW w:w="1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w:t>
            </w:r>
          </w:p>
        </w:tc>
      </w:tr>
      <w:tr>
        <w:trPr>
          <w:trHeight w:val="202"/>
        </w:trPr>
        <w:tc>
          <w:tcPr>
            <w:tcW w:w="9600" w:type="dxa"/>
            <w:vAlign w:val="bottom"/>
            <w:tcBorders>
              <w:bottom w:val="single" w:sz="8" w:color="131E29"/>
            </w:tcBorders>
          </w:tcPr>
          <w:p>
            <w:pPr>
              <w:ind w:left="20"/>
              <w:spacing w:after="0"/>
              <w:rPr>
                <w:sz w:val="20"/>
                <w:szCs w:val="20"/>
                <w:color w:val="auto"/>
              </w:rPr>
            </w:pPr>
            <w:r>
              <w:rPr>
                <w:rFonts w:ascii="Arial" w:cs="Arial" w:eastAsia="Arial" w:hAnsi="Arial"/>
                <w:sz w:val="14"/>
                <w:szCs w:val="14"/>
                <w:color w:val="131E29"/>
              </w:rPr>
              <w:t>Other</w:t>
            </w:r>
          </w:p>
        </w:tc>
        <w:tc>
          <w:tcPr>
            <w:tcW w:w="80" w:type="dxa"/>
            <w:vAlign w:val="bottom"/>
            <w:tcBorders>
              <w:bottom w:val="single" w:sz="8" w:color="D2DCE5"/>
            </w:tcBorders>
          </w:tcPr>
          <w:p>
            <w:pPr>
              <w:spacing w:after="0"/>
              <w:rPr>
                <w:sz w:val="17"/>
                <w:szCs w:val="17"/>
                <w:color w:val="auto"/>
              </w:rPr>
            </w:pPr>
          </w:p>
        </w:tc>
        <w:tc>
          <w:tcPr>
            <w:tcW w:w="160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(260)</w:t>
            </w:r>
          </w:p>
        </w:tc>
      </w:tr>
      <w:tr>
        <w:trPr>
          <w:trHeight w:val="206"/>
        </w:trPr>
        <w:tc>
          <w:tcPr>
            <w:tcW w:w="9600" w:type="dxa"/>
            <w:vAlign w:val="bottom"/>
            <w:tcBorders>
              <w:bottom w:val="single" w:sz="8" w:color="131E29"/>
            </w:tcBorders>
            <w:shd w:val="clear" w:color="auto" w:fill="D2DCE5"/>
          </w:tcPr>
          <w:p>
            <w:pPr>
              <w:ind w:left="100"/>
              <w:spacing w:after="0"/>
              <w:rPr>
                <w:sz w:val="20"/>
                <w:szCs w:val="20"/>
                <w:color w:val="auto"/>
              </w:rPr>
            </w:pPr>
            <w:r>
              <w:rPr>
                <w:rFonts w:ascii="Arial" w:cs="Arial" w:eastAsia="Arial" w:hAnsi="Arial"/>
                <w:sz w:val="14"/>
                <w:szCs w:val="14"/>
                <w:b w:val="1"/>
                <w:bCs w:val="1"/>
                <w:color w:val="131E29"/>
              </w:rPr>
              <w:t>Total change in Company-operated shop gross profit</w:t>
            </w:r>
          </w:p>
        </w:tc>
        <w:tc>
          <w:tcPr>
            <w:tcW w:w="80" w:type="dxa"/>
            <w:vAlign w:val="bottom"/>
            <w:shd w:val="clear" w:color="auto" w:fill="D2DCE5"/>
          </w:tcPr>
          <w:p>
            <w:pPr>
              <w:spacing w:after="0"/>
              <w:rPr>
                <w:sz w:val="17"/>
                <w:szCs w:val="17"/>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200</w:t>
            </w:r>
          </w:p>
        </w:tc>
      </w:tr>
      <w:tr>
        <w:trPr>
          <w:trHeight w:val="202"/>
        </w:trPr>
        <w:tc>
          <w:tcPr>
            <w:tcW w:w="9600" w:type="dxa"/>
            <w:vAlign w:val="bottom"/>
            <w:tcBorders>
              <w:bottom w:val="single" w:sz="8" w:color="131E29"/>
            </w:tcBorders>
          </w:tcPr>
          <w:p>
            <w:pPr>
              <w:ind w:left="20"/>
              <w:spacing w:after="0"/>
              <w:rPr>
                <w:sz w:val="20"/>
                <w:szCs w:val="20"/>
                <w:color w:val="auto"/>
              </w:rPr>
            </w:pPr>
            <w:r>
              <w:rPr>
                <w:rFonts w:ascii="Arial" w:cs="Arial" w:eastAsia="Arial" w:hAnsi="Arial"/>
                <w:sz w:val="14"/>
                <w:szCs w:val="14"/>
                <w:color w:val="131E29"/>
              </w:rPr>
              <w:t>Depreciation and amortization</w:t>
            </w:r>
          </w:p>
        </w:tc>
        <w:tc>
          <w:tcPr>
            <w:tcW w:w="80" w:type="dxa"/>
            <w:vAlign w:val="bottom"/>
            <w:tcBorders>
              <w:bottom w:val="single" w:sz="8" w:color="D2DCE5"/>
            </w:tcBorders>
          </w:tcPr>
          <w:p>
            <w:pPr>
              <w:spacing w:after="0"/>
              <w:rPr>
                <w:sz w:val="17"/>
                <w:szCs w:val="17"/>
                <w:color w:val="auto"/>
              </w:rPr>
            </w:pPr>
          </w:p>
        </w:tc>
        <w:tc>
          <w:tcPr>
            <w:tcW w:w="160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160</w:t>
            </w:r>
          </w:p>
        </w:tc>
      </w:tr>
      <w:tr>
        <w:trPr>
          <w:trHeight w:val="208"/>
        </w:trPr>
        <w:tc>
          <w:tcPr>
            <w:tcW w:w="9600" w:type="dxa"/>
            <w:vAlign w:val="bottom"/>
            <w:tcBorders>
              <w:bottom w:val="single" w:sz="8" w:color="131E29"/>
            </w:tcBorders>
            <w:shd w:val="clear" w:color="auto" w:fill="D2DCE5"/>
          </w:tcPr>
          <w:p>
            <w:pPr>
              <w:ind w:left="100"/>
              <w:spacing w:after="0"/>
              <w:rPr>
                <w:sz w:val="20"/>
                <w:szCs w:val="20"/>
                <w:color w:val="auto"/>
              </w:rPr>
            </w:pPr>
            <w:r>
              <w:rPr>
                <w:rFonts w:ascii="Arial" w:cs="Arial" w:eastAsia="Arial" w:hAnsi="Arial"/>
                <w:sz w:val="14"/>
                <w:szCs w:val="14"/>
                <w:b w:val="1"/>
                <w:bCs w:val="1"/>
                <w:color w:val="131E29"/>
              </w:rPr>
              <w:t xml:space="preserve">Total change in Company-operated shop contribution </w:t>
            </w:r>
            <w:r>
              <w:rPr>
                <w:rFonts w:ascii="Arial" w:cs="Arial" w:eastAsia="Arial" w:hAnsi="Arial"/>
                <w:sz w:val="18"/>
                <w:szCs w:val="18"/>
                <w:b w:val="1"/>
                <w:bCs w:val="1"/>
                <w:color w:val="131E29"/>
                <w:vertAlign w:val="superscript"/>
              </w:rPr>
              <w:t>1</w:t>
            </w:r>
          </w:p>
        </w:tc>
        <w:tc>
          <w:tcPr>
            <w:tcW w:w="80" w:type="dxa"/>
            <w:vAlign w:val="bottom"/>
            <w:shd w:val="clear" w:color="auto" w:fill="D2DCE5"/>
          </w:tcPr>
          <w:p>
            <w:pPr>
              <w:spacing w:after="0"/>
              <w:rPr>
                <w:sz w:val="18"/>
                <w:szCs w:val="18"/>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360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19" w:lineRule="exact"/>
        <w:rPr>
          <w:sz w:val="20"/>
          <w:szCs w:val="20"/>
          <w:color w:val="auto"/>
        </w:rPr>
      </w:pPr>
    </w:p>
    <w:p>
      <w:pPr>
        <w:ind w:left="120" w:hanging="115"/>
        <w:spacing w:after="0"/>
        <w:tabs>
          <w:tab w:leader="none" w:pos="120" w:val="left"/>
        </w:tabs>
        <w:numPr>
          <w:ilvl w:val="0"/>
          <w:numId w:val="49"/>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 Item 7 “Management’s Discussion and Analysis of Financial Condition and Results of Operations”.</w:t>
      </w:r>
    </w:p>
    <w:p>
      <w:pPr>
        <w:spacing w:after="0" w:line="57" w:lineRule="exact"/>
        <w:rPr>
          <w:sz w:val="20"/>
          <w:szCs w:val="20"/>
          <w:color w:val="auto"/>
        </w:rPr>
      </w:pPr>
    </w:p>
    <w:p>
      <w:pPr>
        <w:ind w:left="160" w:hanging="155"/>
        <w:spacing w:after="0"/>
        <w:tabs>
          <w:tab w:leader="none" w:pos="160" w:val="left"/>
        </w:tabs>
        <w:numPr>
          <w:ilvl w:val="0"/>
          <w:numId w:val="50"/>
        </w:numPr>
        <w:rPr>
          <w:rFonts w:ascii="Arial" w:cs="Arial" w:eastAsia="Arial" w:hAnsi="Arial"/>
          <w:sz w:val="18"/>
          <w:szCs w:val="18"/>
          <w:color w:val="131E29"/>
          <w:vertAlign w:val="superscript"/>
        </w:rPr>
      </w:pPr>
      <w:r>
        <w:rPr>
          <w:rFonts w:ascii="Arial" w:cs="Arial" w:eastAsia="Arial" w:hAnsi="Arial"/>
          <w:sz w:val="11"/>
          <w:szCs w:val="11"/>
          <w:color w:val="131E29"/>
        </w:rPr>
        <w:t>Recognition of $4.9 million of breakage revenue from the loyalty points collected prior to January 1, 2022 that expired on December 31,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0" w:name="page81"/>
    <w:bookmarkEnd w:id="8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Franchising and Other Segment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131E29"/>
              </w:rPr>
              <w:t>Year Ended December 31,</w:t>
            </w: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5"/>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40" w:type="dxa"/>
            <w:vAlign w:val="bottom"/>
            <w:tcBorders>
              <w:bottom w:val="single" w:sz="8" w:color="131E29"/>
            </w:tcBorders>
          </w:tcPr>
          <w:p>
            <w:pPr>
              <w:jc w:val="right"/>
              <w:ind w:right="315"/>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780" w:type="dxa"/>
            <w:vAlign w:val="bottom"/>
            <w:tcBorders>
              <w:bottom w:val="single" w:sz="8" w:color="131E29"/>
            </w:tcBorders>
          </w:tcPr>
          <w:p>
            <w:pPr>
              <w:jc w:val="right"/>
              <w:ind w:right="235"/>
              <w:spacing w:after="0"/>
              <w:rPr>
                <w:sz w:val="20"/>
                <w:szCs w:val="20"/>
                <w:color w:val="auto"/>
              </w:rPr>
            </w:pPr>
            <w:r>
              <w:rPr>
                <w:rFonts w:ascii="Arial" w:cs="Arial" w:eastAsia="Arial" w:hAnsi="Arial"/>
                <w:sz w:val="14"/>
                <w:szCs w:val="14"/>
                <w:b w:val="1"/>
                <w:bCs w:val="1"/>
                <w:color w:val="131E29"/>
              </w:rPr>
              <w:t>2021</w:t>
            </w:r>
          </w:p>
        </w:tc>
        <w:tc>
          <w:tcPr>
            <w:tcW w:w="12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400" w:type="dxa"/>
            <w:vAlign w:val="bottom"/>
            <w:tcBorders>
              <w:bottom w:val="single" w:sz="8" w:color="131E29"/>
            </w:tcBorders>
          </w:tcPr>
          <w:p>
            <w:pPr>
              <w:jc w:val="right"/>
              <w:ind w:right="55"/>
              <w:spacing w:after="0"/>
              <w:rPr>
                <w:sz w:val="20"/>
                <w:szCs w:val="20"/>
                <w:color w:val="auto"/>
              </w:rPr>
            </w:pPr>
            <w:r>
              <w:rPr>
                <w:rFonts w:ascii="Arial" w:cs="Arial" w:eastAsia="Arial" w:hAnsi="Arial"/>
                <w:sz w:val="14"/>
                <w:szCs w:val="14"/>
                <w:b w:val="1"/>
                <w:bCs w:val="1"/>
                <w:color w:val="131E29"/>
              </w:rPr>
              <w:t>2023 v. 2022</w:t>
            </w:r>
          </w:p>
        </w:tc>
        <w:tc>
          <w:tcPr>
            <w:tcW w:w="420" w:type="dxa"/>
            <w:vAlign w:val="bottom"/>
            <w:tcBorders>
              <w:bottom w:val="single" w:sz="8" w:color="131E29"/>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1400" w:type="dxa"/>
            <w:vAlign w:val="bottom"/>
            <w:tcBorders>
              <w:bottom w:val="single" w:sz="8" w:color="131E29"/>
            </w:tcBorders>
          </w:tcPr>
          <w:p>
            <w:pPr>
              <w:ind w:left="500"/>
              <w:spacing w:after="0"/>
              <w:rPr>
                <w:sz w:val="20"/>
                <w:szCs w:val="20"/>
                <w:color w:val="auto"/>
              </w:rPr>
            </w:pPr>
            <w:r>
              <w:rPr>
                <w:rFonts w:ascii="Arial" w:cs="Arial" w:eastAsia="Arial" w:hAnsi="Arial"/>
                <w:sz w:val="14"/>
                <w:szCs w:val="14"/>
                <w:b w:val="1"/>
                <w:bCs w:val="1"/>
                <w:color w:val="131E29"/>
              </w:rPr>
              <w:t>2022 v 2021</w:t>
            </w:r>
          </w:p>
        </w:tc>
        <w:tc>
          <w:tcPr>
            <w:tcW w:w="560" w:type="dxa"/>
            <w:vAlign w:val="bottom"/>
            <w:tcBorders>
              <w:bottom w:val="single" w:sz="8" w:color="131E29"/>
            </w:tcBorders>
          </w:tcPr>
          <w:p>
            <w:pPr>
              <w:spacing w:after="0"/>
              <w:rPr>
                <w:sz w:val="17"/>
                <w:szCs w:val="17"/>
                <w:color w:val="auto"/>
              </w:rPr>
            </w:pPr>
          </w:p>
        </w:tc>
        <w:tc>
          <w:tcPr>
            <w:tcW w:w="200" w:type="dxa"/>
            <w:vAlign w:val="bottom"/>
            <w:tcBorders>
              <w:bottom w:val="single" w:sz="8" w:color="131E29"/>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Franchising and other revenue</w:t>
            </w: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95"/>
              <w:spacing w:after="0"/>
              <w:rPr>
                <w:sz w:val="20"/>
                <w:szCs w:val="20"/>
                <w:color w:val="auto"/>
              </w:rPr>
            </w:pPr>
            <w:r>
              <w:rPr>
                <w:rFonts w:ascii="Arial" w:cs="Arial" w:eastAsia="Arial" w:hAnsi="Arial"/>
                <w:sz w:val="13"/>
                <w:szCs w:val="13"/>
                <w:color w:val="131E29"/>
              </w:rPr>
              <w:t>107,837</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ind w:right="115"/>
              <w:spacing w:after="0"/>
              <w:rPr>
                <w:sz w:val="20"/>
                <w:szCs w:val="20"/>
                <w:color w:val="auto"/>
              </w:rPr>
            </w:pPr>
            <w:r>
              <w:rPr>
                <w:rFonts w:ascii="Arial" w:cs="Arial" w:eastAsia="Arial" w:hAnsi="Arial"/>
                <w:sz w:val="13"/>
                <w:szCs w:val="13"/>
                <w:color w:val="131E29"/>
              </w:rPr>
              <w:t>99,302</w:t>
            </w: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jc w:val="right"/>
              <w:ind w:right="117"/>
              <w:spacing w:after="0"/>
              <w:rPr>
                <w:sz w:val="20"/>
                <w:szCs w:val="20"/>
                <w:color w:val="auto"/>
              </w:rPr>
            </w:pPr>
            <w:r>
              <w:rPr>
                <w:rFonts w:ascii="Arial" w:cs="Arial" w:eastAsia="Arial" w:hAnsi="Arial"/>
                <w:sz w:val="13"/>
                <w:szCs w:val="13"/>
                <w:color w:val="131E29"/>
                <w:w w:val="82"/>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94,130</w:t>
            </w:r>
          </w:p>
        </w:tc>
        <w:tc>
          <w:tcPr>
            <w:tcW w:w="520" w:type="dxa"/>
            <w:vAlign w:val="bottom"/>
            <w:gridSpan w:val="3"/>
            <w:shd w:val="clear" w:color="auto" w:fill="D2DCE5"/>
          </w:tcPr>
          <w:p>
            <w:pPr>
              <w:jc w:val="right"/>
              <w:ind w:right="240"/>
              <w:spacing w:after="0"/>
              <w:rPr>
                <w:sz w:val="20"/>
                <w:szCs w:val="20"/>
                <w:color w:val="auto"/>
              </w:rPr>
            </w:pPr>
            <w:r>
              <w:rPr>
                <w:rFonts w:ascii="Arial" w:cs="Arial" w:eastAsia="Arial" w:hAnsi="Arial"/>
                <w:sz w:val="13"/>
                <w:szCs w:val="13"/>
                <w:color w:val="131E29"/>
              </w:rPr>
              <w:t>$</w:t>
            </w:r>
          </w:p>
        </w:tc>
        <w:tc>
          <w:tcPr>
            <w:tcW w:w="1400" w:type="dxa"/>
            <w:vAlign w:val="bottom"/>
            <w:shd w:val="clear" w:color="auto" w:fill="D2DCE5"/>
          </w:tcPr>
          <w:p>
            <w:pPr>
              <w:jc w:val="right"/>
              <w:ind w:right="735"/>
              <w:spacing w:after="0"/>
              <w:rPr>
                <w:sz w:val="20"/>
                <w:szCs w:val="20"/>
                <w:color w:val="auto"/>
              </w:rPr>
            </w:pPr>
            <w:r>
              <w:rPr>
                <w:rFonts w:ascii="Arial" w:cs="Arial" w:eastAsia="Arial" w:hAnsi="Arial"/>
                <w:sz w:val="13"/>
                <w:szCs w:val="13"/>
                <w:color w:val="131E29"/>
              </w:rPr>
              <w:t>8,535</w:t>
            </w:r>
          </w:p>
        </w:tc>
        <w:tc>
          <w:tcPr>
            <w:tcW w:w="4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8.6</w:t>
            </w:r>
          </w:p>
        </w:tc>
        <w:tc>
          <w:tcPr>
            <w:tcW w:w="2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c>
          <w:tcPr>
            <w:tcW w:w="80" w:type="dxa"/>
            <w:vAlign w:val="bottom"/>
            <w:shd w:val="clear" w:color="auto" w:fill="D2DCE5"/>
          </w:tcPr>
          <w:p>
            <w:pPr>
              <w:spacing w:after="0"/>
              <w:rPr>
                <w:sz w:val="16"/>
                <w:szCs w:val="16"/>
                <w:color w:val="auto"/>
              </w:rPr>
            </w:pPr>
          </w:p>
        </w:tc>
        <w:tc>
          <w:tcPr>
            <w:tcW w:w="360" w:type="dxa"/>
            <w:vAlign w:val="bottom"/>
            <w:shd w:val="clear" w:color="auto" w:fill="D2DCE5"/>
          </w:tcPr>
          <w:p>
            <w:pPr>
              <w:jc w:val="right"/>
              <w:ind w:right="217"/>
              <w:spacing w:after="0"/>
              <w:rPr>
                <w:sz w:val="20"/>
                <w:szCs w:val="20"/>
                <w:color w:val="auto"/>
              </w:rPr>
            </w:pPr>
            <w:r>
              <w:rPr>
                <w:rFonts w:ascii="Arial" w:cs="Arial" w:eastAsia="Arial" w:hAnsi="Arial"/>
                <w:sz w:val="13"/>
                <w:szCs w:val="13"/>
                <w:color w:val="131E29"/>
                <w:w w:val="82"/>
              </w:rPr>
              <w:t>$</w:t>
            </w:r>
          </w:p>
        </w:tc>
        <w:tc>
          <w:tcPr>
            <w:tcW w:w="1400" w:type="dxa"/>
            <w:vAlign w:val="bottom"/>
            <w:shd w:val="clear" w:color="auto" w:fill="D2DCE5"/>
          </w:tcPr>
          <w:p>
            <w:pPr>
              <w:jc w:val="right"/>
              <w:ind w:right="695"/>
              <w:spacing w:after="0"/>
              <w:rPr>
                <w:sz w:val="20"/>
                <w:szCs w:val="20"/>
                <w:color w:val="auto"/>
              </w:rPr>
            </w:pPr>
            <w:r>
              <w:rPr>
                <w:rFonts w:ascii="Arial" w:cs="Arial" w:eastAsia="Arial" w:hAnsi="Arial"/>
                <w:sz w:val="13"/>
                <w:szCs w:val="13"/>
                <w:color w:val="131E29"/>
              </w:rPr>
              <w:t>5,172</w:t>
            </w:r>
          </w:p>
        </w:tc>
        <w:tc>
          <w:tcPr>
            <w:tcW w:w="560" w:type="dxa"/>
            <w:vAlign w:val="bottom"/>
            <w:shd w:val="clear" w:color="auto" w:fill="D2DCE5"/>
          </w:tcPr>
          <w:p>
            <w:pPr>
              <w:jc w:val="right"/>
              <w:ind w:right="37"/>
              <w:spacing w:after="0"/>
              <w:rPr>
                <w:sz w:val="20"/>
                <w:szCs w:val="20"/>
                <w:color w:val="auto"/>
              </w:rPr>
            </w:pPr>
            <w:r>
              <w:rPr>
                <w:rFonts w:ascii="Arial" w:cs="Arial" w:eastAsia="Arial" w:hAnsi="Arial"/>
                <w:sz w:val="13"/>
                <w:szCs w:val="13"/>
                <w:color w:val="131E29"/>
              </w:rPr>
              <w:t>5.5</w:t>
            </w:r>
          </w:p>
        </w:tc>
        <w:tc>
          <w:tcPr>
            <w:tcW w:w="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c>
          <w:tcPr>
            <w:tcW w:w="0" w:type="dxa"/>
            <w:vAlign w:val="bottom"/>
          </w:tcPr>
          <w:p>
            <w:pPr>
              <w:spacing w:after="0"/>
              <w:rPr>
                <w:sz w:val="1"/>
                <w:szCs w:val="1"/>
                <w:color w:val="auto"/>
              </w:rPr>
            </w:pPr>
          </w:p>
        </w:tc>
      </w:tr>
      <w:tr>
        <w:trPr>
          <w:trHeight w:val="184"/>
        </w:trPr>
        <w:tc>
          <w:tcPr>
            <w:tcW w:w="2720" w:type="dxa"/>
            <w:vAlign w:val="bottom"/>
            <w:gridSpan w:val="2"/>
          </w:tcPr>
          <w:p>
            <w:pPr>
              <w:ind w:left="20"/>
              <w:spacing w:after="0"/>
              <w:rPr>
                <w:sz w:val="20"/>
                <w:szCs w:val="20"/>
                <w:color w:val="auto"/>
              </w:rPr>
            </w:pPr>
            <w:r>
              <w:rPr>
                <w:rFonts w:ascii="Arial" w:cs="Arial" w:eastAsia="Arial" w:hAnsi="Arial"/>
                <w:sz w:val="13"/>
                <w:szCs w:val="13"/>
                <w:color w:val="131E29"/>
              </w:rPr>
              <w:t>Franchising and other gross profit</w:t>
            </w:r>
          </w:p>
        </w:tc>
        <w:tc>
          <w:tcPr>
            <w:tcW w:w="240" w:type="dxa"/>
            <w:vAlign w:val="bottom"/>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Pr>
          <w:p>
            <w:pPr>
              <w:jc w:val="right"/>
              <w:ind w:right="95"/>
              <w:spacing w:after="0"/>
              <w:rPr>
                <w:sz w:val="20"/>
                <w:szCs w:val="20"/>
                <w:color w:val="auto"/>
              </w:rPr>
            </w:pPr>
            <w:r>
              <w:rPr>
                <w:rFonts w:ascii="Arial" w:cs="Arial" w:eastAsia="Arial" w:hAnsi="Arial"/>
                <w:sz w:val="13"/>
                <w:szCs w:val="13"/>
                <w:color w:val="131E29"/>
              </w:rPr>
              <w:t>71,061</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Pr>
          <w:p>
            <w:pPr>
              <w:jc w:val="right"/>
              <w:ind w:right="115"/>
              <w:spacing w:after="0"/>
              <w:rPr>
                <w:sz w:val="20"/>
                <w:szCs w:val="20"/>
                <w:color w:val="auto"/>
              </w:rPr>
            </w:pPr>
            <w:r>
              <w:rPr>
                <w:rFonts w:ascii="Arial" w:cs="Arial" w:eastAsia="Arial" w:hAnsi="Arial"/>
                <w:sz w:val="13"/>
                <w:szCs w:val="13"/>
                <w:color w:val="131E29"/>
              </w:rPr>
              <w:t>59,589</w:t>
            </w:r>
          </w:p>
        </w:tc>
        <w:tc>
          <w:tcPr>
            <w:tcW w:w="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131E29"/>
                <w:w w:val="82"/>
              </w:rPr>
              <w:t>$</w:t>
            </w:r>
          </w:p>
        </w:tc>
        <w:tc>
          <w:tcPr>
            <w:tcW w:w="780" w:type="dxa"/>
            <w:vAlign w:val="bottom"/>
          </w:tcPr>
          <w:p>
            <w:pPr>
              <w:jc w:val="right"/>
              <w:spacing w:after="0"/>
              <w:rPr>
                <w:sz w:val="20"/>
                <w:szCs w:val="20"/>
                <w:color w:val="auto"/>
              </w:rPr>
            </w:pPr>
            <w:r>
              <w:rPr>
                <w:rFonts w:ascii="Arial" w:cs="Arial" w:eastAsia="Arial" w:hAnsi="Arial"/>
                <w:sz w:val="13"/>
                <w:szCs w:val="13"/>
                <w:color w:val="131E29"/>
              </w:rPr>
              <w:t>66,602</w:t>
            </w:r>
          </w:p>
        </w:tc>
        <w:tc>
          <w:tcPr>
            <w:tcW w:w="520" w:type="dxa"/>
            <w:vAlign w:val="bottom"/>
            <w:gridSpan w:val="3"/>
          </w:tcPr>
          <w:p>
            <w:pPr>
              <w:jc w:val="right"/>
              <w:ind w:right="240"/>
              <w:spacing w:after="0"/>
              <w:rPr>
                <w:sz w:val="20"/>
                <w:szCs w:val="20"/>
                <w:color w:val="auto"/>
              </w:rPr>
            </w:pPr>
            <w:r>
              <w:rPr>
                <w:rFonts w:ascii="Arial" w:cs="Arial" w:eastAsia="Arial" w:hAnsi="Arial"/>
                <w:sz w:val="13"/>
                <w:szCs w:val="13"/>
                <w:color w:val="131E29"/>
              </w:rPr>
              <w:t>$</w:t>
            </w:r>
          </w:p>
        </w:tc>
        <w:tc>
          <w:tcPr>
            <w:tcW w:w="1400" w:type="dxa"/>
            <w:vAlign w:val="bottom"/>
          </w:tcPr>
          <w:p>
            <w:pPr>
              <w:jc w:val="right"/>
              <w:ind w:right="735"/>
              <w:spacing w:after="0"/>
              <w:rPr>
                <w:sz w:val="20"/>
                <w:szCs w:val="20"/>
                <w:color w:val="auto"/>
              </w:rPr>
            </w:pPr>
            <w:r>
              <w:rPr>
                <w:rFonts w:ascii="Arial" w:cs="Arial" w:eastAsia="Arial" w:hAnsi="Arial"/>
                <w:sz w:val="13"/>
                <w:szCs w:val="13"/>
                <w:color w:val="131E29"/>
              </w:rPr>
              <w:t>11,472</w:t>
            </w:r>
          </w:p>
        </w:tc>
        <w:tc>
          <w:tcPr>
            <w:tcW w:w="420" w:type="dxa"/>
            <w:vAlign w:val="bottom"/>
          </w:tcPr>
          <w:p>
            <w:pPr>
              <w:jc w:val="right"/>
              <w:spacing w:after="0"/>
              <w:rPr>
                <w:sz w:val="20"/>
                <w:szCs w:val="20"/>
                <w:color w:val="auto"/>
              </w:rPr>
            </w:pPr>
            <w:r>
              <w:rPr>
                <w:rFonts w:ascii="Arial" w:cs="Arial" w:eastAsia="Arial" w:hAnsi="Arial"/>
                <w:sz w:val="13"/>
                <w:szCs w:val="13"/>
                <w:color w:val="131E29"/>
              </w:rPr>
              <w:t>19.3</w:t>
            </w:r>
          </w:p>
        </w:tc>
        <w:tc>
          <w:tcPr>
            <w:tcW w:w="260" w:type="dxa"/>
            <w:vAlign w:val="bottom"/>
          </w:tcPr>
          <w:p>
            <w:pPr>
              <w:jc w:val="right"/>
              <w:spacing w:after="0"/>
              <w:rPr>
                <w:sz w:val="20"/>
                <w:szCs w:val="20"/>
                <w:color w:val="auto"/>
              </w:rPr>
            </w:pPr>
            <w:r>
              <w:rPr>
                <w:rFonts w:ascii="Arial" w:cs="Arial" w:eastAsia="Arial" w:hAnsi="Arial"/>
                <w:sz w:val="13"/>
                <w:szCs w:val="13"/>
                <w:color w:val="131E29"/>
              </w:rPr>
              <w:t>%</w:t>
            </w:r>
          </w:p>
        </w:tc>
        <w:tc>
          <w:tcPr>
            <w:tcW w:w="8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131E29"/>
                <w:w w:val="82"/>
              </w:rPr>
              <w:t>$</w:t>
            </w:r>
          </w:p>
        </w:tc>
        <w:tc>
          <w:tcPr>
            <w:tcW w:w="1400" w:type="dxa"/>
            <w:vAlign w:val="bottom"/>
          </w:tcPr>
          <w:p>
            <w:pPr>
              <w:jc w:val="right"/>
              <w:ind w:right="655"/>
              <w:spacing w:after="0"/>
              <w:rPr>
                <w:sz w:val="20"/>
                <w:szCs w:val="20"/>
                <w:color w:val="auto"/>
              </w:rPr>
            </w:pPr>
            <w:r>
              <w:rPr>
                <w:rFonts w:ascii="Arial" w:cs="Arial" w:eastAsia="Arial" w:hAnsi="Arial"/>
                <w:sz w:val="13"/>
                <w:szCs w:val="13"/>
                <w:color w:val="131E29"/>
              </w:rPr>
              <w:t>(7,013)</w:t>
            </w:r>
          </w:p>
        </w:tc>
        <w:tc>
          <w:tcPr>
            <w:tcW w:w="560" w:type="dxa"/>
            <w:vAlign w:val="bottom"/>
          </w:tcPr>
          <w:p>
            <w:pPr>
              <w:jc w:val="right"/>
              <w:spacing w:after="0"/>
              <w:rPr>
                <w:sz w:val="20"/>
                <w:szCs w:val="20"/>
                <w:color w:val="auto"/>
              </w:rPr>
            </w:pPr>
            <w:r>
              <w:rPr>
                <w:rFonts w:ascii="Arial" w:cs="Arial" w:eastAsia="Arial" w:hAnsi="Arial"/>
                <w:sz w:val="13"/>
                <w:szCs w:val="13"/>
                <w:color w:val="131E29"/>
              </w:rPr>
              <w:t>(10.5)</w:t>
            </w:r>
          </w:p>
        </w:tc>
        <w:tc>
          <w:tcPr>
            <w:tcW w:w="200" w:type="dxa"/>
            <w:vAlign w:val="bottom"/>
          </w:tcPr>
          <w:p>
            <w:pPr>
              <w:jc w:val="right"/>
              <w:spacing w:after="0"/>
              <w:rPr>
                <w:sz w:val="20"/>
                <w:szCs w:val="20"/>
                <w:color w:val="auto"/>
              </w:rPr>
            </w:pPr>
            <w:r>
              <w:rPr>
                <w:rFonts w:ascii="Arial" w:cs="Arial" w:eastAsia="Arial" w:hAnsi="Arial"/>
                <w:sz w:val="13"/>
                <w:szCs w:val="13"/>
                <w:color w:val="131E29"/>
              </w:rPr>
              <w:t>%</w:t>
            </w:r>
          </w:p>
        </w:tc>
        <w:tc>
          <w:tcPr>
            <w:tcW w:w="0" w:type="dxa"/>
            <w:vAlign w:val="bottom"/>
          </w:tcPr>
          <w:p>
            <w:pPr>
              <w:spacing w:after="0"/>
              <w:rPr>
                <w:sz w:val="1"/>
                <w:szCs w:val="1"/>
                <w:color w:val="auto"/>
              </w:rPr>
            </w:pPr>
          </w:p>
        </w:tc>
      </w:tr>
      <w:tr>
        <w:trPr>
          <w:trHeight w:val="17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3"/>
                <w:szCs w:val="13"/>
                <w:i w:val="1"/>
                <w:iCs w:val="1"/>
                <w:color w:val="131E29"/>
              </w:rPr>
              <w:t>As a percentage of franchising and other</w:t>
            </w:r>
          </w:p>
        </w:tc>
        <w:tc>
          <w:tcPr>
            <w:tcW w:w="240" w:type="dxa"/>
            <w:vAlign w:val="bottom"/>
            <w:shd w:val="clear" w:color="auto" w:fill="D2DCE5"/>
          </w:tcPr>
          <w:p>
            <w:pPr>
              <w:spacing w:after="0"/>
              <w:rPr>
                <w:sz w:val="15"/>
                <w:szCs w:val="15"/>
                <w:color w:val="auto"/>
              </w:rPr>
            </w:pPr>
          </w:p>
        </w:tc>
        <w:tc>
          <w:tcPr>
            <w:tcW w:w="840" w:type="dxa"/>
            <w:vAlign w:val="bottom"/>
            <w:vMerge w:val="restart"/>
            <w:shd w:val="clear" w:color="auto" w:fill="D2DCE5"/>
          </w:tcPr>
          <w:p>
            <w:pPr>
              <w:jc w:val="right"/>
              <w:spacing w:after="0"/>
              <w:rPr>
                <w:sz w:val="20"/>
                <w:szCs w:val="20"/>
                <w:color w:val="auto"/>
              </w:rPr>
            </w:pPr>
            <w:r>
              <w:rPr>
                <w:rFonts w:ascii="Arial" w:cs="Arial" w:eastAsia="Arial" w:hAnsi="Arial"/>
                <w:sz w:val="13"/>
                <w:szCs w:val="13"/>
                <w:color w:val="131E29"/>
              </w:rPr>
              <w:t>65.9 %</w:t>
            </w: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40" w:type="dxa"/>
            <w:vAlign w:val="bottom"/>
            <w:vMerge w:val="restart"/>
            <w:shd w:val="clear" w:color="auto" w:fill="D2DCE5"/>
          </w:tcPr>
          <w:p>
            <w:pPr>
              <w:jc w:val="right"/>
              <w:spacing w:after="0"/>
              <w:rPr>
                <w:sz w:val="20"/>
                <w:szCs w:val="20"/>
                <w:color w:val="auto"/>
              </w:rPr>
            </w:pPr>
            <w:r>
              <w:rPr>
                <w:rFonts w:ascii="Arial" w:cs="Arial" w:eastAsia="Arial" w:hAnsi="Arial"/>
                <w:sz w:val="13"/>
                <w:szCs w:val="13"/>
                <w:color w:val="131E29"/>
              </w:rPr>
              <w:t>60.0 %</w:t>
            </w: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00" w:type="dxa"/>
            <w:vAlign w:val="bottom"/>
            <w:gridSpan w:val="2"/>
            <w:vMerge w:val="restart"/>
            <w:shd w:val="clear" w:color="auto" w:fill="D2DCE5"/>
          </w:tcPr>
          <w:p>
            <w:pPr>
              <w:jc w:val="right"/>
              <w:spacing w:after="0"/>
              <w:rPr>
                <w:sz w:val="20"/>
                <w:szCs w:val="20"/>
                <w:color w:val="auto"/>
              </w:rPr>
            </w:pPr>
            <w:r>
              <w:rPr>
                <w:rFonts w:ascii="Arial" w:cs="Arial" w:eastAsia="Arial" w:hAnsi="Arial"/>
                <w:sz w:val="13"/>
                <w:szCs w:val="13"/>
                <w:color w:val="131E29"/>
              </w:rPr>
              <w:t>70.8 %</w:t>
            </w: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400" w:type="dxa"/>
            <w:vAlign w:val="bottom"/>
            <w:vMerge w:val="restart"/>
            <w:shd w:val="clear" w:color="auto" w:fill="D2DCE5"/>
          </w:tcPr>
          <w:p>
            <w:pPr>
              <w:jc w:val="right"/>
              <w:ind w:right="695"/>
              <w:spacing w:after="0"/>
              <w:rPr>
                <w:sz w:val="20"/>
                <w:szCs w:val="20"/>
                <w:color w:val="auto"/>
              </w:rPr>
            </w:pPr>
            <w:r>
              <w:rPr>
                <w:rFonts w:ascii="Arial" w:cs="Arial" w:eastAsia="Arial" w:hAnsi="Arial"/>
                <w:sz w:val="13"/>
                <w:szCs w:val="13"/>
                <w:color w:val="131E29"/>
              </w:rPr>
              <w:t>N/A</w:t>
            </w:r>
          </w:p>
        </w:tc>
        <w:tc>
          <w:tcPr>
            <w:tcW w:w="420" w:type="dxa"/>
            <w:vAlign w:val="bottom"/>
            <w:vMerge w:val="restart"/>
            <w:shd w:val="clear" w:color="auto" w:fill="D2DCE5"/>
          </w:tcPr>
          <w:p>
            <w:pPr>
              <w:jc w:val="right"/>
              <w:spacing w:after="0"/>
              <w:rPr>
                <w:sz w:val="20"/>
                <w:szCs w:val="20"/>
                <w:color w:val="auto"/>
              </w:rPr>
            </w:pPr>
            <w:r>
              <w:rPr>
                <w:rFonts w:ascii="Arial" w:cs="Arial" w:eastAsia="Arial" w:hAnsi="Arial"/>
                <w:sz w:val="13"/>
                <w:szCs w:val="13"/>
                <w:color w:val="131E29"/>
              </w:rPr>
              <w:t>590</w:t>
            </w:r>
          </w:p>
        </w:tc>
        <w:tc>
          <w:tcPr>
            <w:tcW w:w="3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3"/>
                <w:szCs w:val="13"/>
                <w:color w:val="131E29"/>
              </w:rPr>
              <w:t>bps</w:t>
            </w:r>
          </w:p>
        </w:tc>
        <w:tc>
          <w:tcPr>
            <w:tcW w:w="360" w:type="dxa"/>
            <w:vAlign w:val="bottom"/>
            <w:shd w:val="clear" w:color="auto" w:fill="D2DCE5"/>
          </w:tcPr>
          <w:p>
            <w:pPr>
              <w:spacing w:after="0"/>
              <w:rPr>
                <w:sz w:val="15"/>
                <w:szCs w:val="15"/>
                <w:color w:val="auto"/>
              </w:rPr>
            </w:pPr>
          </w:p>
        </w:tc>
        <w:tc>
          <w:tcPr>
            <w:tcW w:w="1400" w:type="dxa"/>
            <w:vAlign w:val="bottom"/>
            <w:vMerge w:val="restart"/>
            <w:shd w:val="clear" w:color="auto" w:fill="D2DCE5"/>
          </w:tcPr>
          <w:p>
            <w:pPr>
              <w:ind w:left="460"/>
              <w:spacing w:after="0"/>
              <w:rPr>
                <w:sz w:val="20"/>
                <w:szCs w:val="20"/>
                <w:color w:val="auto"/>
              </w:rPr>
            </w:pPr>
            <w:r>
              <w:rPr>
                <w:rFonts w:ascii="Arial" w:cs="Arial" w:eastAsia="Arial" w:hAnsi="Arial"/>
                <w:sz w:val="13"/>
                <w:szCs w:val="13"/>
                <w:color w:val="131E29"/>
              </w:rPr>
              <w:t>N/A</w:t>
            </w:r>
          </w:p>
        </w:tc>
        <w:tc>
          <w:tcPr>
            <w:tcW w:w="760" w:type="dxa"/>
            <w:vAlign w:val="bottom"/>
            <w:gridSpan w:val="2"/>
            <w:vMerge w:val="restart"/>
            <w:shd w:val="clear" w:color="auto" w:fill="D2DCE5"/>
          </w:tcPr>
          <w:p>
            <w:pPr>
              <w:jc w:val="right"/>
              <w:spacing w:after="0"/>
              <w:rPr>
                <w:sz w:val="20"/>
                <w:szCs w:val="20"/>
                <w:color w:val="auto"/>
              </w:rPr>
            </w:pPr>
            <w:r>
              <w:rPr>
                <w:rFonts w:ascii="Arial" w:cs="Arial" w:eastAsia="Arial" w:hAnsi="Arial"/>
                <w:sz w:val="13"/>
                <w:szCs w:val="13"/>
                <w:color w:val="131E29"/>
              </w:rPr>
              <w:t>(1,080) bps</w:t>
            </w:r>
          </w:p>
        </w:tc>
        <w:tc>
          <w:tcPr>
            <w:tcW w:w="0" w:type="dxa"/>
            <w:vAlign w:val="bottom"/>
          </w:tcPr>
          <w:p>
            <w:pPr>
              <w:spacing w:after="0"/>
              <w:rPr>
                <w:sz w:val="1"/>
                <w:szCs w:val="1"/>
                <w:color w:val="auto"/>
              </w:rPr>
            </w:pPr>
          </w:p>
        </w:tc>
      </w:tr>
      <w:tr>
        <w:trPr>
          <w:trHeight w:val="17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3"/>
                <w:szCs w:val="13"/>
                <w:i w:val="1"/>
                <w:iCs w:val="1"/>
                <w:color w:val="131E29"/>
              </w:rPr>
              <w:t>revenue</w:t>
            </w:r>
          </w:p>
        </w:tc>
        <w:tc>
          <w:tcPr>
            <w:tcW w:w="240" w:type="dxa"/>
            <w:vAlign w:val="bottom"/>
            <w:shd w:val="clear" w:color="auto" w:fill="D2DCE5"/>
          </w:tcPr>
          <w:p>
            <w:pPr>
              <w:spacing w:after="0"/>
              <w:rPr>
                <w:sz w:val="15"/>
                <w:szCs w:val="15"/>
                <w:color w:val="auto"/>
              </w:rPr>
            </w:pPr>
          </w:p>
        </w:tc>
        <w:tc>
          <w:tcPr>
            <w:tcW w:w="840" w:type="dxa"/>
            <w:vAlign w:val="bottom"/>
            <w:vMerge w:val="continue"/>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40" w:type="dxa"/>
            <w:vAlign w:val="bottom"/>
            <w:vMerge w:val="continue"/>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00" w:type="dxa"/>
            <w:vAlign w:val="bottom"/>
            <w:gridSpan w:val="2"/>
            <w:vMerge w:val="continue"/>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400" w:type="dxa"/>
            <w:vAlign w:val="bottom"/>
            <w:vMerge w:val="continue"/>
            <w:shd w:val="clear" w:color="auto" w:fill="D2DCE5"/>
          </w:tcPr>
          <w:p>
            <w:pPr>
              <w:spacing w:after="0"/>
              <w:rPr>
                <w:sz w:val="15"/>
                <w:szCs w:val="15"/>
                <w:color w:val="auto"/>
              </w:rPr>
            </w:pPr>
          </w:p>
        </w:tc>
        <w:tc>
          <w:tcPr>
            <w:tcW w:w="420" w:type="dxa"/>
            <w:vAlign w:val="bottom"/>
            <w:vMerge w:val="continue"/>
            <w:shd w:val="clear" w:color="auto" w:fill="D2DCE5"/>
          </w:tcPr>
          <w:p>
            <w:pPr>
              <w:spacing w:after="0"/>
              <w:rPr>
                <w:sz w:val="15"/>
                <w:szCs w:val="15"/>
                <w:color w:val="auto"/>
              </w:rPr>
            </w:pPr>
          </w:p>
        </w:tc>
        <w:tc>
          <w:tcPr>
            <w:tcW w:w="340" w:type="dxa"/>
            <w:vAlign w:val="bottom"/>
            <w:gridSpan w:val="2"/>
            <w:vMerge w:val="continue"/>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1400" w:type="dxa"/>
            <w:vAlign w:val="bottom"/>
            <w:vMerge w:val="continue"/>
            <w:shd w:val="clear" w:color="auto" w:fill="D2DCE5"/>
          </w:tcPr>
          <w:p>
            <w:pPr>
              <w:spacing w:after="0"/>
              <w:rPr>
                <w:sz w:val="15"/>
                <w:szCs w:val="15"/>
                <w:color w:val="auto"/>
              </w:rPr>
            </w:pPr>
          </w:p>
        </w:tc>
        <w:tc>
          <w:tcPr>
            <w:tcW w:w="760" w:type="dxa"/>
            <w:vAlign w:val="bottom"/>
            <w:gridSpan w:val="2"/>
            <w:vMerge w:val="continue"/>
            <w:shd w:val="clear" w:color="auto" w:fill="D2DCE5"/>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Franchising and other gross profit impacts for the year-over-year comparison, presented in dollars, were driven by the following:</w:t>
      </w:r>
    </w:p>
    <w:p>
      <w:pPr>
        <w:spacing w:after="0" w:line="143" w:lineRule="exact"/>
        <w:rPr>
          <w:sz w:val="20"/>
          <w:szCs w:val="20"/>
          <w:color w:val="auto"/>
        </w:rPr>
      </w:pPr>
    </w:p>
    <w:p>
      <w:pPr>
        <w:ind w:left="300" w:hanging="295"/>
        <w:spacing w:after="0"/>
        <w:tabs>
          <w:tab w:leader="none" w:pos="300" w:val="left"/>
        </w:tabs>
        <w:numPr>
          <w:ilvl w:val="0"/>
          <w:numId w:val="51"/>
        </w:numPr>
        <w:rPr>
          <w:rFonts w:ascii="Arial" w:cs="Arial" w:eastAsia="Arial" w:hAnsi="Arial"/>
          <w:sz w:val="17"/>
          <w:szCs w:val="17"/>
          <w:b w:val="1"/>
          <w:bCs w:val="1"/>
          <w:color w:val="006098"/>
        </w:rPr>
      </w:pPr>
      <w:r>
        <w:rPr>
          <w:rFonts w:ascii="Arial" w:cs="Arial" w:eastAsia="Arial" w:hAnsi="Arial"/>
          <w:sz w:val="14"/>
          <w:szCs w:val="14"/>
          <w:color w:val="131E29"/>
        </w:rPr>
        <w:t>$6.0 million primarily from products sold to franchisees, net of costs and adjustments.</w:t>
      </w:r>
    </w:p>
    <w:p>
      <w:pPr>
        <w:spacing w:after="0" w:line="132" w:lineRule="exact"/>
        <w:rPr>
          <w:rFonts w:ascii="Arial" w:cs="Arial" w:eastAsia="Arial" w:hAnsi="Arial"/>
          <w:sz w:val="17"/>
          <w:szCs w:val="17"/>
          <w:b w:val="1"/>
          <w:bCs w:val="1"/>
          <w:color w:val="006098"/>
        </w:rPr>
      </w:pPr>
    </w:p>
    <w:p>
      <w:pPr>
        <w:ind w:left="300" w:hanging="295"/>
        <w:spacing w:after="0"/>
        <w:tabs>
          <w:tab w:leader="none" w:pos="300" w:val="left"/>
        </w:tabs>
        <w:numPr>
          <w:ilvl w:val="0"/>
          <w:numId w:val="51"/>
        </w:numPr>
        <w:rPr>
          <w:rFonts w:ascii="Arial" w:cs="Arial" w:eastAsia="Arial" w:hAnsi="Arial"/>
          <w:sz w:val="17"/>
          <w:szCs w:val="17"/>
          <w:b w:val="1"/>
          <w:bCs w:val="1"/>
          <w:color w:val="006098"/>
        </w:rPr>
      </w:pPr>
      <w:r>
        <w:rPr>
          <w:rFonts w:ascii="Arial" w:cs="Arial" w:eastAsia="Arial" w:hAnsi="Arial"/>
          <w:sz w:val="14"/>
          <w:szCs w:val="14"/>
          <w:color w:val="131E29"/>
        </w:rPr>
        <w:t xml:space="preserve">$3.1 million </w:t>
      </w:r>
      <w:r>
        <w:rPr>
          <w:rFonts w:ascii="Arial" w:cs="Arial" w:eastAsia="Arial" w:hAnsi="Arial"/>
          <w:sz w:val="14"/>
          <w:szCs w:val="14"/>
          <w:color w:val="000000"/>
        </w:rPr>
        <w:t>from shop weeks, driven by shop openings during the period.</w:t>
      </w:r>
    </w:p>
    <w:p>
      <w:pPr>
        <w:spacing w:after="0" w:line="132" w:lineRule="exact"/>
        <w:rPr>
          <w:rFonts w:ascii="Arial" w:cs="Arial" w:eastAsia="Arial" w:hAnsi="Arial"/>
          <w:sz w:val="17"/>
          <w:szCs w:val="17"/>
          <w:b w:val="1"/>
          <w:bCs w:val="1"/>
          <w:color w:val="006098"/>
        </w:rPr>
      </w:pPr>
    </w:p>
    <w:p>
      <w:pPr>
        <w:ind w:left="300" w:hanging="295"/>
        <w:spacing w:after="0"/>
        <w:tabs>
          <w:tab w:leader="none" w:pos="300" w:val="left"/>
        </w:tabs>
        <w:numPr>
          <w:ilvl w:val="0"/>
          <w:numId w:val="51"/>
        </w:numPr>
        <w:rPr>
          <w:rFonts w:ascii="Arial" w:cs="Arial" w:eastAsia="Arial" w:hAnsi="Arial"/>
          <w:sz w:val="17"/>
          <w:szCs w:val="17"/>
          <w:b w:val="1"/>
          <w:bCs w:val="1"/>
          <w:color w:val="006098"/>
        </w:rPr>
      </w:pPr>
      <w:r>
        <w:rPr>
          <w:rFonts w:ascii="Arial" w:cs="Arial" w:eastAsia="Arial" w:hAnsi="Arial"/>
          <w:sz w:val="14"/>
          <w:szCs w:val="14"/>
          <w:color w:val="131E29"/>
        </w:rPr>
        <w:t>$2.4 million from same shop sales.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Selling, 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131E29"/>
              </w:rPr>
              <w:t>Year Ended December 31,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2"/>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34"/>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14"/>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920" w:type="dxa"/>
            <w:vAlign w:val="bottom"/>
            <w:tcBorders>
              <w:bottom w:val="single" w:sz="8" w:color="131E29"/>
            </w:tcBorders>
          </w:tcPr>
          <w:p>
            <w:pPr>
              <w:jc w:val="right"/>
              <w:ind w:right="373"/>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320" w:type="dxa"/>
            <w:vAlign w:val="bottom"/>
            <w:tcBorders>
              <w:bottom w:val="single" w:sz="8" w:color="131E29"/>
            </w:tcBorders>
          </w:tcPr>
          <w:p>
            <w:pPr>
              <w:jc w:val="right"/>
              <w:ind w:right="74"/>
              <w:spacing w:after="0"/>
              <w:rPr>
                <w:sz w:val="20"/>
                <w:szCs w:val="20"/>
                <w:color w:val="auto"/>
              </w:rPr>
            </w:pPr>
            <w:r>
              <w:rPr>
                <w:rFonts w:ascii="Arial" w:cs="Arial" w:eastAsia="Arial" w:hAnsi="Arial"/>
                <w:sz w:val="14"/>
                <w:szCs w:val="14"/>
                <w:b w:val="1"/>
                <w:bCs w:val="1"/>
                <w:color w:val="131E29"/>
              </w:rPr>
              <w:t>2023 v. 2022</w:t>
            </w:r>
          </w:p>
        </w:tc>
        <w:tc>
          <w:tcPr>
            <w:tcW w:w="5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2020" w:type="dxa"/>
            <w:vAlign w:val="bottom"/>
            <w:tcBorders>
              <w:bottom w:val="single" w:sz="8" w:color="131E29"/>
            </w:tcBorders>
            <w:gridSpan w:val="2"/>
          </w:tcPr>
          <w:p>
            <w:pPr>
              <w:ind w:left="500"/>
              <w:spacing w:after="0"/>
              <w:rPr>
                <w:sz w:val="20"/>
                <w:szCs w:val="20"/>
                <w:color w:val="auto"/>
              </w:rPr>
            </w:pPr>
            <w:r>
              <w:rPr>
                <w:rFonts w:ascii="Arial" w:cs="Arial" w:eastAsia="Arial" w:hAnsi="Arial"/>
                <w:sz w:val="14"/>
                <w:szCs w:val="14"/>
                <w:b w:val="1"/>
                <w:bCs w:val="1"/>
                <w:color w:val="131E29"/>
              </w:rPr>
              <w:t>2022 v 2021</w:t>
            </w:r>
          </w:p>
        </w:tc>
      </w:tr>
      <w:tr>
        <w:trPr>
          <w:trHeight w:val="187"/>
        </w:trPr>
        <w:tc>
          <w:tcPr>
            <w:tcW w:w="31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Selling, General and Administrative</w:t>
            </w: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60" w:type="dxa"/>
            <w:vAlign w:val="bottom"/>
            <w:shd w:val="clear" w:color="auto" w:fill="D2DCE5"/>
          </w:tcPr>
          <w:p>
            <w:pPr>
              <w:jc w:val="right"/>
              <w:ind w:right="94"/>
              <w:spacing w:after="0"/>
              <w:rPr>
                <w:sz w:val="20"/>
                <w:szCs w:val="20"/>
                <w:color w:val="auto"/>
              </w:rPr>
            </w:pPr>
            <w:r>
              <w:rPr>
                <w:rFonts w:ascii="Arial" w:cs="Arial" w:eastAsia="Arial" w:hAnsi="Arial"/>
                <w:sz w:val="13"/>
                <w:szCs w:val="13"/>
                <w:color w:val="131E29"/>
              </w:rPr>
              <w:t>205,074</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77"/>
              <w:spacing w:after="0"/>
              <w:rPr>
                <w:sz w:val="20"/>
                <w:szCs w:val="20"/>
                <w:color w:val="auto"/>
              </w:rPr>
            </w:pPr>
            <w:r>
              <w:rPr>
                <w:rFonts w:ascii="Arial" w:cs="Arial" w:eastAsia="Arial" w:hAnsi="Arial"/>
                <w:sz w:val="13"/>
                <w:szCs w:val="13"/>
                <w:color w:val="131E29"/>
              </w:rPr>
              <w:t>$</w:t>
            </w:r>
          </w:p>
        </w:tc>
        <w:tc>
          <w:tcPr>
            <w:tcW w:w="860" w:type="dxa"/>
            <w:vAlign w:val="bottom"/>
            <w:shd w:val="clear" w:color="auto" w:fill="D2DCE5"/>
          </w:tcPr>
          <w:p>
            <w:pPr>
              <w:jc w:val="right"/>
              <w:ind w:right="94"/>
              <w:spacing w:after="0"/>
              <w:rPr>
                <w:sz w:val="20"/>
                <w:szCs w:val="20"/>
                <w:color w:val="auto"/>
              </w:rPr>
            </w:pPr>
            <w:r>
              <w:rPr>
                <w:rFonts w:ascii="Arial" w:cs="Arial" w:eastAsia="Arial" w:hAnsi="Arial"/>
                <w:sz w:val="13"/>
                <w:szCs w:val="13"/>
                <w:color w:val="131E29"/>
              </w:rPr>
              <w:t>183,528</w:t>
            </w: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jc w:val="right"/>
              <w:ind w:right="117"/>
              <w:spacing w:after="0"/>
              <w:rPr>
                <w:sz w:val="20"/>
                <w:szCs w:val="20"/>
                <w:color w:val="auto"/>
              </w:rPr>
            </w:pPr>
            <w:r>
              <w:rPr>
                <w:rFonts w:ascii="Arial" w:cs="Arial" w:eastAsia="Arial" w:hAnsi="Arial"/>
                <w:sz w:val="13"/>
                <w:szCs w:val="13"/>
                <w:color w:val="131E29"/>
              </w:rPr>
              <w:t>$</w:t>
            </w:r>
          </w:p>
        </w:tc>
        <w:tc>
          <w:tcPr>
            <w:tcW w:w="920" w:type="dxa"/>
            <w:vAlign w:val="bottom"/>
            <w:shd w:val="clear" w:color="auto" w:fill="D2DCE5"/>
          </w:tcPr>
          <w:p>
            <w:pPr>
              <w:jc w:val="right"/>
              <w:ind w:right="93"/>
              <w:spacing w:after="0"/>
              <w:rPr>
                <w:sz w:val="20"/>
                <w:szCs w:val="20"/>
                <w:color w:val="auto"/>
              </w:rPr>
            </w:pPr>
            <w:r>
              <w:rPr>
                <w:rFonts w:ascii="Arial" w:cs="Arial" w:eastAsia="Arial" w:hAnsi="Arial"/>
                <w:sz w:val="13"/>
                <w:szCs w:val="13"/>
                <w:color w:val="131E29"/>
              </w:rPr>
              <w:t>264,529</w:t>
            </w: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jc w:val="right"/>
              <w:ind w:right="157"/>
              <w:spacing w:after="0"/>
              <w:rPr>
                <w:sz w:val="20"/>
                <w:szCs w:val="20"/>
                <w:color w:val="auto"/>
              </w:rPr>
            </w:pPr>
            <w:r>
              <w:rPr>
                <w:rFonts w:ascii="Arial" w:cs="Arial" w:eastAsia="Arial" w:hAnsi="Arial"/>
                <w:sz w:val="13"/>
                <w:szCs w:val="13"/>
                <w:color w:val="131E29"/>
              </w:rPr>
              <w:t>$</w:t>
            </w:r>
          </w:p>
        </w:tc>
        <w:tc>
          <w:tcPr>
            <w:tcW w:w="1320" w:type="dxa"/>
            <w:vAlign w:val="bottom"/>
            <w:shd w:val="clear" w:color="auto" w:fill="D2DCE5"/>
          </w:tcPr>
          <w:p>
            <w:pPr>
              <w:jc w:val="right"/>
              <w:ind w:right="634"/>
              <w:spacing w:after="0"/>
              <w:rPr>
                <w:sz w:val="20"/>
                <w:szCs w:val="20"/>
                <w:color w:val="auto"/>
              </w:rPr>
            </w:pPr>
            <w:r>
              <w:rPr>
                <w:rFonts w:ascii="Arial" w:cs="Arial" w:eastAsia="Arial" w:hAnsi="Arial"/>
                <w:sz w:val="13"/>
                <w:szCs w:val="13"/>
                <w:color w:val="131E29"/>
              </w:rPr>
              <w:t>21,546</w:t>
            </w:r>
          </w:p>
        </w:tc>
        <w:tc>
          <w:tcPr>
            <w:tcW w:w="5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11.7 %</w:t>
            </w: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jc w:val="right"/>
              <w:ind w:right="117"/>
              <w:spacing w:after="0"/>
              <w:rPr>
                <w:sz w:val="20"/>
                <w:szCs w:val="20"/>
                <w:color w:val="auto"/>
              </w:rPr>
            </w:pPr>
            <w:r>
              <w:rPr>
                <w:rFonts w:ascii="Arial" w:cs="Arial" w:eastAsia="Arial" w:hAnsi="Arial"/>
                <w:sz w:val="13"/>
                <w:szCs w:val="13"/>
                <w:color w:val="131E29"/>
                <w:w w:val="82"/>
              </w:rPr>
              <w:t>$</w:t>
            </w:r>
          </w:p>
        </w:tc>
        <w:tc>
          <w:tcPr>
            <w:tcW w:w="1040" w:type="dxa"/>
            <w:vAlign w:val="bottom"/>
            <w:shd w:val="clear" w:color="auto" w:fill="D2DCE5"/>
          </w:tcPr>
          <w:p>
            <w:pPr>
              <w:jc w:val="right"/>
              <w:ind w:right="154"/>
              <w:spacing w:after="0"/>
              <w:rPr>
                <w:sz w:val="20"/>
                <w:szCs w:val="20"/>
                <w:color w:val="auto"/>
              </w:rPr>
            </w:pPr>
            <w:r>
              <w:rPr>
                <w:rFonts w:ascii="Arial" w:cs="Arial" w:eastAsia="Arial" w:hAnsi="Arial"/>
                <w:sz w:val="13"/>
                <w:szCs w:val="13"/>
                <w:color w:val="131E29"/>
              </w:rPr>
              <w:t>(81,001)</w:t>
            </w:r>
          </w:p>
        </w:tc>
        <w:tc>
          <w:tcPr>
            <w:tcW w:w="980" w:type="dxa"/>
            <w:vAlign w:val="bottom"/>
            <w:shd w:val="clear" w:color="auto" w:fill="D2DCE5"/>
          </w:tcPr>
          <w:p>
            <w:pPr>
              <w:jc w:val="right"/>
              <w:ind w:right="257"/>
              <w:spacing w:after="0"/>
              <w:rPr>
                <w:sz w:val="20"/>
                <w:szCs w:val="20"/>
                <w:color w:val="auto"/>
              </w:rPr>
            </w:pPr>
            <w:r>
              <w:rPr>
                <w:rFonts w:ascii="Arial" w:cs="Arial" w:eastAsia="Arial" w:hAnsi="Arial"/>
                <w:sz w:val="13"/>
                <w:szCs w:val="13"/>
                <w:color w:val="131E29"/>
              </w:rPr>
              <w:t>(30.6)%</w:t>
            </w:r>
          </w:p>
        </w:tc>
      </w:tr>
      <w:tr>
        <w:trPr>
          <w:trHeight w:val="177"/>
        </w:trPr>
        <w:tc>
          <w:tcPr>
            <w:tcW w:w="310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total revenues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21.2 %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24.8 %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53.1 %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594"/>
              <w:spacing w:after="0"/>
              <w:rPr>
                <w:sz w:val="20"/>
                <w:szCs w:val="20"/>
                <w:color w:val="auto"/>
              </w:rPr>
            </w:pPr>
            <w:r>
              <w:rPr>
                <w:rFonts w:ascii="Arial" w:cs="Arial" w:eastAsia="Arial" w:hAnsi="Arial"/>
                <w:sz w:val="13"/>
                <w:szCs w:val="13"/>
                <w:color w:val="131E29"/>
              </w:rPr>
              <w:t>N/A</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131E29"/>
              </w:rPr>
              <w:t>N/M</w:t>
            </w:r>
          </w:p>
        </w:tc>
        <w:tc>
          <w:tcPr>
            <w:tcW w:w="260" w:type="dxa"/>
            <w:vAlign w:val="bottom"/>
          </w:tcPr>
          <w:p>
            <w:pPr>
              <w:spacing w:after="0"/>
              <w:rPr>
                <w:sz w:val="15"/>
                <w:szCs w:val="15"/>
                <w:color w:val="auto"/>
              </w:rPr>
            </w:pPr>
          </w:p>
        </w:tc>
        <w:tc>
          <w:tcPr>
            <w:tcW w:w="1040" w:type="dxa"/>
            <w:vAlign w:val="bottom"/>
          </w:tcPr>
          <w:p>
            <w:pPr>
              <w:jc w:val="right"/>
              <w:ind w:right="574"/>
              <w:spacing w:after="0"/>
              <w:rPr>
                <w:sz w:val="20"/>
                <w:szCs w:val="20"/>
                <w:color w:val="auto"/>
              </w:rPr>
            </w:pPr>
            <w:r>
              <w:rPr>
                <w:rFonts w:ascii="Arial" w:cs="Arial" w:eastAsia="Arial" w:hAnsi="Arial"/>
                <w:sz w:val="13"/>
                <w:szCs w:val="13"/>
                <w:color w:val="131E29"/>
              </w:rPr>
              <w:t>N/A</w:t>
            </w:r>
          </w:p>
        </w:tc>
        <w:tc>
          <w:tcPr>
            <w:tcW w:w="980" w:type="dxa"/>
            <w:vAlign w:val="bottom"/>
          </w:tcPr>
          <w:p>
            <w:pPr>
              <w:jc w:val="center"/>
              <w:ind w:right="37"/>
              <w:spacing w:after="0"/>
              <w:rPr>
                <w:sz w:val="20"/>
                <w:szCs w:val="20"/>
                <w:color w:val="auto"/>
              </w:rPr>
            </w:pPr>
            <w:r>
              <w:rPr>
                <w:rFonts w:ascii="Arial" w:cs="Arial" w:eastAsia="Arial" w:hAnsi="Arial"/>
                <w:sz w:val="13"/>
                <w:szCs w:val="13"/>
                <w:color w:val="131E29"/>
              </w:rPr>
              <w:t>N/M</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The selling, general, and administrative impacts for the year-over-year comparison, presented in dollars and basis points (as a percentage of current year total revenues), were driven by the following:</w:t>
      </w:r>
    </w:p>
    <w:p>
      <w:pPr>
        <w:spacing w:after="0" w:line="115" w:lineRule="exact"/>
        <w:rPr>
          <w:sz w:val="20"/>
          <w:szCs w:val="20"/>
          <w:color w:val="auto"/>
        </w:rPr>
      </w:pPr>
    </w:p>
    <w:p>
      <w:pPr>
        <w:ind w:left="300" w:hanging="295"/>
        <w:spacing w:after="0"/>
        <w:tabs>
          <w:tab w:leader="none" w:pos="300" w:val="left"/>
        </w:tabs>
        <w:numPr>
          <w:ilvl w:val="0"/>
          <w:numId w:val="52"/>
        </w:numPr>
        <w:rPr>
          <w:rFonts w:ascii="Arial" w:cs="Arial" w:eastAsia="Arial" w:hAnsi="Arial"/>
          <w:sz w:val="17"/>
          <w:szCs w:val="17"/>
          <w:b w:val="1"/>
          <w:bCs w:val="1"/>
          <w:color w:val="006098"/>
        </w:rPr>
      </w:pPr>
      <w:r>
        <w:rPr>
          <w:rFonts w:ascii="Arial" w:cs="Arial" w:eastAsia="Arial" w:hAnsi="Arial"/>
          <w:sz w:val="14"/>
          <w:szCs w:val="14"/>
          <w:color w:val="131E29"/>
        </w:rPr>
        <w:t>$20.6 million from investments in human capital, processes, and systems to support our revenue growth.</w:t>
      </w:r>
    </w:p>
    <w:p>
      <w:pPr>
        <w:spacing w:after="0" w:line="132" w:lineRule="exact"/>
        <w:rPr>
          <w:rFonts w:ascii="Arial" w:cs="Arial" w:eastAsia="Arial" w:hAnsi="Arial"/>
          <w:sz w:val="17"/>
          <w:szCs w:val="17"/>
          <w:b w:val="1"/>
          <w:bCs w:val="1"/>
          <w:color w:val="006098"/>
        </w:rPr>
      </w:pPr>
    </w:p>
    <w:p>
      <w:pPr>
        <w:ind w:left="300" w:hanging="295"/>
        <w:spacing w:after="0"/>
        <w:tabs>
          <w:tab w:leader="none" w:pos="300" w:val="left"/>
        </w:tabs>
        <w:numPr>
          <w:ilvl w:val="0"/>
          <w:numId w:val="52"/>
        </w:numPr>
        <w:rPr>
          <w:rFonts w:ascii="Arial" w:cs="Arial" w:eastAsia="Arial" w:hAnsi="Arial"/>
          <w:sz w:val="17"/>
          <w:szCs w:val="17"/>
          <w:b w:val="1"/>
          <w:bCs w:val="1"/>
          <w:color w:val="006098"/>
        </w:rPr>
      </w:pPr>
      <w:r>
        <w:rPr>
          <w:rFonts w:ascii="Arial" w:cs="Arial" w:eastAsia="Arial" w:hAnsi="Arial"/>
          <w:sz w:val="14"/>
          <w:szCs w:val="14"/>
          <w:color w:val="131E29"/>
        </w:rPr>
        <w:t>$2.2 million or 20 bps in consulting fees related to our long-term growth strategy and associated changes to our organizational structure to support growth.</w:t>
      </w:r>
    </w:p>
    <w:p>
      <w:pPr>
        <w:spacing w:after="0" w:line="142" w:lineRule="exact"/>
        <w:rPr>
          <w:rFonts w:ascii="Arial" w:cs="Arial" w:eastAsia="Arial" w:hAnsi="Arial"/>
          <w:sz w:val="17"/>
          <w:szCs w:val="17"/>
          <w:b w:val="1"/>
          <w:bCs w:val="1"/>
          <w:color w:val="006098"/>
        </w:rPr>
      </w:pPr>
    </w:p>
    <w:p>
      <w:pPr>
        <w:ind w:left="300" w:hanging="295"/>
        <w:spacing w:after="0"/>
        <w:tabs>
          <w:tab w:leader="none" w:pos="300" w:val="left"/>
        </w:tabs>
        <w:numPr>
          <w:ilvl w:val="0"/>
          <w:numId w:val="52"/>
        </w:numPr>
        <w:rPr>
          <w:rFonts w:ascii="Arial" w:cs="Arial" w:eastAsia="Arial" w:hAnsi="Arial"/>
          <w:sz w:val="17"/>
          <w:szCs w:val="17"/>
          <w:b w:val="1"/>
          <w:bCs w:val="1"/>
          <w:color w:val="006098"/>
        </w:rPr>
      </w:pPr>
      <w:r>
        <w:rPr>
          <w:rFonts w:ascii="Arial" w:cs="Arial" w:eastAsia="Arial" w:hAnsi="Arial"/>
          <w:sz w:val="14"/>
          <w:szCs w:val="14"/>
          <w:color w:val="131E29"/>
        </w:rPr>
        <w:t>$2.0 million or 20 bps in estimated expense for certain legal disputes.</w:t>
      </w:r>
    </w:p>
    <w:p>
      <w:pPr>
        <w:spacing w:after="0" w:line="142" w:lineRule="exact"/>
        <w:rPr>
          <w:sz w:val="20"/>
          <w:szCs w:val="20"/>
          <w:color w:val="auto"/>
        </w:rPr>
      </w:pPr>
    </w:p>
    <w:p>
      <w:pPr>
        <w:ind w:left="260" w:hanging="255"/>
        <w:spacing w:after="0" w:line="238" w:lineRule="auto"/>
        <w:tabs>
          <w:tab w:leader="none" w:pos="293" w:val="left"/>
        </w:tabs>
        <w:numPr>
          <w:ilvl w:val="0"/>
          <w:numId w:val="53"/>
        </w:numPr>
        <w:rPr>
          <w:rFonts w:ascii="Arial" w:cs="Arial" w:eastAsia="Arial" w:hAnsi="Arial"/>
          <w:sz w:val="17"/>
          <w:szCs w:val="17"/>
          <w:b w:val="1"/>
          <w:bCs w:val="1"/>
          <w:color w:val="D7282F"/>
        </w:rPr>
      </w:pPr>
      <w:r>
        <w:rPr>
          <w:rFonts w:ascii="Arial" w:cs="Arial" w:eastAsia="Arial" w:hAnsi="Arial"/>
          <w:sz w:val="14"/>
          <w:szCs w:val="14"/>
          <w:color w:val="131E29"/>
        </w:rPr>
        <w:t xml:space="preserve">$2.4 million </w:t>
      </w:r>
      <w:r>
        <w:rPr>
          <w:rFonts w:ascii="Arial" w:cs="Arial" w:eastAsia="Arial" w:hAnsi="Arial"/>
          <w:sz w:val="14"/>
          <w:szCs w:val="14"/>
          <w:color w:val="000000"/>
        </w:rPr>
        <w:t>or</w:t>
      </w:r>
      <w:r>
        <w:rPr>
          <w:rFonts w:ascii="Arial" w:cs="Arial" w:eastAsia="Arial" w:hAnsi="Arial"/>
          <w:sz w:val="14"/>
          <w:szCs w:val="14"/>
          <w:color w:val="131E29"/>
        </w:rPr>
        <w:t xml:space="preserve"> 30 bps </w:t>
      </w:r>
      <w:r>
        <w:rPr>
          <w:rFonts w:ascii="Arial" w:cs="Arial" w:eastAsia="Arial" w:hAnsi="Arial"/>
          <w:sz w:val="14"/>
          <w:szCs w:val="14"/>
          <w:color w:val="000000"/>
        </w:rPr>
        <w:t>from prior year company-wide event costs celebrating 30 years serving high QUALITY, hand-crafted beverages with unparalleled SPEED and superior</w:t>
      </w:r>
      <w:r>
        <w:rPr>
          <w:rFonts w:ascii="Arial" w:cs="Arial" w:eastAsia="Arial" w:hAnsi="Arial"/>
          <w:sz w:val="14"/>
          <w:szCs w:val="14"/>
          <w:color w:val="131E29"/>
        </w:rPr>
        <w:t xml:space="preserve"> </w:t>
      </w:r>
      <w:r>
        <w:rPr>
          <w:rFonts w:ascii="Arial" w:cs="Arial" w:eastAsia="Arial" w:hAnsi="Arial"/>
          <w:sz w:val="14"/>
          <w:szCs w:val="14"/>
          <w:color w:val="000000"/>
        </w:rPr>
        <w:t>SERVICE to our customers.</w:t>
      </w:r>
    </w:p>
    <w:p>
      <w:pPr>
        <w:spacing w:after="0" w:line="133" w:lineRule="exact"/>
        <w:rPr>
          <w:rFonts w:ascii="Arial" w:cs="Arial" w:eastAsia="Arial" w:hAnsi="Arial"/>
          <w:sz w:val="17"/>
          <w:szCs w:val="17"/>
          <w:b w:val="1"/>
          <w:bCs w:val="1"/>
          <w:color w:val="D7282F"/>
        </w:rPr>
      </w:pPr>
    </w:p>
    <w:p>
      <w:pPr>
        <w:ind w:left="240" w:hanging="235"/>
        <w:spacing w:after="0"/>
        <w:tabs>
          <w:tab w:leader="none" w:pos="240" w:val="left"/>
        </w:tabs>
        <w:numPr>
          <w:ilvl w:val="0"/>
          <w:numId w:val="53"/>
        </w:numPr>
        <w:rPr>
          <w:rFonts w:ascii="Arial" w:cs="Arial" w:eastAsia="Arial" w:hAnsi="Arial"/>
          <w:sz w:val="17"/>
          <w:szCs w:val="17"/>
          <w:b w:val="1"/>
          <w:bCs w:val="1"/>
          <w:color w:val="D7282F"/>
        </w:rPr>
      </w:pPr>
      <w:r>
        <w:rPr>
          <w:rFonts w:ascii="Arial" w:cs="Arial" w:eastAsia="Arial" w:hAnsi="Arial"/>
          <w:sz w:val="14"/>
          <w:szCs w:val="14"/>
          <w:color w:val="131E29"/>
        </w:rPr>
        <w:t>$2.4 million or 30 bps from lower equity-based compensation charges.</w:t>
      </w:r>
    </w:p>
    <w:p>
      <w:pPr>
        <w:spacing w:after="0" w:line="99" w:lineRule="exact"/>
        <w:rPr>
          <w:rFonts w:ascii="Arial" w:cs="Arial" w:eastAsia="Arial" w:hAnsi="Arial"/>
          <w:sz w:val="17"/>
          <w:szCs w:val="17"/>
          <w:b w:val="1"/>
          <w:bCs w:val="1"/>
          <w:color w:val="D7282F"/>
        </w:rPr>
      </w:pPr>
    </w:p>
    <w:p>
      <w:pPr>
        <w:ind w:left="260" w:hanging="255"/>
        <w:spacing w:after="0" w:line="238" w:lineRule="auto"/>
        <w:tabs>
          <w:tab w:leader="none" w:pos="272" w:val="left"/>
        </w:tabs>
        <w:numPr>
          <w:ilvl w:val="0"/>
          <w:numId w:val="53"/>
        </w:numPr>
        <w:rPr>
          <w:rFonts w:ascii="Arial" w:cs="Arial" w:eastAsia="Arial" w:hAnsi="Arial"/>
          <w:sz w:val="17"/>
          <w:szCs w:val="17"/>
          <w:b w:val="1"/>
          <w:bCs w:val="1"/>
          <w:color w:val="D7282F"/>
        </w:rPr>
      </w:pPr>
      <w:r>
        <w:rPr>
          <w:rFonts w:ascii="Arial" w:cs="Arial" w:eastAsia="Arial" w:hAnsi="Arial"/>
          <w:sz w:val="14"/>
          <w:szCs w:val="14"/>
          <w:color w:val="131E29"/>
        </w:rPr>
        <w:t>$1.2 million or 10 bps from prior year write-off of prepaid expense for our virtual corporate engagement platform built in response to COVID-19 pandemic as a substitute for in person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line="288" w:lineRule="auto"/>
        <w:rPr>
          <w:sz w:val="20"/>
          <w:szCs w:val="20"/>
          <w:color w:val="auto"/>
        </w:rPr>
      </w:pPr>
      <w:r>
        <w:rPr>
          <w:rFonts w:ascii="Arial" w:cs="Arial" w:eastAsia="Arial" w:hAnsi="Arial"/>
          <w:sz w:val="14"/>
          <w:szCs w:val="14"/>
          <w:color w:val="131E29"/>
        </w:rPr>
        <w:t>engagement practices pre-pandemic. The platform was determined ineffective, particularly as we shifted back to in person engagement and easing of restrictions related to the COVID-19 pandemic.</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The summation of the impact of the specific items above would have decreased selling, general and administrative expenses from prior year by 30 bps to be 24.5% of revenue.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However, leverage from revenue growth reduces that percentage by 330 bps to be 21.2% of revenue.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Other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131E29"/>
              </w:rPr>
              <w:t>Year Ended December 31,</w:t>
            </w: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80" w:type="dxa"/>
            <w:vAlign w:val="bottom"/>
            <w:tcBorders>
              <w:bottom w:val="single" w:sz="8" w:color="131E29"/>
            </w:tcBorders>
          </w:tcPr>
          <w:p>
            <w:pPr>
              <w:jc w:val="right"/>
              <w:ind w:right="33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880" w:type="dxa"/>
            <w:vAlign w:val="bottom"/>
            <w:tcBorders>
              <w:bottom w:val="single" w:sz="8" w:color="131E29"/>
            </w:tcBorders>
          </w:tcPr>
          <w:p>
            <w:pPr>
              <w:jc w:val="right"/>
              <w:ind w:right="35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780" w:type="dxa"/>
            <w:vAlign w:val="bottom"/>
            <w:tcBorders>
              <w:bottom w:val="single" w:sz="8" w:color="131E29"/>
            </w:tcBorders>
          </w:tcPr>
          <w:p>
            <w:pPr>
              <w:jc w:val="right"/>
              <w:ind w:right="270"/>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131E29"/>
            </w:tcBorders>
          </w:tcPr>
          <w:p>
            <w:pPr>
              <w:spacing w:after="0"/>
              <w:rPr>
                <w:sz w:val="17"/>
                <w:szCs w:val="17"/>
                <w:color w:val="auto"/>
              </w:rPr>
            </w:pPr>
          </w:p>
        </w:tc>
        <w:tc>
          <w:tcPr>
            <w:tcW w:w="1900" w:type="dxa"/>
            <w:vAlign w:val="bottom"/>
            <w:tcBorders>
              <w:bottom w:val="single" w:sz="8" w:color="131E29"/>
            </w:tcBorders>
            <w:gridSpan w:val="4"/>
          </w:tcPr>
          <w:p>
            <w:pPr>
              <w:ind w:left="360"/>
              <w:spacing w:after="0"/>
              <w:rPr>
                <w:sz w:val="20"/>
                <w:szCs w:val="20"/>
                <w:color w:val="auto"/>
              </w:rPr>
            </w:pPr>
            <w:r>
              <w:rPr>
                <w:rFonts w:ascii="Arial" w:cs="Arial" w:eastAsia="Arial" w:hAnsi="Arial"/>
                <w:sz w:val="14"/>
                <w:szCs w:val="14"/>
                <w:b w:val="1"/>
                <w:bCs w:val="1"/>
                <w:color w:val="131E29"/>
              </w:rPr>
              <w:t>2023 v. 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780" w:type="dxa"/>
            <w:vAlign w:val="bottom"/>
            <w:tcBorders>
              <w:bottom w:val="single" w:sz="8" w:color="131E29"/>
            </w:tcBorders>
            <w:gridSpan w:val="3"/>
          </w:tcPr>
          <w:p>
            <w:pPr>
              <w:ind w:left="340"/>
              <w:spacing w:after="0"/>
              <w:rPr>
                <w:sz w:val="20"/>
                <w:szCs w:val="20"/>
                <w:color w:val="auto"/>
              </w:rPr>
            </w:pPr>
            <w:r>
              <w:rPr>
                <w:rFonts w:ascii="Arial" w:cs="Arial" w:eastAsia="Arial" w:hAnsi="Arial"/>
                <w:sz w:val="14"/>
                <w:szCs w:val="14"/>
                <w:b w:val="1"/>
                <w:bCs w:val="1"/>
                <w:color w:val="131E29"/>
              </w:rPr>
              <w:t>2022 v 2021</w:t>
            </w:r>
          </w:p>
        </w:tc>
      </w:tr>
      <w:tr>
        <w:trPr>
          <w:trHeight w:val="208"/>
        </w:trPr>
        <w:tc>
          <w:tcPr>
            <w:tcW w:w="33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on finance leases</w:t>
            </w:r>
          </w:p>
        </w:tc>
        <w:tc>
          <w:tcPr>
            <w:tcW w:w="24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w w:val="76"/>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(17,516)</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(9,296)</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w w:val="76"/>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(4,145)</w:t>
            </w: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jc w:val="right"/>
              <w:ind w:right="190"/>
              <w:spacing w:after="0"/>
              <w:rPr>
                <w:sz w:val="20"/>
                <w:szCs w:val="20"/>
                <w:color w:val="auto"/>
              </w:rPr>
            </w:pPr>
            <w:r>
              <w:rPr>
                <w:rFonts w:ascii="Arial" w:cs="Arial" w:eastAsia="Arial" w:hAnsi="Arial"/>
                <w:sz w:val="14"/>
                <w:szCs w:val="14"/>
                <w:color w:val="131E29"/>
                <w:w w:val="76"/>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(8,220)</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840" w:type="dxa"/>
            <w:vAlign w:val="bottom"/>
            <w:shd w:val="clear" w:color="auto" w:fill="D2DCE5"/>
          </w:tcPr>
          <w:p>
            <w:pPr>
              <w:jc w:val="center"/>
              <w:ind w:right="130"/>
              <w:spacing w:after="0"/>
              <w:rPr>
                <w:sz w:val="20"/>
                <w:szCs w:val="20"/>
                <w:color w:val="auto"/>
              </w:rPr>
            </w:pPr>
            <w:r>
              <w:rPr>
                <w:rFonts w:ascii="Arial" w:cs="Arial" w:eastAsia="Arial" w:hAnsi="Arial"/>
                <w:sz w:val="14"/>
                <w:szCs w:val="14"/>
                <w:color w:val="131E29"/>
              </w:rPr>
              <w:t>88.4%</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(5,151)</w:t>
            </w:r>
          </w:p>
        </w:tc>
        <w:tc>
          <w:tcPr>
            <w:tcW w:w="80" w:type="dxa"/>
            <w:vAlign w:val="bottom"/>
            <w:shd w:val="clear" w:color="auto" w:fill="D2DCE5"/>
          </w:tcPr>
          <w:p>
            <w:pPr>
              <w:spacing w:after="0"/>
              <w:rPr>
                <w:sz w:val="18"/>
                <w:szCs w:val="18"/>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124.3%</w:t>
            </w:r>
          </w:p>
        </w:tc>
      </w:tr>
      <w:tr>
        <w:trPr>
          <w:trHeight w:val="202"/>
        </w:trPr>
        <w:tc>
          <w:tcPr>
            <w:tcW w:w="3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interest expense,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(14,805)</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(8,722)</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(2,948)</w:t>
            </w: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(6,083)</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color w:val="131E29"/>
              </w:rPr>
              <w:t>69.7%</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(5,774)</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195.9%</w:t>
            </w:r>
          </w:p>
        </w:tc>
      </w:tr>
      <w:tr>
        <w:trPr>
          <w:trHeight w:val="211"/>
        </w:trPr>
        <w:tc>
          <w:tcPr>
            <w:tcW w:w="33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24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4"/>
                <w:szCs w:val="14"/>
                <w:color w:val="131E29"/>
                <w:w w:val="76"/>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shd w:val="clear" w:color="auto" w:fill="D2DCE5"/>
          </w:tcPr>
          <w:p>
            <w:pPr>
              <w:spacing w:after="0"/>
              <w:rPr>
                <w:sz w:val="18"/>
                <w:szCs w:val="18"/>
                <w:color w:val="auto"/>
              </w:rPr>
            </w:pPr>
          </w:p>
        </w:tc>
        <w:tc>
          <w:tcPr>
            <w:tcW w:w="22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(7,093)</w:t>
            </w:r>
          </w:p>
        </w:tc>
        <w:tc>
          <w:tcPr>
            <w:tcW w:w="100" w:type="dxa"/>
            <w:vAlign w:val="bottom"/>
            <w:shd w:val="clear" w:color="auto" w:fill="D2DCE5"/>
          </w:tcPr>
          <w:p>
            <w:pPr>
              <w:spacing w:after="0"/>
              <w:rPr>
                <w:sz w:val="18"/>
                <w:szCs w:val="18"/>
                <w:color w:val="auto"/>
              </w:rPr>
            </w:pPr>
          </w:p>
        </w:tc>
        <w:tc>
          <w:tcPr>
            <w:tcW w:w="340" w:type="dxa"/>
            <w:vAlign w:val="bottom"/>
            <w:tcBorders>
              <w:bottom w:val="single" w:sz="8" w:color="auto"/>
            </w:tcBorders>
            <w:shd w:val="clear" w:color="auto" w:fill="D2DCE5"/>
          </w:tcPr>
          <w:p>
            <w:pPr>
              <w:jc w:val="right"/>
              <w:ind w:right="190"/>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(14,303)</w:t>
            </w:r>
          </w:p>
        </w:tc>
        <w:tc>
          <w:tcPr>
            <w:tcW w:w="80" w:type="dxa"/>
            <w:vAlign w:val="bottom"/>
            <w:shd w:val="clear" w:color="auto" w:fill="D2DCE5"/>
          </w:tcPr>
          <w:p>
            <w:pPr>
              <w:spacing w:after="0"/>
              <w:rPr>
                <w:sz w:val="18"/>
                <w:szCs w:val="18"/>
                <w:color w:val="auto"/>
              </w:rPr>
            </w:pPr>
          </w:p>
        </w:tc>
        <w:tc>
          <w:tcPr>
            <w:tcW w:w="200" w:type="dxa"/>
            <w:vAlign w:val="bottom"/>
            <w:tcBorders>
              <w:bottom w:val="single" w:sz="8" w:color="auto"/>
            </w:tcBorders>
            <w:shd w:val="clear" w:color="auto" w:fill="D2DCE5"/>
          </w:tcPr>
          <w:p>
            <w:pPr>
              <w:spacing w:after="0"/>
              <w:rPr>
                <w:sz w:val="18"/>
                <w:szCs w:val="18"/>
                <w:color w:val="auto"/>
              </w:rPr>
            </w:pPr>
          </w:p>
        </w:tc>
        <w:tc>
          <w:tcPr>
            <w:tcW w:w="840" w:type="dxa"/>
            <w:vAlign w:val="bottom"/>
            <w:tcBorders>
              <w:bottom w:val="single" w:sz="8" w:color="auto"/>
            </w:tcBorders>
            <w:shd w:val="clear" w:color="auto" w:fill="D2DCE5"/>
          </w:tcPr>
          <w:p>
            <w:pPr>
              <w:jc w:val="center"/>
              <w:ind w:right="130"/>
              <w:spacing w:after="0"/>
              <w:rPr>
                <w:sz w:val="20"/>
                <w:szCs w:val="20"/>
                <w:color w:val="auto"/>
              </w:rPr>
            </w:pPr>
            <w:r>
              <w:rPr>
                <w:rFonts w:ascii="Arial" w:cs="Arial" w:eastAsia="Arial" w:hAnsi="Arial"/>
                <w:sz w:val="14"/>
                <w:szCs w:val="14"/>
                <w:color w:val="131E29"/>
              </w:rPr>
              <w:t>79.4%</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(10,925)</w:t>
            </w:r>
          </w:p>
        </w:tc>
        <w:tc>
          <w:tcPr>
            <w:tcW w:w="80" w:type="dxa"/>
            <w:vAlign w:val="bottom"/>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154.0%</w:t>
            </w:r>
          </w:p>
        </w:tc>
      </w:tr>
      <w:tr>
        <w:trPr>
          <w:trHeight w:val="193"/>
        </w:trPr>
        <w:tc>
          <w:tcPr>
            <w:tcW w:w="3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income (expense)</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tcBorders>
              <w:bottom w:val="single" w:sz="8" w:color="D2DC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(1,240)</w:t>
            </w:r>
          </w:p>
        </w:tc>
        <w:tc>
          <w:tcPr>
            <w:tcW w:w="100" w:type="dxa"/>
            <w:vAlign w:val="bottom"/>
            <w:tcBorders>
              <w:bottom w:val="single" w:sz="8" w:color="D2DC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(958)</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color w:val="131E29"/>
                <w:w w:val="97"/>
              </w:rPr>
              <w:t>(24.1)%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131E29"/>
              </w:rPr>
              <w:t>5,216</w:t>
            </w:r>
          </w:p>
        </w:tc>
        <w:tc>
          <w:tcPr>
            <w:tcW w:w="80" w:type="dxa"/>
            <w:vAlign w:val="bottom"/>
            <w:tcBorders>
              <w:bottom w:val="single" w:sz="8" w:color="D2DCE5"/>
            </w:tcBorders>
          </w:tcPr>
          <w:p>
            <w:pPr>
              <w:spacing w:after="0"/>
              <w:rPr>
                <w:sz w:val="16"/>
                <w:szCs w:val="16"/>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131E29"/>
              </w:rPr>
              <w:t>N/M</w:t>
            </w:r>
          </w:p>
        </w:tc>
      </w:tr>
      <w:tr>
        <w:trPr>
          <w:trHeight w:val="236"/>
        </w:trPr>
        <w:tc>
          <w:tcPr>
            <w:tcW w:w="3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color w:val="131E29"/>
              </w:rPr>
              <w:t>Total other expense</w:t>
            </w:r>
          </w:p>
        </w:tc>
        <w:tc>
          <w:tcPr>
            <w:tcW w:w="24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4"/>
                <w:szCs w:val="14"/>
                <w:color w:val="131E29"/>
                <w:w w:val="76"/>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(29,303)</w:t>
            </w:r>
          </w:p>
        </w:tc>
        <w:tc>
          <w:tcPr>
            <w:tcW w:w="8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(14,042)</w:t>
            </w:r>
          </w:p>
        </w:tc>
        <w:tc>
          <w:tcPr>
            <w:tcW w:w="80" w:type="dxa"/>
            <w:vAlign w:val="bottom"/>
            <w:tcBorders>
              <w:bottom w:val="single" w:sz="8" w:color="D2DCE5"/>
            </w:tcBorders>
            <w:shd w:val="clear" w:color="auto" w:fill="D2DCE5"/>
          </w:tcPr>
          <w:p>
            <w:pPr>
              <w:spacing w:after="0"/>
              <w:rPr>
                <w:sz w:val="20"/>
                <w:szCs w:val="20"/>
                <w:color w:val="auto"/>
              </w:rPr>
            </w:pPr>
          </w:p>
        </w:tc>
        <w:tc>
          <w:tcPr>
            <w:tcW w:w="22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(8,333)</w:t>
            </w:r>
          </w:p>
        </w:tc>
        <w:tc>
          <w:tcPr>
            <w:tcW w:w="100" w:type="dxa"/>
            <w:vAlign w:val="bottom"/>
            <w:tcBorders>
              <w:bottom w:val="single" w:sz="8" w:color="D2DCE5"/>
            </w:tcBorders>
            <w:shd w:val="clear" w:color="auto" w:fill="D2DCE5"/>
          </w:tcPr>
          <w:p>
            <w:pPr>
              <w:spacing w:after="0"/>
              <w:rPr>
                <w:sz w:val="20"/>
                <w:szCs w:val="20"/>
                <w:color w:val="auto"/>
              </w:rPr>
            </w:pPr>
          </w:p>
        </w:tc>
        <w:tc>
          <w:tcPr>
            <w:tcW w:w="340" w:type="dxa"/>
            <w:vAlign w:val="bottom"/>
            <w:tcBorders>
              <w:bottom w:val="single" w:sz="8" w:color="auto"/>
            </w:tcBorders>
            <w:shd w:val="clear" w:color="auto" w:fill="D2DCE5"/>
          </w:tcPr>
          <w:p>
            <w:pPr>
              <w:jc w:val="right"/>
              <w:ind w:right="190"/>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(15,261)</w:t>
            </w:r>
          </w:p>
        </w:tc>
        <w:tc>
          <w:tcPr>
            <w:tcW w:w="80" w:type="dxa"/>
            <w:vAlign w:val="bottom"/>
            <w:tcBorders>
              <w:bottom w:val="single" w:sz="8" w:color="D2DCE5"/>
            </w:tcBorders>
            <w:shd w:val="clear" w:color="auto" w:fill="D2DCE5"/>
          </w:tcPr>
          <w:p>
            <w:pPr>
              <w:spacing w:after="0"/>
              <w:rPr>
                <w:sz w:val="20"/>
                <w:szCs w:val="20"/>
                <w:color w:val="auto"/>
              </w:rPr>
            </w:pPr>
          </w:p>
        </w:tc>
        <w:tc>
          <w:tcPr>
            <w:tcW w:w="200" w:type="dxa"/>
            <w:vAlign w:val="bottom"/>
            <w:tcBorders>
              <w:bottom w:val="single" w:sz="8" w:color="auto"/>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center"/>
              <w:ind w:right="130"/>
              <w:spacing w:after="0"/>
              <w:rPr>
                <w:sz w:val="20"/>
                <w:szCs w:val="20"/>
                <w:color w:val="auto"/>
              </w:rPr>
            </w:pPr>
            <w:r>
              <w:rPr>
                <w:rFonts w:ascii="Arial" w:cs="Arial" w:eastAsia="Arial" w:hAnsi="Arial"/>
                <w:sz w:val="14"/>
                <w:szCs w:val="14"/>
                <w:color w:val="131E29"/>
              </w:rPr>
              <w:t>108.7%</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(5,709)</w:t>
            </w:r>
          </w:p>
        </w:tc>
        <w:tc>
          <w:tcPr>
            <w:tcW w:w="80" w:type="dxa"/>
            <w:vAlign w:val="bottom"/>
            <w:tcBorders>
              <w:bottom w:val="single" w:sz="8" w:color="D2DCE5"/>
            </w:tcBorders>
            <w:shd w:val="clear" w:color="auto" w:fill="D2DCE5"/>
          </w:tcPr>
          <w:p>
            <w:pPr>
              <w:spacing w:after="0"/>
              <w:rPr>
                <w:sz w:val="20"/>
                <w:szCs w:val="20"/>
                <w:color w:val="auto"/>
              </w:rPr>
            </w:pPr>
          </w:p>
        </w:tc>
        <w:tc>
          <w:tcPr>
            <w:tcW w:w="9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68.5%</w:t>
            </w:r>
          </w:p>
        </w:tc>
      </w:tr>
      <w:tr>
        <w:trPr>
          <w:trHeight w:val="20"/>
        </w:trPr>
        <w:tc>
          <w:tcPr>
            <w:tcW w:w="3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7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7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The increase in interest expense, net was primarily driven by increased borrowings and higher interest rates associated with our credit facility, and additional finance leases for new shop builds.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131E29"/>
        </w:rPr>
        <w:t>The decrease in other income (expense), net was primarily driven by a decrease in remeasurement gains in the current period related to the TRAs liability.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Income Tax Expense (Benefit)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131E29"/>
              </w:rPr>
              <w:t>Year Ended December 31,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3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80" w:type="dxa"/>
            <w:vAlign w:val="bottom"/>
            <w:tcBorders>
              <w:bottom w:val="single" w:sz="8" w:color="131E29"/>
            </w:tcBorders>
          </w:tcPr>
          <w:p>
            <w:pPr>
              <w:jc w:val="right"/>
              <w:ind w:right="330"/>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7"/>
                <w:szCs w:val="17"/>
                <w:color w:val="auto"/>
              </w:rPr>
            </w:pPr>
          </w:p>
        </w:tc>
        <w:tc>
          <w:tcPr>
            <w:tcW w:w="340" w:type="dxa"/>
            <w:vAlign w:val="bottom"/>
            <w:tcBorders>
              <w:bottom w:val="single" w:sz="8" w:color="131E29"/>
            </w:tcBorders>
          </w:tcPr>
          <w:p>
            <w:pPr>
              <w:spacing w:after="0"/>
              <w:rPr>
                <w:sz w:val="17"/>
                <w:szCs w:val="17"/>
                <w:color w:val="auto"/>
              </w:rPr>
            </w:pPr>
          </w:p>
        </w:tc>
        <w:tc>
          <w:tcPr>
            <w:tcW w:w="122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2023 v. 2022</w:t>
            </w:r>
          </w:p>
        </w:tc>
        <w:tc>
          <w:tcPr>
            <w:tcW w:w="62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1800" w:type="dxa"/>
            <w:vAlign w:val="bottom"/>
            <w:tcBorders>
              <w:bottom w:val="single" w:sz="8" w:color="131E29"/>
            </w:tcBorders>
            <w:gridSpan w:val="2"/>
          </w:tcPr>
          <w:p>
            <w:pPr>
              <w:ind w:left="320"/>
              <w:spacing w:after="0"/>
              <w:rPr>
                <w:sz w:val="20"/>
                <w:szCs w:val="20"/>
                <w:color w:val="auto"/>
              </w:rPr>
            </w:pPr>
            <w:r>
              <w:rPr>
                <w:rFonts w:ascii="Arial" w:cs="Arial" w:eastAsia="Arial" w:hAnsi="Arial"/>
                <w:sz w:val="14"/>
                <w:szCs w:val="14"/>
                <w:b w:val="1"/>
                <w:bCs w:val="1"/>
                <w:color w:val="131E29"/>
              </w:rPr>
              <w:t>2022 v 2021</w:t>
            </w:r>
          </w:p>
        </w:tc>
      </w:tr>
      <w:tr>
        <w:trPr>
          <w:trHeight w:val="208"/>
        </w:trPr>
        <w:tc>
          <w:tcPr>
            <w:tcW w:w="3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24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w w:val="76"/>
              </w:rPr>
              <w:t>$</w:t>
            </w:r>
          </w:p>
        </w:tc>
        <w:tc>
          <w:tcPr>
            <w:tcW w:w="86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6,967</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2,599</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88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(1,628)</w:t>
            </w:r>
          </w:p>
        </w:tc>
        <w:tc>
          <w:tcPr>
            <w:tcW w:w="80" w:type="dxa"/>
            <w:vAlign w:val="bottom"/>
            <w:shd w:val="clear" w:color="auto" w:fill="D2DCE5"/>
          </w:tcPr>
          <w:p>
            <w:pPr>
              <w:spacing w:after="0"/>
              <w:rPr>
                <w:sz w:val="18"/>
                <w:szCs w:val="18"/>
                <w:color w:val="auto"/>
              </w:rPr>
            </w:pPr>
          </w:p>
        </w:tc>
        <w:tc>
          <w:tcPr>
            <w:tcW w:w="34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ind w:right="570"/>
              <w:spacing w:after="0"/>
              <w:rPr>
                <w:sz w:val="20"/>
                <w:szCs w:val="20"/>
                <w:color w:val="auto"/>
              </w:rPr>
            </w:pPr>
            <w:r>
              <w:rPr>
                <w:rFonts w:ascii="Arial" w:cs="Arial" w:eastAsia="Arial" w:hAnsi="Arial"/>
                <w:sz w:val="14"/>
                <w:szCs w:val="14"/>
                <w:color w:val="131E29"/>
              </w:rPr>
              <w:t>4,368</w:t>
            </w:r>
          </w:p>
        </w:tc>
        <w:tc>
          <w:tcPr>
            <w:tcW w:w="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168.1 %</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10"/>
              <w:spacing w:after="0"/>
              <w:rPr>
                <w:sz w:val="20"/>
                <w:szCs w:val="20"/>
                <w:color w:val="auto"/>
              </w:rPr>
            </w:pPr>
            <w:r>
              <w:rPr>
                <w:rFonts w:ascii="Arial" w:cs="Arial" w:eastAsia="Arial" w:hAnsi="Arial"/>
                <w:sz w:val="14"/>
                <w:szCs w:val="14"/>
                <w:color w:val="131E29"/>
                <w:w w:val="76"/>
              </w:rPr>
              <w:t>$</w:t>
            </w:r>
          </w:p>
        </w:tc>
        <w:tc>
          <w:tcPr>
            <w:tcW w:w="82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4,227</w:t>
            </w:r>
          </w:p>
        </w:tc>
        <w:tc>
          <w:tcPr>
            <w:tcW w:w="98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rPr>
              <w:t>(259.6)%</w:t>
            </w:r>
          </w:p>
        </w:tc>
      </w:tr>
      <w:tr>
        <w:trPr>
          <w:trHeight w:val="192"/>
        </w:trPr>
        <w:tc>
          <w:tcPr>
            <w:tcW w:w="3280" w:type="dxa"/>
            <w:vAlign w:val="bottom"/>
            <w:gridSpan w:val="2"/>
          </w:tcPr>
          <w:p>
            <w:pPr>
              <w:ind w:left="20"/>
              <w:spacing w:after="0"/>
              <w:rPr>
                <w:sz w:val="20"/>
                <w:szCs w:val="20"/>
                <w:color w:val="auto"/>
              </w:rPr>
            </w:pPr>
            <w:r>
              <w:rPr>
                <w:rFonts w:ascii="Arial" w:cs="Arial" w:eastAsia="Arial" w:hAnsi="Arial"/>
                <w:sz w:val="14"/>
                <w:szCs w:val="14"/>
                <w:color w:val="131E29"/>
              </w:rPr>
              <w:t>Effective tax rate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31E29"/>
              </w:rPr>
              <w:t>41.2 %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31E29"/>
              </w:rPr>
              <w:t>(15.6)%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131E29"/>
              </w:rPr>
              <w:t>1.4 %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10"/>
              <w:spacing w:after="0"/>
              <w:rPr>
                <w:sz w:val="20"/>
                <w:szCs w:val="20"/>
                <w:color w:val="auto"/>
              </w:rPr>
            </w:pPr>
            <w:r>
              <w:rPr>
                <w:rFonts w:ascii="Arial" w:cs="Arial" w:eastAsia="Arial" w:hAnsi="Arial"/>
                <w:sz w:val="14"/>
                <w:szCs w:val="14"/>
                <w:color w:val="131E29"/>
              </w:rPr>
              <w:t>N/A</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131E29"/>
              </w:rPr>
              <w:t>N/M</w:t>
            </w:r>
          </w:p>
        </w:tc>
        <w:tc>
          <w:tcPr>
            <w:tcW w:w="36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131E29"/>
              </w:rPr>
              <w:t>N/A</w:t>
            </w:r>
          </w:p>
        </w:tc>
        <w:tc>
          <w:tcPr>
            <w:tcW w:w="980" w:type="dxa"/>
            <w:vAlign w:val="bottom"/>
          </w:tcPr>
          <w:p>
            <w:pPr>
              <w:jc w:val="center"/>
              <w:spacing w:after="0"/>
              <w:rPr>
                <w:sz w:val="20"/>
                <w:szCs w:val="20"/>
                <w:color w:val="auto"/>
              </w:rPr>
            </w:pPr>
            <w:r>
              <w:rPr>
                <w:rFonts w:ascii="Arial" w:cs="Arial" w:eastAsia="Arial" w:hAnsi="Arial"/>
                <w:sz w:val="14"/>
                <w:szCs w:val="14"/>
                <w:color w:val="131E29"/>
                <w:w w:val="93"/>
              </w:rPr>
              <w:t>N/M</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2023 v. 2022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tax expense was primarily driven by increased current year pre-tax income and changes in the state earnings mix, partially offset by increased credits.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Liquidity and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Overview</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We had cash and cash equivalents of $133.5 million and $20.2 million as of December 31, 2023 and December 31, 2022, respectively.</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131E29"/>
        </w:rPr>
        <w:t>For the year ended December 31, 2023, our principal sources of liquidity were cash flows from our Follow-On Offering in September 2023, our revolving credit facility, and operations. Our principal uses of liquidity for the year ended December 31, 2023 were the payoff of our revolving credit facility, and to fund our new shop builds and other working capital needs.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131E29"/>
        </w:rPr>
        <w:t>For additional information related to the Follow-On Offering, see below.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2" w:name="page83"/>
    <w:bookmarkEnd w:id="8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Cash Flows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5240" w:type="dxa"/>
            <w:vAlign w:val="bottom"/>
            <w:gridSpan w:val="8"/>
          </w:tcPr>
          <w:p>
            <w:pPr>
              <w:spacing w:after="0"/>
              <w:rPr>
                <w:sz w:val="20"/>
                <w:szCs w:val="20"/>
                <w:color w:val="auto"/>
              </w:rPr>
            </w:pPr>
            <w:r>
              <w:rPr>
                <w:rFonts w:ascii="Arial" w:cs="Arial" w:eastAsia="Arial" w:hAnsi="Arial"/>
                <w:sz w:val="14"/>
                <w:szCs w:val="14"/>
                <w:color w:val="131E29"/>
              </w:rPr>
              <w:t>The following table summarizes our cash flows for the periods presented: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7"/>
                <w:szCs w:val="17"/>
                <w:color w:val="auto"/>
              </w:rPr>
            </w:pPr>
          </w:p>
        </w:tc>
        <w:tc>
          <w:tcPr>
            <w:tcW w:w="380" w:type="dxa"/>
            <w:vAlign w:val="bottom"/>
            <w:tcBorders>
              <w:bottom w:val="single" w:sz="8" w:color="131E29"/>
            </w:tcBorders>
          </w:tcPr>
          <w:p>
            <w:pPr>
              <w:spacing w:after="0"/>
              <w:rPr>
                <w:sz w:val="17"/>
                <w:szCs w:val="17"/>
                <w:color w:val="auto"/>
              </w:rPr>
            </w:pPr>
          </w:p>
        </w:tc>
        <w:tc>
          <w:tcPr>
            <w:tcW w:w="2120" w:type="dxa"/>
            <w:vAlign w:val="bottom"/>
            <w:tcBorders>
              <w:bottom w:val="single" w:sz="8" w:color="131E29"/>
            </w:tcBorders>
            <w:gridSpan w:val="4"/>
          </w:tcPr>
          <w:p>
            <w:pPr>
              <w:ind w:left="460"/>
              <w:spacing w:after="0"/>
              <w:rPr>
                <w:sz w:val="20"/>
                <w:szCs w:val="20"/>
                <w:color w:val="auto"/>
              </w:rPr>
            </w:pPr>
            <w:r>
              <w:rPr>
                <w:rFonts w:ascii="Arial" w:cs="Arial" w:eastAsia="Arial" w:hAnsi="Arial"/>
                <w:sz w:val="14"/>
                <w:szCs w:val="14"/>
                <w:b w:val="1"/>
                <w:bCs w:val="1"/>
                <w:color w:val="131E29"/>
              </w:rPr>
              <w:t>2023 v. 2022</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940" w:type="dxa"/>
            <w:vAlign w:val="bottom"/>
            <w:tcBorders>
              <w:bottom w:val="single" w:sz="8" w:color="131E29"/>
            </w:tcBorders>
            <w:gridSpan w:val="3"/>
          </w:tcPr>
          <w:p>
            <w:pPr>
              <w:ind w:left="440"/>
              <w:spacing w:after="0"/>
              <w:rPr>
                <w:sz w:val="20"/>
                <w:szCs w:val="20"/>
                <w:color w:val="auto"/>
              </w:rPr>
            </w:pPr>
            <w:r>
              <w:rPr>
                <w:rFonts w:ascii="Arial" w:cs="Arial" w:eastAsia="Arial" w:hAnsi="Arial"/>
                <w:sz w:val="14"/>
                <w:szCs w:val="14"/>
                <w:b w:val="1"/>
                <w:bCs w:val="1"/>
                <w:color w:val="131E29"/>
              </w:rPr>
              <w:t>2022 v 2021</w:t>
            </w:r>
          </w:p>
        </w:tc>
        <w:tc>
          <w:tcPr>
            <w:tcW w:w="0" w:type="dxa"/>
            <w:vAlign w:val="bottom"/>
          </w:tcPr>
          <w:p>
            <w:pPr>
              <w:spacing w:after="0"/>
              <w:rPr>
                <w:sz w:val="1"/>
                <w:szCs w:val="1"/>
                <w:color w:val="auto"/>
              </w:rPr>
            </w:pPr>
          </w:p>
        </w:tc>
      </w:tr>
      <w:tr>
        <w:trPr>
          <w:trHeight w:val="208"/>
        </w:trPr>
        <w:tc>
          <w:tcPr>
            <w:tcW w:w="2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operating activities</w:t>
            </w:r>
          </w:p>
        </w:tc>
        <w:tc>
          <w:tcPr>
            <w:tcW w:w="28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139,915</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59,883</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80,375</w:t>
            </w:r>
          </w:p>
        </w:tc>
        <w:tc>
          <w:tcPr>
            <w:tcW w:w="80" w:type="dxa"/>
            <w:vAlign w:val="bottom"/>
            <w:shd w:val="clear" w:color="auto" w:fill="D2DCE5"/>
          </w:tcPr>
          <w:p>
            <w:pPr>
              <w:spacing w:after="0"/>
              <w:rPr>
                <w:sz w:val="18"/>
                <w:szCs w:val="18"/>
                <w:color w:val="auto"/>
              </w:rPr>
            </w:pPr>
          </w:p>
        </w:tc>
        <w:tc>
          <w:tcPr>
            <w:tcW w:w="380" w:type="dxa"/>
            <w:vAlign w:val="bottom"/>
            <w:shd w:val="clear" w:color="auto" w:fill="D2DCE5"/>
          </w:tcPr>
          <w:p>
            <w:pPr>
              <w:jc w:val="right"/>
              <w:ind w:right="210"/>
              <w:spacing w:after="0"/>
              <w:rPr>
                <w:sz w:val="20"/>
                <w:szCs w:val="20"/>
                <w:color w:val="auto"/>
              </w:rPr>
            </w:pPr>
            <w:r>
              <w:rPr>
                <w:rFonts w:ascii="Arial" w:cs="Arial" w:eastAsia="Arial" w:hAnsi="Arial"/>
                <w:sz w:val="14"/>
                <w:szCs w:val="14"/>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80,032</w:t>
            </w:r>
          </w:p>
        </w:tc>
        <w:tc>
          <w:tcPr>
            <w:tcW w:w="10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000" w:type="dxa"/>
            <w:vAlign w:val="bottom"/>
            <w:shd w:val="clear" w:color="auto" w:fill="D2DCE5"/>
          </w:tcPr>
          <w:p>
            <w:pPr>
              <w:jc w:val="center"/>
              <w:ind w:right="130"/>
              <w:spacing w:after="0"/>
              <w:rPr>
                <w:sz w:val="20"/>
                <w:szCs w:val="20"/>
                <w:color w:val="auto"/>
              </w:rPr>
            </w:pPr>
            <w:r>
              <w:rPr>
                <w:rFonts w:ascii="Arial" w:cs="Arial" w:eastAsia="Arial" w:hAnsi="Arial"/>
                <w:sz w:val="14"/>
                <w:szCs w:val="14"/>
                <w:color w:val="131E29"/>
              </w:rPr>
              <w:t>133.6%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(20,492)</w:t>
            </w:r>
          </w:p>
        </w:tc>
        <w:tc>
          <w:tcPr>
            <w:tcW w:w="80" w:type="dxa"/>
            <w:vAlign w:val="bottom"/>
            <w:shd w:val="clear" w:color="auto" w:fill="D2DCE5"/>
          </w:tcPr>
          <w:p>
            <w:pPr>
              <w:spacing w:after="0"/>
              <w:rPr>
                <w:sz w:val="18"/>
                <w:szCs w:val="18"/>
                <w:color w:val="auto"/>
              </w:rPr>
            </w:pP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(25.5)%</w:t>
            </w:r>
          </w:p>
        </w:tc>
        <w:tc>
          <w:tcPr>
            <w:tcW w:w="0" w:type="dxa"/>
            <w:vAlign w:val="bottom"/>
          </w:tcPr>
          <w:p>
            <w:pPr>
              <w:spacing w:after="0"/>
              <w:rPr>
                <w:sz w:val="1"/>
                <w:szCs w:val="1"/>
                <w:color w:val="auto"/>
              </w:rPr>
            </w:pPr>
          </w:p>
        </w:tc>
      </w:tr>
      <w:tr>
        <w:trPr>
          <w:trHeight w:val="202"/>
        </w:trPr>
        <w:tc>
          <w:tcPr>
            <w:tcW w:w="2660" w:type="dxa"/>
            <w:vAlign w:val="bottom"/>
            <w:gridSpan w:val="2"/>
          </w:tcPr>
          <w:p>
            <w:pPr>
              <w:ind w:left="20"/>
              <w:spacing w:after="0"/>
              <w:rPr>
                <w:sz w:val="20"/>
                <w:szCs w:val="20"/>
                <w:color w:val="auto"/>
              </w:rPr>
            </w:pPr>
            <w:r>
              <w:rPr>
                <w:rFonts w:ascii="Arial" w:cs="Arial" w:eastAsia="Arial" w:hAnsi="Arial"/>
                <w:sz w:val="14"/>
                <w:szCs w:val="14"/>
                <w:color w:val="131E29"/>
              </w:rPr>
              <w:t>Net cash used in investing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(227,280)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(192,572)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31E29"/>
              </w:rPr>
              <w:t>(121,089)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31E29"/>
              </w:rPr>
              <w:t>(34,708)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30"/>
              <w:spacing w:after="0"/>
              <w:rPr>
                <w:sz w:val="20"/>
                <w:szCs w:val="20"/>
                <w:color w:val="auto"/>
              </w:rPr>
            </w:pPr>
            <w:r>
              <w:rPr>
                <w:rFonts w:ascii="Arial" w:cs="Arial" w:eastAsia="Arial" w:hAnsi="Arial"/>
                <w:sz w:val="14"/>
                <w:szCs w:val="14"/>
                <w:color w:val="131E29"/>
              </w:rPr>
              <w:t>18.0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(71,483)</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131E29"/>
              </w:rPr>
              <w:t>59.0</w:t>
            </w:r>
          </w:p>
        </w:tc>
        <w:tc>
          <w:tcPr>
            <w:tcW w:w="0" w:type="dxa"/>
            <w:vAlign w:val="bottom"/>
          </w:tcPr>
          <w:p>
            <w:pPr>
              <w:spacing w:after="0"/>
              <w:rPr>
                <w:sz w:val="1"/>
                <w:szCs w:val="1"/>
                <w:color w:val="auto"/>
              </w:rPr>
            </w:pPr>
          </w:p>
        </w:tc>
      </w:tr>
      <w:tr>
        <w:trPr>
          <w:trHeight w:val="221"/>
        </w:trPr>
        <w:tc>
          <w:tcPr>
            <w:tcW w:w="2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financing activities</w:t>
            </w: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200,732</w:t>
            </w:r>
          </w:p>
        </w:tc>
        <w:tc>
          <w:tcPr>
            <w:tcW w:w="8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134,361</w:t>
            </w:r>
          </w:p>
        </w:tc>
        <w:tc>
          <w:tcPr>
            <w:tcW w:w="8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27,580</w:t>
            </w:r>
          </w:p>
        </w:tc>
        <w:tc>
          <w:tcPr>
            <w:tcW w:w="80" w:type="dxa"/>
            <w:vAlign w:val="bottom"/>
            <w:shd w:val="clear" w:color="auto" w:fill="D2DCE5"/>
          </w:tcPr>
          <w:p>
            <w:pPr>
              <w:spacing w:after="0"/>
              <w:rPr>
                <w:sz w:val="19"/>
                <w:szCs w:val="19"/>
                <w:color w:val="auto"/>
              </w:rPr>
            </w:pPr>
          </w:p>
        </w:tc>
        <w:tc>
          <w:tcPr>
            <w:tcW w:w="380" w:type="dxa"/>
            <w:vAlign w:val="bottom"/>
            <w:tcBorders>
              <w:bottom w:val="single" w:sz="8" w:color="auto"/>
            </w:tcBorders>
            <w:shd w:val="clear" w:color="auto" w:fill="D2DCE5"/>
          </w:tcPr>
          <w:p>
            <w:pPr>
              <w:spacing w:after="0"/>
              <w:rPr>
                <w:sz w:val="19"/>
                <w:szCs w:val="19"/>
                <w:color w:val="auto"/>
              </w:rPr>
            </w:pPr>
          </w:p>
        </w:tc>
        <w:tc>
          <w:tcPr>
            <w:tcW w:w="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66,371</w:t>
            </w:r>
          </w:p>
        </w:tc>
        <w:tc>
          <w:tcPr>
            <w:tcW w:w="100" w:type="dxa"/>
            <w:vAlign w:val="bottom"/>
            <w:shd w:val="clear" w:color="auto" w:fill="D2DCE5"/>
          </w:tcPr>
          <w:p>
            <w:pPr>
              <w:spacing w:after="0"/>
              <w:rPr>
                <w:sz w:val="19"/>
                <w:szCs w:val="19"/>
                <w:color w:val="auto"/>
              </w:rPr>
            </w:pPr>
          </w:p>
        </w:tc>
        <w:tc>
          <w:tcPr>
            <w:tcW w:w="20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center"/>
              <w:ind w:right="130"/>
              <w:spacing w:after="0"/>
              <w:rPr>
                <w:sz w:val="20"/>
                <w:szCs w:val="20"/>
                <w:color w:val="auto"/>
              </w:rPr>
            </w:pPr>
            <w:r>
              <w:rPr>
                <w:rFonts w:ascii="Arial" w:cs="Arial" w:eastAsia="Arial" w:hAnsi="Arial"/>
                <w:sz w:val="14"/>
                <w:szCs w:val="14"/>
                <w:color w:val="131E29"/>
              </w:rPr>
              <w:t>49.4%</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106,781</w:t>
            </w:r>
          </w:p>
        </w:tc>
        <w:tc>
          <w:tcPr>
            <w:tcW w:w="80" w:type="dxa"/>
            <w:vAlign w:val="bottom"/>
            <w:shd w:val="clear" w:color="auto" w:fill="D2DCE5"/>
          </w:tcPr>
          <w:p>
            <w:pPr>
              <w:spacing w:after="0"/>
              <w:rPr>
                <w:sz w:val="19"/>
                <w:szCs w:val="19"/>
                <w:color w:val="auto"/>
              </w:rPr>
            </w:pPr>
          </w:p>
        </w:tc>
        <w:tc>
          <w:tcPr>
            <w:tcW w:w="1080" w:type="dxa"/>
            <w:vAlign w:val="bottom"/>
            <w:tcBorders>
              <w:bottom w:val="single" w:sz="8" w:color="auto"/>
            </w:tcBorders>
            <w:shd w:val="clear" w:color="auto" w:fill="D2DCE5"/>
          </w:tcPr>
          <w:p>
            <w:pPr>
              <w:ind w:left="420"/>
              <w:spacing w:after="0"/>
              <w:rPr>
                <w:sz w:val="20"/>
                <w:szCs w:val="20"/>
                <w:color w:val="auto"/>
              </w:rPr>
            </w:pPr>
            <w:r>
              <w:rPr>
                <w:rFonts w:ascii="Arial" w:cs="Arial" w:eastAsia="Arial" w:hAnsi="Arial"/>
                <w:sz w:val="14"/>
                <w:szCs w:val="14"/>
                <w:color w:val="131E29"/>
              </w:rPr>
              <w:t>N/M</w:t>
            </w:r>
          </w:p>
        </w:tc>
        <w:tc>
          <w:tcPr>
            <w:tcW w:w="0" w:type="dxa"/>
            <w:vAlign w:val="bottom"/>
          </w:tcPr>
          <w:p>
            <w:pPr>
              <w:spacing w:after="0"/>
              <w:rPr>
                <w:sz w:val="1"/>
                <w:szCs w:val="1"/>
                <w:color w:val="auto"/>
              </w:rPr>
            </w:pPr>
          </w:p>
        </w:tc>
      </w:tr>
      <w:tr>
        <w:trPr>
          <w:trHeight w:val="156"/>
        </w:trPr>
        <w:tc>
          <w:tcPr>
            <w:tcW w:w="2660" w:type="dxa"/>
            <w:vAlign w:val="bottom"/>
            <w:gridSpan w:val="2"/>
          </w:tcPr>
          <w:p>
            <w:pPr>
              <w:ind w:left="20"/>
              <w:spacing w:after="0" w:line="155" w:lineRule="exact"/>
              <w:rPr>
                <w:sz w:val="20"/>
                <w:szCs w:val="20"/>
                <w:color w:val="auto"/>
              </w:rPr>
            </w:pPr>
            <w:r>
              <w:rPr>
                <w:rFonts w:ascii="Arial" w:cs="Arial" w:eastAsia="Arial" w:hAnsi="Arial"/>
                <w:sz w:val="14"/>
                <w:szCs w:val="14"/>
                <w:color w:val="131E29"/>
              </w:rPr>
              <w:t>Net increase (decrease) in cash and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60" w:type="dxa"/>
            <w:vAlign w:val="bottom"/>
            <w:gridSpan w:val="2"/>
          </w:tcPr>
          <w:p>
            <w:pPr>
              <w:ind w:left="20"/>
              <w:spacing w:after="0"/>
              <w:rPr>
                <w:sz w:val="20"/>
                <w:szCs w:val="20"/>
                <w:color w:val="auto"/>
              </w:rPr>
            </w:pPr>
            <w:r>
              <w:rPr>
                <w:rFonts w:ascii="Arial" w:cs="Arial" w:eastAsia="Arial" w:hAnsi="Arial"/>
                <w:sz w:val="14"/>
                <w:szCs w:val="14"/>
                <w:color w:val="131E29"/>
              </w:rPr>
              <w:t>cash equivalents</w:t>
            </w:r>
          </w:p>
        </w:tc>
        <w:tc>
          <w:tcPr>
            <w:tcW w:w="280" w:type="dxa"/>
            <w:vAlign w:val="bottom"/>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113,367</w:t>
            </w:r>
          </w:p>
        </w:tc>
        <w:tc>
          <w:tcPr>
            <w:tcW w:w="8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1,672</w:t>
            </w:r>
          </w:p>
        </w:tc>
        <w:tc>
          <w:tcPr>
            <w:tcW w:w="8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tcPr>
          <w:p>
            <w:pPr>
              <w:jc w:val="right"/>
              <w:spacing w:after="0"/>
              <w:rPr>
                <w:sz w:val="20"/>
                <w:szCs w:val="20"/>
                <w:color w:val="auto"/>
              </w:rPr>
            </w:pPr>
            <w:r>
              <w:rPr>
                <w:rFonts w:ascii="Arial" w:cs="Arial" w:eastAsia="Arial" w:hAnsi="Arial"/>
                <w:sz w:val="14"/>
                <w:szCs w:val="14"/>
                <w:color w:val="131E29"/>
              </w:rPr>
              <w:t>(13,134)</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131E29"/>
              </w:rPr>
              <w:t>$</w:t>
            </w:r>
          </w:p>
        </w:tc>
        <w:tc>
          <w:tcPr>
            <w:tcW w:w="820" w:type="dxa"/>
            <w:vAlign w:val="bottom"/>
          </w:tcPr>
          <w:p>
            <w:pPr>
              <w:jc w:val="right"/>
              <w:spacing w:after="0"/>
              <w:rPr>
                <w:sz w:val="20"/>
                <w:szCs w:val="20"/>
                <w:color w:val="auto"/>
              </w:rPr>
            </w:pPr>
            <w:r>
              <w:rPr>
                <w:rFonts w:ascii="Arial" w:cs="Arial" w:eastAsia="Arial" w:hAnsi="Arial"/>
                <w:sz w:val="14"/>
                <w:szCs w:val="14"/>
                <w:color w:val="131E29"/>
              </w:rPr>
              <w:t>111,695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0"/>
              <w:spacing w:after="0"/>
              <w:rPr>
                <w:sz w:val="20"/>
                <w:szCs w:val="20"/>
                <w:color w:val="auto"/>
              </w:rPr>
            </w:pPr>
            <w:r>
              <w:rPr>
                <w:rFonts w:ascii="Arial" w:cs="Arial" w:eastAsia="Arial" w:hAnsi="Arial"/>
                <w:sz w:val="14"/>
                <w:szCs w:val="14"/>
                <w:color w:val="131E29"/>
              </w:rPr>
              <w:t>6680.3%</w:t>
            </w:r>
          </w:p>
        </w:tc>
        <w:tc>
          <w:tcPr>
            <w:tcW w:w="8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780" w:type="dxa"/>
            <w:vAlign w:val="bottom"/>
          </w:tcPr>
          <w:p>
            <w:pPr>
              <w:jc w:val="right"/>
              <w:spacing w:after="0"/>
              <w:rPr>
                <w:sz w:val="20"/>
                <w:szCs w:val="20"/>
                <w:color w:val="auto"/>
              </w:rPr>
            </w:pPr>
            <w:r>
              <w:rPr>
                <w:rFonts w:ascii="Arial" w:cs="Arial" w:eastAsia="Arial" w:hAnsi="Arial"/>
                <w:sz w:val="14"/>
                <w:szCs w:val="14"/>
                <w:color w:val="131E29"/>
              </w:rPr>
              <w:t>14,806</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131E29"/>
                <w:w w:val="98"/>
              </w:rPr>
              <w:t>(112.7)%</w:t>
            </w:r>
          </w:p>
        </w:tc>
        <w:tc>
          <w:tcPr>
            <w:tcW w:w="0" w:type="dxa"/>
            <w:vAlign w:val="bottom"/>
          </w:tcPr>
          <w:p>
            <w:pPr>
              <w:spacing w:after="0"/>
              <w:rPr>
                <w:sz w:val="1"/>
                <w:szCs w:val="1"/>
                <w:color w:val="auto"/>
              </w:rPr>
            </w:pPr>
          </w:p>
        </w:tc>
      </w:tr>
      <w:tr>
        <w:trPr>
          <w:trHeight w:val="185"/>
        </w:trPr>
        <w:tc>
          <w:tcPr>
            <w:tcW w:w="2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Cash and cash equivalents at beginning</w:t>
            </w: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8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8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00" w:type="dxa"/>
            <w:vAlign w:val="bottom"/>
            <w:shd w:val="clear" w:color="auto" w:fill="D2DCE5"/>
          </w:tcPr>
          <w:p>
            <w:pPr>
              <w:spacing w:after="0"/>
              <w:rPr>
                <w:sz w:val="16"/>
                <w:szCs w:val="16"/>
                <w:color w:val="auto"/>
              </w:rPr>
            </w:pPr>
          </w:p>
        </w:tc>
        <w:tc>
          <w:tcPr>
            <w:tcW w:w="10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period</w:t>
            </w: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20,178</w:t>
            </w:r>
          </w:p>
        </w:tc>
        <w:tc>
          <w:tcPr>
            <w:tcW w:w="8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18,506</w:t>
            </w:r>
          </w:p>
        </w:tc>
        <w:tc>
          <w:tcPr>
            <w:tcW w:w="8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31,640</w:t>
            </w:r>
          </w:p>
        </w:tc>
        <w:tc>
          <w:tcPr>
            <w:tcW w:w="80" w:type="dxa"/>
            <w:vAlign w:val="bottom"/>
            <w:shd w:val="clear" w:color="auto" w:fill="D2DCE5"/>
          </w:tcPr>
          <w:p>
            <w:pPr>
              <w:spacing w:after="0"/>
              <w:rPr>
                <w:sz w:val="17"/>
                <w:szCs w:val="17"/>
                <w:color w:val="auto"/>
              </w:rPr>
            </w:pPr>
          </w:p>
        </w:tc>
        <w:tc>
          <w:tcPr>
            <w:tcW w:w="380" w:type="dxa"/>
            <w:vAlign w:val="bottom"/>
            <w:tcBorders>
              <w:bottom w:val="single" w:sz="8" w:color="auto"/>
            </w:tcBorders>
            <w:shd w:val="clear" w:color="auto" w:fill="D2DCE5"/>
          </w:tcPr>
          <w:p>
            <w:pPr>
              <w:spacing w:after="0"/>
              <w:rPr>
                <w:sz w:val="17"/>
                <w:szCs w:val="17"/>
                <w:color w:val="auto"/>
              </w:rPr>
            </w:pPr>
          </w:p>
        </w:tc>
        <w:tc>
          <w:tcPr>
            <w:tcW w:w="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1,672</w:t>
            </w:r>
          </w:p>
        </w:tc>
        <w:tc>
          <w:tcPr>
            <w:tcW w:w="100" w:type="dxa"/>
            <w:vAlign w:val="bottom"/>
            <w:shd w:val="clear" w:color="auto" w:fill="D2DCE5"/>
          </w:tcPr>
          <w:p>
            <w:pPr>
              <w:spacing w:after="0"/>
              <w:rPr>
                <w:sz w:val="17"/>
                <w:szCs w:val="17"/>
                <w:color w:val="auto"/>
              </w:rPr>
            </w:pPr>
          </w:p>
        </w:tc>
        <w:tc>
          <w:tcPr>
            <w:tcW w:w="200" w:type="dxa"/>
            <w:vAlign w:val="bottom"/>
            <w:tcBorders>
              <w:bottom w:val="single" w:sz="8" w:color="auto"/>
            </w:tcBorders>
            <w:shd w:val="clear" w:color="auto" w:fill="D2DCE5"/>
          </w:tcPr>
          <w:p>
            <w:pPr>
              <w:spacing w:after="0"/>
              <w:rPr>
                <w:sz w:val="17"/>
                <w:szCs w:val="17"/>
                <w:color w:val="auto"/>
              </w:rPr>
            </w:pPr>
          </w:p>
        </w:tc>
        <w:tc>
          <w:tcPr>
            <w:tcW w:w="1000" w:type="dxa"/>
            <w:vAlign w:val="bottom"/>
            <w:tcBorders>
              <w:bottom w:val="single" w:sz="8" w:color="auto"/>
            </w:tcBorders>
            <w:shd w:val="clear" w:color="auto" w:fill="D2DCE5"/>
          </w:tcPr>
          <w:p>
            <w:pPr>
              <w:jc w:val="center"/>
              <w:ind w:right="130"/>
              <w:spacing w:after="0"/>
              <w:rPr>
                <w:sz w:val="20"/>
                <w:szCs w:val="20"/>
                <w:color w:val="auto"/>
              </w:rPr>
            </w:pPr>
            <w:r>
              <w:rPr>
                <w:rFonts w:ascii="Arial" w:cs="Arial" w:eastAsia="Arial" w:hAnsi="Arial"/>
                <w:sz w:val="14"/>
                <w:szCs w:val="14"/>
                <w:color w:val="131E29"/>
              </w:rPr>
              <w:t>9.0</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(13,134)</w:t>
            </w:r>
          </w:p>
        </w:tc>
        <w:tc>
          <w:tcPr>
            <w:tcW w:w="80" w:type="dxa"/>
            <w:vAlign w:val="bottom"/>
            <w:shd w:val="clear" w:color="auto" w:fill="D2DCE5"/>
          </w:tcPr>
          <w:p>
            <w:pPr>
              <w:spacing w:after="0"/>
              <w:rPr>
                <w:sz w:val="17"/>
                <w:szCs w:val="17"/>
                <w:color w:val="auto"/>
              </w:rPr>
            </w:pPr>
          </w:p>
        </w:tc>
        <w:tc>
          <w:tcPr>
            <w:tcW w:w="108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w w:val="98"/>
              </w:rPr>
              <w:t>(41.5)</w:t>
            </w:r>
          </w:p>
        </w:tc>
        <w:tc>
          <w:tcPr>
            <w:tcW w:w="0" w:type="dxa"/>
            <w:vAlign w:val="bottom"/>
          </w:tcPr>
          <w:p>
            <w:pPr>
              <w:spacing w:after="0"/>
              <w:rPr>
                <w:sz w:val="1"/>
                <w:szCs w:val="1"/>
                <w:color w:val="auto"/>
              </w:rPr>
            </w:pPr>
          </w:p>
        </w:tc>
      </w:tr>
      <w:tr>
        <w:trPr>
          <w:trHeight w:val="156"/>
        </w:trPr>
        <w:tc>
          <w:tcPr>
            <w:tcW w:w="2660" w:type="dxa"/>
            <w:vAlign w:val="bottom"/>
            <w:gridSpan w:val="2"/>
          </w:tcPr>
          <w:p>
            <w:pPr>
              <w:ind w:left="20"/>
              <w:spacing w:after="0" w:line="155" w:lineRule="exact"/>
              <w:rPr>
                <w:sz w:val="20"/>
                <w:szCs w:val="20"/>
                <w:color w:val="auto"/>
              </w:rPr>
            </w:pPr>
            <w:r>
              <w:rPr>
                <w:rFonts w:ascii="Arial" w:cs="Arial" w:eastAsia="Arial" w:hAnsi="Arial"/>
                <w:sz w:val="14"/>
                <w:szCs w:val="14"/>
                <w:color w:val="131E29"/>
              </w:rPr>
              <w:t>Cash and cash equivalents at end of</w:t>
            </w:r>
          </w:p>
        </w:tc>
        <w:tc>
          <w:tcPr>
            <w:tcW w:w="280" w:type="dxa"/>
            <w:vAlign w:val="bottom"/>
            <w:vMerge w:val="restart"/>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133,545</w:t>
            </w:r>
          </w:p>
        </w:tc>
        <w:tc>
          <w:tcPr>
            <w:tcW w:w="80" w:type="dxa"/>
            <w:vAlign w:val="bottom"/>
          </w:tcPr>
          <w:p>
            <w:pPr>
              <w:spacing w:after="0"/>
              <w:rPr>
                <w:sz w:val="13"/>
                <w:szCs w:val="13"/>
                <w:color w:val="auto"/>
              </w:rPr>
            </w:pPr>
          </w:p>
        </w:tc>
        <w:tc>
          <w:tcPr>
            <w:tcW w:w="260" w:type="dxa"/>
            <w:vAlign w:val="bottom"/>
            <w:vMerge w:val="restart"/>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20,178</w:t>
            </w:r>
          </w:p>
        </w:tc>
        <w:tc>
          <w:tcPr>
            <w:tcW w:w="80" w:type="dxa"/>
            <w:vAlign w:val="bottom"/>
          </w:tcPr>
          <w:p>
            <w:pPr>
              <w:spacing w:after="0"/>
              <w:rPr>
                <w:sz w:val="13"/>
                <w:szCs w:val="13"/>
                <w:color w:val="auto"/>
              </w:rPr>
            </w:pPr>
          </w:p>
        </w:tc>
        <w:tc>
          <w:tcPr>
            <w:tcW w:w="260" w:type="dxa"/>
            <w:vAlign w:val="bottom"/>
            <w:vMerge w:val="restart"/>
          </w:tcPr>
          <w:p>
            <w:pPr>
              <w:jc w:val="right"/>
              <w:ind w:right="90"/>
              <w:spacing w:after="0"/>
              <w:rPr>
                <w:sz w:val="20"/>
                <w:szCs w:val="20"/>
                <w:color w:val="auto"/>
              </w:rPr>
            </w:pPr>
            <w:r>
              <w:rPr>
                <w:rFonts w:ascii="Arial" w:cs="Arial" w:eastAsia="Arial" w:hAnsi="Arial"/>
                <w:sz w:val="14"/>
                <w:szCs w:val="14"/>
                <w:color w:val="131E29"/>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131E29"/>
              </w:rPr>
              <w:t>18,506</w:t>
            </w:r>
          </w:p>
        </w:tc>
        <w:tc>
          <w:tcPr>
            <w:tcW w:w="80" w:type="dxa"/>
            <w:vAlign w:val="bottom"/>
          </w:tcPr>
          <w:p>
            <w:pPr>
              <w:spacing w:after="0"/>
              <w:rPr>
                <w:sz w:val="13"/>
                <w:szCs w:val="13"/>
                <w:color w:val="auto"/>
              </w:rPr>
            </w:pPr>
          </w:p>
        </w:tc>
        <w:tc>
          <w:tcPr>
            <w:tcW w:w="380" w:type="dxa"/>
            <w:vAlign w:val="bottom"/>
            <w:vMerge w:val="restart"/>
          </w:tcPr>
          <w:p>
            <w:pPr>
              <w:jc w:val="right"/>
              <w:ind w:right="210"/>
              <w:spacing w:after="0"/>
              <w:rPr>
                <w:sz w:val="20"/>
                <w:szCs w:val="20"/>
                <w:color w:val="auto"/>
              </w:rPr>
            </w:pPr>
            <w:r>
              <w:rPr>
                <w:rFonts w:ascii="Arial" w:cs="Arial" w:eastAsia="Arial" w:hAnsi="Arial"/>
                <w:sz w:val="14"/>
                <w:szCs w:val="14"/>
                <w:color w:val="131E29"/>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131E29"/>
              </w:rPr>
              <w:t>113,367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30"/>
              <w:spacing w:after="0"/>
              <w:rPr>
                <w:sz w:val="20"/>
                <w:szCs w:val="20"/>
                <w:color w:val="auto"/>
              </w:rPr>
            </w:pPr>
            <w:r>
              <w:rPr>
                <w:rFonts w:ascii="Arial" w:cs="Arial" w:eastAsia="Arial" w:hAnsi="Arial"/>
                <w:sz w:val="14"/>
                <w:szCs w:val="14"/>
                <w:color w:val="131E29"/>
              </w:rPr>
              <w:t>561.8%</w:t>
            </w:r>
          </w:p>
        </w:tc>
        <w:tc>
          <w:tcPr>
            <w:tcW w:w="80" w:type="dxa"/>
            <w:vAlign w:val="bottom"/>
          </w:tcPr>
          <w:p>
            <w:pPr>
              <w:spacing w:after="0"/>
              <w:rPr>
                <w:sz w:val="13"/>
                <w:szCs w:val="13"/>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4"/>
                <w:szCs w:val="14"/>
                <w:color w:val="131E29"/>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131E29"/>
              </w:rPr>
              <w:t>1,672</w:t>
            </w:r>
          </w:p>
        </w:tc>
        <w:tc>
          <w:tcPr>
            <w:tcW w:w="8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9.0%</w:t>
            </w:r>
          </w:p>
        </w:tc>
        <w:tc>
          <w:tcPr>
            <w:tcW w:w="0" w:type="dxa"/>
            <w:vAlign w:val="bottom"/>
          </w:tcPr>
          <w:p>
            <w:pPr>
              <w:spacing w:after="0"/>
              <w:rPr>
                <w:sz w:val="1"/>
                <w:szCs w:val="1"/>
                <w:color w:val="auto"/>
              </w:rPr>
            </w:pPr>
          </w:p>
        </w:tc>
      </w:tr>
      <w:tr>
        <w:trPr>
          <w:trHeight w:val="184"/>
        </w:trPr>
        <w:tc>
          <w:tcPr>
            <w:tcW w:w="2660" w:type="dxa"/>
            <w:vAlign w:val="bottom"/>
            <w:gridSpan w:val="2"/>
          </w:tcPr>
          <w:p>
            <w:pPr>
              <w:ind w:left="20"/>
              <w:spacing w:after="0"/>
              <w:rPr>
                <w:sz w:val="20"/>
                <w:szCs w:val="20"/>
                <w:color w:val="auto"/>
              </w:rPr>
            </w:pPr>
            <w:r>
              <w:rPr>
                <w:rFonts w:ascii="Arial" w:cs="Arial" w:eastAsia="Arial" w:hAnsi="Arial"/>
                <w:sz w:val="14"/>
                <w:szCs w:val="14"/>
                <w:color w:val="131E29"/>
              </w:rPr>
              <w:t>period</w:t>
            </w:r>
          </w:p>
        </w:tc>
        <w:tc>
          <w:tcPr>
            <w:tcW w:w="2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Operating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operating activities cash flows was primarily driven by:</w:t>
      </w:r>
    </w:p>
    <w:p>
      <w:pPr>
        <w:spacing w:after="0" w:line="143" w:lineRule="exact"/>
        <w:rPr>
          <w:sz w:val="20"/>
          <w:szCs w:val="20"/>
          <w:color w:val="auto"/>
        </w:rPr>
      </w:pPr>
    </w:p>
    <w:p>
      <w:pPr>
        <w:ind w:left="300" w:hanging="295"/>
        <w:spacing w:after="0"/>
        <w:tabs>
          <w:tab w:leader="none" w:pos="300" w:val="left"/>
        </w:tabs>
        <w:numPr>
          <w:ilvl w:val="0"/>
          <w:numId w:val="54"/>
        </w:numPr>
        <w:rPr>
          <w:rFonts w:ascii="Arial" w:cs="Arial" w:eastAsia="Arial" w:hAnsi="Arial"/>
          <w:sz w:val="17"/>
          <w:szCs w:val="17"/>
          <w:b w:val="1"/>
          <w:bCs w:val="1"/>
          <w:color w:val="006098"/>
        </w:rPr>
      </w:pPr>
      <w:r>
        <w:rPr>
          <w:rFonts w:ascii="Arial" w:cs="Arial" w:eastAsia="Arial" w:hAnsi="Arial"/>
          <w:sz w:val="14"/>
          <w:szCs w:val="14"/>
          <w:color w:val="131E29"/>
        </w:rPr>
        <w:t>Working capital management and efficiencies with new shop openings.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Investing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investing activities cash outflows was primarily driven by:</w:t>
      </w:r>
    </w:p>
    <w:p>
      <w:pPr>
        <w:spacing w:after="0" w:line="143" w:lineRule="exact"/>
        <w:rPr>
          <w:sz w:val="20"/>
          <w:szCs w:val="20"/>
          <w:color w:val="auto"/>
        </w:rPr>
      </w:pPr>
    </w:p>
    <w:p>
      <w:pPr>
        <w:ind w:left="300" w:hanging="295"/>
        <w:spacing w:after="0"/>
        <w:tabs>
          <w:tab w:leader="none" w:pos="300" w:val="left"/>
        </w:tabs>
        <w:numPr>
          <w:ilvl w:val="0"/>
          <w:numId w:val="55"/>
        </w:numPr>
        <w:rPr>
          <w:rFonts w:ascii="Arial" w:cs="Arial" w:eastAsia="Arial" w:hAnsi="Arial"/>
          <w:sz w:val="17"/>
          <w:szCs w:val="17"/>
          <w:b w:val="1"/>
          <w:bCs w:val="1"/>
          <w:color w:val="006098"/>
        </w:rPr>
      </w:pPr>
      <w:r>
        <w:rPr>
          <w:rFonts w:ascii="Arial" w:cs="Arial" w:eastAsia="Arial" w:hAnsi="Arial"/>
          <w:sz w:val="14"/>
          <w:szCs w:val="14"/>
          <w:color w:val="auto"/>
        </w:rPr>
        <w:t>Investment in capital expenditures as a result of new company-operated shop openings.</w:t>
      </w:r>
    </w:p>
    <w:p>
      <w:pPr>
        <w:spacing w:after="0" w:line="132" w:lineRule="exact"/>
        <w:rPr>
          <w:sz w:val="20"/>
          <w:szCs w:val="20"/>
          <w:color w:val="auto"/>
        </w:rPr>
      </w:pPr>
    </w:p>
    <w:p>
      <w:pPr>
        <w:ind w:left="240" w:hanging="235"/>
        <w:spacing w:after="0"/>
        <w:tabs>
          <w:tab w:leader="none" w:pos="240" w:val="left"/>
        </w:tabs>
        <w:numPr>
          <w:ilvl w:val="0"/>
          <w:numId w:val="56"/>
        </w:numPr>
        <w:rPr>
          <w:rFonts w:ascii="Arial" w:cs="Arial" w:eastAsia="Arial" w:hAnsi="Arial"/>
          <w:sz w:val="17"/>
          <w:szCs w:val="17"/>
          <w:b w:val="1"/>
          <w:bCs w:val="1"/>
          <w:color w:val="D7282F"/>
        </w:rPr>
      </w:pPr>
      <w:r>
        <w:rPr>
          <w:rFonts w:ascii="Arial" w:cs="Arial" w:eastAsia="Arial" w:hAnsi="Arial"/>
          <w:sz w:val="14"/>
          <w:szCs w:val="14"/>
          <w:color w:val="auto"/>
        </w:rPr>
        <w:t>Shop acquisitions in the prior year compared to n</w:t>
      </w:r>
      <w:r>
        <w:rPr>
          <w:rFonts w:ascii="Arial" w:cs="Arial" w:eastAsia="Arial" w:hAnsi="Arial"/>
          <w:sz w:val="14"/>
          <w:szCs w:val="14"/>
          <w:color w:val="242424"/>
        </w:rPr>
        <w:t>o acquisitions in the current year.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Financing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financing activities cash flows was primarily driven by:</w:t>
      </w:r>
    </w:p>
    <w:p>
      <w:pPr>
        <w:spacing w:after="0" w:line="143" w:lineRule="exact"/>
        <w:rPr>
          <w:sz w:val="20"/>
          <w:szCs w:val="20"/>
          <w:color w:val="auto"/>
        </w:rPr>
      </w:pPr>
    </w:p>
    <w:p>
      <w:pPr>
        <w:ind w:left="300" w:hanging="295"/>
        <w:spacing w:after="0"/>
        <w:tabs>
          <w:tab w:leader="none" w:pos="300" w:val="left"/>
        </w:tabs>
        <w:numPr>
          <w:ilvl w:val="0"/>
          <w:numId w:val="57"/>
        </w:numPr>
        <w:rPr>
          <w:rFonts w:ascii="Arial" w:cs="Arial" w:eastAsia="Arial" w:hAnsi="Arial"/>
          <w:sz w:val="17"/>
          <w:szCs w:val="17"/>
          <w:b w:val="1"/>
          <w:bCs w:val="1"/>
          <w:color w:val="006098"/>
        </w:rPr>
      </w:pPr>
      <w:r>
        <w:rPr>
          <w:rFonts w:ascii="Arial" w:cs="Arial" w:eastAsia="Arial" w:hAnsi="Arial"/>
          <w:sz w:val="14"/>
          <w:szCs w:val="14"/>
          <w:color w:val="131E29"/>
        </w:rPr>
        <w:t>Proceeds from our Follow-On Offering in September 2023.</w:t>
      </w:r>
    </w:p>
    <w:p>
      <w:pPr>
        <w:spacing w:after="0" w:line="132" w:lineRule="exact"/>
        <w:rPr>
          <w:sz w:val="20"/>
          <w:szCs w:val="20"/>
          <w:color w:val="auto"/>
        </w:rPr>
      </w:pPr>
    </w:p>
    <w:p>
      <w:pPr>
        <w:ind w:left="240" w:hanging="235"/>
        <w:spacing w:after="0"/>
        <w:tabs>
          <w:tab w:leader="none" w:pos="240" w:val="left"/>
        </w:tabs>
        <w:numPr>
          <w:ilvl w:val="0"/>
          <w:numId w:val="58"/>
        </w:numPr>
        <w:rPr>
          <w:rFonts w:ascii="Arial" w:cs="Arial" w:eastAsia="Arial" w:hAnsi="Arial"/>
          <w:sz w:val="17"/>
          <w:szCs w:val="17"/>
          <w:b w:val="1"/>
          <w:bCs w:val="1"/>
          <w:color w:val="D7282F"/>
        </w:rPr>
      </w:pPr>
      <w:r>
        <w:rPr>
          <w:rFonts w:ascii="Arial" w:cs="Arial" w:eastAsia="Arial" w:hAnsi="Arial"/>
          <w:sz w:val="14"/>
          <w:szCs w:val="14"/>
          <w:color w:val="242424"/>
        </w:rPr>
        <w:t>Payoff of our revolving credit facility</w:t>
      </w:r>
      <w:r>
        <w:rPr>
          <w:rFonts w:ascii="Arial" w:cs="Arial" w:eastAsia="Arial" w:hAnsi="Arial"/>
          <w:sz w:val="14"/>
          <w:szCs w:val="14"/>
          <w:color w:val="000000"/>
        </w:rPr>
        <w: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Requirements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believe that proceeds from our Follow-On Offering, 2022 Credit Facility, and cash provided by operating activities are adequate to fund our debt service requirements, lease obligations, and working capital obligations for at least the next 12 months.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future capital requirements may vary materially from period to period and will depend on many factors, primarily our expansion and growth by opening additional company-operated shops and/or reacquiring existing franchised shops. We currently expect to fund our current and long-term material capital requirements with operating cash flows and, as needed, additional proceeds from our 2022 Credit Facility, but we may also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3" w:name="page84"/>
    <w:bookmarkEnd w:id="8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193" w:lineRule="exact"/>
        <w:rPr>
          <w:sz w:val="20"/>
          <w:szCs w:val="20"/>
          <w:color w:val="auto"/>
        </w:rPr>
      </w:pPr>
      <w:r>
        <w:rPr>
          <w:rFonts w:ascii="Arial" w:cs="Arial" w:eastAsia="Arial" w:hAnsi="Arial"/>
          <w:sz w:val="14"/>
          <w:szCs w:val="14"/>
          <w:color w:val="131E29"/>
        </w:rPr>
        <w:t>From time to time, we may explore additional financing sources which could include equity, equity</w:t>
      </w:r>
      <w:r>
        <w:rPr>
          <w:rFonts w:ascii="MS PGothic" w:cs="MS PGothic" w:eastAsia="MS PGothic" w:hAnsi="MS PGothic"/>
          <w:sz w:val="14"/>
          <w:szCs w:val="14"/>
          <w:color w:val="131E29"/>
        </w:rPr>
        <w:t>‑</w:t>
      </w:r>
      <w:r>
        <w:rPr>
          <w:rFonts w:ascii="Arial" w:cs="Arial" w:eastAsia="Arial" w:hAnsi="Arial"/>
          <w:sz w:val="14"/>
          <w:szCs w:val="14"/>
          <w:color w:val="131E29"/>
        </w:rPr>
        <w:t>linked, and debt financing arrangements. Further, the payments that we may be required to make under the TRAs may be significant, and we are currently unable to estimate the timing of the payments that may be due thereunder.</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Other than operating expenses, including approximately $24 million to $31 million in costs related to our organizational realignment and restructuring initiative, our cash requirements for 2024 are expected to consist primarily of capital expenditures for investments in our new and existing shops, our supply chain, and our corporate facilities, including a new roasting facility that is estimated to be approximately $10 million in incremental spend. The total capital expenditures for 2024 are estimated to be approximately $280 million to $320 million, including approximately $6 million to $10 million related to our organizational realignment and restructuring initiative.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Our current and long-term material cash requirements as of December 31, 2023, primarily include the following:</w:t>
      </w:r>
    </w:p>
    <w:p>
      <w:pPr>
        <w:spacing w:after="0" w:line="135" w:lineRule="exact"/>
        <w:rPr>
          <w:sz w:val="20"/>
          <w:szCs w:val="20"/>
          <w:color w:val="auto"/>
        </w:rPr>
      </w:pPr>
    </w:p>
    <w:p>
      <w:pPr>
        <w:ind w:left="260" w:hanging="255"/>
        <w:spacing w:after="0" w:line="288" w:lineRule="auto"/>
        <w:tabs>
          <w:tab w:leader="none" w:pos="256" w:val="left"/>
        </w:tabs>
        <w:numPr>
          <w:ilvl w:val="0"/>
          <w:numId w:val="59"/>
        </w:numPr>
        <w:rPr>
          <w:rFonts w:ascii="Arial" w:cs="Arial" w:eastAsia="Arial" w:hAnsi="Arial"/>
          <w:sz w:val="14"/>
          <w:szCs w:val="14"/>
          <w:color w:val="131E29"/>
        </w:rPr>
      </w:pPr>
      <w:r>
        <w:rPr>
          <w:rFonts w:ascii="Arial" w:cs="Arial" w:eastAsia="Arial" w:hAnsi="Arial"/>
          <w:sz w:val="14"/>
          <w:szCs w:val="14"/>
          <w:b w:val="1"/>
          <w:bCs w:val="1"/>
          <w:color w:val="006098"/>
        </w:rPr>
        <w:t xml:space="preserve">Debt Obligations: </w:t>
      </w:r>
      <w:r>
        <w:rPr>
          <w:rFonts w:ascii="Arial" w:cs="Arial" w:eastAsia="Arial" w:hAnsi="Arial"/>
          <w:sz w:val="14"/>
          <w:szCs w:val="14"/>
          <w:color w:val="131E29"/>
        </w:rPr>
        <w:t>Refer to NOTE 9 — Debt, of the notes to the consolidated financial statements, included elsewhere in this Form 10-K, for further information of our</w:t>
      </w:r>
      <w:r>
        <w:rPr>
          <w:rFonts w:ascii="Arial" w:cs="Arial" w:eastAsia="Arial" w:hAnsi="Arial"/>
          <w:sz w:val="14"/>
          <w:szCs w:val="14"/>
          <w:b w:val="1"/>
          <w:bCs w:val="1"/>
          <w:color w:val="006098"/>
        </w:rPr>
        <w:t xml:space="preserve"> </w:t>
      </w:r>
      <w:r>
        <w:rPr>
          <w:rFonts w:ascii="Arial" w:cs="Arial" w:eastAsia="Arial" w:hAnsi="Arial"/>
          <w:sz w:val="14"/>
          <w:szCs w:val="14"/>
          <w:color w:val="131E29"/>
        </w:rPr>
        <w:t>obligations and the timing of expected payments.</w:t>
      </w:r>
    </w:p>
    <w:p>
      <w:pPr>
        <w:spacing w:after="0" w:line="78"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59"/>
        </w:numPr>
        <w:rPr>
          <w:rFonts w:ascii="Arial" w:cs="Arial" w:eastAsia="Arial" w:hAnsi="Arial"/>
          <w:sz w:val="14"/>
          <w:szCs w:val="14"/>
          <w:color w:val="131E29"/>
        </w:rPr>
      </w:pPr>
      <w:r>
        <w:rPr>
          <w:rFonts w:ascii="Arial" w:cs="Arial" w:eastAsia="Arial" w:hAnsi="Arial"/>
          <w:sz w:val="14"/>
          <w:szCs w:val="14"/>
          <w:b w:val="1"/>
          <w:bCs w:val="1"/>
          <w:color w:val="006098"/>
        </w:rPr>
        <w:t xml:space="preserve">Operating and Finance Leases: </w:t>
      </w:r>
      <w:r>
        <w:rPr>
          <w:rFonts w:ascii="Arial" w:cs="Arial" w:eastAsia="Arial" w:hAnsi="Arial"/>
          <w:sz w:val="14"/>
          <w:szCs w:val="14"/>
          <w:color w:val="131E29"/>
        </w:rPr>
        <w:t>Refer to NOTE 8 — Leases, of the notes to the consolidated financial statements, included elsewhere in this Form 10-K, for further information</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obligations and the timing of expected payments.</w:t>
      </w:r>
    </w:p>
    <w:p>
      <w:pPr>
        <w:spacing w:after="0" w:line="78" w:lineRule="exact"/>
        <w:rPr>
          <w:rFonts w:ascii="Arial" w:cs="Arial" w:eastAsia="Arial" w:hAnsi="Arial"/>
          <w:sz w:val="14"/>
          <w:szCs w:val="14"/>
          <w:color w:val="131E29"/>
        </w:rPr>
      </w:pPr>
    </w:p>
    <w:p>
      <w:pPr>
        <w:jc w:val="both"/>
        <w:ind w:left="260" w:hanging="255"/>
        <w:spacing w:after="0" w:line="270" w:lineRule="auto"/>
        <w:tabs>
          <w:tab w:leader="none" w:pos="256" w:val="left"/>
        </w:tabs>
        <w:numPr>
          <w:ilvl w:val="0"/>
          <w:numId w:val="59"/>
        </w:numPr>
        <w:rPr>
          <w:rFonts w:ascii="Arial" w:cs="Arial" w:eastAsia="Arial" w:hAnsi="Arial"/>
          <w:sz w:val="14"/>
          <w:szCs w:val="14"/>
          <w:color w:val="131E29"/>
        </w:rPr>
      </w:pPr>
      <w:r>
        <w:rPr>
          <w:rFonts w:ascii="Arial" w:cs="Arial" w:eastAsia="Arial" w:hAnsi="Arial"/>
          <w:sz w:val="14"/>
          <w:szCs w:val="14"/>
          <w:b w:val="1"/>
          <w:bCs w:val="1"/>
          <w:color w:val="006098"/>
        </w:rPr>
        <w:t xml:space="preserve">Purchase Obligations: </w:t>
      </w:r>
      <w:r>
        <w:rPr>
          <w:rFonts w:ascii="Arial" w:cs="Arial" w:eastAsia="Arial" w:hAnsi="Arial"/>
          <w:sz w:val="14"/>
          <w:szCs w:val="14"/>
          <w:color w:val="131E29"/>
        </w:rPr>
        <w:t>include all legally binding contracts, including firm minimum commitments for inventory purchases, commitments for the purchase, construction or</w:t>
      </w:r>
      <w:r>
        <w:rPr>
          <w:rFonts w:ascii="Arial" w:cs="Arial" w:eastAsia="Arial" w:hAnsi="Arial"/>
          <w:sz w:val="14"/>
          <w:szCs w:val="14"/>
          <w:b w:val="1"/>
          <w:bCs w:val="1"/>
          <w:color w:val="006098"/>
        </w:rPr>
        <w:t xml:space="preserve"> </w:t>
      </w:r>
      <w:r>
        <w:rPr>
          <w:rFonts w:ascii="Arial" w:cs="Arial" w:eastAsia="Arial" w:hAnsi="Arial"/>
          <w:sz w:val="14"/>
          <w:szCs w:val="14"/>
          <w:color w:val="131E29"/>
        </w:rPr>
        <w:t>remodeling of real estate facilities, equipment purchases, marketing-related contracts, software acquisition/license commitments and service contracts. As of December 31, 2023, purchase obligations were approximately $180 million, of which substantially all are expected to be paid within one to two years.</w:t>
      </w:r>
    </w:p>
    <w:p>
      <w:pPr>
        <w:spacing w:after="0" w:line="90" w:lineRule="exact"/>
        <w:rPr>
          <w:rFonts w:ascii="Arial" w:cs="Arial" w:eastAsia="Arial" w:hAnsi="Arial"/>
          <w:sz w:val="14"/>
          <w:szCs w:val="14"/>
          <w:color w:val="131E29"/>
        </w:rPr>
      </w:pPr>
    </w:p>
    <w:p>
      <w:pPr>
        <w:ind w:left="260" w:hanging="255"/>
        <w:spacing w:after="0" w:line="288" w:lineRule="auto"/>
        <w:tabs>
          <w:tab w:leader="none" w:pos="256" w:val="left"/>
        </w:tabs>
        <w:numPr>
          <w:ilvl w:val="0"/>
          <w:numId w:val="59"/>
        </w:numPr>
        <w:rPr>
          <w:rFonts w:ascii="Arial" w:cs="Arial" w:eastAsia="Arial" w:hAnsi="Arial"/>
          <w:sz w:val="14"/>
          <w:szCs w:val="14"/>
          <w:color w:val="131E29"/>
        </w:rPr>
      </w:pPr>
      <w:r>
        <w:rPr>
          <w:rFonts w:ascii="Arial" w:cs="Arial" w:eastAsia="Arial" w:hAnsi="Arial"/>
          <w:sz w:val="14"/>
          <w:szCs w:val="14"/>
          <w:b w:val="1"/>
          <w:bCs w:val="1"/>
          <w:color w:val="006098"/>
        </w:rPr>
        <w:t xml:space="preserve">TRAs Obligations: </w:t>
      </w:r>
      <w:r>
        <w:rPr>
          <w:rFonts w:ascii="Arial" w:cs="Arial" w:eastAsia="Arial" w:hAnsi="Arial"/>
          <w:sz w:val="14"/>
          <w:szCs w:val="14"/>
          <w:color w:val="131E29"/>
        </w:rPr>
        <w:t>Refer to NOTE 11 — Tax Receivable Agreements and NOTE 17 — Commitments and Contingencies, of the notes to the consolidated financial statements,</w:t>
      </w:r>
      <w:r>
        <w:rPr>
          <w:rFonts w:ascii="Arial" w:cs="Arial" w:eastAsia="Arial" w:hAnsi="Arial"/>
          <w:sz w:val="14"/>
          <w:szCs w:val="14"/>
          <w:b w:val="1"/>
          <w:bCs w:val="1"/>
          <w:color w:val="006098"/>
        </w:rPr>
        <w:t xml:space="preserve"> </w:t>
      </w:r>
      <w:r>
        <w:rPr>
          <w:rFonts w:ascii="Arial" w:cs="Arial" w:eastAsia="Arial" w:hAnsi="Arial"/>
          <w:sz w:val="14"/>
          <w:szCs w:val="14"/>
          <w:color w:val="131E29"/>
        </w:rPr>
        <w:t>included elsewhere in this Form 10-K, for further information of our obligations.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Follow-On Offering</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On September 12, 2023, Dutch Bros Inc. completed a follow-on offering of approximately 13.3 million shares of Class A common stock at a public offering price of $26.00 per share, which included approximately 1.7 million shares issued pursuant to the exercise in full of the underwriters’ option to purchase additional shares. This resulted in proceeds of approximately $331.2 million, net of underwriting discounts and commissions. The proceeds were used to purchase an equal number of Class A common units of Dutch Bros OpCo. Dutch Bros OpCo used the proceeds for working capital and general corporate purposes, including principal repayment of $202.7 million of our revolving credit facility, and for payment of offering costs of approximately $1.1 million. The offering costs were charged to additional paid-in capital on our consolidated balance sheet.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JP Morgan Credit Facility</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On August 4, 2023, the Company amended its senior secured credit facility, dated February 28, 2022 with JP 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4" w:name="page85"/>
    <w:bookmarkEnd w:id="8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Obligations under the 2022 Credit Facility are guaranteed by each of Dutch Bros Inc.’s subsidiaries, and secured by a first priority perfected security interest in substantially all of the assets of the guarantors.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Approximately $202.7 million of proceeds from our September 2023 Follow-On Offering were used to pay off the balance of the revolving credit facility as of the repayment date.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Interest Rate Swap Contract</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has an interest rate swap with JPMorgan Chase Bank, N.A. The interest rate swap has a notional amount of $70 million and hedges interest rate risk on the term loan under the 2022 Credit Facility. The purpose of the floating-to-fixed interest rate swap is to fix the interest base rate charged on the term loan at 2.67% for the $70 million notional amount. The interest rate swap matures on February 28, 2027. There were no changes to the interest rate swap contract resulting from the amendment to our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131E29"/>
        </w:rPr>
        <w:t>See NOTE 9 — Debt and NOTE 10 — Derivative Financial Instruments for additional details related to our 2022 Credit Facility and interest rate swap contract.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Critical Accounting Estimates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Refer to NOTE 2 — Basis of Presentation and Summary of Significant Accounting Policies within the consolidated financial statements, included elsewhere in this Form 10-K, for further information on our critical accounting estimates and policies, which are as follows: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Leases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At the commencement of each lease, we evaluate the lease agreement to determine whether it is an operating or finance lease. The evaluation requires significant judgments in determining the fair value of the lease right-of-use asset and the lease liability and appropriate lease terms.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Our lease agreements generally do not provide an implicit interest rate; as such, the discount rate used to measure the initial lease liability is equal to the rate the Company would pay on a collateralized basis to borrow an amount equal to the lease payments under similar terms. Management uses a specialist to determine the discount rate, which is subject to fluctuation based on market interest rates and our credit risk profile.</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We also estimate the lease term at commencement. The lease term commences on the date when we take possession of the leased property. To determine the length of the lease term at inception, we consider both termination and renewal option periods available. Reasonably certain renewal periods are included in the lease term at commencement.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Variations in judgment applied to these estimates could result in material differences such as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5" w:name="page86"/>
    <w:bookmarkEnd w:id="8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hanging="95"/>
        <w:spacing w:after="0"/>
        <w:tabs>
          <w:tab w:leader="none" w:pos="100" w:val="left"/>
        </w:tabs>
        <w:numPr>
          <w:ilvl w:val="0"/>
          <w:numId w:val="60"/>
        </w:numPr>
        <w:rPr>
          <w:rFonts w:ascii="Arial" w:cs="Arial" w:eastAsia="Arial" w:hAnsi="Arial"/>
          <w:sz w:val="14"/>
          <w:szCs w:val="14"/>
          <w:color w:val="131E29"/>
        </w:rPr>
      </w:pPr>
      <w:r>
        <w:rPr>
          <w:rFonts w:ascii="Arial" w:cs="Arial" w:eastAsia="Arial" w:hAnsi="Arial"/>
          <w:sz w:val="14"/>
          <w:szCs w:val="14"/>
          <w:color w:val="131E29"/>
        </w:rPr>
        <w:t>Lease expenses, including rent, depreciation and amortization</w:t>
      </w:r>
    </w:p>
    <w:p>
      <w:pPr>
        <w:spacing w:after="0" w:line="134" w:lineRule="exact"/>
        <w:rPr>
          <w:rFonts w:ascii="Arial" w:cs="Arial" w:eastAsia="Arial" w:hAnsi="Arial"/>
          <w:sz w:val="14"/>
          <w:szCs w:val="14"/>
          <w:color w:val="131E29"/>
        </w:rPr>
      </w:pPr>
    </w:p>
    <w:p>
      <w:pPr>
        <w:ind w:left="100" w:hanging="95"/>
        <w:spacing w:after="0"/>
        <w:tabs>
          <w:tab w:leader="none" w:pos="100" w:val="left"/>
        </w:tabs>
        <w:numPr>
          <w:ilvl w:val="0"/>
          <w:numId w:val="60"/>
        </w:numPr>
        <w:rPr>
          <w:rFonts w:ascii="Arial" w:cs="Arial" w:eastAsia="Arial" w:hAnsi="Arial"/>
          <w:sz w:val="14"/>
          <w:szCs w:val="14"/>
          <w:color w:val="131E29"/>
        </w:rPr>
      </w:pPr>
      <w:r>
        <w:rPr>
          <w:rFonts w:ascii="Arial" w:cs="Arial" w:eastAsia="Arial" w:hAnsi="Arial"/>
          <w:sz w:val="14"/>
          <w:szCs w:val="14"/>
          <w:color w:val="131E29"/>
        </w:rPr>
        <w:t>Present value of lease right-of-use assets and lease liabilities</w:t>
      </w:r>
    </w:p>
    <w:p>
      <w:pPr>
        <w:spacing w:after="0" w:line="134" w:lineRule="exact"/>
        <w:rPr>
          <w:rFonts w:ascii="Arial" w:cs="Arial" w:eastAsia="Arial" w:hAnsi="Arial"/>
          <w:sz w:val="14"/>
          <w:szCs w:val="14"/>
          <w:color w:val="131E29"/>
        </w:rPr>
      </w:pPr>
    </w:p>
    <w:p>
      <w:pPr>
        <w:ind w:left="100" w:hanging="95"/>
        <w:spacing w:after="0"/>
        <w:tabs>
          <w:tab w:leader="none" w:pos="100" w:val="left"/>
        </w:tabs>
        <w:numPr>
          <w:ilvl w:val="0"/>
          <w:numId w:val="60"/>
        </w:numPr>
        <w:rPr>
          <w:rFonts w:ascii="Arial" w:cs="Arial" w:eastAsia="Arial" w:hAnsi="Arial"/>
          <w:sz w:val="14"/>
          <w:szCs w:val="14"/>
          <w:color w:val="131E29"/>
        </w:rPr>
      </w:pPr>
      <w:r>
        <w:rPr>
          <w:rFonts w:ascii="Arial" w:cs="Arial" w:eastAsia="Arial" w:hAnsi="Arial"/>
          <w:sz w:val="14"/>
          <w:szCs w:val="14"/>
          <w:color w:val="131E29"/>
        </w:rPr>
        <w:t>Reasonably certain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See NOTE 8 — Leases for further details.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Income Taxes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 determining the provision for income taxes, we make estimates and judgments which affect our evaluation of the carrying value of our deferred tax assets as well as our calculation of certain tax liabilities. We evaluate the carrying value of our deferred tax assets on a quarterly basis. In completing this evaluation, we consider all available positive and negative evidence. Such evidence includes historical operating results, the existence of cumulative earnings and losses in the most recent fiscal years, taxable income in prior carryback year(s) if permitted under the tax law, expectations for future pre-tax operating income, the time period over which our temporary differences will reverse, and the implementation of feasible and prudent tax planning strategies. Estimating future taxable income is inherently uncertain and requires judgment.</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Our expense/(benefit) for income taxes, deferred tax assets and liabilities including valuation allowance requires the use of estimates based on our management’s interpretation and application of complex tax laws and accounting guidance.</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 See NOTE 12 — Income Taxes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Tax Receivable Agreements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 connection with our IPO, we entered into two TRAs with the Continuing Members and Pre-IPO Blocker Holders. The TRAs generally provide for us to pay the Continuing Members and Pre-IPO Blocker Holders 85% of the net cash savings, if any, in U.S. federal, state and local income tax or franchise tax that we actually realize or are deemed to realize in certain circumstances. We will retain the benefit of the remaining 15% of these net cash savings. As of December 31, 2023, we recognized $290.9 million of liabilities relating to our obligations under the TRAs.</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Changes in the projected TRAs liability resulting from these tax benefit arrangements may occur based on changes in anticipated future taxable income, changes in applicable tax rates or other changes in tax attributes that may occur and impact the expected future tax benefits to be received by the Company. Estimating future taxable income is a key input in calculating the TRAs liability, and is inherently uncertain and requires judgment. In projecting future taxable income, we consider our historical results and incorporate certain assumptions. See NOTE 11 — Tax Receivable Agreements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Non-GAAP Financial Measures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contribution (in dollars and as a percentage of 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Company-operated segment gross profit, before company-operated shop depreciation and amortization. Company-operated shop contribution in dollars (as defined), taken as a percentage of company-operated shop revenue.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This non-GAAP measure is used by our management in making performance decisions without the impact of non-cash depreciation and amortization charges. This is a standard metric used across our industry by investors.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EBITDA, Adjusted EBITDA (in dollars and as a percentage of 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EBITDA — definition and/or calculation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Net income (loss) before interest expense (net of interest income), income tax expense (benefit), and depreciation and amortization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Adjusted EBITDA — definition and/or calculation</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Defined as EBITDA (as defined above), excluding equity-based compensation, expenses and donations associated with equity offerings, COVID-19: “Thank You” pay and catastrophic leave expenses, COVID-19: prepaid costs not utilized, costs incurred for company-wide milestone events, executives transitions costs, (gain) loss on the remeasurement of the liability related to the TRAs, estimated expenses related to certain legal disputes, and organization realignment and restructuring costs.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131E29"/>
        </w:rPr>
        <w:t>Adjusted EBITDA in dollars (as defined), taken as a percentage of total revenue.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Adjusted selling, general, and administrative (in dollars and as a percentage of 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Selling, general, and administrative expenses, excluding equity-based compensation expense, expenses and donations associated with equity offerings, COVID-19: prepaid costs not utilized, costs incurred for company-wide milestone events, executives transitions, estimated expense related to certain legal disputes, and organization realignment and restructuring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7" w:name="page88"/>
    <w:bookmarkEnd w:id="8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Adjusted selling, general, and administrative in dollars (as defined), taken as a percentage of total revenue.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Non-GAAP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Below are the definitions of the non-GAAP adjustments that are used in the calculation of our non-GAAP measures, as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Non-cash expenses related to the grant and vesting of stock awards, restricted stock awards and restricted stock units in Dutch Bros Inc. and/or Profit Interest Units in Dutch Bros OpCo to certain eligible employees.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Expenses associated with equity offerings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Costs incurred as a result of our equity offerings. These costs include legal fees, consulting fees, tax and accounting fees, and payroll taxes related to the grant and vesting of equity awards for certain employees.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Donations associated with equity offerings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In connection with our IPO, we made a donation to the Foundation. This donation is separate from other donations to the Foundation that we may periodically make.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COVID-19: “Thank You” pay and catastrophic leave</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The catastrophic leave program was retired in May 2023.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COVID-19: Prepaid costs not utilized</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Milestone events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Costs incurred for company-wide events to celebrate 30 years of serving high QUALITY, hand-crafted beverages with unparalleled SPEED and superior SERVICE to our customers.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Executives transition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Employee severance and related benefit costs, as well as sign-on bonus(es) for several executive-level transitions occurring in 2022 and 2023.</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TRAs remeasurements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(Gain) loss impacts on consolidated statements of operations related to adjustments of our TRAs liabilities.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8" w:name="page89"/>
    <w:bookmarkEnd w:id="8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Legal proceedings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Estimated loss accrual related to certain legal disputes.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Organization realignment and restructuring</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Fees and costs, including consulting fees and costs, related to a comprehensive initiative to develop and implement a long-term strategy involving changes to our organizational structure to support our growth, and the resulting realignment activities that have occurred in 2023 and are expected to continue for at least the next two years. Given this strategic initiative's magnitude and scope, the Company does not expect such costs will recur in the foreseeable future. The Company does not consider such costs reflective of the ongoing costs necessary to operate its business.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131E29"/>
        </w:rPr>
        <w:t>Following are the reconciliations of the most comparable GAAP metric to non-GAAP metrics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131E29"/>
              </w:rPr>
              <w:t>Year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02"/>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2022</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131E29"/>
              </w:rPr>
              <w:t>2021</w:t>
            </w:r>
          </w:p>
        </w:tc>
        <w:tc>
          <w:tcPr>
            <w:tcW w:w="540" w:type="dxa"/>
            <w:vAlign w:val="bottom"/>
            <w:tcBorders>
              <w:bottom w:val="single" w:sz="8" w:color="auto"/>
            </w:tcBorders>
          </w:tcPr>
          <w:p>
            <w:pPr>
              <w:spacing w:after="0"/>
              <w:rPr>
                <w:sz w:val="17"/>
                <w:szCs w:val="17"/>
                <w:color w:val="auto"/>
              </w:rPr>
            </w:pPr>
          </w:p>
        </w:tc>
      </w:tr>
      <w:tr>
        <w:trPr>
          <w:trHeight w:val="202"/>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131E29"/>
              </w:rPr>
              <w:t>%</w:t>
            </w:r>
          </w:p>
        </w:tc>
      </w:tr>
      <w:tr>
        <w:trPr>
          <w:trHeight w:val="208"/>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gross profit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180,235</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19.0</w:t>
            </w:r>
          </w:p>
        </w:tc>
        <w:tc>
          <w:tcPr>
            <w:tcW w:w="80" w:type="dxa"/>
            <w:vAlign w:val="bottom"/>
            <w:shd w:val="clear" w:color="auto" w:fill="D2DCE5"/>
          </w:tcPr>
          <w:p>
            <w:pPr>
              <w:spacing w:after="0"/>
              <w:rPr>
                <w:sz w:val="18"/>
                <w:szCs w:val="18"/>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86,701</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21.5</w:t>
            </w:r>
          </w:p>
        </w:tc>
      </w:tr>
      <w:tr>
        <w:trPr>
          <w:trHeight w:val="202"/>
        </w:trPr>
        <w:tc>
          <w:tcPr>
            <w:tcW w:w="59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62,088</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7.2</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5.6</w:t>
            </w: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16,291</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4.0</w:t>
            </w:r>
          </w:p>
        </w:tc>
      </w:tr>
      <w:tr>
        <w:trPr>
          <w:trHeight w:val="231"/>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contribution</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242,323</w:t>
            </w:r>
          </w:p>
        </w:tc>
        <w:tc>
          <w:tcPr>
            <w:tcW w:w="80" w:type="dxa"/>
            <w:vAlign w:val="bottom"/>
            <w:shd w:val="clear" w:color="auto" w:fill="D2DCE5"/>
          </w:tcPr>
          <w:p>
            <w:pPr>
              <w:spacing w:after="0"/>
              <w:rPr>
                <w:sz w:val="20"/>
                <w:szCs w:val="20"/>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28.2</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shd w:val="clear" w:color="auto" w:fill="D2DCE5"/>
          </w:tcPr>
          <w:p>
            <w:pPr>
              <w:spacing w:after="0"/>
              <w:rPr>
                <w:sz w:val="20"/>
                <w:szCs w:val="20"/>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w:t>
            </w:r>
          </w:p>
        </w:tc>
        <w:tc>
          <w:tcPr>
            <w:tcW w:w="80" w:type="dxa"/>
            <w:vAlign w:val="bottom"/>
            <w:shd w:val="clear" w:color="auto" w:fill="D2DCE5"/>
          </w:tcPr>
          <w:p>
            <w:pPr>
              <w:spacing w:after="0"/>
              <w:rPr>
                <w:sz w:val="20"/>
                <w:szCs w:val="20"/>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102,992</w:t>
            </w:r>
          </w:p>
        </w:tc>
        <w:tc>
          <w:tcPr>
            <w:tcW w:w="8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25.5</w:t>
            </w:r>
          </w:p>
        </w:tc>
      </w:tr>
      <w:tr>
        <w:trPr>
          <w:trHeight w:val="20"/>
        </w:trPr>
        <w:tc>
          <w:tcPr>
            <w:tcW w:w="58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131E29"/>
              </w:rPr>
              <w:t>Year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2022</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2"/>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131E29"/>
            </w:tcBorders>
          </w:tcPr>
          <w:p>
            <w:pPr>
              <w:jc w:val="right"/>
              <w:ind w:right="350"/>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131E29"/>
            </w:tcBorders>
          </w:tcPr>
          <w:p>
            <w:pPr>
              <w:jc w:val="right"/>
              <w:ind w:right="350"/>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920" w:type="dxa"/>
            <w:vAlign w:val="bottom"/>
            <w:tcBorders>
              <w:bottom w:val="single" w:sz="8" w:color="131E29"/>
            </w:tcBorders>
          </w:tcPr>
          <w:p>
            <w:pPr>
              <w:jc w:val="right"/>
              <w:ind w:right="49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131E29"/>
            </w:tcBorders>
          </w:tcPr>
          <w:p>
            <w:pPr>
              <w:jc w:val="right"/>
              <w:ind w:right="210"/>
              <w:spacing w:after="0"/>
              <w:rPr>
                <w:sz w:val="20"/>
                <w:szCs w:val="20"/>
                <w:color w:val="auto"/>
              </w:rPr>
            </w:pPr>
            <w:r>
              <w:rPr>
                <w:rFonts w:ascii="Arial" w:cs="Arial" w:eastAsia="Arial" w:hAnsi="Arial"/>
                <w:sz w:val="14"/>
                <w:szCs w:val="14"/>
                <w:b w:val="1"/>
                <w:bCs w:val="1"/>
                <w:color w:val="131E29"/>
              </w:rPr>
              <w:t>%</w:t>
            </w:r>
          </w:p>
        </w:tc>
      </w:tr>
      <w:tr>
        <w:trPr>
          <w:trHeight w:val="208"/>
        </w:trPr>
        <w:tc>
          <w:tcPr>
            <w:tcW w:w="56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Net income (loss)</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9,952</w:t>
            </w:r>
          </w:p>
        </w:tc>
        <w:tc>
          <w:tcPr>
            <w:tcW w:w="10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(19,253)</w:t>
            </w:r>
          </w:p>
        </w:tc>
        <w:tc>
          <w:tcPr>
            <w:tcW w:w="10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(117,931)</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(23.7)</w:t>
            </w:r>
          </w:p>
        </w:tc>
      </w:tr>
      <w:tr>
        <w:trPr>
          <w:trHeight w:val="202"/>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4"/>
                <w:szCs w:val="14"/>
                <w:color w:val="131E29"/>
              </w:rPr>
              <w:t>69,135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7.2</w:t>
            </w:r>
          </w:p>
        </w:tc>
        <w:tc>
          <w:tcPr>
            <w:tcW w:w="1020" w:type="dxa"/>
            <w:vAlign w:val="bottom"/>
            <w:gridSpan w:val="2"/>
          </w:tcPr>
          <w:p>
            <w:pPr>
              <w:jc w:val="right"/>
              <w:spacing w:after="0"/>
              <w:rPr>
                <w:sz w:val="20"/>
                <w:szCs w:val="20"/>
                <w:color w:val="auto"/>
              </w:rPr>
            </w:pPr>
            <w:r>
              <w:rPr>
                <w:rFonts w:ascii="Arial" w:cs="Arial" w:eastAsia="Arial" w:hAnsi="Arial"/>
                <w:sz w:val="14"/>
                <w:szCs w:val="14"/>
                <w:color w:val="131E29"/>
              </w:rPr>
              <w:t>44,728</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25,217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5.1</w:t>
            </w:r>
          </w:p>
        </w:tc>
      </w:tr>
      <w:tr>
        <w:trPr>
          <w:trHeight w:val="221"/>
        </w:trPr>
        <w:tc>
          <w:tcPr>
            <w:tcW w:w="56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Interest expense, net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32,321</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3.3</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7,093</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w:t>
            </w:r>
          </w:p>
        </w:tc>
      </w:tr>
      <w:tr>
        <w:trPr>
          <w:trHeight w:val="202"/>
        </w:trPr>
        <w:tc>
          <w:tcPr>
            <w:tcW w:w="56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Income tax expense (benefit)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6,967</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0.8</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2,599</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0.4</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(1,628)</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(0.3)</w:t>
            </w:r>
          </w:p>
        </w:tc>
      </w:tr>
      <w:tr>
        <w:trPr>
          <w:trHeight w:val="211"/>
        </w:trPr>
        <w:tc>
          <w:tcPr>
            <w:tcW w:w="5600" w:type="dxa"/>
            <w:vAlign w:val="bottom"/>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EBITDA</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118,375</w:t>
            </w:r>
          </w:p>
        </w:tc>
        <w:tc>
          <w:tcPr>
            <w:tcW w:w="100" w:type="dxa"/>
            <w:vAlign w:val="bottom"/>
            <w:shd w:val="clear" w:color="auto" w:fill="D2DCE5"/>
          </w:tcPr>
          <w:p>
            <w:pPr>
              <w:spacing w:after="0"/>
              <w:rPr>
                <w:sz w:val="18"/>
                <w:szCs w:val="18"/>
                <w:color w:val="auto"/>
              </w:rPr>
            </w:pPr>
          </w:p>
        </w:tc>
        <w:tc>
          <w:tcPr>
            <w:tcW w:w="7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12.3</w:t>
            </w:r>
          </w:p>
        </w:tc>
        <w:tc>
          <w:tcPr>
            <w:tcW w:w="80" w:type="dxa"/>
            <w:vAlign w:val="bottom"/>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46,092</w:t>
            </w:r>
          </w:p>
        </w:tc>
        <w:tc>
          <w:tcPr>
            <w:tcW w:w="100" w:type="dxa"/>
            <w:vAlign w:val="bottom"/>
            <w:shd w:val="clear" w:color="auto" w:fill="D2DCE5"/>
          </w:tcPr>
          <w:p>
            <w:pPr>
              <w:spacing w:after="0"/>
              <w:rPr>
                <w:sz w:val="18"/>
                <w:szCs w:val="18"/>
                <w:color w:val="auto"/>
              </w:rPr>
            </w:pPr>
          </w:p>
        </w:tc>
        <w:tc>
          <w:tcPr>
            <w:tcW w:w="7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6.2</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(87,249)</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(17.5)</w:t>
            </w:r>
          </w:p>
        </w:tc>
      </w:tr>
      <w:tr>
        <w:trPr>
          <w:trHeight w:val="192"/>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Equity-based compensation</w:t>
            </w:r>
          </w:p>
        </w:tc>
        <w:tc>
          <w:tcPr>
            <w:tcW w:w="940" w:type="dxa"/>
            <w:vAlign w:val="bottom"/>
          </w:tcPr>
          <w:p>
            <w:pPr>
              <w:jc w:val="right"/>
              <w:spacing w:after="0"/>
              <w:rPr>
                <w:sz w:val="20"/>
                <w:szCs w:val="20"/>
                <w:color w:val="auto"/>
              </w:rPr>
            </w:pPr>
            <w:r>
              <w:rPr>
                <w:rFonts w:ascii="Arial" w:cs="Arial" w:eastAsia="Arial" w:hAnsi="Arial"/>
                <w:sz w:val="14"/>
                <w:szCs w:val="14"/>
                <w:color w:val="131E29"/>
              </w:rPr>
              <w:t>39,222</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4.1</w:t>
            </w:r>
          </w:p>
        </w:tc>
        <w:tc>
          <w:tcPr>
            <w:tcW w:w="1020" w:type="dxa"/>
            <w:vAlign w:val="bottom"/>
            <w:gridSpan w:val="2"/>
          </w:tcPr>
          <w:p>
            <w:pPr>
              <w:jc w:val="right"/>
              <w:spacing w:after="0"/>
              <w:rPr>
                <w:sz w:val="20"/>
                <w:szCs w:val="20"/>
                <w:color w:val="auto"/>
              </w:rPr>
            </w:pPr>
            <w:r>
              <w:rPr>
                <w:rFonts w:ascii="Arial" w:cs="Arial" w:eastAsia="Arial" w:hAnsi="Arial"/>
                <w:sz w:val="14"/>
                <w:szCs w:val="14"/>
                <w:color w:val="131E29"/>
              </w:rPr>
              <w:t>41,657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157,716</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31.7</w:t>
            </w:r>
          </w:p>
        </w:tc>
      </w:tr>
      <w:tr>
        <w:trPr>
          <w:trHeight w:val="221"/>
        </w:trPr>
        <w:tc>
          <w:tcPr>
            <w:tcW w:w="56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0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BDBDB"/>
          </w:tcPr>
          <w:p>
            <w:pPr>
              <w:spacing w:after="0"/>
              <w:rPr>
                <w:sz w:val="19"/>
                <w:szCs w:val="19"/>
                <w:color w:val="auto"/>
              </w:rPr>
            </w:pPr>
          </w:p>
        </w:tc>
        <w:tc>
          <w:tcPr>
            <w:tcW w:w="10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80" w:type="dxa"/>
            <w:vAlign w:val="bottom"/>
            <w:gridSpan w:val="3"/>
            <w:shd w:val="clear" w:color="auto" w:fill="D2DCE5"/>
          </w:tcPr>
          <w:p>
            <w:pPr>
              <w:jc w:val="right"/>
              <w:ind w:right="420"/>
              <w:spacing w:after="0"/>
              <w:rPr>
                <w:sz w:val="20"/>
                <w:szCs w:val="20"/>
                <w:color w:val="auto"/>
              </w:rPr>
            </w:pPr>
            <w:r>
              <w:rPr>
                <w:rFonts w:ascii="Arial" w:cs="Arial" w:eastAsia="Arial" w:hAnsi="Arial"/>
                <w:sz w:val="14"/>
                <w:szCs w:val="14"/>
                <w:color w:val="131E29"/>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6,523</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w:t>
            </w:r>
          </w:p>
        </w:tc>
      </w:tr>
      <w:tr>
        <w:trPr>
          <w:trHeight w:val="202"/>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Donations associated with equity offerings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72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80" w:type="dxa"/>
            <w:vAlign w:val="bottom"/>
            <w:gridSpan w:val="3"/>
          </w:tcPr>
          <w:p>
            <w:pPr>
              <w:jc w:val="right"/>
              <w:ind w:right="420"/>
              <w:spacing w:after="0"/>
              <w:rPr>
                <w:sz w:val="20"/>
                <w:szCs w:val="20"/>
                <w:color w:val="auto"/>
              </w:rPr>
            </w:pPr>
            <w:r>
              <w:rPr>
                <w:rFonts w:ascii="Arial" w:cs="Arial" w:eastAsia="Arial" w:hAnsi="Arial"/>
                <w:sz w:val="14"/>
                <w:szCs w:val="14"/>
                <w:color w:val="131E29"/>
              </w:rPr>
              <w:t>—</w:t>
            </w:r>
          </w:p>
        </w:tc>
        <w:tc>
          <w:tcPr>
            <w:tcW w:w="920" w:type="dxa"/>
            <w:vAlign w:val="bottom"/>
          </w:tcPr>
          <w:p>
            <w:pPr>
              <w:jc w:val="right"/>
              <w:spacing w:after="0"/>
              <w:rPr>
                <w:sz w:val="20"/>
                <w:szCs w:val="20"/>
                <w:color w:val="auto"/>
              </w:rPr>
            </w:pPr>
            <w:r>
              <w:rPr>
                <w:rFonts w:ascii="Arial" w:cs="Arial" w:eastAsia="Arial" w:hAnsi="Arial"/>
                <w:sz w:val="14"/>
                <w:szCs w:val="14"/>
                <w:color w:val="131E29"/>
              </w:rPr>
              <w:t>3,792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0.7</w:t>
            </w:r>
          </w:p>
        </w:tc>
      </w:tr>
      <w:tr>
        <w:trPr>
          <w:trHeight w:val="221"/>
        </w:trPr>
        <w:tc>
          <w:tcPr>
            <w:tcW w:w="56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COVID-19: Thank You pay and catastrophic leave</w:t>
            </w:r>
          </w:p>
        </w:tc>
        <w:tc>
          <w:tcPr>
            <w:tcW w:w="10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1,468</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3,350</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0.7</w:t>
            </w:r>
          </w:p>
        </w:tc>
      </w:tr>
      <w:tr>
        <w:trPr>
          <w:trHeight w:val="202"/>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COVID-19: prepaid costs not utilized</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720" w:type="dxa"/>
            <w:vAlign w:val="bottom"/>
          </w:tcPr>
          <w:p>
            <w:pPr>
              <w:jc w:val="right"/>
              <w:spacing w:after="0"/>
              <w:rPr>
                <w:sz w:val="20"/>
                <w:szCs w:val="20"/>
                <w:color w:val="auto"/>
              </w:rPr>
            </w:pPr>
            <w:r>
              <w:rPr>
                <w:rFonts w:ascii="Arial" w:cs="Arial" w:eastAsia="Arial" w:hAnsi="Arial"/>
                <w:sz w:val="14"/>
                <w:szCs w:val="14"/>
                <w:color w:val="131E29"/>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131E29"/>
              </w:rPr>
              <w:t>2,305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1"/>
        </w:trPr>
        <w:tc>
          <w:tcPr>
            <w:tcW w:w="56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Milestone events</w:t>
            </w:r>
          </w:p>
        </w:tc>
        <w:tc>
          <w:tcPr>
            <w:tcW w:w="10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2,434</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0.3</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Executives transition</w:t>
            </w:r>
          </w:p>
        </w:tc>
        <w:tc>
          <w:tcPr>
            <w:tcW w:w="940" w:type="dxa"/>
            <w:vAlign w:val="bottom"/>
          </w:tcPr>
          <w:p>
            <w:pPr>
              <w:jc w:val="right"/>
              <w:spacing w:after="0"/>
              <w:rPr>
                <w:sz w:val="20"/>
                <w:szCs w:val="20"/>
                <w:color w:val="auto"/>
              </w:rPr>
            </w:pPr>
            <w:r>
              <w:rPr>
                <w:rFonts w:ascii="Arial" w:cs="Arial" w:eastAsia="Arial" w:hAnsi="Arial"/>
                <w:sz w:val="14"/>
                <w:szCs w:val="14"/>
                <w:color w:val="131E29"/>
              </w:rPr>
              <w:t>1,000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131E29"/>
              </w:rPr>
              <w:t>691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1"/>
        </w:trPr>
        <w:tc>
          <w:tcPr>
            <w:tcW w:w="56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TRAs remeasurement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(2,638)</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(0.3)</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(3,466)</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(0.4)</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11"/>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Legal proceedings</w:t>
            </w:r>
          </w:p>
        </w:tc>
        <w:tc>
          <w:tcPr>
            <w:tcW w:w="940" w:type="dxa"/>
            <w:vAlign w:val="bottom"/>
          </w:tcPr>
          <w:p>
            <w:pPr>
              <w:jc w:val="right"/>
              <w:spacing w:after="0"/>
              <w:rPr>
                <w:sz w:val="20"/>
                <w:szCs w:val="20"/>
                <w:color w:val="auto"/>
              </w:rPr>
            </w:pPr>
            <w:r>
              <w:rPr>
                <w:rFonts w:ascii="Arial" w:cs="Arial" w:eastAsia="Arial" w:hAnsi="Arial"/>
                <w:sz w:val="14"/>
                <w:szCs w:val="14"/>
                <w:color w:val="131E29"/>
              </w:rPr>
              <w:t>1,950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80" w:type="dxa"/>
            <w:vAlign w:val="bottom"/>
            <w:gridSpan w:val="3"/>
          </w:tcPr>
          <w:p>
            <w:pPr>
              <w:jc w:val="right"/>
              <w:ind w:right="420"/>
              <w:spacing w:after="0"/>
              <w:rPr>
                <w:sz w:val="20"/>
                <w:szCs w:val="20"/>
                <w:color w:val="auto"/>
              </w:rPr>
            </w:pPr>
            <w:r>
              <w:rPr>
                <w:rFonts w:ascii="Arial" w:cs="Arial" w:eastAsia="Arial" w:hAnsi="Arial"/>
                <w:sz w:val="14"/>
                <w:szCs w:val="14"/>
                <w:color w:val="131E29"/>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11"/>
        </w:trPr>
        <w:tc>
          <w:tcPr>
            <w:tcW w:w="56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Organization realignment and restructuring:</w:t>
            </w: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r>
      <w:tr>
        <w:trPr>
          <w:trHeight w:val="202"/>
        </w:trPr>
        <w:tc>
          <w:tcPr>
            <w:tcW w:w="56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Consulting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2,153</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31"/>
        </w:trPr>
        <w:tc>
          <w:tcPr>
            <w:tcW w:w="5600" w:type="dxa"/>
            <w:vAlign w:val="bottom"/>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Adjusted EBITDA</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160,062</w:t>
            </w:r>
          </w:p>
        </w:tc>
        <w:tc>
          <w:tcPr>
            <w:tcW w:w="100" w:type="dxa"/>
            <w:vAlign w:val="bottom"/>
            <w:shd w:val="clear" w:color="auto" w:fill="D2DCE5"/>
          </w:tcPr>
          <w:p>
            <w:pPr>
              <w:spacing w:after="0"/>
              <w:rPr>
                <w:sz w:val="20"/>
                <w:szCs w:val="20"/>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16.6</w:t>
            </w:r>
          </w:p>
        </w:tc>
        <w:tc>
          <w:tcPr>
            <w:tcW w:w="102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91,181</w:t>
            </w:r>
          </w:p>
        </w:tc>
        <w:tc>
          <w:tcPr>
            <w:tcW w:w="100" w:type="dxa"/>
            <w:vAlign w:val="bottom"/>
            <w:shd w:val="clear" w:color="auto" w:fill="D2DCE5"/>
          </w:tcPr>
          <w:p>
            <w:pPr>
              <w:spacing w:after="0"/>
              <w:rPr>
                <w:sz w:val="20"/>
                <w:szCs w:val="20"/>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12.3</w:t>
            </w:r>
          </w:p>
        </w:tc>
        <w:tc>
          <w:tcPr>
            <w:tcW w:w="8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84,132</w:t>
            </w:r>
          </w:p>
        </w:tc>
        <w:tc>
          <w:tcPr>
            <w:tcW w:w="80" w:type="dxa"/>
            <w:vAlign w:val="bottom"/>
            <w:shd w:val="clear" w:color="auto" w:fill="D2DCE5"/>
          </w:tcPr>
          <w:p>
            <w:pPr>
              <w:spacing w:after="0"/>
              <w:rPr>
                <w:sz w:val="20"/>
                <w:szCs w:val="20"/>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16.9</w:t>
            </w:r>
          </w:p>
        </w:tc>
      </w:tr>
      <w:tr>
        <w:trPr>
          <w:trHeight w:val="20"/>
        </w:trPr>
        <w:tc>
          <w:tcPr>
            <w:tcW w:w="55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131E29"/>
              <w:bottom w:val="single" w:sz="8" w:color="131E29"/>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9" w:name="page90"/>
    <w:bookmarkEnd w:id="8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131E29"/>
              </w:rPr>
              <w:t>Year Ended December 31,</w:t>
            </w: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2"/>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2022</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131E29"/>
              </w:rPr>
              <w:t>2021</w:t>
            </w:r>
          </w:p>
        </w:tc>
        <w:tc>
          <w:tcPr>
            <w:tcW w:w="700" w:type="dxa"/>
            <w:vAlign w:val="bottom"/>
            <w:tcBorders>
              <w:bottom w:val="single" w:sz="8" w:color="auto"/>
            </w:tcBorders>
          </w:tcPr>
          <w:p>
            <w:pPr>
              <w:spacing w:after="0"/>
              <w:rPr>
                <w:sz w:val="17"/>
                <w:szCs w:val="17"/>
                <w:color w:val="auto"/>
              </w:rPr>
            </w:pPr>
          </w:p>
        </w:tc>
      </w:tr>
      <w:tr>
        <w:trPr>
          <w:trHeight w:val="202"/>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131E29"/>
              </w:rPr>
              <w:t>%</w:t>
            </w:r>
          </w:p>
        </w:tc>
      </w:tr>
      <w:tr>
        <w:trPr>
          <w:trHeight w:val="208"/>
        </w:trPr>
        <w:tc>
          <w:tcPr>
            <w:tcW w:w="57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 xml:space="preserve">Selling, general, and administrative </w:t>
            </w:r>
            <w:r>
              <w:rPr>
                <w:rFonts w:ascii="Arial" w:cs="Arial" w:eastAsia="Arial" w:hAnsi="Arial"/>
                <w:sz w:val="18"/>
                <w:szCs w:val="18"/>
                <w:b w:val="1"/>
                <w:bCs w:val="1"/>
                <w:color w:val="131E29"/>
                <w:vertAlign w:val="superscript"/>
              </w:rPr>
              <w:t>1</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21.2</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24.8</w:t>
            </w:r>
          </w:p>
        </w:tc>
        <w:tc>
          <w:tcPr>
            <w:tcW w:w="8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264,529</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53.1</w:t>
            </w:r>
          </w:p>
        </w:tc>
      </w:tr>
      <w:tr>
        <w:trPr>
          <w:trHeight w:val="202"/>
        </w:trPr>
        <w:tc>
          <w:tcPr>
            <w:tcW w:w="5740" w:type="dxa"/>
            <w:vAlign w:val="bottom"/>
            <w:gridSpan w:val="2"/>
          </w:tcPr>
          <w:p>
            <w:pPr>
              <w:ind w:left="140"/>
              <w:spacing w:after="0"/>
              <w:rPr>
                <w:sz w:val="20"/>
                <w:szCs w:val="20"/>
                <w:color w:val="auto"/>
              </w:rPr>
            </w:pPr>
            <w:r>
              <w:rPr>
                <w:rFonts w:ascii="Arial" w:cs="Arial" w:eastAsia="Arial" w:hAnsi="Arial"/>
                <w:sz w:val="14"/>
                <w:szCs w:val="14"/>
                <w:color w:val="131E29"/>
              </w:rPr>
              <w:t>Equity-based compensation</w:t>
            </w:r>
          </w:p>
        </w:tc>
        <w:tc>
          <w:tcPr>
            <w:tcW w:w="960" w:type="dxa"/>
            <w:vAlign w:val="bottom"/>
          </w:tcPr>
          <w:p>
            <w:pPr>
              <w:jc w:val="right"/>
              <w:spacing w:after="0"/>
              <w:rPr>
                <w:sz w:val="20"/>
                <w:szCs w:val="20"/>
                <w:color w:val="auto"/>
              </w:rPr>
            </w:pPr>
            <w:r>
              <w:rPr>
                <w:rFonts w:ascii="Arial" w:cs="Arial" w:eastAsia="Arial" w:hAnsi="Arial"/>
                <w:sz w:val="14"/>
                <w:szCs w:val="14"/>
                <w:color w:val="131E29"/>
              </w:rPr>
              <w:t>(39,222)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(4.1)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(41,657)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(5.6)</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(157,716)</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(31.7)</w:t>
            </w:r>
          </w:p>
        </w:tc>
      </w:tr>
      <w:tr>
        <w:trPr>
          <w:trHeight w:val="221"/>
        </w:trPr>
        <w:tc>
          <w:tcPr>
            <w:tcW w:w="57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(6,523)</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w:t>
            </w:r>
          </w:p>
        </w:tc>
      </w:tr>
      <w:tr>
        <w:trPr>
          <w:trHeight w:val="202"/>
        </w:trPr>
        <w:tc>
          <w:tcPr>
            <w:tcW w:w="5740" w:type="dxa"/>
            <w:vAlign w:val="bottom"/>
            <w:gridSpan w:val="2"/>
          </w:tcPr>
          <w:p>
            <w:pPr>
              <w:ind w:left="140"/>
              <w:spacing w:after="0"/>
              <w:rPr>
                <w:sz w:val="20"/>
                <w:szCs w:val="20"/>
                <w:color w:val="auto"/>
              </w:rPr>
            </w:pPr>
            <w:r>
              <w:rPr>
                <w:rFonts w:ascii="Arial" w:cs="Arial" w:eastAsia="Arial" w:hAnsi="Arial"/>
                <w:sz w:val="14"/>
                <w:szCs w:val="14"/>
                <w:color w:val="131E29"/>
              </w:rPr>
              <w:t>Donations associated with equity offerings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80" w:type="dxa"/>
            <w:vAlign w:val="bottom"/>
          </w:tcPr>
          <w:p>
            <w:pPr>
              <w:jc w:val="right"/>
              <w:spacing w:after="0"/>
              <w:rPr>
                <w:sz w:val="20"/>
                <w:szCs w:val="20"/>
                <w:color w:val="auto"/>
              </w:rPr>
            </w:pPr>
            <w:r>
              <w:rPr>
                <w:rFonts w:ascii="Arial" w:cs="Arial" w:eastAsia="Arial" w:hAnsi="Arial"/>
                <w:sz w:val="14"/>
                <w:szCs w:val="14"/>
                <w:color w:val="131E29"/>
              </w:rPr>
              <w:t>(3,792)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(0.7)</w:t>
            </w:r>
          </w:p>
        </w:tc>
      </w:tr>
      <w:tr>
        <w:trPr>
          <w:trHeight w:val="221"/>
        </w:trPr>
        <w:tc>
          <w:tcPr>
            <w:tcW w:w="57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COVID-19: prepaid costs not utilized</w:t>
            </w: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(2,305)</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(0.3)</w:t>
            </w:r>
          </w:p>
        </w:tc>
        <w:tc>
          <w:tcPr>
            <w:tcW w:w="80" w:type="dxa"/>
            <w:vAlign w:val="bottom"/>
            <w:shd w:val="clear" w:color="auto" w:fill="D2DCE5"/>
          </w:tcPr>
          <w:p>
            <w:pPr>
              <w:spacing w:after="0"/>
              <w:rPr>
                <w:sz w:val="19"/>
                <w:szCs w:val="19"/>
                <w:color w:val="auto"/>
              </w:rPr>
            </w:pPr>
          </w:p>
        </w:tc>
        <w:tc>
          <w:tcPr>
            <w:tcW w:w="11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5740" w:type="dxa"/>
            <w:vAlign w:val="bottom"/>
            <w:gridSpan w:val="2"/>
          </w:tcPr>
          <w:p>
            <w:pPr>
              <w:ind w:left="140"/>
              <w:spacing w:after="0"/>
              <w:rPr>
                <w:sz w:val="20"/>
                <w:szCs w:val="20"/>
                <w:color w:val="auto"/>
              </w:rPr>
            </w:pPr>
            <w:r>
              <w:rPr>
                <w:rFonts w:ascii="Arial" w:cs="Arial" w:eastAsia="Arial" w:hAnsi="Arial"/>
                <w:sz w:val="14"/>
                <w:szCs w:val="14"/>
                <w:color w:val="131E29"/>
              </w:rPr>
              <w:t>Milestone events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(2,434)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1"/>
        </w:trPr>
        <w:tc>
          <w:tcPr>
            <w:tcW w:w="57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Executives transition</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(691)</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11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5740" w:type="dxa"/>
            <w:vAlign w:val="bottom"/>
            <w:gridSpan w:val="2"/>
          </w:tcPr>
          <w:p>
            <w:pPr>
              <w:ind w:left="140"/>
              <w:spacing w:after="0"/>
              <w:rPr>
                <w:sz w:val="20"/>
                <w:szCs w:val="20"/>
                <w:color w:val="auto"/>
              </w:rPr>
            </w:pPr>
            <w:r>
              <w:rPr>
                <w:rFonts w:ascii="Arial" w:cs="Arial" w:eastAsia="Arial" w:hAnsi="Arial"/>
                <w:sz w:val="14"/>
                <w:szCs w:val="14"/>
                <w:color w:val="131E29"/>
              </w:rPr>
              <w:t>Legal proceedings</w:t>
            </w:r>
          </w:p>
        </w:tc>
        <w:tc>
          <w:tcPr>
            <w:tcW w:w="960" w:type="dxa"/>
            <w:vAlign w:val="bottom"/>
          </w:tcPr>
          <w:p>
            <w:pPr>
              <w:jc w:val="right"/>
              <w:spacing w:after="0"/>
              <w:rPr>
                <w:sz w:val="20"/>
                <w:szCs w:val="20"/>
                <w:color w:val="auto"/>
              </w:rPr>
            </w:pPr>
            <w:r>
              <w:rPr>
                <w:rFonts w:ascii="Arial" w:cs="Arial" w:eastAsia="Arial" w:hAnsi="Arial"/>
                <w:sz w:val="14"/>
                <w:szCs w:val="14"/>
                <w:color w:val="131E29"/>
              </w:rPr>
              <w:t>(1,950)</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1"/>
        </w:trPr>
        <w:tc>
          <w:tcPr>
            <w:tcW w:w="57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Organization realignment and restructuring:</w:t>
            </w: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spacing w:after="0"/>
              <w:rPr>
                <w:sz w:val="19"/>
                <w:szCs w:val="19"/>
                <w:color w:val="auto"/>
              </w:rPr>
            </w:pPr>
          </w:p>
        </w:tc>
      </w:tr>
      <w:tr>
        <w:trPr>
          <w:trHeight w:val="202"/>
        </w:trPr>
        <w:tc>
          <w:tcPr>
            <w:tcW w:w="5740" w:type="dxa"/>
            <w:vAlign w:val="bottom"/>
            <w:gridSpan w:val="2"/>
          </w:tcPr>
          <w:p>
            <w:pPr>
              <w:ind w:left="280"/>
              <w:spacing w:after="0"/>
              <w:rPr>
                <w:sz w:val="20"/>
                <w:szCs w:val="20"/>
                <w:color w:val="auto"/>
              </w:rPr>
            </w:pPr>
            <w:r>
              <w:rPr>
                <w:rFonts w:ascii="Arial" w:cs="Arial" w:eastAsia="Arial" w:hAnsi="Arial"/>
                <w:sz w:val="14"/>
                <w:szCs w:val="14"/>
                <w:color w:val="131E29"/>
              </w:rPr>
              <w:t>Consulting</w:t>
            </w:r>
          </w:p>
        </w:tc>
        <w:tc>
          <w:tcPr>
            <w:tcW w:w="960" w:type="dxa"/>
            <w:vAlign w:val="bottom"/>
          </w:tcPr>
          <w:p>
            <w:pPr>
              <w:jc w:val="right"/>
              <w:spacing w:after="0"/>
              <w:rPr>
                <w:sz w:val="20"/>
                <w:szCs w:val="20"/>
                <w:color w:val="auto"/>
              </w:rPr>
            </w:pPr>
            <w:r>
              <w:rPr>
                <w:rFonts w:ascii="Arial" w:cs="Arial" w:eastAsia="Arial" w:hAnsi="Arial"/>
                <w:sz w:val="14"/>
                <w:szCs w:val="14"/>
                <w:color w:val="131E29"/>
              </w:rPr>
              <w:t>(2,153)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36"/>
        </w:trPr>
        <w:tc>
          <w:tcPr>
            <w:tcW w:w="5740" w:type="dxa"/>
            <w:vAlign w:val="bottom"/>
            <w:tcBorders>
              <w:top w:val="single" w:sz="8" w:color="D2DCE5"/>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Adjusted selling, general and administrative</w:t>
            </w:r>
          </w:p>
        </w:tc>
        <w:tc>
          <w:tcPr>
            <w:tcW w:w="9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160,749</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72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16.6</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9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136,441</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72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18.5</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108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96,498</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70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19.4</w:t>
            </w:r>
          </w:p>
        </w:tc>
      </w:tr>
      <w:tr>
        <w:trPr>
          <w:trHeight w:val="20"/>
        </w:trPr>
        <w:tc>
          <w:tcPr>
            <w:tcW w:w="56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D2DCE5"/>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19" w:lineRule="exact"/>
        <w:rPr>
          <w:sz w:val="20"/>
          <w:szCs w:val="20"/>
          <w:color w:val="auto"/>
        </w:rPr>
      </w:pPr>
    </w:p>
    <w:p>
      <w:pPr>
        <w:ind w:left="180" w:hanging="175"/>
        <w:spacing w:after="0"/>
        <w:tabs>
          <w:tab w:leader="none" w:pos="180" w:val="left"/>
        </w:tabs>
        <w:numPr>
          <w:ilvl w:val="0"/>
          <w:numId w:val="61"/>
        </w:numPr>
        <w:rPr>
          <w:rFonts w:ascii="Arial" w:cs="Arial" w:eastAsia="Arial" w:hAnsi="Arial"/>
          <w:sz w:val="15"/>
          <w:szCs w:val="15"/>
          <w:color w:val="auto"/>
          <w:vertAlign w:val="superscript"/>
        </w:rPr>
      </w:pPr>
      <w:r>
        <w:rPr>
          <w:rFonts w:ascii="Arial" w:cs="Arial" w:eastAsia="Arial" w:hAnsi="Arial"/>
          <w:sz w:val="11"/>
          <w:szCs w:val="11"/>
          <w:color w:val="auto"/>
        </w:rPr>
        <w:t>Selling, general and administrative expenses include depreciation and amortization.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7A.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Commodity Risks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and packaging commodities pricing, as we experienced during the year ended December 31, 2023,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Labor Costs</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have experienced minimum wage increases, which increases directly affect our labor costs, and other upward pressure on wage rates in several states. In the future, we may or may not be able to offset these cost increases with operational efficiencies, menu price increases, or other adjustments. As of December 31, 2023, we employed approximately 15,000 hourly workers in our company-operated shops.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0" w:name="page91"/>
    <w:bookmarkEnd w:id="9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Interest Rate Risk</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December 31, 2023, we had no revolving loans outstanding, and $95.6 million was outstanding on our term loan. A hypothetical increase of interest rates up to 1% on our outstanding term loan as of December 31, 2023 would result in an increase in our annual interest expense of approximately $1.0 million, excluding any potential impacts of interest rate swaps.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Inflation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primary inflation factors affecting our operations are commodity and supplies,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1" w:name="page92"/>
    <w:bookmarkEnd w:id="9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8. FINANCIAL STATEMENTS AND SUPPLEMENTARY DATA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Index to Consolidated Financial Statements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Borders>
              <w:bottom w:val="single" w:sz="8" w:color="131E29"/>
            </w:tcBorders>
          </w:tcPr>
          <w:p>
            <w:pPr>
              <w:ind w:left="20"/>
              <w:spacing w:after="0"/>
              <w:rPr>
                <w:sz w:val="20"/>
                <w:szCs w:val="20"/>
                <w:color w:val="auto"/>
              </w:rPr>
            </w:pPr>
            <w:r>
              <w:rPr>
                <w:rFonts w:ascii="Arial" w:cs="Arial" w:eastAsia="Arial" w:hAnsi="Arial"/>
                <w:sz w:val="14"/>
                <w:szCs w:val="14"/>
                <w:b w:val="1"/>
                <w:bCs w:val="1"/>
                <w:color w:val="131E29"/>
              </w:rPr>
              <w:t>Audited Consolidated Financial Statements of Dutch Bros Inc. and Subsidiaries</w:t>
            </w:r>
          </w:p>
        </w:tc>
        <w:tc>
          <w:tcPr>
            <w:tcW w:w="80" w:type="dxa"/>
            <w:vAlign w:val="bottom"/>
          </w:tcPr>
          <w:p>
            <w:pPr>
              <w:spacing w:after="0"/>
              <w:rPr>
                <w:sz w:val="17"/>
                <w:szCs w:val="17"/>
                <w:color w:val="auto"/>
              </w:rPr>
            </w:pPr>
          </w:p>
        </w:tc>
        <w:tc>
          <w:tcPr>
            <w:tcW w:w="720" w:type="dxa"/>
            <w:vAlign w:val="bottom"/>
            <w:tcBorders>
              <w:bottom w:val="single" w:sz="8" w:color="131E29"/>
            </w:tcBorders>
          </w:tcPr>
          <w:p>
            <w:pPr>
              <w:ind w:left="200"/>
              <w:spacing w:after="0"/>
              <w:rPr>
                <w:sz w:val="20"/>
                <w:szCs w:val="20"/>
                <w:color w:val="auto"/>
              </w:rPr>
            </w:pPr>
            <w:r>
              <w:rPr>
                <w:rFonts w:ascii="Arial" w:cs="Arial" w:eastAsia="Arial" w:hAnsi="Arial"/>
                <w:sz w:val="14"/>
                <w:szCs w:val="14"/>
                <w:b w:val="1"/>
                <w:bCs w:val="1"/>
                <w:color w:val="131E29"/>
              </w:rPr>
              <w:t>Page</w:t>
            </w:r>
          </w:p>
        </w:tc>
      </w:tr>
      <w:tr>
        <w:trPr>
          <w:trHeight w:val="188"/>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Report of Independent Registered Public Accounting Firm</w:t>
            </w:r>
          </w:p>
        </w:tc>
        <w:tc>
          <w:tcPr>
            <w:tcW w:w="720" w:type="dxa"/>
            <w:vAlign w:val="bottom"/>
          </w:tcPr>
          <w:p>
            <w:pPr>
              <w:jc w:val="center"/>
              <w:spacing w:after="0"/>
              <w:rPr>
                <w:sz w:val="20"/>
                <w:szCs w:val="20"/>
                <w:color w:val="auto"/>
              </w:rPr>
            </w:pPr>
            <w:r>
              <w:rPr>
                <w:rFonts w:ascii="Arial" w:cs="Arial" w:eastAsia="Arial" w:hAnsi="Arial"/>
                <w:sz w:val="14"/>
                <w:szCs w:val="14"/>
                <w:color w:val="131E29"/>
              </w:rPr>
              <w:t>89</w:t>
            </w:r>
          </w:p>
        </w:tc>
      </w:tr>
      <w:tr>
        <w:trPr>
          <w:trHeight w:val="21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Balance Sheets</w:t>
            </w:r>
          </w:p>
        </w:tc>
        <w:tc>
          <w:tcPr>
            <w:tcW w:w="720" w:type="dxa"/>
            <w:vAlign w:val="bottom"/>
          </w:tcPr>
          <w:p>
            <w:pPr>
              <w:jc w:val="center"/>
              <w:spacing w:after="0"/>
              <w:rPr>
                <w:sz w:val="20"/>
                <w:szCs w:val="20"/>
                <w:color w:val="auto"/>
              </w:rPr>
            </w:pPr>
            <w:r>
              <w:rPr>
                <w:rFonts w:ascii="Arial" w:cs="Arial" w:eastAsia="Arial" w:hAnsi="Arial"/>
                <w:sz w:val="14"/>
                <w:szCs w:val="14"/>
                <w:color w:val="131E29"/>
              </w:rPr>
              <w:t>92</w:t>
            </w:r>
          </w:p>
        </w:tc>
      </w:tr>
      <w:tr>
        <w:trPr>
          <w:trHeight w:val="21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Operations</w:t>
            </w:r>
          </w:p>
        </w:tc>
        <w:tc>
          <w:tcPr>
            <w:tcW w:w="720" w:type="dxa"/>
            <w:vAlign w:val="bottom"/>
          </w:tcPr>
          <w:p>
            <w:pPr>
              <w:jc w:val="center"/>
              <w:spacing w:after="0"/>
              <w:rPr>
                <w:sz w:val="20"/>
                <w:szCs w:val="20"/>
                <w:color w:val="auto"/>
              </w:rPr>
            </w:pPr>
            <w:r>
              <w:rPr>
                <w:rFonts w:ascii="Arial" w:cs="Arial" w:eastAsia="Arial" w:hAnsi="Arial"/>
                <w:sz w:val="14"/>
                <w:szCs w:val="14"/>
                <w:color w:val="131E29"/>
              </w:rPr>
              <w:t>94</w:t>
            </w:r>
          </w:p>
        </w:tc>
      </w:tr>
      <w:tr>
        <w:trPr>
          <w:trHeight w:val="21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Comprehensive Income (Loss)</w:t>
            </w:r>
          </w:p>
        </w:tc>
        <w:tc>
          <w:tcPr>
            <w:tcW w:w="720" w:type="dxa"/>
            <w:vAlign w:val="bottom"/>
          </w:tcPr>
          <w:p>
            <w:pPr>
              <w:jc w:val="center"/>
              <w:spacing w:after="0"/>
              <w:rPr>
                <w:sz w:val="20"/>
                <w:szCs w:val="20"/>
                <w:color w:val="auto"/>
              </w:rPr>
            </w:pPr>
            <w:r>
              <w:rPr>
                <w:rFonts w:ascii="Arial" w:cs="Arial" w:eastAsia="Arial" w:hAnsi="Arial"/>
                <w:sz w:val="14"/>
                <w:szCs w:val="14"/>
                <w:color w:val="131E29"/>
              </w:rPr>
              <w:t>95</w:t>
            </w:r>
          </w:p>
        </w:tc>
      </w:tr>
      <w:tr>
        <w:trPr>
          <w:trHeight w:val="21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Stockholders’ Equity</w:t>
            </w:r>
          </w:p>
        </w:tc>
        <w:tc>
          <w:tcPr>
            <w:tcW w:w="720" w:type="dxa"/>
            <w:vAlign w:val="bottom"/>
          </w:tcPr>
          <w:p>
            <w:pPr>
              <w:jc w:val="center"/>
              <w:spacing w:after="0"/>
              <w:rPr>
                <w:sz w:val="20"/>
                <w:szCs w:val="20"/>
                <w:color w:val="auto"/>
              </w:rPr>
            </w:pPr>
            <w:r>
              <w:rPr>
                <w:rFonts w:ascii="Arial" w:cs="Arial" w:eastAsia="Arial" w:hAnsi="Arial"/>
                <w:sz w:val="14"/>
                <w:szCs w:val="14"/>
                <w:color w:val="131E29"/>
              </w:rPr>
              <w:t>96</w:t>
            </w:r>
          </w:p>
        </w:tc>
      </w:tr>
      <w:tr>
        <w:trPr>
          <w:trHeight w:val="21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Cash Flows</w:t>
            </w:r>
          </w:p>
        </w:tc>
        <w:tc>
          <w:tcPr>
            <w:tcW w:w="720" w:type="dxa"/>
            <w:vAlign w:val="bottom"/>
          </w:tcPr>
          <w:p>
            <w:pPr>
              <w:jc w:val="center"/>
              <w:spacing w:after="0"/>
              <w:rPr>
                <w:sz w:val="20"/>
                <w:szCs w:val="20"/>
                <w:color w:val="auto"/>
              </w:rPr>
            </w:pPr>
            <w:r>
              <w:rPr>
                <w:rFonts w:ascii="Arial" w:cs="Arial" w:eastAsia="Arial" w:hAnsi="Arial"/>
                <w:sz w:val="14"/>
                <w:szCs w:val="14"/>
                <w:color w:val="131E29"/>
              </w:rPr>
              <w:t>99</w:t>
            </w:r>
          </w:p>
        </w:tc>
      </w:tr>
      <w:tr>
        <w:trPr>
          <w:trHeight w:val="21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Notes to Consolidated Financial Statements</w:t>
            </w:r>
          </w:p>
        </w:tc>
        <w:tc>
          <w:tcPr>
            <w:tcW w:w="720" w:type="dxa"/>
            <w:vAlign w:val="bottom"/>
          </w:tcPr>
          <w:p>
            <w:pPr>
              <w:jc w:val="center"/>
              <w:spacing w:after="0"/>
              <w:rPr>
                <w:sz w:val="20"/>
                <w:szCs w:val="20"/>
                <w:color w:val="auto"/>
              </w:rPr>
            </w:pPr>
            <w:r>
              <w:rPr>
                <w:rFonts w:ascii="Arial" w:cs="Arial" w:eastAsia="Arial" w:hAnsi="Arial"/>
                <w:sz w:val="14"/>
                <w:szCs w:val="14"/>
                <w:color w:val="131E29"/>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2" w:name="page93"/>
    <w:bookmarkEnd w:id="9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131E29"/>
        </w:rPr>
        <w:t>To 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Opinions on the Consolidated Financial Statements and Internal Control Over Financial Reporting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 xml:space="preserve">We have audited the accompanying consolidated balance sheets of Dutch Bros Inc. and subsidiaries (the Company) as of December 31, 2023 and 2022, the related consolidated statements of operations, comprehensive income (loss),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Arial" w:cs="Arial" w:eastAsia="Arial" w:hAnsi="Arial"/>
          <w:sz w:val="14"/>
          <w:szCs w:val="14"/>
          <w:i w:val="1"/>
          <w:iCs w:val="1"/>
          <w:color w:val="131E29"/>
        </w:rPr>
        <w:t>Internal Control – Integrated Framework (2013)</w:t>
      </w:r>
      <w:r>
        <w:rPr>
          <w:rFonts w:ascii="Arial" w:cs="Arial" w:eastAsia="Arial" w:hAnsi="Arial"/>
          <w:sz w:val="14"/>
          <w:szCs w:val="14"/>
          <w:color w:val="131E29"/>
        </w:rPr>
        <w:t xml:space="preserve"> issued by the Committee of Sponsoring Organizations of the Treadway Commission.</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Arial" w:cs="Arial" w:eastAsia="Arial" w:hAnsi="Arial"/>
          <w:sz w:val="14"/>
          <w:szCs w:val="14"/>
          <w:i w:val="1"/>
          <w:iCs w:val="1"/>
          <w:color w:val="131E29"/>
        </w:rPr>
        <w:t>Internal Control – Integrated Framework (2013)</w:t>
      </w:r>
      <w:r>
        <w:rPr>
          <w:rFonts w:ascii="Arial" w:cs="Arial" w:eastAsia="Arial" w:hAnsi="Arial"/>
          <w:sz w:val="14"/>
          <w:szCs w:val="14"/>
          <w:color w:val="131E29"/>
        </w:rPr>
        <w:t xml:space="preserve"> issued by the Committee of Sponsoring Organizations of the Treadway Commission.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Change in Accounting Principle</w:t>
      </w:r>
    </w:p>
    <w:p>
      <w:pPr>
        <w:spacing w:after="0" w:line="133"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131E29"/>
        </w:rPr>
        <w:t xml:space="preserve">As discussed in Note 2 to the consolidated financial statements, the Company has changed its method of accounting for leases as of January 1, 2022 due to the adoption of ASC Topic 842, </w:t>
      </w:r>
      <w:r>
        <w:rPr>
          <w:rFonts w:ascii="Arial" w:cs="Arial" w:eastAsia="Arial" w:hAnsi="Arial"/>
          <w:sz w:val="14"/>
          <w:szCs w:val="14"/>
          <w:i w:val="1"/>
          <w:iCs w:val="1"/>
          <w:color w:val="131E29"/>
        </w:rPr>
        <w:t>Leases,</w:t>
      </w:r>
      <w:r>
        <w:rPr>
          <w:rFonts w:ascii="Arial" w:cs="Arial" w:eastAsia="Arial" w:hAnsi="Arial"/>
          <w:sz w:val="14"/>
          <w:szCs w:val="14"/>
          <w:color w:val="131E29"/>
        </w:rPr>
        <w:t xml:space="preserve"> as amended.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Basis for Opinions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3" w:name="page94"/>
    <w:bookmarkEnd w:id="9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40"/>
        <w:spacing w:after="0" w:line="441" w:lineRule="auto"/>
        <w:rPr>
          <w:sz w:val="20"/>
          <w:szCs w:val="20"/>
          <w:color w:val="auto"/>
        </w:rPr>
      </w:pPr>
      <w:r>
        <w:rPr>
          <w:rFonts w:ascii="Arial" w:cs="Arial" w:eastAsia="Arial" w:hAnsi="Arial"/>
          <w:sz w:val="14"/>
          <w:szCs w:val="14"/>
          <w:color w:val="131E29"/>
        </w:rPr>
        <w:t xml:space="preserve">performing such other procedures as we considered necessary in the circumstances. We believe that our audits provide a reasonable basis for our opinions. </w:t>
      </w:r>
      <w:r>
        <w:rPr>
          <w:rFonts w:ascii="Arial" w:cs="Arial" w:eastAsia="Arial" w:hAnsi="Arial"/>
          <w:sz w:val="14"/>
          <w:szCs w:val="14"/>
          <w:i w:val="1"/>
          <w:iCs w:val="1"/>
          <w:color w:val="131E29"/>
        </w:rPr>
        <w:t>Definition and Limitations of Internal Control Over Financial Reporting</w:t>
      </w:r>
    </w:p>
    <w:p>
      <w:pPr>
        <w:jc w:val="both"/>
        <w:spacing w:after="0" w:line="259" w:lineRule="auto"/>
        <w:rPr>
          <w:sz w:val="20"/>
          <w:szCs w:val="20"/>
          <w:color w:val="auto"/>
        </w:rPr>
      </w:pPr>
      <w:r>
        <w:rPr>
          <w:rFonts w:ascii="Arial" w:cs="Arial" w:eastAsia="Arial" w:hAnsi="Arial"/>
          <w:sz w:val="14"/>
          <w:szCs w:val="14"/>
          <w:color w:val="131E2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7" w:lineRule="auto"/>
        <w:tabs>
          <w:tab w:leader="none" w:pos="233"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Critical Audit Matter</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131E29"/>
        </w:rPr>
        <w:t>Measurement of the tax receivable agreement liability</w:t>
      </w:r>
    </w:p>
    <w:p>
      <w:pPr>
        <w:spacing w:after="0" w:line="133" w:lineRule="exact"/>
        <w:rPr>
          <w:sz w:val="20"/>
          <w:szCs w:val="20"/>
          <w:color w:val="auto"/>
        </w:rPr>
      </w:pPr>
    </w:p>
    <w:p>
      <w:pPr>
        <w:jc w:val="both"/>
        <w:ind w:left="380"/>
        <w:spacing w:after="0" w:line="270" w:lineRule="auto"/>
        <w:rPr>
          <w:sz w:val="20"/>
          <w:szCs w:val="20"/>
          <w:color w:val="auto"/>
        </w:rPr>
      </w:pPr>
      <w:r>
        <w:rPr>
          <w:rFonts w:ascii="Arial" w:cs="Arial" w:eastAsia="Arial" w:hAnsi="Arial"/>
          <w:sz w:val="14"/>
          <w:szCs w:val="14"/>
          <w:color w:val="131E29"/>
        </w:rPr>
        <w:t>As discussed in Note 2 to the consolidated financial statements, , the Company has tax receivable agreements (TRA) with certain Pre-IPO Owners, which are contractual commitments to pay an amount equal to 85% of certain tax attributes and benefits, deemed to be realized in certain circumstances by the Company, to the parties to the TRA. As discussed in Note 11, the Company’s liability related to obligations under the TRA (TRA Liability) was $290.9 million as of December 31, 2023.</w:t>
      </w:r>
    </w:p>
    <w:p>
      <w:pPr>
        <w:spacing w:after="0" w:line="91" w:lineRule="exact"/>
        <w:rPr>
          <w:sz w:val="20"/>
          <w:szCs w:val="20"/>
          <w:color w:val="auto"/>
        </w:rPr>
      </w:pPr>
    </w:p>
    <w:p>
      <w:pPr>
        <w:jc w:val="both"/>
        <w:ind w:left="380"/>
        <w:spacing w:after="0" w:line="270" w:lineRule="auto"/>
        <w:rPr>
          <w:sz w:val="20"/>
          <w:szCs w:val="20"/>
          <w:color w:val="auto"/>
        </w:rPr>
      </w:pPr>
      <w:r>
        <w:rPr>
          <w:rFonts w:ascii="Arial" w:cs="Arial" w:eastAsia="Arial" w:hAnsi="Arial"/>
          <w:sz w:val="14"/>
          <w:szCs w:val="14"/>
          <w:color w:val="131E29"/>
        </w:rPr>
        <w:t>We identified the measurement of the TRA liability as a critical audit matter. Subjective auditor judgment, including specialized skills and knowledge, was required in the evaluation of the Company’s interpretation of tax law to determine the tax attributes and benefits subject to the TRA. In addition, evaluation of the interpretation of the tax law and the completeness of the inputs to the calculation used to determine the TRA liability required specialized skills and knowledge.</w:t>
      </w:r>
    </w:p>
    <w:p>
      <w:pPr>
        <w:spacing w:after="0" w:line="91" w:lineRule="exact"/>
        <w:rPr>
          <w:sz w:val="20"/>
          <w:szCs w:val="20"/>
          <w:color w:val="auto"/>
        </w:rPr>
      </w:pPr>
    </w:p>
    <w:p>
      <w:pPr>
        <w:jc w:val="both"/>
        <w:ind w:left="380"/>
        <w:spacing w:after="0" w:line="270" w:lineRule="auto"/>
        <w:rPr>
          <w:sz w:val="20"/>
          <w:szCs w:val="20"/>
          <w:color w:val="auto"/>
        </w:rPr>
      </w:pPr>
      <w:r>
        <w:rPr>
          <w:rFonts w:ascii="Arial" w:cs="Arial" w:eastAsia="Arial" w:hAnsi="Arial"/>
          <w:sz w:val="14"/>
          <w:szCs w:val="14"/>
          <w:color w:val="131E29"/>
        </w:rPr>
        <w:t>The following are the primary procedures we performed to address this critical audit matter. We evaluated the design and tested the operating effectiveness of certain internal controls over the TRA liability. This included the internal controls over the application of relevant tax law and the completeness of the inputs into the TRA liability calculation. We involved tax professionals with specialized skills and knowledge, who assisted in:</w:t>
      </w:r>
    </w:p>
    <w:p>
      <w:pPr>
        <w:spacing w:after="0" w:line="91" w:lineRule="exact"/>
        <w:rPr>
          <w:sz w:val="20"/>
          <w:szCs w:val="20"/>
          <w:color w:val="auto"/>
        </w:rPr>
      </w:pPr>
    </w:p>
    <w:p>
      <w:pPr>
        <w:ind w:left="640" w:hanging="255"/>
        <w:spacing w:after="0"/>
        <w:tabs>
          <w:tab w:leader="none" w:pos="640" w:val="left"/>
        </w:tabs>
        <w:numPr>
          <w:ilvl w:val="0"/>
          <w:numId w:val="63"/>
        </w:numPr>
        <w:rPr>
          <w:rFonts w:ascii="Arial" w:cs="Arial" w:eastAsia="Arial" w:hAnsi="Arial"/>
          <w:sz w:val="14"/>
          <w:szCs w:val="14"/>
          <w:color w:val="131E29"/>
        </w:rPr>
      </w:pPr>
      <w:r>
        <w:rPr>
          <w:rFonts w:ascii="Arial" w:cs="Arial" w:eastAsia="Arial" w:hAnsi="Arial"/>
          <w:sz w:val="14"/>
          <w:szCs w:val="14"/>
          <w:color w:val="131E29"/>
        </w:rPr>
        <w:t>developing an independent interpretation of the tax law to determine the tax attributes and benefits subject to the TRA and comparing to the Company’s interpretation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4" w:name="page95"/>
    <w:bookmarkEnd w:id="9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255"/>
        <w:spacing w:after="0" w:line="288" w:lineRule="auto"/>
        <w:tabs>
          <w:tab w:leader="none" w:pos="636" w:val="left"/>
        </w:tabs>
        <w:numPr>
          <w:ilvl w:val="0"/>
          <w:numId w:val="64"/>
        </w:numPr>
        <w:rPr>
          <w:rFonts w:ascii="Arial" w:cs="Arial" w:eastAsia="Arial" w:hAnsi="Arial"/>
          <w:sz w:val="14"/>
          <w:szCs w:val="14"/>
          <w:color w:val="131E29"/>
        </w:rPr>
      </w:pPr>
      <w:r>
        <w:rPr>
          <w:rFonts w:ascii="Arial" w:cs="Arial" w:eastAsia="Arial" w:hAnsi="Arial"/>
          <w:sz w:val="14"/>
          <w:szCs w:val="14"/>
          <w:color w:val="131E29"/>
        </w:rPr>
        <w:t>evaluating the completeness of the inputs to the model by comparing the Company’s model and the inputs used to develop the TRA liability to our independently developed model.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131E29"/>
        </w:rPr>
        <w:t>We have served as the Company’s auditor since 2020.</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Portland, Oregon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February 23, 2024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5" w:name="page96"/>
    <w:bookmarkEnd w:id="95"/>
    <w:p>
      <w:pPr>
        <w:ind w:left="240"/>
        <w:spacing w:after="0"/>
        <w:rPr>
          <w:sz w:val="20"/>
          <w:szCs w:val="20"/>
          <w:color w:val="auto"/>
        </w:rPr>
      </w:pPr>
      <w:r>
        <w:rPr>
          <w:rFonts w:ascii="Arial" w:cs="Arial" w:eastAsia="Arial" w:hAnsi="Arial"/>
          <w:sz w:val="11"/>
          <w:szCs w:val="11"/>
          <w:u w:val="single" w:color="auto"/>
          <w:color w:val="006098"/>
        </w:rPr>
        <w:t>Table of Contents</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131E29"/>
        </w:rPr>
        <w:t>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131E29"/>
              </w:rPr>
              <w:t>December 31,</w:t>
            </w:r>
          </w:p>
        </w:tc>
        <w:tc>
          <w:tcPr>
            <w:tcW w:w="300" w:type="dxa"/>
            <w:vAlign w:val="bottom"/>
          </w:tcPr>
          <w:p>
            <w:pPr>
              <w:spacing w:after="0"/>
              <w:rPr>
                <w:sz w:val="14"/>
                <w:szCs w:val="14"/>
                <w:color w:val="auto"/>
              </w:rPr>
            </w:pPr>
          </w:p>
        </w:tc>
        <w:tc>
          <w:tcPr>
            <w:tcW w:w="1640" w:type="dxa"/>
            <w:vAlign w:val="bottom"/>
          </w:tcPr>
          <w:p>
            <w:pPr>
              <w:jc w:val="right"/>
              <w:ind w:right="450"/>
              <w:spacing w:after="0"/>
              <w:rPr>
                <w:sz w:val="20"/>
                <w:szCs w:val="20"/>
                <w:color w:val="auto"/>
              </w:rPr>
            </w:pPr>
            <w:r>
              <w:rPr>
                <w:rFonts w:ascii="Arial" w:cs="Arial" w:eastAsia="Arial" w:hAnsi="Arial"/>
                <w:sz w:val="14"/>
                <w:szCs w:val="14"/>
                <w:b w:val="1"/>
                <w:bCs w:val="1"/>
                <w:color w:val="131E29"/>
              </w:rPr>
              <w:t>December 31,</w:t>
            </w:r>
          </w:p>
        </w:tc>
        <w:tc>
          <w:tcPr>
            <w:tcW w:w="0" w:type="dxa"/>
            <w:vAlign w:val="bottom"/>
          </w:tcPr>
          <w:p>
            <w:pPr>
              <w:spacing w:after="0"/>
              <w:rPr>
                <w:sz w:val="1"/>
                <w:szCs w:val="1"/>
                <w:color w:val="auto"/>
              </w:rPr>
            </w:pPr>
          </w:p>
        </w:tc>
      </w:tr>
      <w:tr>
        <w:trPr>
          <w:trHeight w:val="199"/>
        </w:trPr>
        <w:tc>
          <w:tcPr>
            <w:tcW w:w="722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8"/>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b w:val="1"/>
                <w:bCs w:val="1"/>
                <w:color w:val="131E29"/>
              </w:rPr>
              <w:t>ASSETS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Current assets:</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Cash and cash equivalents</w:t>
            </w:r>
          </w:p>
        </w:tc>
        <w:tc>
          <w:tcPr>
            <w:tcW w:w="30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133,545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20,178</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Accounts receivable,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9,124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11,966</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Inventories,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46,953</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39,229</w:t>
            </w:r>
          </w:p>
        </w:tc>
        <w:tc>
          <w:tcPr>
            <w:tcW w:w="0" w:type="dxa"/>
            <w:vAlign w:val="bottom"/>
          </w:tcPr>
          <w:p>
            <w:pPr>
              <w:spacing w:after="0"/>
              <w:rPr>
                <w:sz w:val="1"/>
                <w:szCs w:val="1"/>
                <w:color w:val="auto"/>
              </w:rPr>
            </w:pPr>
          </w:p>
        </w:tc>
      </w:tr>
      <w:tr>
        <w:trPr>
          <w:trHeight w:val="202"/>
        </w:trPr>
        <w:tc>
          <w:tcPr>
            <w:tcW w:w="73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Prepaid expenses and other current assets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15,637</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10,949</w:t>
            </w: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current assets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205,259</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82,322</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Property and equipment,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542,440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365,468</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Finance lease right-of-use assets,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382,734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247,943</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Operating lease right-of-use assets,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199,673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169,302</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Intangibles,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5,415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8,804</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Goodwill</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21,629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21,629</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Deferred income tax assets,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402,995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288,765</w:t>
            </w:r>
          </w:p>
        </w:tc>
        <w:tc>
          <w:tcPr>
            <w:tcW w:w="0" w:type="dxa"/>
            <w:vAlign w:val="bottom"/>
          </w:tcPr>
          <w:p>
            <w:pPr>
              <w:spacing w:after="0"/>
              <w:rPr>
                <w:sz w:val="1"/>
                <w:szCs w:val="1"/>
                <w:color w:val="auto"/>
              </w:rPr>
            </w:pPr>
          </w:p>
        </w:tc>
      </w:tr>
      <w:tr>
        <w:trPr>
          <w:trHeight w:val="202"/>
        </w:trPr>
        <w:tc>
          <w:tcPr>
            <w:tcW w:w="7300" w:type="dxa"/>
            <w:vAlign w:val="bottom"/>
            <w:tcBorders>
              <w:bottom w:val="single" w:sz="8" w:color="D2DCE5"/>
            </w:tcBorders>
            <w:gridSpan w:val="2"/>
          </w:tcPr>
          <w:p>
            <w:pPr>
              <w:spacing w:after="0"/>
              <w:rPr>
                <w:sz w:val="20"/>
                <w:szCs w:val="20"/>
                <w:color w:val="auto"/>
              </w:rPr>
            </w:pPr>
            <w:r>
              <w:rPr>
                <w:rFonts w:ascii="Arial" w:cs="Arial" w:eastAsia="Arial" w:hAnsi="Arial"/>
                <w:sz w:val="14"/>
                <w:szCs w:val="14"/>
                <w:color w:val="131E29"/>
              </w:rPr>
              <w:t>Other long-term assets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3,865</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2,127</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D2DCE5"/>
            </w:tcBorders>
            <w:gridSpan w:val="2"/>
            <w:shd w:val="clear" w:color="auto" w:fill="D2DCE5"/>
          </w:tcPr>
          <w:p>
            <w:pPr>
              <w:ind w:left="380"/>
              <w:spacing w:after="0"/>
              <w:rPr>
                <w:sz w:val="20"/>
                <w:szCs w:val="20"/>
                <w:color w:val="auto"/>
              </w:rPr>
            </w:pPr>
            <w:r>
              <w:rPr>
                <w:rFonts w:ascii="Arial" w:cs="Arial" w:eastAsia="Arial" w:hAnsi="Arial"/>
                <w:sz w:val="14"/>
                <w:szCs w:val="14"/>
                <w:color w:val="131E29"/>
              </w:rPr>
              <w:t>Total assets</w:t>
            </w: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1,764,010</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1,186,360</w:t>
            </w:r>
          </w:p>
        </w:tc>
        <w:tc>
          <w:tcPr>
            <w:tcW w:w="0" w:type="dxa"/>
            <w:vAlign w:val="bottom"/>
          </w:tcPr>
          <w:p>
            <w:pPr>
              <w:spacing w:after="0"/>
              <w:rPr>
                <w:sz w:val="1"/>
                <w:szCs w:val="1"/>
                <w:color w:val="auto"/>
              </w:rPr>
            </w:pPr>
          </w:p>
        </w:tc>
      </w:tr>
      <w:tr>
        <w:trPr>
          <w:trHeight w:val="20"/>
        </w:trPr>
        <w:tc>
          <w:tcPr>
            <w:tcW w:w="730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b w:val="1"/>
                <w:bCs w:val="1"/>
                <w:color w:val="131E29"/>
              </w:rPr>
              <w:t>LIABILITIES AND EQUITY</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Current liabilities: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Accounts payable</w:t>
            </w: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29,957</w:t>
            </w:r>
          </w:p>
        </w:tc>
        <w:tc>
          <w:tcPr>
            <w:tcW w:w="80" w:type="dxa"/>
            <w:vAlign w:val="bottom"/>
          </w:tcPr>
          <w:p>
            <w:pPr>
              <w:spacing w:after="0"/>
              <w:rPr>
                <w:sz w:val="17"/>
                <w:szCs w:val="17"/>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21,270</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Accrued compensation and benefits</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31,405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19,706</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Other accrued liabilities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15,770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9,667</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current liabilities</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6,423</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5,939</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Deferred revenue</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30,349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25,335</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Line of credit</w:t>
            </w:r>
          </w:p>
        </w:tc>
        <w:tc>
          <w:tcPr>
            <w:tcW w:w="300" w:type="dxa"/>
            <w:vAlign w:val="bottom"/>
            <w:shd w:val="clear" w:color="auto" w:fill="D2DCE5"/>
          </w:tcPr>
          <w:p>
            <w:pPr>
              <w:spacing w:after="0"/>
              <w:rPr>
                <w:sz w:val="19"/>
                <w:szCs w:val="19"/>
                <w:color w:val="auto"/>
              </w:rPr>
            </w:pPr>
          </w:p>
        </w:tc>
        <w:tc>
          <w:tcPr>
            <w:tcW w:w="17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110,865</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Current portion of finance lease liabilities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9,482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7,971</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Current portion of operating lease liabilities</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10,239</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9,317</w:t>
            </w:r>
          </w:p>
        </w:tc>
        <w:tc>
          <w:tcPr>
            <w:tcW w:w="0" w:type="dxa"/>
            <w:vAlign w:val="bottom"/>
          </w:tcPr>
          <w:p>
            <w:pPr>
              <w:spacing w:after="0"/>
              <w:rPr>
                <w:sz w:val="1"/>
                <w:szCs w:val="1"/>
                <w:color w:val="auto"/>
              </w:rPr>
            </w:pPr>
          </w:p>
        </w:tc>
      </w:tr>
      <w:tr>
        <w:trPr>
          <w:trHeight w:val="202"/>
        </w:trPr>
        <w:tc>
          <w:tcPr>
            <w:tcW w:w="73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Current portion of long-term debt</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4,491</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2,609</w:t>
            </w: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current liabilities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138,116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212,679</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Deferred revenue, net of current portion</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6,676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6,119</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Finance lease liabilities, net of current portion</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367,775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237,130</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Operating lease liabilities, net of current portion</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191,419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161,228</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Long-term debt, net of current portion</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93,175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96,297</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Tax receivable agreements liability</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290,920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220,923</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Other long-term liabilities</w:t>
            </w:r>
          </w:p>
        </w:tc>
        <w:tc>
          <w:tcPr>
            <w:tcW w:w="300" w:type="dxa"/>
            <w:vAlign w:val="bottom"/>
            <w:tcBorders>
              <w:bottom w:val="single" w:sz="8" w:color="auto"/>
            </w:tcBorders>
            <w:shd w:val="clear" w:color="auto" w:fill="D2DCE5"/>
          </w:tcPr>
          <w:p>
            <w:pPr>
              <w:spacing w:after="0"/>
              <w:rPr>
                <w:sz w:val="19"/>
                <w:szCs w:val="19"/>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w:t>
            </w:r>
          </w:p>
        </w:tc>
        <w:tc>
          <w:tcPr>
            <w:tcW w:w="0" w:type="dxa"/>
            <w:vAlign w:val="bottom"/>
          </w:tcPr>
          <w:p>
            <w:pPr>
              <w:spacing w:after="0"/>
              <w:rPr>
                <w:sz w:val="1"/>
                <w:szCs w:val="1"/>
                <w:color w:val="auto"/>
              </w:rPr>
            </w:pPr>
          </w:p>
        </w:tc>
      </w:tr>
      <w:tr>
        <w:trPr>
          <w:trHeight w:val="192"/>
        </w:trPr>
        <w:tc>
          <w:tcPr>
            <w:tcW w:w="7300" w:type="dxa"/>
            <w:vAlign w:val="bottom"/>
            <w:gridSpan w:val="2"/>
          </w:tcPr>
          <w:p>
            <w:pPr>
              <w:ind w:left="260"/>
              <w:spacing w:after="0"/>
              <w:rPr>
                <w:sz w:val="20"/>
                <w:szCs w:val="20"/>
                <w:color w:val="auto"/>
              </w:rPr>
            </w:pPr>
            <w:r>
              <w:rPr>
                <w:rFonts w:ascii="Arial" w:cs="Arial" w:eastAsia="Arial" w:hAnsi="Arial"/>
                <w:sz w:val="14"/>
                <w:szCs w:val="14"/>
                <w:color w:val="131E29"/>
              </w:rPr>
              <w:t>Total liabilities</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1,088,089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934,384</w:t>
            </w:r>
          </w:p>
        </w:tc>
        <w:tc>
          <w:tcPr>
            <w:tcW w:w="0" w:type="dxa"/>
            <w:vAlign w:val="bottom"/>
          </w:tcPr>
          <w:p>
            <w:pPr>
              <w:spacing w:after="0"/>
              <w:rPr>
                <w:sz w:val="1"/>
                <w:szCs w:val="1"/>
                <w:color w:val="auto"/>
              </w:rPr>
            </w:pPr>
          </w:p>
        </w:tc>
      </w:tr>
      <w:tr>
        <w:trPr>
          <w:trHeight w:val="221"/>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Commitments and contingencies (Note 17)</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73025</wp:posOffset>
            </wp:positionV>
            <wp:extent cx="71875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96" w:name="page97"/>
    <w:bookmarkEnd w:id="96"/>
    <w:p>
      <w:pPr>
        <w:ind w:left="260"/>
        <w:spacing w:after="0"/>
        <w:rPr>
          <w:sz w:val="20"/>
          <w:szCs w:val="20"/>
          <w:color w:val="auto"/>
        </w:rPr>
      </w:pPr>
      <w:r>
        <w:rPr>
          <w:rFonts w:ascii="Arial" w:cs="Arial" w:eastAsia="Arial" w:hAnsi="Arial"/>
          <w:sz w:val="11"/>
          <w:szCs w:val="11"/>
          <w:u w:val="single" w:color="auto"/>
          <w:color w:val="006098"/>
        </w:rPr>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Balance Sheets (continued)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40" w:type="dxa"/>
            <w:vAlign w:val="bottom"/>
            <w:gridSpan w:val="2"/>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30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131E29"/>
              </w:rPr>
              <w:t>December 31,</w:t>
            </w:r>
          </w:p>
        </w:tc>
        <w:tc>
          <w:tcPr>
            <w:tcW w:w="300" w:type="dxa"/>
            <w:vAlign w:val="bottom"/>
          </w:tcPr>
          <w:p>
            <w:pPr>
              <w:spacing w:after="0"/>
              <w:rPr>
                <w:sz w:val="16"/>
                <w:szCs w:val="16"/>
                <w:color w:val="auto"/>
              </w:rPr>
            </w:pPr>
          </w:p>
        </w:tc>
        <w:tc>
          <w:tcPr>
            <w:tcW w:w="1640" w:type="dxa"/>
            <w:vAlign w:val="bottom"/>
          </w:tcPr>
          <w:p>
            <w:pPr>
              <w:jc w:val="right"/>
              <w:ind w:right="430"/>
              <w:spacing w:after="0"/>
              <w:rPr>
                <w:sz w:val="20"/>
                <w:szCs w:val="20"/>
                <w:color w:val="auto"/>
              </w:rPr>
            </w:pPr>
            <w:r>
              <w:rPr>
                <w:rFonts w:ascii="Arial" w:cs="Arial" w:eastAsia="Arial" w:hAnsi="Arial"/>
                <w:sz w:val="14"/>
                <w:szCs w:val="14"/>
                <w:b w:val="1"/>
                <w:bCs w:val="1"/>
                <w:color w:val="131E29"/>
              </w:rPr>
              <w:t>December 31,</w:t>
            </w:r>
          </w:p>
        </w:tc>
      </w:tr>
      <w:tr>
        <w:trPr>
          <w:trHeight w:val="180"/>
        </w:trPr>
        <w:tc>
          <w:tcPr>
            <w:tcW w:w="7240" w:type="dxa"/>
            <w:vAlign w:val="bottom"/>
            <w:tcBorders>
              <w:bottom w:val="single" w:sz="8" w:color="auto"/>
            </w:tcBorders>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300" w:type="dxa"/>
            <w:vAlign w:val="bottom"/>
            <w:tcBorders>
              <w:bottom w:val="single" w:sz="8" w:color="131E29"/>
            </w:tcBorders>
          </w:tcPr>
          <w:p>
            <w:pPr>
              <w:spacing w:after="0"/>
              <w:rPr>
                <w:sz w:val="15"/>
                <w:szCs w:val="15"/>
                <w:color w:val="auto"/>
              </w:rPr>
            </w:pPr>
          </w:p>
        </w:tc>
        <w:tc>
          <w:tcPr>
            <w:tcW w:w="1620" w:type="dxa"/>
            <w:vAlign w:val="bottom"/>
            <w:tcBorders>
              <w:bottom w:val="single" w:sz="8" w:color="131E29"/>
            </w:tcBorders>
          </w:tcPr>
          <w:p>
            <w:pPr>
              <w:jc w:val="right"/>
              <w:ind w:right="73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300" w:type="dxa"/>
            <w:vAlign w:val="bottom"/>
            <w:tcBorders>
              <w:bottom w:val="single" w:sz="8" w:color="131E29"/>
            </w:tcBorders>
          </w:tcPr>
          <w:p>
            <w:pPr>
              <w:spacing w:after="0"/>
              <w:rPr>
                <w:sz w:val="15"/>
                <w:szCs w:val="15"/>
                <w:color w:val="auto"/>
              </w:rPr>
            </w:pPr>
          </w:p>
        </w:tc>
        <w:tc>
          <w:tcPr>
            <w:tcW w:w="1640" w:type="dxa"/>
            <w:vAlign w:val="bottom"/>
            <w:tcBorders>
              <w:bottom w:val="single" w:sz="8" w:color="131E29"/>
            </w:tcBorders>
          </w:tcPr>
          <w:p>
            <w:pPr>
              <w:jc w:val="right"/>
              <w:ind w:right="730"/>
              <w:spacing w:after="0"/>
              <w:rPr>
                <w:sz w:val="20"/>
                <w:szCs w:val="20"/>
                <w:color w:val="auto"/>
              </w:rPr>
            </w:pPr>
            <w:r>
              <w:rPr>
                <w:rFonts w:ascii="Arial" w:cs="Arial" w:eastAsia="Arial" w:hAnsi="Arial"/>
                <w:sz w:val="14"/>
                <w:szCs w:val="14"/>
                <w:b w:val="1"/>
                <w:bCs w:val="1"/>
                <w:color w:val="131E29"/>
              </w:rPr>
              <w:t>2022</w:t>
            </w:r>
          </w:p>
        </w:tc>
      </w:tr>
      <w:tr>
        <w:trPr>
          <w:trHeight w:val="16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Preferred stock, $0.00001 par value per share - 20,000 shares authorized; zero shares issued and outstanding as</w:t>
            </w:r>
          </w:p>
        </w:tc>
        <w:tc>
          <w:tcPr>
            <w:tcW w:w="300" w:type="dxa"/>
            <w:vAlign w:val="bottom"/>
            <w:shd w:val="clear" w:color="auto" w:fill="D2DCE5"/>
          </w:tcPr>
          <w:p>
            <w:pPr>
              <w:spacing w:after="0"/>
              <w:rPr>
                <w:sz w:val="14"/>
                <w:szCs w:val="14"/>
                <w:color w:val="auto"/>
              </w:rPr>
            </w:pPr>
          </w:p>
        </w:tc>
        <w:tc>
          <w:tcPr>
            <w:tcW w:w="1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1640" w:type="dxa"/>
            <w:vAlign w:val="bottom"/>
            <w:shd w:val="clear" w:color="auto" w:fill="D2DCE5"/>
          </w:tcPr>
          <w:p>
            <w:pPr>
              <w:spacing w:after="0"/>
              <w:rPr>
                <w:sz w:val="14"/>
                <w:szCs w:val="14"/>
                <w:color w:val="auto"/>
              </w:rPr>
            </w:pPr>
          </w:p>
        </w:tc>
      </w:tr>
      <w:tr>
        <w:trPr>
          <w:trHeight w:val="205"/>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of December 31, 2023 and 2022</w:t>
            </w:r>
            <w:r>
              <w:rPr>
                <w:rFonts w:ascii="Arial" w:cs="Arial" w:eastAsia="Arial" w:hAnsi="Arial"/>
                <w:sz w:val="11"/>
                <w:szCs w:val="11"/>
                <w:color w:val="000000"/>
              </w:rPr>
              <w:t>,</w:t>
            </w:r>
            <w:r>
              <w:rPr>
                <w:rFonts w:ascii="Arial" w:cs="Arial" w:eastAsia="Arial" w:hAnsi="Arial"/>
                <w:sz w:val="14"/>
                <w:szCs w:val="14"/>
                <w:color w:val="131E29"/>
              </w:rPr>
              <w:t xml:space="preserve"> </w:t>
            </w:r>
            <w:r>
              <w:rPr>
                <w:rFonts w:ascii="Arial" w:cs="Arial" w:eastAsia="Arial" w:hAnsi="Arial"/>
                <w:sz w:val="14"/>
                <w:szCs w:val="14"/>
                <w:color w:val="000000"/>
              </w:rPr>
              <w:t>respectively</w:t>
            </w:r>
          </w:p>
        </w:tc>
        <w:tc>
          <w:tcPr>
            <w:tcW w:w="300" w:type="dxa"/>
            <w:vAlign w:val="bottom"/>
            <w:shd w:val="clear" w:color="auto" w:fill="D2DCE5"/>
          </w:tcPr>
          <w:p>
            <w:pPr>
              <w:spacing w:after="0"/>
              <w:rPr>
                <w:sz w:val="17"/>
                <w:szCs w:val="17"/>
                <w:color w:val="auto"/>
              </w:rPr>
            </w:pPr>
          </w:p>
        </w:tc>
        <w:tc>
          <w:tcPr>
            <w:tcW w:w="17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7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Class A common stock, $0.00001 par value per share - 400,000 shares authorized; 69,958 and 45,544 shares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5"/>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issued and outstanding as of December 31, 2023 and 2022, respectively</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w:t>
            </w:r>
          </w:p>
        </w:tc>
      </w:tr>
      <w:tr>
        <w:trPr>
          <w:trHeight w:val="185"/>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B common stock, $0.00001 par value per share - 144,000 shares authorized; 60,629 and 64,699 shares</w:t>
            </w: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640" w:type="dxa"/>
            <w:vAlign w:val="bottom"/>
            <w:shd w:val="clear" w:color="auto" w:fill="D2DCE5"/>
          </w:tcPr>
          <w:p>
            <w:pPr>
              <w:spacing w:after="0"/>
              <w:rPr>
                <w:sz w:val="16"/>
                <w:szCs w:val="16"/>
                <w:color w:val="auto"/>
              </w:rPr>
            </w:pPr>
          </w:p>
        </w:tc>
      </w:tr>
      <w:tr>
        <w:trPr>
          <w:trHeight w:val="205"/>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December 31, 2023 and 2022</w:t>
            </w:r>
            <w:r>
              <w:rPr>
                <w:rFonts w:ascii="Arial" w:cs="Arial" w:eastAsia="Arial" w:hAnsi="Arial"/>
                <w:sz w:val="11"/>
                <w:szCs w:val="11"/>
                <w:color w:val="000000"/>
              </w:rPr>
              <w:t>,</w:t>
            </w:r>
            <w:r>
              <w:rPr>
                <w:rFonts w:ascii="Arial" w:cs="Arial" w:eastAsia="Arial" w:hAnsi="Arial"/>
                <w:sz w:val="14"/>
                <w:szCs w:val="14"/>
                <w:color w:val="131E29"/>
              </w:rPr>
              <w:t xml:space="preserve"> </w:t>
            </w:r>
            <w:r>
              <w:rPr>
                <w:rFonts w:ascii="Arial" w:cs="Arial" w:eastAsia="Arial" w:hAnsi="Arial"/>
                <w:sz w:val="14"/>
                <w:szCs w:val="14"/>
                <w:color w:val="000000"/>
              </w:rPr>
              <w:t>respectively</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r>
      <w:tr>
        <w:trPr>
          <w:trHeight w:val="17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Class C common stock, $0.00001 par value per share - 105,000 shares authorized; 35,864 and 41,056 shares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5"/>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issued and outstanding as of December 31, 2023 and 2022</w:t>
            </w:r>
            <w:r>
              <w:rPr>
                <w:rFonts w:ascii="Arial" w:cs="Arial" w:eastAsia="Arial" w:hAnsi="Arial"/>
                <w:sz w:val="14"/>
                <w:szCs w:val="14"/>
                <w:color w:val="000000"/>
              </w:rPr>
              <w:t>, respectively</w:t>
            </w:r>
          </w:p>
        </w:tc>
        <w:tc>
          <w:tcPr>
            <w:tcW w:w="30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185"/>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D common stock, $0.00001 par value per share - 42,000 shares authorized; 10,669 and 12,411 shares</w:t>
            </w: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640" w:type="dxa"/>
            <w:vAlign w:val="bottom"/>
            <w:shd w:val="clear" w:color="auto" w:fill="D2DCE5"/>
          </w:tcPr>
          <w:p>
            <w:pPr>
              <w:spacing w:after="0"/>
              <w:rPr>
                <w:sz w:val="16"/>
                <w:szCs w:val="16"/>
                <w:color w:val="auto"/>
              </w:rPr>
            </w:pPr>
          </w:p>
        </w:tc>
      </w:tr>
      <w:tr>
        <w:trPr>
          <w:trHeight w:val="205"/>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December 31, 2023 and 2022</w:t>
            </w:r>
            <w:r>
              <w:rPr>
                <w:rFonts w:ascii="Arial" w:cs="Arial" w:eastAsia="Arial" w:hAnsi="Arial"/>
                <w:sz w:val="14"/>
                <w:szCs w:val="14"/>
                <w:color w:val="000000"/>
              </w:rPr>
              <w:t>, respectivel</w:t>
            </w:r>
            <w:r>
              <w:rPr>
                <w:rFonts w:ascii="Arial" w:cs="Arial" w:eastAsia="Arial" w:hAnsi="Arial"/>
                <w:sz w:val="11"/>
                <w:szCs w:val="11"/>
                <w:color w:val="000000"/>
              </w:rPr>
              <w:t>y</w:t>
            </w:r>
          </w:p>
        </w:tc>
        <w:tc>
          <w:tcPr>
            <w:tcW w:w="300" w:type="dxa"/>
            <w:vAlign w:val="bottom"/>
            <w:shd w:val="clear" w:color="auto" w:fill="D2DCE5"/>
          </w:tcPr>
          <w:p>
            <w:pPr>
              <w:spacing w:after="0"/>
              <w:rPr>
                <w:sz w:val="17"/>
                <w:szCs w:val="17"/>
                <w:color w:val="auto"/>
              </w:rPr>
            </w:pPr>
          </w:p>
        </w:tc>
        <w:tc>
          <w:tcPr>
            <w:tcW w:w="17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Additional paid-in capital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379,391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145,613</w:t>
            </w:r>
          </w:p>
        </w:tc>
      </w:tr>
      <w:tr>
        <w:trPr>
          <w:trHeight w:val="22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Accumulated other comprehensive income</w:t>
            </w:r>
          </w:p>
        </w:tc>
        <w:tc>
          <w:tcPr>
            <w:tcW w:w="3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813</w:t>
            </w:r>
          </w:p>
        </w:tc>
      </w:tr>
      <w:tr>
        <w:trPr>
          <w:trHeight w:val="202"/>
        </w:trPr>
        <w:tc>
          <w:tcPr>
            <w:tcW w:w="73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Accumulated deficit</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(15,592)</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(17,310)</w:t>
            </w:r>
          </w:p>
        </w:tc>
      </w:tr>
      <w:tr>
        <w:trPr>
          <w:trHeight w:val="211"/>
        </w:trPr>
        <w:tc>
          <w:tcPr>
            <w:tcW w:w="734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Total stockholders' equity attributable to Dutch Bros Inc.</w:t>
            </w:r>
          </w:p>
        </w:tc>
        <w:tc>
          <w:tcPr>
            <w:tcW w:w="300" w:type="dxa"/>
            <w:vAlign w:val="bottom"/>
            <w:shd w:val="clear" w:color="auto" w:fill="D2DCE5"/>
          </w:tcPr>
          <w:p>
            <w:pPr>
              <w:spacing w:after="0"/>
              <w:rPr>
                <w:sz w:val="18"/>
                <w:szCs w:val="18"/>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364,345</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129,118</w:t>
            </w:r>
          </w:p>
        </w:tc>
      </w:tr>
      <w:tr>
        <w:trPr>
          <w:trHeight w:val="202"/>
        </w:trPr>
        <w:tc>
          <w:tcPr>
            <w:tcW w:w="7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Non-controlling interests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311,576</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122,858</w:t>
            </w:r>
          </w:p>
        </w:tc>
      </w:tr>
      <w:tr>
        <w:trPr>
          <w:trHeight w:val="202"/>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 equity</w:t>
            </w:r>
          </w:p>
        </w:tc>
        <w:tc>
          <w:tcPr>
            <w:tcW w:w="30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675,921</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251,976</w:t>
            </w:r>
          </w:p>
        </w:tc>
      </w:tr>
      <w:tr>
        <w:trPr>
          <w:trHeight w:val="211"/>
        </w:trPr>
        <w:tc>
          <w:tcPr>
            <w:tcW w:w="7340" w:type="dxa"/>
            <w:vAlign w:val="bottom"/>
            <w:gridSpan w:val="2"/>
          </w:tcPr>
          <w:p>
            <w:pPr>
              <w:ind w:left="400"/>
              <w:spacing w:after="0"/>
              <w:rPr>
                <w:sz w:val="20"/>
                <w:szCs w:val="20"/>
                <w:color w:val="auto"/>
              </w:rPr>
            </w:pPr>
            <w:r>
              <w:rPr>
                <w:rFonts w:ascii="Arial" w:cs="Arial" w:eastAsia="Arial" w:hAnsi="Arial"/>
                <w:sz w:val="14"/>
                <w:szCs w:val="14"/>
                <w:color w:val="131E29"/>
              </w:rPr>
              <w:t>Total liabilities and equity</w:t>
            </w: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1,764,010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1,186,360</w:t>
            </w: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97" w:name="page98"/>
    <w:bookmarkEnd w:id="9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Operations</w:t>
      </w:r>
    </w:p>
    <w:p>
      <w:pPr>
        <w:spacing w:after="0" w:line="177"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27940</wp:posOffset>
            </wp:positionV>
            <wp:extent cx="244348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43480" cy="6985"/>
                    </a:xfrm>
                    <a:prstGeom prst="rect">
                      <a:avLst/>
                    </a:prstGeom>
                    <a:noFill/>
                  </pic:spPr>
                </pic:pic>
              </a:graphicData>
            </a:graphic>
          </wp:anchor>
        </w:drawing>
      </w:r>
    </w:p>
    <w:p>
      <w:pPr>
        <w:spacing w:after="0" w:line="41" w:lineRule="exact"/>
        <w:rPr>
          <w:sz w:val="20"/>
          <w:szCs w:val="20"/>
          <w:color w:val="auto"/>
        </w:rPr>
      </w:pPr>
    </w:p>
    <w:tbl>
      <w:tblPr>
        <w:tblLayout w:type="fixed"/>
        <w:tblInd w:w="260" w:type="dxa"/>
        <w:tblCellMar>
          <w:top w:w="0" w:type="dxa"/>
          <w:left w:w="0" w:type="dxa"/>
          <w:bottom w:w="0" w:type="dxa"/>
          <w:right w:w="0" w:type="dxa"/>
        </w:tblCellMar>
      </w:tblPr>
      <w:tr>
        <w:trPr>
          <w:trHeight w:val="199"/>
        </w:trPr>
        <w:tc>
          <w:tcPr>
            <w:tcW w:w="684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 except per share amounts)</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2021</w:t>
            </w:r>
          </w:p>
        </w:tc>
        <w:tc>
          <w:tcPr>
            <w:tcW w:w="0" w:type="dxa"/>
            <w:vAlign w:val="bottom"/>
          </w:tcPr>
          <w:p>
            <w:pPr>
              <w:spacing w:after="0"/>
              <w:rPr>
                <w:sz w:val="1"/>
                <w:szCs w:val="1"/>
                <w:color w:val="auto"/>
              </w:rPr>
            </w:pPr>
          </w:p>
        </w:tc>
      </w:tr>
      <w:tr>
        <w:trPr>
          <w:trHeight w:val="208"/>
        </w:trPr>
        <w:tc>
          <w:tcPr>
            <w:tcW w:w="69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REVENUES</w:t>
            </w:r>
          </w:p>
        </w:tc>
        <w:tc>
          <w:tcPr>
            <w:tcW w:w="26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60" w:type="dxa"/>
            <w:vAlign w:val="bottom"/>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tcPr>
          <w:p>
            <w:pPr>
              <w:spacing w:after="0"/>
              <w:rPr>
                <w:sz w:val="17"/>
                <w:szCs w:val="17"/>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639,710</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403,746</w:t>
            </w:r>
          </w:p>
        </w:tc>
        <w:tc>
          <w:tcPr>
            <w:tcW w:w="0" w:type="dxa"/>
            <w:vAlign w:val="bottom"/>
          </w:tcPr>
          <w:p>
            <w:pPr>
              <w:spacing w:after="0"/>
              <w:rPr>
                <w:sz w:val="1"/>
                <w:szCs w:val="1"/>
                <w:color w:val="auto"/>
              </w:rPr>
            </w:pPr>
          </w:p>
        </w:tc>
      </w:tr>
      <w:tr>
        <w:trPr>
          <w:trHeight w:val="221"/>
        </w:trPr>
        <w:tc>
          <w:tcPr>
            <w:tcW w:w="69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107,837</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10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c>
          <w:tcPr>
            <w:tcW w:w="0" w:type="dxa"/>
            <w:vAlign w:val="bottom"/>
          </w:tcPr>
          <w:p>
            <w:pPr>
              <w:spacing w:after="0"/>
              <w:rPr>
                <w:sz w:val="1"/>
                <w:szCs w:val="1"/>
                <w:color w:val="auto"/>
              </w:rPr>
            </w:pPr>
          </w:p>
        </w:tc>
      </w:tr>
      <w:tr>
        <w:trPr>
          <w:trHeight w:val="193"/>
        </w:trPr>
        <w:tc>
          <w:tcPr>
            <w:tcW w:w="6940" w:type="dxa"/>
            <w:vAlign w:val="bottom"/>
            <w:tcBorders>
              <w:bottom w:val="single" w:sz="8" w:color="D2DCE5"/>
            </w:tcBorders>
            <w:gridSpan w:val="2"/>
          </w:tcPr>
          <w:p>
            <w:pPr>
              <w:ind w:left="260"/>
              <w:spacing w:after="0"/>
              <w:rPr>
                <w:sz w:val="20"/>
                <w:szCs w:val="20"/>
                <w:color w:val="auto"/>
              </w:rPr>
            </w:pPr>
            <w:r>
              <w:rPr>
                <w:rFonts w:ascii="Arial" w:cs="Arial" w:eastAsia="Arial" w:hAnsi="Arial"/>
                <w:sz w:val="14"/>
                <w:szCs w:val="14"/>
                <w:color w:val="131E29"/>
              </w:rPr>
              <w:t>Total revenues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10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497,876</w:t>
            </w:r>
          </w:p>
        </w:tc>
        <w:tc>
          <w:tcPr>
            <w:tcW w:w="0" w:type="dxa"/>
            <w:vAlign w:val="bottom"/>
          </w:tcPr>
          <w:p>
            <w:pPr>
              <w:spacing w:after="0"/>
              <w:rPr>
                <w:sz w:val="1"/>
                <w:szCs w:val="1"/>
                <w:color w:val="auto"/>
              </w:rPr>
            </w:pPr>
          </w:p>
        </w:tc>
      </w:tr>
      <w:tr>
        <w:trPr>
          <w:trHeight w:val="201"/>
        </w:trPr>
        <w:tc>
          <w:tcPr>
            <w:tcW w:w="68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gridSpan w:val="2"/>
          </w:tcPr>
          <w:p>
            <w:pPr>
              <w:spacing w:after="0"/>
              <w:rPr>
                <w:sz w:val="20"/>
                <w:szCs w:val="20"/>
                <w:color w:val="auto"/>
              </w:rPr>
            </w:pPr>
            <w:r>
              <w:rPr>
                <w:rFonts w:ascii="Arial" w:cs="Arial" w:eastAsia="Arial" w:hAnsi="Arial"/>
                <w:sz w:val="14"/>
                <w:szCs w:val="14"/>
                <w:color w:val="131E29"/>
              </w:rPr>
              <w:t>COSTS AND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714,480</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558,096</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344,573</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183,528</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264,529</w:t>
            </w:r>
          </w:p>
        </w:tc>
        <w:tc>
          <w:tcPr>
            <w:tcW w:w="0" w:type="dxa"/>
            <w:vAlign w:val="bottom"/>
          </w:tcPr>
          <w:p>
            <w:pPr>
              <w:spacing w:after="0"/>
              <w:rPr>
                <w:sz w:val="1"/>
                <w:szCs w:val="1"/>
                <w:color w:val="auto"/>
              </w:rPr>
            </w:pPr>
          </w:p>
        </w:tc>
      </w:tr>
      <w:tr>
        <w:trPr>
          <w:trHeight w:val="202"/>
        </w:trPr>
        <w:tc>
          <w:tcPr>
            <w:tcW w:w="694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costs and expenses</w:t>
            </w:r>
          </w:p>
        </w:tc>
        <w:tc>
          <w:tcPr>
            <w:tcW w:w="260" w:type="dxa"/>
            <w:vAlign w:val="bottom"/>
            <w:tcBorders>
              <w:bottom w:val="single" w:sz="8" w:color="auto"/>
            </w:tcBorders>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919,554</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741,624</w:t>
            </w:r>
          </w:p>
        </w:tc>
        <w:tc>
          <w:tcPr>
            <w:tcW w:w="10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609,102</w:t>
            </w:r>
          </w:p>
        </w:tc>
        <w:tc>
          <w:tcPr>
            <w:tcW w:w="0" w:type="dxa"/>
            <w:vAlign w:val="bottom"/>
          </w:tcPr>
          <w:p>
            <w:pPr>
              <w:spacing w:after="0"/>
              <w:rPr>
                <w:sz w:val="1"/>
                <w:szCs w:val="1"/>
                <w:color w:val="auto"/>
              </w:rPr>
            </w:pPr>
          </w:p>
        </w:tc>
      </w:tr>
      <w:tr>
        <w:trPr>
          <w:trHeight w:val="201"/>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INCOME (LOSS) FROM OPERATIONS</w:t>
            </w:r>
          </w:p>
        </w:tc>
        <w:tc>
          <w:tcPr>
            <w:tcW w:w="26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46,222</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(2,612)</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(111,226)</w:t>
            </w:r>
          </w:p>
        </w:tc>
        <w:tc>
          <w:tcPr>
            <w:tcW w:w="0" w:type="dxa"/>
            <w:vAlign w:val="bottom"/>
          </w:tcPr>
          <w:p>
            <w:pPr>
              <w:spacing w:after="0"/>
              <w:rPr>
                <w:sz w:val="1"/>
                <w:szCs w:val="1"/>
                <w:color w:val="auto"/>
              </w:rPr>
            </w:pPr>
          </w:p>
        </w:tc>
      </w:tr>
      <w:tr>
        <w:trPr>
          <w:trHeight w:val="211"/>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OTHER EXPENSE</w:t>
            </w:r>
          </w:p>
        </w:tc>
        <w:tc>
          <w:tcPr>
            <w:tcW w:w="26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(18,018)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(7,093)</w:t>
            </w:r>
          </w:p>
        </w:tc>
        <w:tc>
          <w:tcPr>
            <w:tcW w:w="0" w:type="dxa"/>
            <w:vAlign w:val="bottom"/>
          </w:tcPr>
          <w:p>
            <w:pPr>
              <w:spacing w:after="0"/>
              <w:rPr>
                <w:sz w:val="1"/>
                <w:szCs w:val="1"/>
                <w:color w:val="auto"/>
              </w:rPr>
            </w:pPr>
          </w:p>
        </w:tc>
      </w:tr>
      <w:tr>
        <w:trPr>
          <w:trHeight w:val="221"/>
        </w:trPr>
        <w:tc>
          <w:tcPr>
            <w:tcW w:w="69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 (expense)</w:t>
            </w:r>
          </w:p>
        </w:tc>
        <w:tc>
          <w:tcPr>
            <w:tcW w:w="2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3,976</w:t>
            </w:r>
          </w:p>
        </w:tc>
        <w:tc>
          <w:tcPr>
            <w:tcW w:w="10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(1,240)</w:t>
            </w:r>
          </w:p>
        </w:tc>
        <w:tc>
          <w:tcPr>
            <w:tcW w:w="0" w:type="dxa"/>
            <w:vAlign w:val="bottom"/>
          </w:tcPr>
          <w:p>
            <w:pPr>
              <w:spacing w:after="0"/>
              <w:rPr>
                <w:sz w:val="1"/>
                <w:szCs w:val="1"/>
                <w:color w:val="auto"/>
              </w:rPr>
            </w:pPr>
          </w:p>
        </w:tc>
      </w:tr>
      <w:tr>
        <w:trPr>
          <w:trHeight w:val="193"/>
        </w:trPr>
        <w:tc>
          <w:tcPr>
            <w:tcW w:w="6940" w:type="dxa"/>
            <w:vAlign w:val="bottom"/>
            <w:tcBorders>
              <w:bottom w:val="single" w:sz="8" w:color="D2DCE5"/>
            </w:tcBorders>
            <w:gridSpan w:val="2"/>
          </w:tcPr>
          <w:p>
            <w:pPr>
              <w:ind w:left="260"/>
              <w:spacing w:after="0"/>
              <w:rPr>
                <w:sz w:val="20"/>
                <w:szCs w:val="20"/>
                <w:color w:val="auto"/>
              </w:rPr>
            </w:pPr>
            <w:r>
              <w:rPr>
                <w:rFonts w:ascii="Arial" w:cs="Arial" w:eastAsia="Arial" w:hAnsi="Arial"/>
                <w:sz w:val="14"/>
                <w:szCs w:val="14"/>
                <w:color w:val="131E29"/>
              </w:rPr>
              <w:t>Total other expense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(29,303)</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(14,042)</w:t>
            </w:r>
          </w:p>
        </w:tc>
        <w:tc>
          <w:tcPr>
            <w:tcW w:w="10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(8,333)</w:t>
            </w:r>
          </w:p>
        </w:tc>
        <w:tc>
          <w:tcPr>
            <w:tcW w:w="0" w:type="dxa"/>
            <w:vAlign w:val="bottom"/>
          </w:tcPr>
          <w:p>
            <w:pPr>
              <w:spacing w:after="0"/>
              <w:rPr>
                <w:sz w:val="1"/>
                <w:szCs w:val="1"/>
                <w:color w:val="auto"/>
              </w:rPr>
            </w:pPr>
          </w:p>
        </w:tc>
      </w:tr>
      <w:tr>
        <w:trPr>
          <w:trHeight w:val="201"/>
        </w:trPr>
        <w:tc>
          <w:tcPr>
            <w:tcW w:w="68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gridSpan w:val="2"/>
          </w:tcPr>
          <w:p>
            <w:pPr>
              <w:spacing w:after="0"/>
              <w:rPr>
                <w:sz w:val="20"/>
                <w:szCs w:val="20"/>
                <w:color w:val="auto"/>
              </w:rPr>
            </w:pPr>
            <w:r>
              <w:rPr>
                <w:rFonts w:ascii="Arial" w:cs="Arial" w:eastAsia="Arial" w:hAnsi="Arial"/>
                <w:sz w:val="14"/>
                <w:szCs w:val="14"/>
                <w:color w:val="131E29"/>
              </w:rPr>
              <w:t>INCOME (LOSS) BEFORE INCOME TAXES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16,919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(16,654)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(119,559)</w:t>
            </w:r>
          </w:p>
        </w:tc>
        <w:tc>
          <w:tcPr>
            <w:tcW w:w="0" w:type="dxa"/>
            <w:vAlign w:val="bottom"/>
          </w:tcPr>
          <w:p>
            <w:pPr>
              <w:spacing w:after="0"/>
              <w:rPr>
                <w:sz w:val="1"/>
                <w:szCs w:val="1"/>
                <w:color w:val="auto"/>
              </w:rPr>
            </w:pPr>
          </w:p>
        </w:tc>
      </w:tr>
      <w:tr>
        <w:trPr>
          <w:trHeight w:val="221"/>
        </w:trPr>
        <w:tc>
          <w:tcPr>
            <w:tcW w:w="69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Income tax expense (benefit)</w:t>
            </w:r>
          </w:p>
        </w:tc>
        <w:tc>
          <w:tcPr>
            <w:tcW w:w="2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6,967</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2,599</w:t>
            </w:r>
          </w:p>
        </w:tc>
        <w:tc>
          <w:tcPr>
            <w:tcW w:w="10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(1,628)</w:t>
            </w:r>
          </w:p>
        </w:tc>
        <w:tc>
          <w:tcPr>
            <w:tcW w:w="0" w:type="dxa"/>
            <w:vAlign w:val="bottom"/>
          </w:tcPr>
          <w:p>
            <w:pPr>
              <w:spacing w:after="0"/>
              <w:rPr>
                <w:sz w:val="1"/>
                <w:szCs w:val="1"/>
                <w:color w:val="auto"/>
              </w:rPr>
            </w:pPr>
          </w:p>
        </w:tc>
      </w:tr>
      <w:tr>
        <w:trPr>
          <w:trHeight w:val="192"/>
        </w:trPr>
        <w:tc>
          <w:tcPr>
            <w:tcW w:w="6940" w:type="dxa"/>
            <w:vAlign w:val="bottom"/>
            <w:gridSpan w:val="2"/>
          </w:tcPr>
          <w:p>
            <w:pPr>
              <w:spacing w:after="0"/>
              <w:rPr>
                <w:sz w:val="20"/>
                <w:szCs w:val="20"/>
                <w:color w:val="auto"/>
              </w:rPr>
            </w:pPr>
            <w:r>
              <w:rPr>
                <w:rFonts w:ascii="Arial" w:cs="Arial" w:eastAsia="Arial" w:hAnsi="Arial"/>
                <w:sz w:val="14"/>
                <w:szCs w:val="14"/>
                <w:color w:val="131E29"/>
              </w:rPr>
              <w:t>NET INCOME (LOSS)</w:t>
            </w:r>
          </w:p>
        </w:tc>
        <w:tc>
          <w:tcPr>
            <w:tcW w:w="260" w:type="dxa"/>
            <w:vAlign w:val="bottom"/>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(19,253)</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(117,931)</w:t>
            </w:r>
          </w:p>
        </w:tc>
        <w:tc>
          <w:tcPr>
            <w:tcW w:w="0" w:type="dxa"/>
            <w:vAlign w:val="bottom"/>
          </w:tcPr>
          <w:p>
            <w:pPr>
              <w:spacing w:after="0"/>
              <w:rPr>
                <w:sz w:val="1"/>
                <w:szCs w:val="1"/>
                <w:color w:val="auto"/>
              </w:rPr>
            </w:pPr>
          </w:p>
        </w:tc>
      </w:tr>
      <w:tr>
        <w:trPr>
          <w:trHeight w:val="221"/>
        </w:trPr>
        <w:tc>
          <w:tcPr>
            <w:tcW w:w="69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loss attributable to Dutch Bros OpCo prior to the Reorganization Transactions</w:t>
            </w:r>
          </w:p>
        </w:tc>
        <w:tc>
          <w:tcPr>
            <w:tcW w:w="260" w:type="dxa"/>
            <w:vAlign w:val="bottom"/>
            <w:shd w:val="clear" w:color="auto" w:fill="D2DCE5"/>
          </w:tcPr>
          <w:p>
            <w:pPr>
              <w:spacing w:after="0"/>
              <w:rPr>
                <w:sz w:val="19"/>
                <w:szCs w:val="19"/>
                <w:color w:val="auto"/>
              </w:rPr>
            </w:pP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9"/>
                <w:szCs w:val="19"/>
                <w:color w:val="auto"/>
              </w:rPr>
            </w:pPr>
          </w:p>
        </w:tc>
        <w:tc>
          <w:tcPr>
            <w:tcW w:w="10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(67,374)</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Less: Net income (loss) attributable to non-controlling interests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8,234</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(14,500)</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(37,878)</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4"/>
                <w:szCs w:val="14"/>
                <w:color w:val="131E29"/>
              </w:rPr>
              <w:t>NET INCOME (LOSS) ATTRIBUTABLE TO DUTCH BROS INC.</w:t>
            </w:r>
          </w:p>
        </w:tc>
        <w:tc>
          <w:tcPr>
            <w:tcW w:w="26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0" w:type="dxa"/>
            <w:vAlign w:val="bottom"/>
          </w:tcPr>
          <w:p>
            <w:pPr>
              <w:spacing w:after="0"/>
              <w:rPr>
                <w:sz w:val="1"/>
                <w:szCs w:val="1"/>
                <w:color w:val="auto"/>
              </w:rPr>
            </w:pPr>
          </w:p>
        </w:tc>
      </w:tr>
      <w:tr>
        <w:trPr>
          <w:trHeight w:val="20"/>
        </w:trPr>
        <w:tc>
          <w:tcPr>
            <w:tcW w:w="694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color w:val="131E29"/>
              </w:rPr>
              <w:t>Net income (loss) per share of Class A and Class D common stock:</w:t>
            </w: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69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Basic</w:t>
            </w:r>
          </w:p>
        </w:tc>
        <w:tc>
          <w:tcPr>
            <w:tcW w:w="26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0.03</w:t>
            </w: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(0.09)</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(0.28)</w:t>
            </w:r>
          </w:p>
        </w:tc>
        <w:tc>
          <w:tcPr>
            <w:tcW w:w="0" w:type="dxa"/>
            <w:vAlign w:val="bottom"/>
          </w:tcPr>
          <w:p>
            <w:pPr>
              <w:spacing w:after="0"/>
              <w:rPr>
                <w:sz w:val="1"/>
                <w:szCs w:val="1"/>
                <w:color w:val="auto"/>
              </w:rPr>
            </w:pPr>
          </w:p>
        </w:tc>
      </w:tr>
      <w:tr>
        <w:trPr>
          <w:trHeight w:val="20"/>
        </w:trPr>
        <w:tc>
          <w:tcPr>
            <w:tcW w:w="68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940" w:type="dxa"/>
            <w:vAlign w:val="bottom"/>
            <w:gridSpan w:val="2"/>
          </w:tcPr>
          <w:p>
            <w:pPr>
              <w:ind w:left="140"/>
              <w:spacing w:after="0"/>
              <w:rPr>
                <w:sz w:val="20"/>
                <w:szCs w:val="20"/>
                <w:color w:val="auto"/>
              </w:rPr>
            </w:pPr>
            <w:r>
              <w:rPr>
                <w:rFonts w:ascii="Arial" w:cs="Arial" w:eastAsia="Arial" w:hAnsi="Arial"/>
                <w:sz w:val="14"/>
                <w:szCs w:val="14"/>
                <w:color w:val="131E29"/>
              </w:rPr>
              <w:t>Diluted</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0.03</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(0.28)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Weighted-average shares of Class A and Class D common stock outstanding:</w:t>
            </w:r>
          </w:p>
        </w:tc>
        <w:tc>
          <w:tcPr>
            <w:tcW w:w="26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40" w:type="dxa"/>
            <w:vAlign w:val="bottom"/>
            <w:gridSpan w:val="2"/>
          </w:tcPr>
          <w:p>
            <w:pPr>
              <w:ind w:left="140"/>
              <w:spacing w:after="0"/>
              <w:rPr>
                <w:sz w:val="20"/>
                <w:szCs w:val="20"/>
                <w:color w:val="auto"/>
              </w:rPr>
            </w:pPr>
            <w:r>
              <w:rPr>
                <w:rFonts w:ascii="Arial" w:cs="Arial" w:eastAsia="Arial" w:hAnsi="Arial"/>
                <w:sz w:val="14"/>
                <w:szCs w:val="14"/>
                <w:color w:val="131E29"/>
              </w:rPr>
              <w:t>Basic</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62,074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51,871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45,864</w:t>
            </w:r>
          </w:p>
        </w:tc>
        <w:tc>
          <w:tcPr>
            <w:tcW w:w="0" w:type="dxa"/>
            <w:vAlign w:val="bottom"/>
          </w:tcPr>
          <w:p>
            <w:pPr>
              <w:spacing w:after="0"/>
              <w:rPr>
                <w:sz w:val="1"/>
                <w:szCs w:val="1"/>
                <w:color w:val="auto"/>
              </w:rPr>
            </w:pPr>
          </w:p>
        </w:tc>
      </w:tr>
      <w:tr>
        <w:trPr>
          <w:trHeight w:val="221"/>
        </w:trPr>
        <w:tc>
          <w:tcPr>
            <w:tcW w:w="69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Diluted</w:t>
            </w: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62,074</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51,871</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45,864</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8" w:name="page99"/>
    <w:bookmarkEnd w:id="9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Comprehensive Income (Loss)</w:t>
      </w:r>
    </w:p>
    <w:p>
      <w:pPr>
        <w:spacing w:after="0" w:line="368"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27940</wp:posOffset>
            </wp:positionV>
            <wp:extent cx="244348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43480"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2021</w:t>
            </w:r>
          </w:p>
        </w:tc>
      </w:tr>
      <w:tr>
        <w:trPr>
          <w:trHeight w:val="208"/>
        </w:trPr>
        <w:tc>
          <w:tcPr>
            <w:tcW w:w="74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w:t>
            </w:r>
          </w:p>
        </w:tc>
        <w:tc>
          <w:tcPr>
            <w:tcW w:w="28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(117,931)</w:t>
            </w:r>
          </w:p>
        </w:tc>
      </w:tr>
      <w:tr>
        <w:trPr>
          <w:trHeight w:val="202"/>
        </w:trPr>
        <w:tc>
          <w:tcPr>
            <w:tcW w:w="744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5"/>
        </w:trPr>
        <w:tc>
          <w:tcPr>
            <w:tcW w:w="74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Unrealized gain (loss) on derivative securities, effective portion, net of income tax expense of $10, $273, and $—</w:t>
            </w: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r>
      <w:tr>
        <w:trPr>
          <w:trHeight w:val="205"/>
        </w:trPr>
        <w:tc>
          <w:tcPr>
            <w:tcW w:w="74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respectively</w:t>
            </w: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(748)</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2,908</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2"/>
        </w:trPr>
        <w:tc>
          <w:tcPr>
            <w:tcW w:w="7440" w:type="dxa"/>
            <w:vAlign w:val="bottom"/>
            <w:gridSpan w:val="2"/>
          </w:tcPr>
          <w:p>
            <w:pPr>
              <w:ind w:left="20"/>
              <w:spacing w:after="0"/>
              <w:rPr>
                <w:sz w:val="20"/>
                <w:szCs w:val="20"/>
                <w:color w:val="auto"/>
              </w:rPr>
            </w:pPr>
            <w:r>
              <w:rPr>
                <w:rFonts w:ascii="Arial" w:cs="Arial" w:eastAsia="Arial" w:hAnsi="Arial"/>
                <w:sz w:val="14"/>
                <w:szCs w:val="14"/>
                <w:color w:val="131E29"/>
              </w:rPr>
              <w:t>Comprehensive income (loss)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9,204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(16,345)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(117,931)</w:t>
            </w:r>
          </w:p>
        </w:tc>
      </w:tr>
      <w:tr>
        <w:trPr>
          <w:trHeight w:val="221"/>
        </w:trPr>
        <w:tc>
          <w:tcPr>
            <w:tcW w:w="74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comprehensive loss attributable to Dutch Bros OpCo prior to the Reorganization Transactions</w:t>
            </w:r>
          </w:p>
        </w:tc>
        <w:tc>
          <w:tcPr>
            <w:tcW w:w="280" w:type="dxa"/>
            <w:vAlign w:val="bottom"/>
            <w:shd w:val="clear" w:color="auto" w:fill="D2DCE5"/>
          </w:tcPr>
          <w:p>
            <w:pPr>
              <w:spacing w:after="0"/>
              <w:rPr>
                <w:sz w:val="19"/>
                <w:szCs w:val="19"/>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9"/>
                <w:szCs w:val="19"/>
                <w:color w:val="auto"/>
              </w:rPr>
            </w:pP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(67,374)</w:t>
            </w:r>
          </w:p>
        </w:tc>
      </w:tr>
      <w:tr>
        <w:trPr>
          <w:trHeight w:val="202"/>
        </w:trPr>
        <w:tc>
          <w:tcPr>
            <w:tcW w:w="74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Less: comprehensive income (loss) attributable to non-controlling interests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7,755</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(12,405)</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(37,878)</w:t>
            </w:r>
          </w:p>
        </w:tc>
      </w:tr>
      <w:tr>
        <w:trPr>
          <w:trHeight w:val="236"/>
        </w:trPr>
        <w:tc>
          <w:tcPr>
            <w:tcW w:w="74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Comprehensive income (loss) attributable to Dutch Bros Inc.</w:t>
            </w:r>
          </w:p>
        </w:tc>
        <w:tc>
          <w:tcPr>
            <w:tcW w:w="28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1,449</w:t>
            </w: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(3,940)</w:t>
            </w: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r>
      <w:tr>
        <w:trPr>
          <w:trHeight w:val="20"/>
        </w:trPr>
        <w:tc>
          <w:tcPr>
            <w:tcW w:w="73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9" w:name="page100"/>
    <w:bookmarkEnd w:id="99"/>
    <w:p>
      <w:pPr>
        <w:spacing w:after="0"/>
        <w:rPr>
          <w:sz w:val="20"/>
          <w:szCs w:val="20"/>
          <w:color w:val="auto"/>
        </w:rPr>
      </w:pPr>
      <w:r>
        <w:rPr>
          <w:rFonts w:ascii="Arial" w:cs="Arial" w:eastAsia="Arial" w:hAnsi="Arial"/>
          <w:sz w:val="11"/>
          <w:szCs w:val="11"/>
          <w:u w:val="single" w:color="auto"/>
          <w:color w:val="006098"/>
        </w:rPr>
        <w:t>Table of Contents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6216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0"/>
          </w:tcPr>
          <w:p>
            <w:pPr>
              <w:ind w:left="24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B</w:t>
            </w:r>
          </w:p>
        </w:tc>
        <w:tc>
          <w:tcPr>
            <w:tcW w:w="1280" w:type="dxa"/>
            <w:vAlign w:val="bottom"/>
            <w:gridSpan w:val="5"/>
          </w:tcPr>
          <w:p>
            <w:pPr>
              <w:ind w:left="40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131E29"/>
              </w:rPr>
              <w:t>Class 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280" w:type="dxa"/>
            <w:vAlign w:val="bottom"/>
            <w:gridSpan w:val="5"/>
          </w:tcPr>
          <w:p>
            <w:pPr>
              <w:ind w:left="22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color w:val="131E29"/>
              </w:rPr>
              <w:t>Additional</w:t>
            </w:r>
          </w:p>
        </w:tc>
        <w:tc>
          <w:tcPr>
            <w:tcW w:w="8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Other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color w:val="131E29"/>
              </w:rPr>
              <w:t>Non-</w:t>
            </w:r>
          </w:p>
        </w:tc>
        <w:tc>
          <w:tcPr>
            <w:tcW w:w="580" w:type="dxa"/>
            <w:vAlign w:val="bottom"/>
            <w:vMerge w:val="restart"/>
          </w:tcPr>
          <w:p>
            <w:pPr>
              <w:jc w:val="right"/>
              <w:ind w:right="124"/>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8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Comprehensive</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1"/>
                <w:szCs w:val="11"/>
                <w:color w:val="131E29"/>
                <w:w w:val="98"/>
              </w:rPr>
              <w:t>Controlling</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color w:val="131E29"/>
              </w:rPr>
              <w:t>Deficit</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color w:val="131E29"/>
              </w:rPr>
              <w:t>Interests</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3"/>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2022</w:t>
            </w: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45,544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64,699</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41,056</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12,411</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$ 145,613</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813</w:t>
            </w:r>
          </w:p>
        </w:tc>
        <w:tc>
          <w:tcPr>
            <w:tcW w:w="60" w:type="dxa"/>
            <w:vAlign w:val="bottom"/>
            <w:shd w:val="clear" w:color="auto" w:fill="D2DCE5"/>
          </w:tcPr>
          <w:p>
            <w:pPr>
              <w:spacing w:after="0"/>
              <w:rPr>
                <w:sz w:val="15"/>
                <w:szCs w:val="15"/>
                <w:color w:val="auto"/>
              </w:rPr>
            </w:pPr>
          </w:p>
        </w:tc>
        <w:tc>
          <w:tcPr>
            <w:tcW w:w="160" w:type="dxa"/>
            <w:vAlign w:val="bottom"/>
            <w:shd w:val="clear" w:color="auto" w:fill="D2DCE5"/>
          </w:tcPr>
          <w:p>
            <w:pPr>
              <w:jc w:val="right"/>
              <w:ind w:right="24"/>
              <w:spacing w:after="0"/>
              <w:rPr>
                <w:sz w:val="20"/>
                <w:szCs w:val="20"/>
                <w:color w:val="auto"/>
              </w:rPr>
            </w:pPr>
            <w:r>
              <w:rPr>
                <w:rFonts w:ascii="Arial" w:cs="Arial" w:eastAsia="Arial" w:hAnsi="Arial"/>
                <w:sz w:val="11"/>
                <w:szCs w:val="11"/>
                <w:color w:val="131E29"/>
                <w:w w:val="97"/>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(17,310)</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122,858</w:t>
            </w: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$ 251,976</w:t>
            </w: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1,718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8,234</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9,952</w:t>
            </w: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loss on derivative securities,</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effective portion, net of income tax expense</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(217)</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(269)</w:t>
            </w: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(479)</w:t>
            </w:r>
          </w:p>
        </w:tc>
        <w:tc>
          <w:tcPr>
            <w:tcW w:w="80" w:type="dxa"/>
            <w:vAlign w:val="bottom"/>
            <w:shd w:val="clear" w:color="auto" w:fill="D2DCE5"/>
          </w:tcPr>
          <w:p>
            <w:pPr>
              <w:spacing w:after="0"/>
              <w:rPr>
                <w:sz w:val="11"/>
                <w:szCs w:val="11"/>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(965)</w:t>
            </w:r>
          </w:p>
        </w:tc>
        <w:tc>
          <w:tcPr>
            <w:tcW w:w="0" w:type="dxa"/>
            <w:vAlign w:val="bottom"/>
          </w:tcPr>
          <w:p>
            <w:pPr>
              <w:spacing w:after="0"/>
              <w:rPr>
                <w:sz w:val="1"/>
                <w:szCs w:val="1"/>
                <w:color w:val="auto"/>
              </w:rPr>
            </w:pPr>
          </w:p>
        </w:tc>
      </w:tr>
      <w:tr>
        <w:trPr>
          <w:trHeight w:val="154"/>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of $10</w:t>
            </w: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 expense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4"/>
              <w:spacing w:after="0"/>
              <w:rPr>
                <w:sz w:val="20"/>
                <w:szCs w:val="20"/>
                <w:color w:val="auto"/>
              </w:rPr>
            </w:pPr>
            <w:r>
              <w:rPr>
                <w:rFonts w:ascii="Arial" w:cs="Arial" w:eastAsia="Arial" w:hAnsi="Arial"/>
                <w:sz w:val="11"/>
                <w:szCs w:val="11"/>
                <w:color w:val="131E29"/>
              </w:rPr>
              <w:t>15,177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24,045</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39,222</w:t>
            </w: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580" w:type="dxa"/>
            <w:vAlign w:val="bottom"/>
            <w:vMerge w:val="restart"/>
            <w:shd w:val="clear" w:color="auto" w:fill="D2DCE5"/>
          </w:tcPr>
          <w:p>
            <w:pPr>
              <w:jc w:val="right"/>
              <w:ind w:right="4"/>
              <w:spacing w:after="0"/>
              <w:rPr>
                <w:sz w:val="20"/>
                <w:szCs w:val="20"/>
                <w:color w:val="auto"/>
              </w:rPr>
            </w:pPr>
            <w:r>
              <w:rPr>
                <w:rFonts w:ascii="Arial" w:cs="Arial" w:eastAsia="Arial" w:hAnsi="Arial"/>
                <w:sz w:val="11"/>
                <w:szCs w:val="11"/>
                <w:color w:val="131E29"/>
              </w:rPr>
              <w:t>140</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(661)</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9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(1,234)</w:t>
            </w:r>
          </w:p>
        </w:tc>
        <w:tc>
          <w:tcPr>
            <w:tcW w:w="80" w:type="dxa"/>
            <w:vAlign w:val="bottom"/>
            <w:shd w:val="clear" w:color="auto" w:fill="D2DCE5"/>
          </w:tcPr>
          <w:p>
            <w:pPr>
              <w:spacing w:after="0"/>
              <w:rPr>
                <w:sz w:val="11"/>
                <w:szCs w:val="11"/>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(1,895)</w:t>
            </w:r>
          </w:p>
        </w:tc>
        <w:tc>
          <w:tcPr>
            <w:tcW w:w="0" w:type="dxa"/>
            <w:vAlign w:val="bottom"/>
          </w:tcPr>
          <w:p>
            <w:pPr>
              <w:spacing w:after="0"/>
              <w:rPr>
                <w:sz w:val="1"/>
                <w:szCs w:val="1"/>
                <w:color w:val="auto"/>
              </w:rPr>
            </w:pPr>
          </w:p>
        </w:tc>
      </w:tr>
      <w:tr>
        <w:trPr>
          <w:trHeight w:val="154"/>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stock withheld for tax and forfeitures</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40" w:type="dxa"/>
            <w:vAlign w:val="bottom"/>
            <w:gridSpan w:val="2"/>
            <w:vMerge w:val="continue"/>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 sold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pursuant to follow-on offering, net of offering</w:t>
            </w: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131E29"/>
              </w:rPr>
              <w:t>13,269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131E29"/>
              </w:rPr>
              <w:t>330,081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330,081</w:t>
            </w:r>
          </w:p>
        </w:tc>
        <w:tc>
          <w:tcPr>
            <w:tcW w:w="0" w:type="dxa"/>
            <w:vAlign w:val="bottom"/>
          </w:tcPr>
          <w:p>
            <w:pPr>
              <w:spacing w:after="0"/>
              <w:rPr>
                <w:sz w:val="1"/>
                <w:szCs w:val="1"/>
                <w:color w:val="auto"/>
              </w:rPr>
            </w:pPr>
          </w:p>
        </w:tc>
      </w:tr>
      <w:tr>
        <w:trPr>
          <w:trHeight w:val="151"/>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costs</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impacts of follow-on offering</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46,594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9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5"/>
                <w:szCs w:val="15"/>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46,594</w:t>
            </w:r>
          </w:p>
        </w:tc>
        <w:tc>
          <w:tcPr>
            <w:tcW w:w="0" w:type="dxa"/>
            <w:vAlign w:val="bottom"/>
          </w:tcPr>
          <w:p>
            <w:pPr>
              <w:spacing w:after="0"/>
              <w:rPr>
                <w:sz w:val="1"/>
                <w:szCs w:val="1"/>
                <w:color w:val="auto"/>
              </w:rPr>
            </w:pPr>
          </w:p>
        </w:tc>
      </w:tr>
      <w:tr>
        <w:trPr>
          <w:trHeight w:val="152"/>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transactions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4"/>
              <w:spacing w:after="0"/>
              <w:rPr>
                <w:sz w:val="20"/>
                <w:szCs w:val="20"/>
                <w:color w:val="auto"/>
              </w:rPr>
            </w:pPr>
            <w:r>
              <w:rPr>
                <w:rFonts w:ascii="Arial" w:cs="Arial" w:eastAsia="Arial" w:hAnsi="Arial"/>
                <w:sz w:val="11"/>
                <w:szCs w:val="11"/>
                <w:color w:val="131E29"/>
              </w:rPr>
              <w:t>655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655</w:t>
            </w:r>
          </w:p>
        </w:tc>
        <w:tc>
          <w:tcPr>
            <w:tcW w:w="0" w:type="dxa"/>
            <w:vAlign w:val="bottom"/>
          </w:tcPr>
          <w:p>
            <w:pPr>
              <w:spacing w:after="0"/>
              <w:rPr>
                <w:sz w:val="1"/>
                <w:szCs w:val="1"/>
                <w:color w:val="auto"/>
              </w:rPr>
            </w:pPr>
          </w:p>
        </w:tc>
      </w:tr>
      <w:tr>
        <w:trPr>
          <w:trHeight w:val="188"/>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Impacts of Tax Receivable Agreements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301</w:t>
            </w:r>
          </w:p>
        </w:tc>
        <w:tc>
          <w:tcPr>
            <w:tcW w:w="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9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6"/>
                <w:szCs w:val="16"/>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301</w:t>
            </w:r>
          </w:p>
        </w:tc>
        <w:tc>
          <w:tcPr>
            <w:tcW w:w="0" w:type="dxa"/>
            <w:vAlign w:val="bottom"/>
          </w:tcPr>
          <w:p>
            <w:pPr>
              <w:spacing w:after="0"/>
              <w:rPr>
                <w:sz w:val="1"/>
                <w:szCs w:val="1"/>
                <w:color w:val="auto"/>
              </w:rPr>
            </w:pPr>
          </w:p>
        </w:tc>
      </w:tr>
      <w:tr>
        <w:trPr>
          <w:trHeight w:val="152"/>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Effect of acquisition of Dutch Bros OpCo</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ind w:left="20"/>
              <w:spacing w:after="0"/>
              <w:rPr>
                <w:sz w:val="20"/>
                <w:szCs w:val="20"/>
                <w:color w:val="auto"/>
              </w:rPr>
            </w:pPr>
            <w:r>
              <w:rPr>
                <w:rFonts w:ascii="Arial" w:cs="Arial" w:eastAsia="Arial" w:hAnsi="Arial"/>
                <w:sz w:val="11"/>
                <w:szCs w:val="11"/>
                <w:color w:val="131E29"/>
              </w:rPr>
              <w:t>Class A common units</w:t>
            </w:r>
          </w:p>
        </w:tc>
        <w:tc>
          <w:tcPr>
            <w:tcW w:w="580" w:type="dxa"/>
            <w:vAlign w:val="bottom"/>
          </w:tcPr>
          <w:p>
            <w:pPr>
              <w:jc w:val="right"/>
              <w:ind w:right="4"/>
              <w:spacing w:after="0"/>
              <w:rPr>
                <w:sz w:val="20"/>
                <w:szCs w:val="20"/>
                <w:color w:val="auto"/>
              </w:rPr>
            </w:pPr>
            <w:r>
              <w:rPr>
                <w:rFonts w:ascii="Arial" w:cs="Arial" w:eastAsia="Arial" w:hAnsi="Arial"/>
                <w:sz w:val="11"/>
                <w:szCs w:val="11"/>
                <w:color w:val="131E29"/>
              </w:rPr>
              <w:t>11,005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(4,070)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(158,152)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158,152</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Surrender and cancellation of Class C &amp; D</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common stock</w:t>
            </w:r>
          </w:p>
        </w:tc>
        <w:tc>
          <w:tcPr>
            <w:tcW w:w="58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(5,192)</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(1,742)</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88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60" w:type="dxa"/>
            <w:vAlign w:val="bottom"/>
            <w:tcBorders>
              <w:bottom w:val="single" w:sz="8" w:color="auto"/>
            </w:tcBorders>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9"/>
        </w:trPr>
        <w:tc>
          <w:tcPr>
            <w:tcW w:w="230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December 31, 2023</w:t>
            </w:r>
          </w:p>
        </w:tc>
        <w:tc>
          <w:tcPr>
            <w:tcW w:w="580" w:type="dxa"/>
            <w:vAlign w:val="bottom"/>
          </w:tcPr>
          <w:p>
            <w:pPr>
              <w:jc w:val="right"/>
              <w:ind w:right="4"/>
              <w:spacing w:after="0"/>
              <w:rPr>
                <w:sz w:val="20"/>
                <w:szCs w:val="20"/>
                <w:color w:val="auto"/>
              </w:rPr>
            </w:pPr>
            <w:r>
              <w:rPr>
                <w:rFonts w:ascii="Arial" w:cs="Arial" w:eastAsia="Arial" w:hAnsi="Arial"/>
                <w:sz w:val="11"/>
                <w:szCs w:val="11"/>
                <w:color w:val="131E29"/>
              </w:rPr>
              <w:t>69,958</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tcPr>
          <w:p>
            <w:pPr>
              <w:jc w:val="right"/>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60,629</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tcPr>
          <w:p>
            <w:pPr>
              <w:jc w:val="right"/>
              <w:ind w:right="4"/>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131E29"/>
              </w:rPr>
              <w:t>35,864</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10,669</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4"/>
              <w:spacing w:after="0"/>
              <w:rPr>
                <w:sz w:val="20"/>
                <w:szCs w:val="20"/>
                <w:color w:val="auto"/>
              </w:rPr>
            </w:pPr>
            <w:r>
              <w:rPr>
                <w:rFonts w:ascii="Arial" w:cs="Arial" w:eastAsia="Arial" w:hAnsi="Arial"/>
                <w:sz w:val="11"/>
                <w:szCs w:val="11"/>
                <w:color w:val="131E29"/>
              </w:rPr>
              <w:t>$ 379,391</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131E29"/>
              </w:rPr>
              <w:t>544</w:t>
            </w:r>
          </w:p>
        </w:tc>
        <w:tc>
          <w:tcPr>
            <w:tcW w:w="60" w:type="dxa"/>
            <w:vAlign w:val="bottom"/>
          </w:tcPr>
          <w:p>
            <w:pPr>
              <w:spacing w:after="0"/>
              <w:rPr>
                <w:sz w:val="15"/>
                <w:szCs w:val="15"/>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131E29"/>
                <w:w w:val="97"/>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(15,592)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tcPr>
          <w:p>
            <w:pPr>
              <w:jc w:val="right"/>
              <w:spacing w:after="0"/>
              <w:rPr>
                <w:sz w:val="20"/>
                <w:szCs w:val="20"/>
                <w:color w:val="auto"/>
              </w:rPr>
            </w:pPr>
            <w:r>
              <w:rPr>
                <w:rFonts w:ascii="Arial" w:cs="Arial" w:eastAsia="Arial" w:hAnsi="Arial"/>
                <w:sz w:val="11"/>
                <w:szCs w:val="11"/>
                <w:color w:val="131E29"/>
              </w:rPr>
              <w:t>311,576</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$ 675,921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6216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0"/>
          </w:tcPr>
          <w:p>
            <w:pPr>
              <w:ind w:left="22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B</w:t>
            </w:r>
          </w:p>
        </w:tc>
        <w:tc>
          <w:tcPr>
            <w:tcW w:w="1280" w:type="dxa"/>
            <w:vAlign w:val="bottom"/>
            <w:gridSpan w:val="5"/>
          </w:tcPr>
          <w:p>
            <w:pPr>
              <w:ind w:left="40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131E29"/>
              </w:rPr>
              <w:t>Class 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280" w:type="dxa"/>
            <w:vAlign w:val="bottom"/>
            <w:gridSpan w:val="5"/>
          </w:tcPr>
          <w:p>
            <w:pPr>
              <w:ind w:left="22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color w:val="131E29"/>
                <w:w w:val="99"/>
              </w:rPr>
              <w:t>Additional</w:t>
            </w:r>
          </w:p>
        </w:tc>
        <w:tc>
          <w:tcPr>
            <w:tcW w:w="80" w:type="dxa"/>
            <w:vAlign w:val="bottom"/>
          </w:tcPr>
          <w:p>
            <w:pPr>
              <w:spacing w:after="0"/>
              <w:rPr>
                <w:sz w:val="11"/>
                <w:szCs w:val="11"/>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color w:val="131E29"/>
              </w:rPr>
              <w:t>Other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color w:val="131E29"/>
              </w:rPr>
              <w:t>Non-</w:t>
            </w:r>
          </w:p>
        </w:tc>
        <w:tc>
          <w:tcPr>
            <w:tcW w:w="580" w:type="dxa"/>
            <w:vAlign w:val="bottom"/>
            <w:vMerge w:val="restart"/>
          </w:tcPr>
          <w:p>
            <w:pPr>
              <w:jc w:val="right"/>
              <w:ind w:right="124"/>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80" w:type="dxa"/>
            <w:vAlign w:val="bottom"/>
          </w:tcPr>
          <w:p>
            <w:pPr>
              <w:spacing w:after="0"/>
              <w:rPr>
                <w:sz w:val="11"/>
                <w:szCs w:val="1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131E29"/>
              </w:rPr>
              <w:t>Comprehensive</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1"/>
                <w:szCs w:val="11"/>
                <w:color w:val="131E29"/>
                <w:w w:val="98"/>
              </w:rPr>
              <w:t>Controlling</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color w:val="131E29"/>
                <w:w w:val="94"/>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color w:val="131E29"/>
              </w:rPr>
              <w:t>Income</w:t>
            </w:r>
          </w:p>
        </w:tc>
        <w:tc>
          <w:tcPr>
            <w:tcW w:w="60" w:type="dxa"/>
            <w:vAlign w:val="bottom"/>
            <w:tcBorders>
              <w:bottom w:val="single" w:sz="8" w:color="D2DC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color w:val="131E29"/>
              </w:rPr>
              <w:t>Deficit</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color w:val="131E29"/>
              </w:rPr>
              <w:t>Interests</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205"/>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2021</w:t>
            </w: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34,433</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ind w:left="20"/>
              <w:spacing w:after="0"/>
              <w:rPr>
                <w:sz w:val="20"/>
                <w:szCs w:val="20"/>
                <w:color w:val="auto"/>
              </w:rPr>
            </w:pPr>
            <w:r>
              <w:rPr>
                <w:rFonts w:ascii="Arial" w:cs="Arial" w:eastAsia="Arial" w:hAnsi="Arial"/>
                <w:sz w:val="14"/>
                <w:szCs w:val="14"/>
                <w:color w:val="131E29"/>
                <w:w w:val="76"/>
              </w:rPr>
              <w:t>$</w:t>
            </w:r>
          </w:p>
        </w:tc>
        <w:tc>
          <w:tcPr>
            <w:tcW w:w="540" w:type="dxa"/>
            <w:vAlign w:val="bottom"/>
            <w:gridSpan w:val="2"/>
            <w:shd w:val="clear" w:color="auto" w:fill="D2DCE5"/>
          </w:tcPr>
          <w:p>
            <w:pPr>
              <w:jc w:val="right"/>
              <w:ind w:right="120"/>
              <w:spacing w:after="0"/>
              <w:rPr>
                <w:sz w:val="20"/>
                <w:szCs w:val="20"/>
                <w:color w:val="auto"/>
              </w:rPr>
            </w:pPr>
            <w:r>
              <w:rPr>
                <w:rFonts w:ascii="Arial" w:cs="Arial" w:eastAsia="Arial" w:hAnsi="Arial"/>
                <w:sz w:val="14"/>
                <w:szCs w:val="14"/>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64,699</w:t>
            </w: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7"/>
                <w:szCs w:val="17"/>
                <w:color w:val="auto"/>
              </w:rPr>
            </w:pP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49,006</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7"/>
                <w:szCs w:val="17"/>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15,441</w:t>
            </w: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$ 107,193</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9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jc w:val="right"/>
              <w:ind w:right="24"/>
              <w:spacing w:after="0"/>
              <w:rPr>
                <w:sz w:val="20"/>
                <w:szCs w:val="20"/>
                <w:color w:val="auto"/>
              </w:rPr>
            </w:pPr>
            <w:r>
              <w:rPr>
                <w:rFonts w:ascii="Arial" w:cs="Arial" w:eastAsia="Arial" w:hAnsi="Arial"/>
                <w:sz w:val="11"/>
                <w:szCs w:val="11"/>
                <w:color w:val="131E29"/>
                <w:w w:val="97"/>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(12,679)</w:t>
            </w: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119,213</w:t>
            </w: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$ 213,729</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Adoption of ASU 2016-02, as amended</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122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301</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423</w:t>
            </w:r>
          </w:p>
        </w:tc>
        <w:tc>
          <w:tcPr>
            <w:tcW w:w="0" w:type="dxa"/>
            <w:vAlign w:val="bottom"/>
          </w:tcPr>
          <w:p>
            <w:pPr>
              <w:spacing w:after="0"/>
              <w:rPr>
                <w:sz w:val="1"/>
                <w:szCs w:val="1"/>
                <w:color w:val="auto"/>
              </w:rPr>
            </w:pPr>
          </w:p>
        </w:tc>
      </w:tr>
      <w:tr>
        <w:trPr>
          <w:trHeight w:val="220"/>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Net loss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9"/>
                <w:szCs w:val="19"/>
                <w:color w:val="auto"/>
              </w:rPr>
            </w:pPr>
          </w:p>
        </w:tc>
        <w:tc>
          <w:tcPr>
            <w:tcW w:w="540" w:type="dxa"/>
            <w:vAlign w:val="bottom"/>
            <w:gridSpan w:val="2"/>
            <w:shd w:val="clear" w:color="auto" w:fill="D2DCE5"/>
          </w:tcPr>
          <w:p>
            <w:pPr>
              <w:jc w:val="right"/>
              <w:ind w:right="120"/>
              <w:spacing w:after="0"/>
              <w:rPr>
                <w:sz w:val="20"/>
                <w:szCs w:val="20"/>
                <w:color w:val="auto"/>
              </w:rPr>
            </w:pPr>
            <w:r>
              <w:rPr>
                <w:rFonts w:ascii="Arial" w:cs="Arial" w:eastAsia="Arial" w:hAnsi="Arial"/>
                <w:sz w:val="14"/>
                <w:szCs w:val="14"/>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9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9"/>
                <w:szCs w:val="19"/>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(4,753)</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(14,500)</w:t>
            </w:r>
          </w:p>
        </w:tc>
        <w:tc>
          <w:tcPr>
            <w:tcW w:w="80" w:type="dxa"/>
            <w:vAlign w:val="bottom"/>
            <w:shd w:val="clear" w:color="auto" w:fill="D2DCE5"/>
          </w:tcPr>
          <w:p>
            <w:pPr>
              <w:spacing w:after="0"/>
              <w:rPr>
                <w:sz w:val="19"/>
                <w:szCs w:val="19"/>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(19,253)</w:t>
            </w:r>
          </w:p>
        </w:tc>
        <w:tc>
          <w:tcPr>
            <w:tcW w:w="0" w:type="dxa"/>
            <w:vAlign w:val="bottom"/>
          </w:tcPr>
          <w:p>
            <w:pPr>
              <w:spacing w:after="0"/>
              <w:rPr>
                <w:sz w:val="1"/>
                <w:szCs w:val="1"/>
                <w:color w:val="auto"/>
              </w:rPr>
            </w:pPr>
          </w:p>
        </w:tc>
      </w:tr>
      <w:tr>
        <w:trPr>
          <w:trHeight w:val="152"/>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Unrealized gain on derivative securities,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effective portion, net of income tax expense</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131E29"/>
              </w:rPr>
              <w:t>813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2,095</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2,891</w:t>
            </w:r>
          </w:p>
        </w:tc>
        <w:tc>
          <w:tcPr>
            <w:tcW w:w="0" w:type="dxa"/>
            <w:vAlign w:val="bottom"/>
          </w:tcPr>
          <w:p>
            <w:pPr>
              <w:spacing w:after="0"/>
              <w:rPr>
                <w:sz w:val="1"/>
                <w:szCs w:val="1"/>
                <w:color w:val="auto"/>
              </w:rPr>
            </w:pPr>
          </w:p>
        </w:tc>
      </w:tr>
      <w:tr>
        <w:trPr>
          <w:trHeight w:val="151"/>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of $273</w:t>
            </w: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Equity-based compensation</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8"/>
                <w:szCs w:val="18"/>
                <w:color w:val="auto"/>
              </w:rPr>
            </w:pPr>
          </w:p>
        </w:tc>
        <w:tc>
          <w:tcPr>
            <w:tcW w:w="540" w:type="dxa"/>
            <w:vAlign w:val="bottom"/>
            <w:gridSpan w:val="2"/>
            <w:shd w:val="clear" w:color="auto" w:fill="D2DCE5"/>
          </w:tcPr>
          <w:p>
            <w:pPr>
              <w:jc w:val="right"/>
              <w:ind w:right="120"/>
              <w:spacing w:after="0"/>
              <w:rPr>
                <w:sz w:val="20"/>
                <w:szCs w:val="20"/>
                <w:color w:val="auto"/>
              </w:rPr>
            </w:pPr>
            <w:r>
              <w:rPr>
                <w:rFonts w:ascii="Arial" w:cs="Arial" w:eastAsia="Arial" w:hAnsi="Arial"/>
                <w:sz w:val="14"/>
                <w:szCs w:val="14"/>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13,743</w:t>
            </w:r>
          </w:p>
        </w:tc>
        <w:tc>
          <w:tcPr>
            <w:tcW w:w="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8"/>
                <w:szCs w:val="18"/>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27,914</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41,657</w:t>
            </w:r>
          </w:p>
        </w:tc>
        <w:tc>
          <w:tcPr>
            <w:tcW w:w="0" w:type="dxa"/>
            <w:vAlign w:val="bottom"/>
          </w:tcPr>
          <w:p>
            <w:pPr>
              <w:spacing w:after="0"/>
              <w:rPr>
                <w:sz w:val="1"/>
                <w:szCs w:val="1"/>
                <w:color w:val="auto"/>
              </w:rPr>
            </w:pPr>
          </w:p>
        </w:tc>
      </w:tr>
      <w:tr>
        <w:trPr>
          <w:trHeight w:val="152"/>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131E29"/>
              </w:rPr>
              <w:t>131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(1,145)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(2,755)</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(3,900)</w:t>
            </w:r>
          </w:p>
        </w:tc>
        <w:tc>
          <w:tcPr>
            <w:tcW w:w="0" w:type="dxa"/>
            <w:vAlign w:val="bottom"/>
          </w:tcPr>
          <w:p>
            <w:pPr>
              <w:spacing w:after="0"/>
              <w:rPr>
                <w:sz w:val="1"/>
                <w:szCs w:val="1"/>
                <w:color w:val="auto"/>
              </w:rPr>
            </w:pPr>
          </w:p>
        </w:tc>
      </w:tr>
      <w:tr>
        <w:trPr>
          <w:trHeight w:val="151"/>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stock withheld for tax</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Impact of Tax Receivable Agreements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8"/>
                <w:szCs w:val="18"/>
                <w:color w:val="auto"/>
              </w:rPr>
            </w:pPr>
          </w:p>
        </w:tc>
        <w:tc>
          <w:tcPr>
            <w:tcW w:w="540" w:type="dxa"/>
            <w:vAlign w:val="bottom"/>
            <w:gridSpan w:val="2"/>
            <w:shd w:val="clear" w:color="auto" w:fill="D2DCE5"/>
          </w:tcPr>
          <w:p>
            <w:pPr>
              <w:jc w:val="right"/>
              <w:ind w:right="120"/>
              <w:spacing w:after="0"/>
              <w:rPr>
                <w:sz w:val="20"/>
                <w:szCs w:val="20"/>
                <w:color w:val="auto"/>
              </w:rPr>
            </w:pPr>
            <w:r>
              <w:rPr>
                <w:rFonts w:ascii="Arial" w:cs="Arial" w:eastAsia="Arial" w:hAnsi="Arial"/>
                <w:sz w:val="14"/>
                <w:szCs w:val="14"/>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16,429</w:t>
            </w:r>
          </w:p>
        </w:tc>
        <w:tc>
          <w:tcPr>
            <w:tcW w:w="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8"/>
                <w:szCs w:val="18"/>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16,429</w:t>
            </w:r>
          </w:p>
        </w:tc>
        <w:tc>
          <w:tcPr>
            <w:tcW w:w="0" w:type="dxa"/>
            <w:vAlign w:val="bottom"/>
          </w:tcPr>
          <w:p>
            <w:pPr>
              <w:spacing w:after="0"/>
              <w:rPr>
                <w:sz w:val="1"/>
                <w:szCs w:val="1"/>
                <w:color w:val="auto"/>
              </w:rPr>
            </w:pPr>
          </w:p>
        </w:tc>
      </w:tr>
      <w:tr>
        <w:trPr>
          <w:trHeight w:val="152"/>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Effect of exchange of Dutch Bros OpCo</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131E29"/>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ind w:left="20"/>
              <w:spacing w:after="0"/>
              <w:rPr>
                <w:sz w:val="20"/>
                <w:szCs w:val="20"/>
                <w:color w:val="auto"/>
              </w:rPr>
            </w:pPr>
            <w:r>
              <w:rPr>
                <w:rFonts w:ascii="Arial" w:cs="Arial" w:eastAsia="Arial" w:hAnsi="Arial"/>
                <w:sz w:val="11"/>
                <w:szCs w:val="11"/>
                <w:color w:val="131E29"/>
              </w:rPr>
              <w:t>Class A common units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4"/>
              <w:spacing w:after="0"/>
              <w:rPr>
                <w:sz w:val="20"/>
                <w:szCs w:val="20"/>
                <w:color w:val="auto"/>
              </w:rPr>
            </w:pPr>
            <w:r>
              <w:rPr>
                <w:rFonts w:ascii="Arial" w:cs="Arial" w:eastAsia="Arial" w:hAnsi="Arial"/>
                <w:sz w:val="11"/>
                <w:szCs w:val="11"/>
                <w:color w:val="131E29"/>
              </w:rPr>
              <w:t>9,410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(9,410)</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61"/>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Surrender and cancellation of Class C &amp; D</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common stock</w:t>
            </w:r>
          </w:p>
        </w:tc>
        <w:tc>
          <w:tcPr>
            <w:tcW w:w="58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10,980</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480" w:type="dxa"/>
            <w:vAlign w:val="bottom"/>
            <w:tcBorders>
              <w:bottom w:val="single" w:sz="8" w:color="auto"/>
            </w:tcBorders>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(7,950)</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(3,030)</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900" w:type="dxa"/>
            <w:vAlign w:val="bottom"/>
            <w:tcBorders>
              <w:bottom w:val="single" w:sz="8" w:color="auto"/>
            </w:tcBorders>
            <w:shd w:val="clear" w:color="auto" w:fill="D2DCE5"/>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60" w:type="dxa"/>
            <w:vAlign w:val="bottom"/>
            <w:tcBorders>
              <w:bottom w:val="single" w:sz="8" w:color="auto"/>
            </w:tcBorders>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9"/>
        </w:trPr>
        <w:tc>
          <w:tcPr>
            <w:tcW w:w="228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December 31, 2022</w:t>
            </w:r>
          </w:p>
        </w:tc>
        <w:tc>
          <w:tcPr>
            <w:tcW w:w="580" w:type="dxa"/>
            <w:vAlign w:val="bottom"/>
          </w:tcPr>
          <w:p>
            <w:pPr>
              <w:jc w:val="right"/>
              <w:ind w:right="4"/>
              <w:spacing w:after="0"/>
              <w:rPr>
                <w:sz w:val="20"/>
                <w:szCs w:val="20"/>
                <w:color w:val="auto"/>
              </w:rPr>
            </w:pPr>
            <w:r>
              <w:rPr>
                <w:rFonts w:ascii="Arial" w:cs="Arial" w:eastAsia="Arial" w:hAnsi="Arial"/>
                <w:sz w:val="11"/>
                <w:szCs w:val="11"/>
                <w:color w:val="131E29"/>
              </w:rPr>
              <w:t>45,544</w:t>
            </w:r>
          </w:p>
        </w:tc>
        <w:tc>
          <w:tcPr>
            <w:tcW w:w="6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131E29"/>
                <w:w w:val="97"/>
              </w:rPr>
              <w:t>$</w:t>
            </w:r>
          </w:p>
        </w:tc>
        <w:tc>
          <w:tcPr>
            <w:tcW w:w="480" w:type="dxa"/>
            <w:vAlign w:val="bottom"/>
          </w:tcPr>
          <w:p>
            <w:pPr>
              <w:jc w:val="right"/>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64,699</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tcPr>
          <w:p>
            <w:pPr>
              <w:jc w:val="right"/>
              <w:ind w:right="4"/>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131E29"/>
              </w:rPr>
              <w:t>41,056</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12,411</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4"/>
              <w:spacing w:after="0"/>
              <w:rPr>
                <w:sz w:val="20"/>
                <w:szCs w:val="20"/>
                <w:color w:val="auto"/>
              </w:rPr>
            </w:pPr>
            <w:r>
              <w:rPr>
                <w:rFonts w:ascii="Arial" w:cs="Arial" w:eastAsia="Arial" w:hAnsi="Arial"/>
                <w:sz w:val="11"/>
                <w:szCs w:val="11"/>
                <w:color w:val="131E29"/>
              </w:rPr>
              <w:t>$ 145,613</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900" w:type="dxa"/>
            <w:vAlign w:val="bottom"/>
          </w:tcPr>
          <w:p>
            <w:pPr>
              <w:jc w:val="right"/>
              <w:ind w:right="4"/>
              <w:spacing w:after="0"/>
              <w:rPr>
                <w:sz w:val="20"/>
                <w:szCs w:val="20"/>
                <w:color w:val="auto"/>
              </w:rPr>
            </w:pPr>
            <w:r>
              <w:rPr>
                <w:rFonts w:ascii="Arial" w:cs="Arial" w:eastAsia="Arial" w:hAnsi="Arial"/>
                <w:sz w:val="11"/>
                <w:szCs w:val="11"/>
                <w:color w:val="131E29"/>
              </w:rPr>
              <w:t>813</w:t>
            </w:r>
          </w:p>
        </w:tc>
        <w:tc>
          <w:tcPr>
            <w:tcW w:w="60" w:type="dxa"/>
            <w:vAlign w:val="bottom"/>
          </w:tcPr>
          <w:p>
            <w:pPr>
              <w:spacing w:after="0"/>
              <w:rPr>
                <w:sz w:val="15"/>
                <w:szCs w:val="15"/>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131E29"/>
                <w:w w:val="97"/>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(17,310)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tcPr>
          <w:p>
            <w:pPr>
              <w:jc w:val="right"/>
              <w:spacing w:after="0"/>
              <w:rPr>
                <w:sz w:val="20"/>
                <w:szCs w:val="20"/>
                <w:color w:val="auto"/>
              </w:rPr>
            </w:pPr>
            <w:r>
              <w:rPr>
                <w:rFonts w:ascii="Arial" w:cs="Arial" w:eastAsia="Arial" w:hAnsi="Arial"/>
                <w:sz w:val="11"/>
                <w:szCs w:val="11"/>
                <w:color w:val="131E29"/>
              </w:rPr>
              <w:t>122,858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$ 251,976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6216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49" w:lineRule="exact"/>
        <w:rPr>
          <w:sz w:val="20"/>
          <w:szCs w:val="20"/>
          <w:color w:val="auto"/>
        </w:rPr>
      </w:pPr>
    </w:p>
    <w:p>
      <w:pPr>
        <w:ind w:left="2320"/>
        <w:spacing w:after="0"/>
        <w:rPr>
          <w:sz w:val="20"/>
          <w:szCs w:val="20"/>
          <w:color w:val="auto"/>
        </w:rPr>
      </w:pPr>
      <w:r>
        <w:rPr>
          <w:rFonts w:ascii="Arial" w:cs="Arial" w:eastAsia="Arial" w:hAnsi="Arial"/>
          <w:sz w:val="11"/>
          <w:szCs w:val="11"/>
          <w:b w:val="1"/>
          <w:bCs w:val="1"/>
          <w:color w:val="131E29"/>
        </w:rPr>
        <w:t>Dutch Mafia LLC</w:t>
      </w:r>
    </w:p>
    <w:p>
      <w:pPr>
        <w:spacing w:after="0" w:line="21" w:lineRule="exact"/>
        <w:rPr>
          <w:sz w:val="20"/>
          <w:szCs w:val="20"/>
          <w:color w:val="auto"/>
        </w:rPr>
      </w:pPr>
    </w:p>
    <w:p>
      <w:pPr>
        <w:ind w:left="2540"/>
        <w:spacing w:after="0"/>
        <w:rPr>
          <w:sz w:val="20"/>
          <w:szCs w:val="20"/>
          <w:color w:val="auto"/>
        </w:rPr>
      </w:pPr>
      <w:r>
        <w:rPr>
          <w:rFonts w:ascii="Arial" w:cs="Arial" w:eastAsia="Arial" w:hAnsi="Arial"/>
          <w:sz w:val="11"/>
          <w:szCs w:val="11"/>
          <w:b w:val="1"/>
          <w:bCs w:val="1"/>
          <w:color w:val="131E29"/>
        </w:rPr>
        <w:t>(Prior to</w:t>
      </w:r>
    </w:p>
    <w:p>
      <w:pPr>
        <w:spacing w:after="0" w:line="11" w:lineRule="exact"/>
        <w:rPr>
          <w:sz w:val="20"/>
          <w:szCs w:val="20"/>
          <w:color w:val="auto"/>
        </w:rPr>
      </w:pPr>
    </w:p>
    <w:p>
      <w:pPr>
        <w:ind w:left="2360"/>
        <w:spacing w:after="0"/>
        <w:rPr>
          <w:sz w:val="20"/>
          <w:szCs w:val="20"/>
          <w:color w:val="auto"/>
        </w:rPr>
      </w:pPr>
      <w:r>
        <w:rPr>
          <w:rFonts w:ascii="Arial" w:cs="Arial" w:eastAsia="Arial" w:hAnsi="Arial"/>
          <w:sz w:val="11"/>
          <w:szCs w:val="11"/>
          <w:b w:val="1"/>
          <w:bCs w:val="1"/>
          <w:color w:val="131E29"/>
        </w:rPr>
        <w:t>Reorganization</w:t>
      </w:r>
    </w:p>
    <w:p>
      <w:pPr>
        <w:ind w:left="2400"/>
        <w:spacing w:after="0"/>
        <w:rPr>
          <w:sz w:val="20"/>
          <w:szCs w:val="20"/>
          <w:color w:val="auto"/>
        </w:rPr>
      </w:pPr>
      <w:r>
        <w:rPr>
          <w:rFonts w:ascii="Arial" w:cs="Arial" w:eastAsia="Arial" w:hAnsi="Arial"/>
          <w:sz w:val="11"/>
          <w:szCs w:val="11"/>
          <w:b w:val="1"/>
          <w:bCs w:val="1"/>
          <w:color w:val="131E29"/>
        </w:rPr>
        <w:t>Transactions)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ind w:left="260"/>
              <w:spacing w:after="0"/>
              <w:rPr>
                <w:sz w:val="20"/>
                <w:szCs w:val="20"/>
                <w:color w:val="auto"/>
              </w:rPr>
            </w:pPr>
            <w:r>
              <w:rPr>
                <w:rFonts w:ascii="Arial" w:cs="Arial" w:eastAsia="Arial" w:hAnsi="Arial"/>
                <w:sz w:val="11"/>
                <w:szCs w:val="11"/>
                <w:b w:val="1"/>
                <w:bCs w:val="1"/>
                <w:color w:val="131E29"/>
              </w:rPr>
              <w:t>Dutch Bros. Inc. Stockholders’ Equity</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B</w:t>
            </w: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D</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1"/>
                <w:szCs w:val="11"/>
                <w:color w:val="131E29"/>
                <w:w w:val="99"/>
              </w:rPr>
              <w:t>Additional</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color w:val="131E29"/>
              </w:rPr>
              <w:t>Non-</w:t>
            </w:r>
          </w:p>
        </w:tc>
        <w:tc>
          <w:tcPr>
            <w:tcW w:w="580" w:type="dxa"/>
            <w:vAlign w:val="bottom"/>
            <w:vMerge w:val="restart"/>
          </w:tcPr>
          <w:p>
            <w:pPr>
              <w:jc w:val="right"/>
              <w:ind w:right="124"/>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1"/>
                <w:szCs w:val="11"/>
                <w:color w:val="131E29"/>
              </w:rPr>
              <w:t>Paid-in-</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1"/>
                <w:szCs w:val="11"/>
                <w:color w:val="131E29"/>
                <w:w w:val="98"/>
              </w:rPr>
              <w:t>Controlling</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D2DCE5"/>
            </w:tcBorders>
          </w:tcPr>
          <w:p>
            <w:pPr>
              <w:ind w:left="20"/>
              <w:spacing w:after="0"/>
              <w:rPr>
                <w:sz w:val="20"/>
                <w:szCs w:val="20"/>
                <w:color w:val="auto"/>
              </w:rPr>
            </w:pPr>
            <w:r>
              <w:rPr>
                <w:rFonts w:ascii="Arial" w:cs="Arial" w:eastAsia="Arial" w:hAnsi="Arial"/>
                <w:sz w:val="11"/>
                <w:szCs w:val="11"/>
                <w:color w:val="131E29"/>
              </w:rPr>
              <w:t>(in thousands)</w:t>
            </w:r>
          </w:p>
        </w:tc>
        <w:tc>
          <w:tcPr>
            <w:tcW w:w="9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131E29"/>
              </w:rPr>
              <w:t>Members’ Equity</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131E29"/>
              </w:rPr>
              <w:t>Amount</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color w:val="131E29"/>
              </w:rPr>
              <w:t>Deficit</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color w:val="131E29"/>
              </w:rPr>
              <w:t>Interests</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3"/>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2020</w:t>
            </w:r>
          </w:p>
        </w:tc>
        <w:tc>
          <w:tcPr>
            <w:tcW w:w="280" w:type="dxa"/>
            <w:vAlign w:val="bottom"/>
            <w:shd w:val="clear" w:color="auto" w:fill="D2DCE5"/>
          </w:tcPr>
          <w:p>
            <w:pPr>
              <w:jc w:val="right"/>
              <w:ind w:right="144"/>
              <w:spacing w:after="0"/>
              <w:rPr>
                <w:sz w:val="20"/>
                <w:szCs w:val="20"/>
                <w:color w:val="auto"/>
              </w:rPr>
            </w:pPr>
            <w:r>
              <w:rPr>
                <w:rFonts w:ascii="Arial" w:cs="Arial" w:eastAsia="Arial" w:hAnsi="Arial"/>
                <w:sz w:val="11"/>
                <w:szCs w:val="11"/>
                <w:color w:val="131E29"/>
                <w:w w:val="97"/>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77,487</w:t>
            </w:r>
          </w:p>
        </w:tc>
        <w:tc>
          <w:tcPr>
            <w:tcW w:w="80" w:type="dxa"/>
            <w:vAlign w:val="bottom"/>
            <w:shd w:val="clear" w:color="auto" w:fill="D2DCE5"/>
          </w:tcPr>
          <w:p>
            <w:pPr>
              <w:spacing w:after="0"/>
              <w:rPr>
                <w:sz w:val="15"/>
                <w:szCs w:val="15"/>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jc w:val="right"/>
              <w:ind w:right="24"/>
              <w:spacing w:after="0"/>
              <w:rPr>
                <w:sz w:val="20"/>
                <w:szCs w:val="20"/>
                <w:color w:val="auto"/>
              </w:rPr>
            </w:pPr>
            <w:r>
              <w:rPr>
                <w:rFonts w:ascii="Arial" w:cs="Arial" w:eastAsia="Arial" w:hAnsi="Arial"/>
                <w:sz w:val="11"/>
                <w:szCs w:val="11"/>
                <w:color w:val="131E29"/>
                <w:w w:val="97"/>
              </w:rPr>
              <w:t>$</w:t>
            </w: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77,487</w:t>
            </w:r>
          </w:p>
        </w:tc>
        <w:tc>
          <w:tcPr>
            <w:tcW w:w="0" w:type="dxa"/>
            <w:vAlign w:val="bottom"/>
          </w:tcPr>
          <w:p>
            <w:pPr>
              <w:spacing w:after="0"/>
              <w:rPr>
                <w:sz w:val="1"/>
                <w:szCs w:val="1"/>
                <w:color w:val="auto"/>
              </w:rPr>
            </w:pPr>
          </w:p>
        </w:tc>
      </w:tr>
      <w:tr>
        <w:trPr>
          <w:trHeight w:val="152"/>
        </w:trPr>
        <w:tc>
          <w:tcPr>
            <w:tcW w:w="2280" w:type="dxa"/>
            <w:vAlign w:val="bottom"/>
          </w:tcPr>
          <w:p>
            <w:pPr>
              <w:ind w:left="20"/>
              <w:spacing w:after="0"/>
              <w:rPr>
                <w:sz w:val="20"/>
                <w:szCs w:val="20"/>
                <w:color w:val="auto"/>
              </w:rPr>
            </w:pPr>
            <w:r>
              <w:rPr>
                <w:rFonts w:ascii="Arial" w:cs="Arial" w:eastAsia="Arial" w:hAnsi="Arial"/>
                <w:sz w:val="11"/>
                <w:szCs w:val="11"/>
                <w:color w:val="131E29"/>
              </w:rPr>
              <w:t>Net loss prior to the Reorganization</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rPr>
                <w:sz w:val="20"/>
                <w:szCs w:val="20"/>
                <w:color w:val="auto"/>
              </w:rPr>
            </w:pPr>
            <w:r>
              <w:rPr>
                <w:rFonts w:ascii="Arial" w:cs="Arial" w:eastAsia="Arial" w:hAnsi="Arial"/>
                <w:sz w:val="11"/>
                <w:szCs w:val="11"/>
                <w:color w:val="131E29"/>
              </w:rPr>
              <w:t>Transactions</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131E29"/>
              </w:rPr>
              <w:t>(67,374)</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(67,374)</w:t>
            </w:r>
          </w:p>
        </w:tc>
        <w:tc>
          <w:tcPr>
            <w:tcW w:w="0" w:type="dxa"/>
            <w:vAlign w:val="bottom"/>
          </w:tcPr>
          <w:p>
            <w:pPr>
              <w:spacing w:after="0"/>
              <w:rPr>
                <w:sz w:val="1"/>
                <w:szCs w:val="1"/>
                <w:color w:val="auto"/>
              </w:rPr>
            </w:pPr>
          </w:p>
        </w:tc>
      </w:tr>
      <w:tr>
        <w:trPr>
          <w:trHeight w:val="188"/>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Reclass of profits interest liability to equity</w:t>
            </w:r>
          </w:p>
        </w:tc>
        <w:tc>
          <w:tcPr>
            <w:tcW w:w="280" w:type="dxa"/>
            <w:vAlign w:val="bottom"/>
            <w:shd w:val="clear" w:color="auto" w:fill="D2DCE5"/>
          </w:tcPr>
          <w:p>
            <w:pPr>
              <w:spacing w:after="0"/>
              <w:rPr>
                <w:sz w:val="16"/>
                <w:szCs w:val="16"/>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76,596</w:t>
            </w:r>
          </w:p>
        </w:tc>
        <w:tc>
          <w:tcPr>
            <w:tcW w:w="80" w:type="dxa"/>
            <w:vAlign w:val="bottom"/>
            <w:shd w:val="clear" w:color="auto" w:fill="D2DCE5"/>
          </w:tcPr>
          <w:p>
            <w:pPr>
              <w:spacing w:after="0"/>
              <w:rPr>
                <w:sz w:val="16"/>
                <w:szCs w:val="16"/>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6"/>
                <w:szCs w:val="16"/>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76,596</w:t>
            </w:r>
          </w:p>
        </w:tc>
        <w:tc>
          <w:tcPr>
            <w:tcW w:w="0" w:type="dxa"/>
            <w:vAlign w:val="bottom"/>
          </w:tcPr>
          <w:p>
            <w:pPr>
              <w:spacing w:after="0"/>
              <w:rPr>
                <w:sz w:val="1"/>
                <w:szCs w:val="1"/>
                <w:color w:val="auto"/>
              </w:rPr>
            </w:pPr>
          </w:p>
        </w:tc>
      </w:tr>
      <w:tr>
        <w:trPr>
          <w:trHeight w:val="171"/>
        </w:trPr>
        <w:tc>
          <w:tcPr>
            <w:tcW w:w="2280" w:type="dxa"/>
            <w:vAlign w:val="bottom"/>
          </w:tcPr>
          <w:p>
            <w:pPr>
              <w:ind w:left="20"/>
              <w:spacing w:after="0"/>
              <w:rPr>
                <w:sz w:val="20"/>
                <w:szCs w:val="20"/>
                <w:color w:val="auto"/>
              </w:rPr>
            </w:pPr>
            <w:r>
              <w:rPr>
                <w:rFonts w:ascii="Arial" w:cs="Arial" w:eastAsia="Arial" w:hAnsi="Arial"/>
                <w:sz w:val="11"/>
                <w:szCs w:val="11"/>
                <w:color w:val="131E29"/>
              </w:rPr>
              <w:t>Member distributions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131E29"/>
              </w:rPr>
              <w:t>(213,308)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(213,308)</w:t>
            </w:r>
          </w:p>
        </w:tc>
        <w:tc>
          <w:tcPr>
            <w:tcW w:w="0" w:type="dxa"/>
            <w:vAlign w:val="bottom"/>
          </w:tcPr>
          <w:p>
            <w:pPr>
              <w:spacing w:after="0"/>
              <w:rPr>
                <w:sz w:val="1"/>
                <w:szCs w:val="1"/>
                <w:color w:val="auto"/>
              </w:rPr>
            </w:pPr>
          </w:p>
        </w:tc>
      </w:tr>
      <w:tr>
        <w:trPr>
          <w:trHeight w:val="161"/>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Equity-based compensation recognized</w:t>
            </w:r>
          </w:p>
        </w:tc>
        <w:tc>
          <w:tcPr>
            <w:tcW w:w="280" w:type="dxa"/>
            <w:vAlign w:val="bottom"/>
            <w:shd w:val="clear" w:color="auto" w:fill="D2DCE5"/>
          </w:tcPr>
          <w:p>
            <w:pPr>
              <w:spacing w:after="0"/>
              <w:rPr>
                <w:sz w:val="13"/>
                <w:szCs w:val="13"/>
                <w:color w:val="auto"/>
              </w:rPr>
            </w:pPr>
          </w:p>
        </w:tc>
        <w:tc>
          <w:tcPr>
            <w:tcW w:w="6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prior to the Reorganization Transactions</w:t>
            </w:r>
          </w:p>
        </w:tc>
        <w:tc>
          <w:tcPr>
            <w:tcW w:w="280" w:type="dxa"/>
            <w:vAlign w:val="bottom"/>
            <w:shd w:val="clear" w:color="auto" w:fill="D2DCE5"/>
          </w:tcPr>
          <w:p>
            <w:pPr>
              <w:spacing w:after="0"/>
              <w:rPr>
                <w:sz w:val="14"/>
                <w:szCs w:val="14"/>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78,579</w:t>
            </w:r>
          </w:p>
        </w:tc>
        <w:tc>
          <w:tcPr>
            <w:tcW w:w="80" w:type="dxa"/>
            <w:vAlign w:val="bottom"/>
            <w:shd w:val="clear" w:color="auto" w:fill="D2DCE5"/>
          </w:tcPr>
          <w:p>
            <w:pPr>
              <w:spacing w:after="0"/>
              <w:rPr>
                <w:sz w:val="14"/>
                <w:szCs w:val="14"/>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4"/>
                <w:szCs w:val="14"/>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78,579</w:t>
            </w:r>
          </w:p>
        </w:tc>
        <w:tc>
          <w:tcPr>
            <w:tcW w:w="0" w:type="dxa"/>
            <w:vAlign w:val="bottom"/>
          </w:tcPr>
          <w:p>
            <w:pPr>
              <w:spacing w:after="0"/>
              <w:rPr>
                <w:sz w:val="1"/>
                <w:szCs w:val="1"/>
                <w:color w:val="auto"/>
              </w:rPr>
            </w:pPr>
          </w:p>
        </w:tc>
      </w:tr>
      <w:tr>
        <w:trPr>
          <w:trHeight w:val="152"/>
        </w:trPr>
        <w:tc>
          <w:tcPr>
            <w:tcW w:w="2280" w:type="dxa"/>
            <w:vAlign w:val="bottom"/>
          </w:tcPr>
          <w:p>
            <w:pPr>
              <w:ind w:left="20"/>
              <w:spacing w:after="0"/>
              <w:rPr>
                <w:sz w:val="20"/>
                <w:szCs w:val="20"/>
                <w:color w:val="auto"/>
              </w:rPr>
            </w:pPr>
            <w:r>
              <w:rPr>
                <w:rFonts w:ascii="Arial" w:cs="Arial" w:eastAsia="Arial" w:hAnsi="Arial"/>
                <w:sz w:val="11"/>
                <w:szCs w:val="11"/>
                <w:color w:val="131E29"/>
              </w:rPr>
              <w:t>Effect of the Reorganization Transactions</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tcPr>
          <w:p>
            <w:pPr>
              <w:ind w:left="20"/>
              <w:spacing w:after="0"/>
              <w:rPr>
                <w:sz w:val="20"/>
                <w:szCs w:val="20"/>
                <w:color w:val="auto"/>
              </w:rPr>
            </w:pPr>
            <w:r>
              <w:rPr>
                <w:rFonts w:ascii="Arial" w:cs="Arial" w:eastAsia="Arial" w:hAnsi="Arial"/>
                <w:sz w:val="11"/>
                <w:szCs w:val="11"/>
                <w:color w:val="131E29"/>
              </w:rPr>
              <w:t>and initial public offering on non-controlling</w:t>
            </w: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131E29"/>
              </w:rPr>
              <w:t>48,020</w:t>
            </w:r>
          </w:p>
        </w:tc>
        <w:tc>
          <w:tcPr>
            <w:tcW w:w="80" w:type="dxa"/>
            <w:vAlign w:val="bottom"/>
          </w:tcPr>
          <w:p>
            <w:pPr>
              <w:spacing w:after="0"/>
              <w:rPr>
                <w:sz w:val="11"/>
                <w:szCs w:val="11"/>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131E29"/>
              </w:rPr>
              <w:t>9,877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71,408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131E29"/>
              </w:rPr>
              <w:t>1</w:t>
            </w:r>
          </w:p>
        </w:tc>
        <w:tc>
          <w:tcPr>
            <w:tcW w:w="80" w:type="dxa"/>
            <w:vAlign w:val="bottom"/>
          </w:tcPr>
          <w:p>
            <w:pPr>
              <w:spacing w:after="0"/>
              <w:rPr>
                <w:sz w:val="11"/>
                <w:szCs w:val="11"/>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131E29"/>
              </w:rPr>
              <w:t>54,068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17,036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131E29"/>
              </w:rPr>
              <w:t>(195,936)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147,914</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Arial" w:cs="Arial" w:eastAsia="Arial" w:hAnsi="Arial"/>
                <w:sz w:val="11"/>
                <w:szCs w:val="11"/>
                <w:color w:val="131E29"/>
              </w:rPr>
              <w:t>interests</w:t>
            </w: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 sold in</w:t>
            </w:r>
          </w:p>
        </w:tc>
        <w:tc>
          <w:tcPr>
            <w:tcW w:w="280" w:type="dxa"/>
            <w:vAlign w:val="bottom"/>
            <w:shd w:val="clear" w:color="auto" w:fill="D2DCE5"/>
          </w:tcPr>
          <w:p>
            <w:pPr>
              <w:spacing w:after="0"/>
              <w:rPr>
                <w:sz w:val="13"/>
                <w:szCs w:val="13"/>
                <w:color w:val="auto"/>
              </w:rPr>
            </w:pPr>
          </w:p>
        </w:tc>
        <w:tc>
          <w:tcPr>
            <w:tcW w:w="6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initial public offering, net of offering costs</w:t>
            </w:r>
          </w:p>
        </w:tc>
        <w:tc>
          <w:tcPr>
            <w:tcW w:w="280" w:type="dxa"/>
            <w:vAlign w:val="bottom"/>
            <w:shd w:val="clear" w:color="auto" w:fill="D2DCE5"/>
          </w:tcPr>
          <w:p>
            <w:pPr>
              <w:spacing w:after="0"/>
              <w:rPr>
                <w:sz w:val="14"/>
                <w:szCs w:val="14"/>
                <w:color w:val="auto"/>
              </w:rPr>
            </w:pPr>
          </w:p>
        </w:tc>
        <w:tc>
          <w:tcPr>
            <w:tcW w:w="7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24,211</w:t>
            </w: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2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520,804</w:t>
            </w: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520,804</w:t>
            </w:r>
          </w:p>
        </w:tc>
        <w:tc>
          <w:tcPr>
            <w:tcW w:w="0" w:type="dxa"/>
            <w:vAlign w:val="bottom"/>
          </w:tcPr>
          <w:p>
            <w:pPr>
              <w:spacing w:after="0"/>
              <w:rPr>
                <w:sz w:val="1"/>
                <w:szCs w:val="1"/>
                <w:color w:val="auto"/>
              </w:rPr>
            </w:pPr>
          </w:p>
        </w:tc>
      </w:tr>
      <w:tr>
        <w:trPr>
          <w:trHeight w:val="152"/>
        </w:trPr>
        <w:tc>
          <w:tcPr>
            <w:tcW w:w="2280" w:type="dxa"/>
            <w:vAlign w:val="bottom"/>
          </w:tcPr>
          <w:p>
            <w:pPr>
              <w:ind w:left="20"/>
              <w:spacing w:after="0"/>
              <w:rPr>
                <w:sz w:val="20"/>
                <w:szCs w:val="20"/>
                <w:color w:val="auto"/>
              </w:rPr>
            </w:pPr>
            <w:r>
              <w:rPr>
                <w:rFonts w:ascii="Arial" w:cs="Arial" w:eastAsia="Arial" w:hAnsi="Arial"/>
                <w:sz w:val="11"/>
                <w:szCs w:val="11"/>
                <w:color w:val="131E29"/>
              </w:rPr>
              <w:t>Purchase of OpCo Units in connection with</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rPr>
                <w:sz w:val="20"/>
                <w:szCs w:val="20"/>
                <w:color w:val="auto"/>
              </w:rPr>
            </w:pPr>
            <w:r>
              <w:rPr>
                <w:rFonts w:ascii="Arial" w:cs="Arial" w:eastAsia="Arial" w:hAnsi="Arial"/>
                <w:sz w:val="11"/>
                <w:szCs w:val="11"/>
                <w:color w:val="131E29"/>
              </w:rPr>
              <w:t>the initial public offering</w:t>
            </w: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(6,709)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(5,062)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131E29"/>
              </w:rPr>
              <w:t>(239,421)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(13,849)</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(253,270)</w:t>
            </w:r>
          </w:p>
        </w:tc>
        <w:tc>
          <w:tcPr>
            <w:tcW w:w="0" w:type="dxa"/>
            <w:vAlign w:val="bottom"/>
          </w:tcPr>
          <w:p>
            <w:pPr>
              <w:spacing w:after="0"/>
              <w:rPr>
                <w:sz w:val="1"/>
                <w:szCs w:val="1"/>
                <w:color w:val="auto"/>
              </w:rPr>
            </w:pPr>
          </w:p>
        </w:tc>
      </w:tr>
      <w:tr>
        <w:trPr>
          <w:trHeight w:val="161"/>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Net loss subsequent to the Reorganization</w:t>
            </w:r>
          </w:p>
        </w:tc>
        <w:tc>
          <w:tcPr>
            <w:tcW w:w="280" w:type="dxa"/>
            <w:vAlign w:val="bottom"/>
            <w:shd w:val="clear" w:color="auto" w:fill="D2DCE5"/>
          </w:tcPr>
          <w:p>
            <w:pPr>
              <w:spacing w:after="0"/>
              <w:rPr>
                <w:sz w:val="13"/>
                <w:szCs w:val="13"/>
                <w:color w:val="auto"/>
              </w:rPr>
            </w:pPr>
          </w:p>
        </w:tc>
        <w:tc>
          <w:tcPr>
            <w:tcW w:w="6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280" w:type="dxa"/>
            <w:vAlign w:val="bottom"/>
            <w:shd w:val="clear" w:color="auto" w:fill="D2DCE5"/>
          </w:tcPr>
          <w:p>
            <w:pPr>
              <w:spacing w:after="0"/>
              <w:rPr>
                <w:sz w:val="14"/>
                <w:szCs w:val="14"/>
                <w:color w:val="auto"/>
              </w:rPr>
            </w:pPr>
          </w:p>
        </w:tc>
        <w:tc>
          <w:tcPr>
            <w:tcW w:w="7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4"/>
                <w:szCs w:val="14"/>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(12,679)</w:t>
            </w: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(37,878)</w:t>
            </w: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(50,557)</w:t>
            </w:r>
          </w:p>
        </w:tc>
        <w:tc>
          <w:tcPr>
            <w:tcW w:w="0" w:type="dxa"/>
            <w:vAlign w:val="bottom"/>
          </w:tcPr>
          <w:p>
            <w:pPr>
              <w:spacing w:after="0"/>
              <w:rPr>
                <w:sz w:val="1"/>
                <w:szCs w:val="1"/>
                <w:color w:val="auto"/>
              </w:rPr>
            </w:pPr>
          </w:p>
        </w:tc>
      </w:tr>
      <w:tr>
        <w:trPr>
          <w:trHeight w:val="152"/>
        </w:trPr>
        <w:tc>
          <w:tcPr>
            <w:tcW w:w="2280" w:type="dxa"/>
            <w:vAlign w:val="bottom"/>
          </w:tcPr>
          <w:p>
            <w:pPr>
              <w:ind w:left="20"/>
              <w:spacing w:after="0"/>
              <w:rPr>
                <w:sz w:val="20"/>
                <w:szCs w:val="20"/>
                <w:color w:val="auto"/>
              </w:rPr>
            </w:pPr>
            <w:r>
              <w:rPr>
                <w:rFonts w:ascii="Arial" w:cs="Arial" w:eastAsia="Arial" w:hAnsi="Arial"/>
                <w:sz w:val="11"/>
                <w:szCs w:val="11"/>
                <w:color w:val="131E29"/>
              </w:rPr>
              <w:t>Equity-based compensation recognized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tcPr>
          <w:p>
            <w:pPr>
              <w:ind w:left="20"/>
              <w:spacing w:after="0"/>
              <w:rPr>
                <w:sz w:val="20"/>
                <w:szCs w:val="20"/>
                <w:color w:val="auto"/>
              </w:rPr>
            </w:pPr>
            <w:r>
              <w:rPr>
                <w:rFonts w:ascii="Arial" w:cs="Arial" w:eastAsia="Arial" w:hAnsi="Arial"/>
                <w:sz w:val="11"/>
                <w:szCs w:val="11"/>
                <w:color w:val="131E29"/>
              </w:rPr>
              <w:t>subsequent to the Reorganization</w:t>
            </w:r>
          </w:p>
        </w:tc>
        <w:tc>
          <w:tcPr>
            <w:tcW w:w="2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20" w:type="dxa"/>
            <w:vAlign w:val="bottom"/>
            <w:vMerge w:val="restart"/>
          </w:tcPr>
          <w:p>
            <w:pPr>
              <w:jc w:val="right"/>
              <w:ind w:right="4"/>
              <w:spacing w:after="0"/>
              <w:rPr>
                <w:sz w:val="20"/>
                <w:szCs w:val="20"/>
                <w:color w:val="auto"/>
              </w:rPr>
            </w:pPr>
            <w:r>
              <w:rPr>
                <w:rFonts w:ascii="Arial" w:cs="Arial" w:eastAsia="Arial" w:hAnsi="Arial"/>
                <w:sz w:val="11"/>
                <w:szCs w:val="11"/>
                <w:color w:val="131E29"/>
              </w:rPr>
              <w:t>12,663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31,390</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44,053</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Arial" w:cs="Arial" w:eastAsia="Arial" w:hAnsi="Arial"/>
                <w:sz w:val="11"/>
                <w:szCs w:val="11"/>
                <w:color w:val="131E29"/>
              </w:rPr>
              <w:t>Transactions</w:t>
            </w:r>
          </w:p>
        </w:tc>
        <w:tc>
          <w:tcPr>
            <w:tcW w:w="2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280" w:type="dxa"/>
            <w:vAlign w:val="bottom"/>
            <w:shd w:val="clear" w:color="auto" w:fill="D2DCE5"/>
          </w:tcPr>
          <w:p>
            <w:pPr>
              <w:spacing w:after="0"/>
              <w:rPr>
                <w:sz w:val="13"/>
                <w:szCs w:val="13"/>
                <w:color w:val="auto"/>
              </w:rPr>
            </w:pPr>
          </w:p>
        </w:tc>
        <w:tc>
          <w:tcPr>
            <w:tcW w:w="6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280" w:type="dxa"/>
            <w:vAlign w:val="bottom"/>
            <w:shd w:val="clear" w:color="auto" w:fill="D2DCE5"/>
          </w:tcPr>
          <w:p>
            <w:pPr>
              <w:spacing w:after="0"/>
              <w:rPr>
                <w:sz w:val="11"/>
                <w:szCs w:val="11"/>
                <w:color w:val="auto"/>
              </w:rPr>
            </w:pPr>
          </w:p>
        </w:tc>
        <w:tc>
          <w:tcPr>
            <w:tcW w:w="7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vMerge w:val="restart"/>
            <w:shd w:val="clear" w:color="auto" w:fill="D2DCE5"/>
          </w:tcPr>
          <w:p>
            <w:pPr>
              <w:jc w:val="right"/>
              <w:ind w:right="4"/>
              <w:spacing w:after="0"/>
              <w:rPr>
                <w:sz w:val="20"/>
                <w:szCs w:val="20"/>
                <w:color w:val="auto"/>
              </w:rPr>
            </w:pPr>
            <w:r>
              <w:rPr>
                <w:rFonts w:ascii="Arial" w:cs="Arial" w:eastAsia="Arial" w:hAnsi="Arial"/>
                <w:sz w:val="11"/>
                <w:szCs w:val="11"/>
                <w:color w:val="131E29"/>
              </w:rPr>
              <w:t>345</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2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(3,258)</w:t>
            </w: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(8,075)</w:t>
            </w:r>
          </w:p>
        </w:tc>
        <w:tc>
          <w:tcPr>
            <w:tcW w:w="80" w:type="dxa"/>
            <w:vAlign w:val="bottom"/>
            <w:shd w:val="clear" w:color="auto" w:fill="D2DCE5"/>
          </w:tcPr>
          <w:p>
            <w:pPr>
              <w:spacing w:after="0"/>
              <w:rPr>
                <w:sz w:val="11"/>
                <w:szCs w:val="11"/>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(11,333)</w:t>
            </w:r>
          </w:p>
        </w:tc>
        <w:tc>
          <w:tcPr>
            <w:tcW w:w="0" w:type="dxa"/>
            <w:vAlign w:val="bottom"/>
          </w:tcPr>
          <w:p>
            <w:pPr>
              <w:spacing w:after="0"/>
              <w:rPr>
                <w:sz w:val="1"/>
                <w:szCs w:val="1"/>
                <w:color w:val="auto"/>
              </w:rPr>
            </w:pPr>
          </w:p>
        </w:tc>
      </w:tr>
      <w:tr>
        <w:trPr>
          <w:trHeight w:val="154"/>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stock withheld for tax</w:t>
            </w:r>
          </w:p>
        </w:tc>
        <w:tc>
          <w:tcPr>
            <w:tcW w:w="280" w:type="dxa"/>
            <w:vAlign w:val="bottom"/>
            <w:shd w:val="clear" w:color="auto" w:fill="D2DCE5"/>
          </w:tcPr>
          <w:p>
            <w:pPr>
              <w:spacing w:after="0"/>
              <w:rPr>
                <w:sz w:val="13"/>
                <w:szCs w:val="13"/>
                <w:color w:val="auto"/>
              </w:rPr>
            </w:pPr>
          </w:p>
        </w:tc>
        <w:tc>
          <w:tcPr>
            <w:tcW w:w="760" w:type="dxa"/>
            <w:vAlign w:val="bottom"/>
            <w:gridSpan w:val="2"/>
            <w:vMerge w:val="continue"/>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2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1"/>
                <w:szCs w:val="11"/>
                <w:color w:val="131E29"/>
              </w:rPr>
              <w:t>Impact of Tax Receivable Agreements</w:t>
            </w:r>
          </w:p>
        </w:tc>
        <w:tc>
          <w:tcPr>
            <w:tcW w:w="2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131E29"/>
              </w:rPr>
              <w:t>46,446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46,446</w:t>
            </w:r>
          </w:p>
        </w:tc>
        <w:tc>
          <w:tcPr>
            <w:tcW w:w="0" w:type="dxa"/>
            <w:vAlign w:val="bottom"/>
          </w:tcPr>
          <w:p>
            <w:pPr>
              <w:spacing w:after="0"/>
              <w:rPr>
                <w:sz w:val="1"/>
                <w:szCs w:val="1"/>
                <w:color w:val="auto"/>
              </w:rPr>
            </w:pPr>
          </w:p>
        </w:tc>
      </w:tr>
      <w:tr>
        <w:trPr>
          <w:trHeight w:val="161"/>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Effect of exchange of OpCo Class A</w:t>
            </w:r>
          </w:p>
        </w:tc>
        <w:tc>
          <w:tcPr>
            <w:tcW w:w="280" w:type="dxa"/>
            <w:vAlign w:val="bottom"/>
            <w:shd w:val="clear" w:color="auto" w:fill="D2DCE5"/>
          </w:tcPr>
          <w:p>
            <w:pPr>
              <w:spacing w:after="0"/>
              <w:rPr>
                <w:sz w:val="13"/>
                <w:szCs w:val="13"/>
                <w:color w:val="auto"/>
              </w:rPr>
            </w:pPr>
          </w:p>
        </w:tc>
        <w:tc>
          <w:tcPr>
            <w:tcW w:w="6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common units</w:t>
            </w:r>
          </w:p>
        </w:tc>
        <w:tc>
          <w:tcPr>
            <w:tcW w:w="280" w:type="dxa"/>
            <w:vAlign w:val="bottom"/>
            <w:shd w:val="clear" w:color="auto" w:fill="D2DCE5"/>
          </w:tcPr>
          <w:p>
            <w:pPr>
              <w:spacing w:after="0"/>
              <w:rPr>
                <w:sz w:val="14"/>
                <w:szCs w:val="14"/>
                <w:color w:val="auto"/>
              </w:rPr>
            </w:pPr>
          </w:p>
        </w:tc>
        <w:tc>
          <w:tcPr>
            <w:tcW w:w="7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2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289</w:t>
            </w: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(289)</w:t>
            </w: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52"/>
        </w:trPr>
        <w:tc>
          <w:tcPr>
            <w:tcW w:w="2280" w:type="dxa"/>
            <w:vAlign w:val="bottom"/>
          </w:tcPr>
          <w:p>
            <w:pPr>
              <w:ind w:left="20"/>
              <w:spacing w:after="0"/>
              <w:rPr>
                <w:sz w:val="20"/>
                <w:szCs w:val="20"/>
                <w:color w:val="auto"/>
              </w:rPr>
            </w:pPr>
            <w:r>
              <w:rPr>
                <w:rFonts w:ascii="Arial" w:cs="Arial" w:eastAsia="Arial" w:hAnsi="Arial"/>
                <w:sz w:val="11"/>
                <w:szCs w:val="11"/>
                <w:color w:val="131E29"/>
              </w:rPr>
              <w:t>Surrender and cancellation of Class C &amp; 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Borders>
              <w:bottom w:val="single" w:sz="8" w:color="D2DCE5"/>
            </w:tcBorders>
          </w:tcPr>
          <w:p>
            <w:pPr>
              <w:ind w:left="20"/>
              <w:spacing w:after="0"/>
              <w:rPr>
                <w:sz w:val="20"/>
                <w:szCs w:val="20"/>
                <w:color w:val="auto"/>
              </w:rPr>
            </w:pPr>
            <w:r>
              <w:rPr>
                <w:rFonts w:ascii="Arial" w:cs="Arial" w:eastAsia="Arial" w:hAnsi="Arial"/>
                <w:sz w:val="11"/>
                <w:szCs w:val="11"/>
                <w:color w:val="131E29"/>
              </w:rPr>
              <w:t>common stock</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8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8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(1,595)</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(34,394)</w:t>
            </w:r>
          </w:p>
        </w:tc>
        <w:tc>
          <w:tcPr>
            <w:tcW w:w="60" w:type="dxa"/>
            <w:vAlign w:val="bottom"/>
            <w:tcBorders>
              <w:bottom w:val="single" w:sz="8" w:color="D2DCE5"/>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8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8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(34,394)</w:t>
            </w:r>
          </w:p>
        </w:tc>
        <w:tc>
          <w:tcPr>
            <w:tcW w:w="0" w:type="dxa"/>
            <w:vAlign w:val="bottom"/>
          </w:tcPr>
          <w:p>
            <w:pPr>
              <w:spacing w:after="0"/>
              <w:rPr>
                <w:sz w:val="1"/>
                <w:szCs w:val="1"/>
                <w:color w:val="auto"/>
              </w:rPr>
            </w:pPr>
          </w:p>
        </w:tc>
      </w:tr>
      <w:tr>
        <w:trPr>
          <w:trHeight w:val="199"/>
        </w:trPr>
        <w:tc>
          <w:tcPr>
            <w:tcW w:w="2280" w:type="dxa"/>
            <w:vAlign w:val="bottom"/>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2021</w:t>
            </w:r>
          </w:p>
        </w:tc>
        <w:tc>
          <w:tcPr>
            <w:tcW w:w="280" w:type="dxa"/>
            <w:vAlign w:val="bottom"/>
            <w:shd w:val="clear" w:color="auto" w:fill="D2DCE5"/>
          </w:tcPr>
          <w:p>
            <w:pPr>
              <w:jc w:val="right"/>
              <w:ind w:right="144"/>
              <w:spacing w:after="0"/>
              <w:rPr>
                <w:sz w:val="20"/>
                <w:szCs w:val="20"/>
                <w:color w:val="auto"/>
              </w:rPr>
            </w:pPr>
            <w:r>
              <w:rPr>
                <w:rFonts w:ascii="Arial" w:cs="Arial" w:eastAsia="Arial" w:hAnsi="Arial"/>
                <w:sz w:val="11"/>
                <w:szCs w:val="11"/>
                <w:color w:val="131E29"/>
                <w:w w:val="97"/>
              </w:rPr>
              <w:t>$</w:t>
            </w:r>
          </w:p>
        </w:tc>
        <w:tc>
          <w:tcPr>
            <w:tcW w:w="7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34,433</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64,699</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4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49,006</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7"/>
                <w:szCs w:val="17"/>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15,441</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20" w:type="dxa"/>
            <w:vAlign w:val="bottom"/>
            <w:shd w:val="clear" w:color="auto" w:fill="D2DCE5"/>
          </w:tcPr>
          <w:p>
            <w:pPr>
              <w:jc w:val="right"/>
              <w:ind w:right="4"/>
              <w:spacing w:after="0"/>
              <w:rPr>
                <w:sz w:val="20"/>
                <w:szCs w:val="20"/>
                <w:color w:val="auto"/>
              </w:rPr>
            </w:pPr>
            <w:r>
              <w:rPr>
                <w:rFonts w:ascii="Arial" w:cs="Arial" w:eastAsia="Arial" w:hAnsi="Arial"/>
                <w:sz w:val="11"/>
                <w:szCs w:val="11"/>
                <w:color w:val="131E29"/>
              </w:rPr>
              <w:t>107,193</w:t>
            </w:r>
          </w:p>
        </w:tc>
        <w:tc>
          <w:tcPr>
            <w:tcW w:w="60" w:type="dxa"/>
            <w:vAlign w:val="bottom"/>
            <w:shd w:val="clear" w:color="auto" w:fill="D2DCE5"/>
          </w:tcPr>
          <w:p>
            <w:pPr>
              <w:spacing w:after="0"/>
              <w:rPr>
                <w:sz w:val="17"/>
                <w:szCs w:val="17"/>
                <w:color w:val="auto"/>
              </w:rPr>
            </w:pPr>
          </w:p>
        </w:tc>
        <w:tc>
          <w:tcPr>
            <w:tcW w:w="160" w:type="dxa"/>
            <w:vAlign w:val="bottom"/>
            <w:shd w:val="clear" w:color="auto" w:fill="D2DCE5"/>
          </w:tcPr>
          <w:p>
            <w:pPr>
              <w:jc w:val="right"/>
              <w:ind w:right="24"/>
              <w:spacing w:after="0"/>
              <w:rPr>
                <w:sz w:val="20"/>
                <w:szCs w:val="20"/>
                <w:color w:val="auto"/>
              </w:rPr>
            </w:pPr>
            <w:r>
              <w:rPr>
                <w:rFonts w:ascii="Arial" w:cs="Arial" w:eastAsia="Arial" w:hAnsi="Arial"/>
                <w:sz w:val="11"/>
                <w:szCs w:val="11"/>
                <w:color w:val="131E29"/>
                <w:w w:val="97"/>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(12,679)</w:t>
            </w: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119,213</w:t>
            </w: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$ 213,729</w:t>
            </w:r>
          </w:p>
        </w:tc>
        <w:tc>
          <w:tcPr>
            <w:tcW w:w="0" w:type="dxa"/>
            <w:vAlign w:val="bottom"/>
          </w:tcPr>
          <w:p>
            <w:pPr>
              <w:spacing w:after="0"/>
              <w:rPr>
                <w:sz w:val="1"/>
                <w:szCs w:val="1"/>
                <w:color w:val="auto"/>
              </w:rPr>
            </w:pPr>
          </w:p>
        </w:tc>
      </w:tr>
      <w:tr>
        <w:trPr>
          <w:trHeight w:val="20"/>
        </w:trPr>
        <w:tc>
          <w:tcPr>
            <w:tcW w:w="22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u w:val="single" w:color="auto"/>
          <w:color w:val="006098"/>
        </w:rPr>
        <w:t>Table of Contents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Consolidated Statements of Cash Flows</w:t>
      </w:r>
    </w:p>
    <w:p>
      <w:pPr>
        <w:spacing w:after="0" w:line="326"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5017135</wp:posOffset>
            </wp:positionH>
            <wp:positionV relativeFrom="paragraph">
              <wp:posOffset>19050</wp:posOffset>
            </wp:positionV>
            <wp:extent cx="214820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131E29"/>
              </w:rPr>
              <w:t>2022</w:t>
            </w:r>
          </w:p>
        </w:tc>
        <w:tc>
          <w:tcPr>
            <w:tcW w:w="6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131E29"/>
              </w:rPr>
              <w:t>2021</w:t>
            </w:r>
          </w:p>
        </w:tc>
      </w:tr>
      <w:tr>
        <w:trPr>
          <w:trHeight w:val="184"/>
        </w:trPr>
        <w:tc>
          <w:tcPr>
            <w:tcW w:w="79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operating activities:</w:t>
            </w: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Net income (loss)</w:t>
            </w:r>
          </w:p>
        </w:tc>
        <w:tc>
          <w:tcPr>
            <w:tcW w:w="240" w:type="dxa"/>
            <w:vAlign w:val="bottom"/>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Pr>
          <w:p>
            <w:pPr>
              <w:jc w:val="right"/>
              <w:spacing w:after="0"/>
              <w:rPr>
                <w:sz w:val="20"/>
                <w:szCs w:val="20"/>
                <w:color w:val="auto"/>
              </w:rPr>
            </w:pPr>
            <w:r>
              <w:rPr>
                <w:rFonts w:ascii="Arial" w:cs="Arial" w:eastAsia="Arial" w:hAnsi="Arial"/>
                <w:sz w:val="13"/>
                <w:szCs w:val="13"/>
                <w:color w:val="131E29"/>
              </w:rPr>
              <w:t>9,952</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Pr>
          <w:p>
            <w:pPr>
              <w:jc w:val="right"/>
              <w:spacing w:after="0"/>
              <w:rPr>
                <w:sz w:val="20"/>
                <w:szCs w:val="20"/>
                <w:color w:val="auto"/>
              </w:rPr>
            </w:pPr>
            <w:r>
              <w:rPr>
                <w:rFonts w:ascii="Arial" w:cs="Arial" w:eastAsia="Arial" w:hAnsi="Arial"/>
                <w:sz w:val="13"/>
                <w:szCs w:val="13"/>
                <w:color w:val="131E29"/>
              </w:rPr>
              <w:t>(19,253)</w:t>
            </w:r>
          </w:p>
        </w:tc>
        <w:tc>
          <w:tcPr>
            <w:tcW w:w="6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Pr>
          <w:p>
            <w:pPr>
              <w:jc w:val="right"/>
              <w:spacing w:after="0"/>
              <w:rPr>
                <w:sz w:val="20"/>
                <w:szCs w:val="20"/>
                <w:color w:val="auto"/>
              </w:rPr>
            </w:pPr>
            <w:r>
              <w:rPr>
                <w:rFonts w:ascii="Arial" w:cs="Arial" w:eastAsia="Arial" w:hAnsi="Arial"/>
                <w:sz w:val="13"/>
                <w:szCs w:val="13"/>
                <w:color w:val="131E29"/>
              </w:rPr>
              <w:t>(117,931)</w:t>
            </w: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Adjustments to reconcile net income (loss) to net cash provided by operating activities:</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r>
      <w:tr>
        <w:trPr>
          <w:trHeight w:val="184"/>
        </w:trPr>
        <w:tc>
          <w:tcPr>
            <w:tcW w:w="7900" w:type="dxa"/>
            <w:vAlign w:val="bottom"/>
            <w:gridSpan w:val="2"/>
          </w:tcPr>
          <w:p>
            <w:pPr>
              <w:ind w:left="280"/>
              <w:spacing w:after="0"/>
              <w:rPr>
                <w:sz w:val="20"/>
                <w:szCs w:val="20"/>
                <w:color w:val="auto"/>
              </w:rPr>
            </w:pPr>
            <w:r>
              <w:rPr>
                <w:rFonts w:ascii="Arial" w:cs="Arial" w:eastAsia="Arial" w:hAnsi="Arial"/>
                <w:sz w:val="13"/>
                <w:szCs w:val="13"/>
                <w:color w:val="131E29"/>
              </w:rPr>
              <w:t>Depreciation and amortization</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69,135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44,728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25,217</w:t>
            </w:r>
          </w:p>
        </w:tc>
      </w:tr>
      <w:tr>
        <w:trPr>
          <w:trHeight w:val="197"/>
        </w:trPr>
        <w:tc>
          <w:tcPr>
            <w:tcW w:w="7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interest expense</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887</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691</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280</w:t>
            </w:r>
          </w:p>
        </w:tc>
      </w:tr>
      <w:tr>
        <w:trPr>
          <w:trHeight w:val="184"/>
        </w:trPr>
        <w:tc>
          <w:tcPr>
            <w:tcW w:w="7900" w:type="dxa"/>
            <w:vAlign w:val="bottom"/>
            <w:gridSpan w:val="2"/>
          </w:tcPr>
          <w:p>
            <w:pPr>
              <w:ind w:left="280"/>
              <w:spacing w:after="0"/>
              <w:rPr>
                <w:sz w:val="20"/>
                <w:szCs w:val="20"/>
                <w:color w:val="auto"/>
              </w:rPr>
            </w:pPr>
            <w:r>
              <w:rPr>
                <w:rFonts w:ascii="Arial" w:cs="Arial" w:eastAsia="Arial" w:hAnsi="Arial"/>
                <w:sz w:val="13"/>
                <w:szCs w:val="13"/>
                <w:color w:val="131E29"/>
              </w:rPr>
              <w:t>Loss (gain) on disposal of assets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(340)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657</w:t>
            </w:r>
          </w:p>
        </w:tc>
      </w:tr>
      <w:tr>
        <w:trPr>
          <w:trHeight w:val="197"/>
        </w:trPr>
        <w:tc>
          <w:tcPr>
            <w:tcW w:w="7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Loss on extinguishment of debt</w:t>
            </w:r>
          </w:p>
        </w:tc>
        <w:tc>
          <w:tcPr>
            <w:tcW w:w="240" w:type="dxa"/>
            <w:vAlign w:val="bottom"/>
            <w:shd w:val="clear" w:color="auto" w:fill="D2DCE5"/>
          </w:tcPr>
          <w:p>
            <w:pPr>
              <w:spacing w:after="0"/>
              <w:rPr>
                <w:sz w:val="17"/>
                <w:szCs w:val="17"/>
                <w:color w:val="auto"/>
              </w:rPr>
            </w:pP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1,286</w:t>
            </w:r>
          </w:p>
        </w:tc>
      </w:tr>
      <w:tr>
        <w:trPr>
          <w:trHeight w:val="184"/>
        </w:trPr>
        <w:tc>
          <w:tcPr>
            <w:tcW w:w="7900" w:type="dxa"/>
            <w:vAlign w:val="bottom"/>
            <w:gridSpan w:val="2"/>
          </w:tcPr>
          <w:p>
            <w:pPr>
              <w:ind w:left="280"/>
              <w:spacing w:after="0"/>
              <w:rPr>
                <w:sz w:val="20"/>
                <w:szCs w:val="20"/>
                <w:color w:val="auto"/>
              </w:rPr>
            </w:pPr>
            <w:r>
              <w:rPr>
                <w:rFonts w:ascii="Arial" w:cs="Arial" w:eastAsia="Arial" w:hAnsi="Arial"/>
                <w:sz w:val="13"/>
                <w:szCs w:val="13"/>
                <w:color w:val="131E29"/>
              </w:rPr>
              <w:t>Equity-based compensation</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39,222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41,657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157,716</w:t>
            </w:r>
          </w:p>
        </w:tc>
      </w:tr>
      <w:tr>
        <w:trPr>
          <w:trHeight w:val="197"/>
        </w:trPr>
        <w:tc>
          <w:tcPr>
            <w:tcW w:w="7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Deferred income taxes</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5,946</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1,078</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(2,663)</w:t>
            </w:r>
          </w:p>
        </w:tc>
      </w:tr>
      <w:tr>
        <w:trPr>
          <w:trHeight w:val="184"/>
        </w:trPr>
        <w:tc>
          <w:tcPr>
            <w:tcW w:w="7900" w:type="dxa"/>
            <w:vAlign w:val="bottom"/>
            <w:gridSpan w:val="2"/>
          </w:tcPr>
          <w:p>
            <w:pPr>
              <w:ind w:left="280"/>
              <w:spacing w:after="0"/>
              <w:rPr>
                <w:sz w:val="20"/>
                <w:szCs w:val="20"/>
                <w:color w:val="auto"/>
              </w:rPr>
            </w:pPr>
            <w:r>
              <w:rPr>
                <w:rFonts w:ascii="Arial" w:cs="Arial" w:eastAsia="Arial" w:hAnsi="Arial"/>
                <w:sz w:val="13"/>
                <w:szCs w:val="13"/>
                <w:color w:val="131E29"/>
              </w:rPr>
              <w:t>Remeasurement gain on TRAs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(2,638)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(3,466)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7"/>
        </w:trPr>
        <w:tc>
          <w:tcPr>
            <w:tcW w:w="7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operating lease cost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11,413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9,919</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4"/>
        </w:trPr>
        <w:tc>
          <w:tcPr>
            <w:tcW w:w="7900" w:type="dxa"/>
            <w:vAlign w:val="bottom"/>
            <w:gridSpan w:val="2"/>
          </w:tcPr>
          <w:p>
            <w:pPr>
              <w:ind w:left="280"/>
              <w:spacing w:after="0"/>
              <w:rPr>
                <w:sz w:val="20"/>
                <w:szCs w:val="20"/>
                <w:color w:val="auto"/>
              </w:rPr>
            </w:pPr>
            <w:r>
              <w:rPr>
                <w:rFonts w:ascii="Arial" w:cs="Arial" w:eastAsia="Arial" w:hAnsi="Arial"/>
                <w:sz w:val="13"/>
                <w:szCs w:val="13"/>
                <w:color w:val="131E29"/>
              </w:rPr>
              <w:t>Changes in operating assets and liabilities, net of acquisitions: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7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Accounts receivable, net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2,842</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(1,322)</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193</w:t>
            </w:r>
          </w:p>
        </w:tc>
      </w:tr>
      <w:tr>
        <w:trPr>
          <w:trHeight w:val="184"/>
        </w:trPr>
        <w:tc>
          <w:tcPr>
            <w:tcW w:w="7900" w:type="dxa"/>
            <w:vAlign w:val="bottom"/>
            <w:gridSpan w:val="2"/>
          </w:tcPr>
          <w:p>
            <w:pPr>
              <w:ind w:left="400"/>
              <w:spacing w:after="0"/>
              <w:rPr>
                <w:sz w:val="20"/>
                <w:szCs w:val="20"/>
                <w:color w:val="auto"/>
              </w:rPr>
            </w:pPr>
            <w:r>
              <w:rPr>
                <w:rFonts w:ascii="Arial" w:cs="Arial" w:eastAsia="Arial" w:hAnsi="Arial"/>
                <w:sz w:val="13"/>
                <w:szCs w:val="13"/>
                <w:color w:val="131E29"/>
              </w:rPr>
              <w:t>Inventories, net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(7,724)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(15,817)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(7,668)</w:t>
            </w:r>
          </w:p>
        </w:tc>
      </w:tr>
      <w:tr>
        <w:trPr>
          <w:trHeight w:val="197"/>
        </w:trPr>
        <w:tc>
          <w:tcPr>
            <w:tcW w:w="7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Prepaid expenses and other current assets</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(4,775)</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(695)</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(3,761)</w:t>
            </w:r>
          </w:p>
        </w:tc>
      </w:tr>
      <w:tr>
        <w:trPr>
          <w:trHeight w:val="184"/>
        </w:trPr>
        <w:tc>
          <w:tcPr>
            <w:tcW w:w="7900" w:type="dxa"/>
            <w:vAlign w:val="bottom"/>
            <w:gridSpan w:val="2"/>
          </w:tcPr>
          <w:p>
            <w:pPr>
              <w:ind w:left="400"/>
              <w:spacing w:after="0"/>
              <w:rPr>
                <w:sz w:val="20"/>
                <w:szCs w:val="20"/>
                <w:color w:val="auto"/>
              </w:rPr>
            </w:pPr>
            <w:r>
              <w:rPr>
                <w:rFonts w:ascii="Arial" w:cs="Arial" w:eastAsia="Arial" w:hAnsi="Arial"/>
                <w:sz w:val="13"/>
                <w:szCs w:val="13"/>
                <w:color w:val="131E29"/>
              </w:rPr>
              <w:t>Other long-term assets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(578)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1,147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13</w:t>
            </w:r>
          </w:p>
        </w:tc>
      </w:tr>
      <w:tr>
        <w:trPr>
          <w:trHeight w:val="197"/>
        </w:trPr>
        <w:tc>
          <w:tcPr>
            <w:tcW w:w="7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Accounts payable</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3,903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1,606</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2,154</w:t>
            </w:r>
          </w:p>
        </w:tc>
      </w:tr>
      <w:tr>
        <w:trPr>
          <w:trHeight w:val="184"/>
        </w:trPr>
        <w:tc>
          <w:tcPr>
            <w:tcW w:w="7900" w:type="dxa"/>
            <w:vAlign w:val="bottom"/>
            <w:gridSpan w:val="2"/>
          </w:tcPr>
          <w:p>
            <w:pPr>
              <w:ind w:left="400"/>
              <w:spacing w:after="0"/>
              <w:rPr>
                <w:sz w:val="20"/>
                <w:szCs w:val="20"/>
                <w:color w:val="auto"/>
              </w:rPr>
            </w:pPr>
            <w:r>
              <w:rPr>
                <w:rFonts w:ascii="Arial" w:cs="Arial" w:eastAsia="Arial" w:hAnsi="Arial"/>
                <w:sz w:val="13"/>
                <w:szCs w:val="13"/>
                <w:color w:val="131E29"/>
              </w:rPr>
              <w:t>Accrued compensation and benefits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11,699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5,333</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5,224</w:t>
            </w:r>
          </w:p>
        </w:tc>
      </w:tr>
      <w:tr>
        <w:trPr>
          <w:trHeight w:val="197"/>
        </w:trPr>
        <w:tc>
          <w:tcPr>
            <w:tcW w:w="7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Other accrued liabilities</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3,738</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643</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2,864</w:t>
            </w:r>
          </w:p>
        </w:tc>
      </w:tr>
      <w:tr>
        <w:trPr>
          <w:trHeight w:val="184"/>
        </w:trPr>
        <w:tc>
          <w:tcPr>
            <w:tcW w:w="7900" w:type="dxa"/>
            <w:vAlign w:val="bottom"/>
            <w:gridSpan w:val="2"/>
          </w:tcPr>
          <w:p>
            <w:pPr>
              <w:ind w:left="400"/>
              <w:spacing w:after="0"/>
              <w:rPr>
                <w:sz w:val="20"/>
                <w:szCs w:val="20"/>
                <w:color w:val="auto"/>
              </w:rPr>
            </w:pPr>
            <w:r>
              <w:rPr>
                <w:rFonts w:ascii="Arial" w:cs="Arial" w:eastAsia="Arial" w:hAnsi="Arial"/>
                <w:sz w:val="13"/>
                <w:szCs w:val="13"/>
                <w:color w:val="131E29"/>
              </w:rPr>
              <w:t>Other current liabilities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1,001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4,794</w:t>
            </w:r>
          </w:p>
        </w:tc>
      </w:tr>
      <w:tr>
        <w:trPr>
          <w:trHeight w:val="197"/>
        </w:trPr>
        <w:tc>
          <w:tcPr>
            <w:tcW w:w="7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Deferred revenue</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5,571</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3,367</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11,706</w:t>
            </w:r>
          </w:p>
        </w:tc>
      </w:tr>
      <w:tr>
        <w:trPr>
          <w:trHeight w:val="184"/>
        </w:trPr>
        <w:tc>
          <w:tcPr>
            <w:tcW w:w="7900" w:type="dxa"/>
            <w:vAlign w:val="bottom"/>
            <w:gridSpan w:val="2"/>
          </w:tcPr>
          <w:p>
            <w:pPr>
              <w:ind w:left="400"/>
              <w:spacing w:after="0"/>
              <w:rPr>
                <w:sz w:val="20"/>
                <w:szCs w:val="20"/>
                <w:color w:val="auto"/>
              </w:rPr>
            </w:pPr>
            <w:r>
              <w:rPr>
                <w:rFonts w:ascii="Arial" w:cs="Arial" w:eastAsia="Arial" w:hAnsi="Arial"/>
                <w:sz w:val="13"/>
                <w:szCs w:val="13"/>
                <w:color w:val="131E29"/>
              </w:rPr>
              <w:t>Deferred rent</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412</w:t>
            </w:r>
          </w:p>
        </w:tc>
      </w:tr>
      <w:tr>
        <w:trPr>
          <w:trHeight w:val="197"/>
        </w:trPr>
        <w:tc>
          <w:tcPr>
            <w:tcW w:w="7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Other long-term liabilities</w:t>
            </w:r>
          </w:p>
        </w:tc>
        <w:tc>
          <w:tcPr>
            <w:tcW w:w="240" w:type="dxa"/>
            <w:vAlign w:val="bottom"/>
            <w:shd w:val="clear" w:color="auto" w:fill="D2DCE5"/>
          </w:tcPr>
          <w:p>
            <w:pPr>
              <w:spacing w:after="0"/>
              <w:rPr>
                <w:sz w:val="17"/>
                <w:szCs w:val="17"/>
                <w:color w:val="auto"/>
              </w:rPr>
            </w:pP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(672)</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(118)</w:t>
            </w:r>
          </w:p>
        </w:tc>
      </w:tr>
      <w:tr>
        <w:trPr>
          <w:trHeight w:val="184"/>
        </w:trPr>
        <w:tc>
          <w:tcPr>
            <w:tcW w:w="7900" w:type="dxa"/>
            <w:vAlign w:val="bottom"/>
            <w:tcBorders>
              <w:bottom w:val="single" w:sz="8" w:color="D2DCE5"/>
            </w:tcBorders>
            <w:gridSpan w:val="2"/>
          </w:tcPr>
          <w:p>
            <w:pPr>
              <w:ind w:left="400"/>
              <w:spacing w:after="0"/>
              <w:rPr>
                <w:sz w:val="20"/>
                <w:szCs w:val="20"/>
                <w:color w:val="auto"/>
              </w:rPr>
            </w:pPr>
            <w:r>
              <w:rPr>
                <w:rFonts w:ascii="Arial" w:cs="Arial" w:eastAsia="Arial" w:hAnsi="Arial"/>
                <w:sz w:val="13"/>
                <w:szCs w:val="13"/>
                <w:color w:val="131E29"/>
              </w:rPr>
              <w:t>Operating lease liabilities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(9,139)</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(9,722)</w:t>
            </w:r>
          </w:p>
        </w:tc>
        <w:tc>
          <w:tcPr>
            <w:tcW w:w="6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w:t>
            </w:r>
          </w:p>
        </w:tc>
      </w:tr>
      <w:tr>
        <w:trPr>
          <w:trHeight w:val="187"/>
        </w:trPr>
        <w:tc>
          <w:tcPr>
            <w:tcW w:w="7900" w:type="dxa"/>
            <w:vAlign w:val="bottom"/>
            <w:gridSpan w:val="2"/>
            <w:shd w:val="clear" w:color="auto" w:fill="D2DCE5"/>
          </w:tcPr>
          <w:p>
            <w:pPr>
              <w:ind w:left="520"/>
              <w:spacing w:after="0"/>
              <w:rPr>
                <w:sz w:val="20"/>
                <w:szCs w:val="20"/>
                <w:color w:val="auto"/>
              </w:rPr>
            </w:pPr>
            <w:r>
              <w:rPr>
                <w:rFonts w:ascii="Arial" w:cs="Arial" w:eastAsia="Arial" w:hAnsi="Arial"/>
                <w:sz w:val="13"/>
                <w:szCs w:val="13"/>
                <w:color w:val="131E29"/>
              </w:rPr>
              <w:t>Net cash provided by operating activities</w:t>
            </w:r>
          </w:p>
        </w:tc>
        <w:tc>
          <w:tcPr>
            <w:tcW w:w="24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139,915</w:t>
            </w:r>
          </w:p>
        </w:tc>
        <w:tc>
          <w:tcPr>
            <w:tcW w:w="8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59,883</w:t>
            </w:r>
          </w:p>
        </w:tc>
        <w:tc>
          <w:tcPr>
            <w:tcW w:w="6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80,375</w:t>
            </w:r>
          </w:p>
        </w:tc>
      </w:tr>
      <w:tr>
        <w:trPr>
          <w:trHeight w:val="164"/>
        </w:trPr>
        <w:tc>
          <w:tcPr>
            <w:tcW w:w="7900" w:type="dxa"/>
            <w:vAlign w:val="bottom"/>
            <w:gridSpan w:val="2"/>
          </w:tcPr>
          <w:p>
            <w:pPr>
              <w:ind w:left="20"/>
              <w:spacing w:after="0"/>
              <w:rPr>
                <w:sz w:val="20"/>
                <w:szCs w:val="20"/>
                <w:color w:val="auto"/>
              </w:rPr>
            </w:pPr>
            <w:r>
              <w:rPr>
                <w:rFonts w:ascii="Arial" w:cs="Arial" w:eastAsia="Arial" w:hAnsi="Arial"/>
                <w:sz w:val="13"/>
                <w:szCs w:val="13"/>
                <w:color w:val="131E29"/>
              </w:rPr>
              <w:t>Cash flows from investing activities: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Purchases of property and equipment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(228,457)</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(187,880)</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(118,444)</w:t>
            </w: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Proceeds from disposal of fixed assets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1,177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1,359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2,742</w:t>
            </w:r>
          </w:p>
        </w:tc>
      </w:tr>
      <w:tr>
        <w:trPr>
          <w:trHeight w:val="190"/>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Acquisition of shops from franchisees</w:t>
            </w:r>
          </w:p>
        </w:tc>
        <w:tc>
          <w:tcPr>
            <w:tcW w:w="240" w:type="dxa"/>
            <w:vAlign w:val="bottom"/>
            <w:shd w:val="clear" w:color="auto" w:fill="D2DCE5"/>
          </w:tcPr>
          <w:p>
            <w:pPr>
              <w:spacing w:after="0"/>
              <w:rPr>
                <w:sz w:val="16"/>
                <w:szCs w:val="16"/>
                <w:color w:val="auto"/>
              </w:rPr>
            </w:pP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(6,051)</w:t>
            </w:r>
          </w:p>
        </w:tc>
        <w:tc>
          <w:tcPr>
            <w:tcW w:w="6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(5,387)</w:t>
            </w:r>
          </w:p>
        </w:tc>
      </w:tr>
      <w:tr>
        <w:trPr>
          <w:trHeight w:val="181"/>
        </w:trPr>
        <w:tc>
          <w:tcPr>
            <w:tcW w:w="7900" w:type="dxa"/>
            <w:vAlign w:val="bottom"/>
            <w:tcBorders>
              <w:bottom w:val="single" w:sz="8" w:color="D2DCE5"/>
            </w:tcBorders>
            <w:gridSpan w:val="2"/>
          </w:tcPr>
          <w:p>
            <w:pPr>
              <w:ind w:left="520"/>
              <w:spacing w:after="0"/>
              <w:rPr>
                <w:sz w:val="20"/>
                <w:szCs w:val="20"/>
                <w:color w:val="auto"/>
              </w:rPr>
            </w:pPr>
            <w:r>
              <w:rPr>
                <w:rFonts w:ascii="Arial" w:cs="Arial" w:eastAsia="Arial" w:hAnsi="Arial"/>
                <w:sz w:val="13"/>
                <w:szCs w:val="13"/>
                <w:color w:val="131E29"/>
              </w:rPr>
              <w:t>Net cash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(227,280)</w:t>
            </w:r>
          </w:p>
        </w:tc>
        <w:tc>
          <w:tcPr>
            <w:tcW w:w="80" w:type="dxa"/>
            <w:vAlign w:val="bottom"/>
            <w:tcBorders>
              <w:bottom w:val="single" w:sz="8" w:color="D2DCE5"/>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(192,572)</w:t>
            </w:r>
          </w:p>
        </w:tc>
        <w:tc>
          <w:tcPr>
            <w:tcW w:w="60" w:type="dxa"/>
            <w:vAlign w:val="bottom"/>
            <w:tcBorders>
              <w:bottom w:val="single" w:sz="8" w:color="D2DCE5"/>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(121,089)</w:t>
            </w:r>
          </w:p>
        </w:tc>
      </w:tr>
      <w:tr>
        <w:trPr>
          <w:trHeight w:val="177"/>
        </w:trPr>
        <w:tc>
          <w:tcPr>
            <w:tcW w:w="79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financing activities:</w:t>
            </w:r>
          </w:p>
        </w:tc>
        <w:tc>
          <w:tcPr>
            <w:tcW w:w="240" w:type="dxa"/>
            <w:vAlign w:val="bottom"/>
            <w:shd w:val="clear" w:color="auto" w:fill="D2DCE5"/>
          </w:tcPr>
          <w:p>
            <w:pPr>
              <w:spacing w:after="0"/>
              <w:rPr>
                <w:sz w:val="15"/>
                <w:szCs w:val="15"/>
                <w:color w:val="auto"/>
              </w:rPr>
            </w:pPr>
          </w:p>
        </w:tc>
        <w:tc>
          <w:tcPr>
            <w:tcW w:w="8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40" w:type="dxa"/>
            <w:vAlign w:val="bottom"/>
            <w:shd w:val="clear" w:color="auto" w:fill="D2DCE5"/>
          </w:tcPr>
          <w:p>
            <w:pPr>
              <w:spacing w:after="0"/>
              <w:rPr>
                <w:sz w:val="15"/>
                <w:szCs w:val="15"/>
                <w:color w:val="auto"/>
              </w:rPr>
            </w:pPr>
          </w:p>
        </w:tc>
        <w:tc>
          <w:tcPr>
            <w:tcW w:w="6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40" w:type="dxa"/>
            <w:vAlign w:val="bottom"/>
            <w:shd w:val="clear" w:color="auto" w:fill="D2DCE5"/>
          </w:tcPr>
          <w:p>
            <w:pPr>
              <w:spacing w:after="0"/>
              <w:rPr>
                <w:sz w:val="15"/>
                <w:szCs w:val="15"/>
                <w:color w:val="auto"/>
              </w:rPr>
            </w:pP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Proceeds from line of credit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90,000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157,705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65,000</w:t>
            </w: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line of credit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(202,705)</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(10,000)</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(15,000)</w:t>
            </w: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Payments on finance lease liabilities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(12,432)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(5,838)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(2,653)</w:t>
            </w: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financing lease obligations</w:t>
            </w:r>
          </w:p>
        </w:tc>
        <w:tc>
          <w:tcPr>
            <w:tcW w:w="240" w:type="dxa"/>
            <w:vAlign w:val="bottom"/>
            <w:shd w:val="clear" w:color="auto" w:fill="D2DCE5"/>
          </w:tcPr>
          <w:p>
            <w:pPr>
              <w:spacing w:after="0"/>
              <w:rPr>
                <w:sz w:val="17"/>
                <w:szCs w:val="17"/>
                <w:color w:val="auto"/>
              </w:rPr>
            </w:pP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1,484</w:t>
            </w: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Proceeds from long-term debt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1,647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1,375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200,000</w:t>
            </w: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long-term debt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(2,613)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(1,982)</w:t>
            </w:r>
          </w:p>
        </w:tc>
        <w:tc>
          <w:tcPr>
            <w:tcW w:w="6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(227,594)</w:t>
            </w: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Payments of debt issuance costs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(1,350)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(2,749)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(2,406)</w:t>
            </w: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equity offering, net of underwriting discounts and commissions</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331,200</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524,858</w:t>
            </w:r>
          </w:p>
        </w:tc>
      </w:tr>
      <w:tr>
        <w:trPr>
          <w:trHeight w:val="184"/>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Distributions paid to members</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(213,308)</w:t>
            </w:r>
          </w:p>
        </w:tc>
      </w:tr>
      <w:tr>
        <w:trPr>
          <w:trHeight w:val="197"/>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to repurchase outstanding equity/member units</w:t>
            </w:r>
          </w:p>
        </w:tc>
        <w:tc>
          <w:tcPr>
            <w:tcW w:w="240" w:type="dxa"/>
            <w:vAlign w:val="bottom"/>
            <w:shd w:val="clear" w:color="auto" w:fill="D2DCE5"/>
          </w:tcPr>
          <w:p>
            <w:pPr>
              <w:spacing w:after="0"/>
              <w:rPr>
                <w:sz w:val="17"/>
                <w:szCs w:val="17"/>
                <w:color w:val="auto"/>
              </w:rPr>
            </w:pP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(287,664)</w:t>
            </w:r>
          </w:p>
        </w:tc>
      </w:tr>
      <w:tr>
        <w:trPr>
          <w:trHeight w:val="189"/>
        </w:trPr>
        <w:tc>
          <w:tcPr>
            <w:tcW w:w="7900" w:type="dxa"/>
            <w:vAlign w:val="bottom"/>
            <w:gridSpan w:val="2"/>
          </w:tcPr>
          <w:p>
            <w:pPr>
              <w:ind w:left="140"/>
              <w:spacing w:after="0"/>
              <w:rPr>
                <w:sz w:val="20"/>
                <w:szCs w:val="20"/>
                <w:color w:val="auto"/>
              </w:rPr>
            </w:pPr>
            <w:r>
              <w:rPr>
                <w:rFonts w:ascii="Arial" w:cs="Arial" w:eastAsia="Arial" w:hAnsi="Arial"/>
                <w:sz w:val="13"/>
                <w:szCs w:val="13"/>
                <w:color w:val="131E29"/>
              </w:rPr>
              <w:t>Payment of deferred offering costs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(1,119)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(250)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(3,804)</w:t>
            </w:r>
          </w:p>
        </w:tc>
      </w:tr>
      <w:tr>
        <w:trPr>
          <w:trHeight w:val="185"/>
        </w:trPr>
        <w:tc>
          <w:tcPr>
            <w:tcW w:w="7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Tax withholding payments upon vesting of equity awards</w:t>
            </w:r>
          </w:p>
        </w:tc>
        <w:tc>
          <w:tcPr>
            <w:tcW w:w="24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(1,896)</w:t>
            </w:r>
          </w:p>
        </w:tc>
        <w:tc>
          <w:tcPr>
            <w:tcW w:w="8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(3,900)</w:t>
            </w:r>
          </w:p>
        </w:tc>
        <w:tc>
          <w:tcPr>
            <w:tcW w:w="6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(11,333)</w:t>
            </w:r>
          </w:p>
        </w:tc>
      </w:tr>
      <w:tr>
        <w:trPr>
          <w:trHeight w:val="181"/>
        </w:trPr>
        <w:tc>
          <w:tcPr>
            <w:tcW w:w="7900" w:type="dxa"/>
            <w:vAlign w:val="bottom"/>
            <w:tcBorders>
              <w:bottom w:val="single" w:sz="8" w:color="D2DCE5"/>
            </w:tcBorders>
            <w:gridSpan w:val="2"/>
          </w:tcPr>
          <w:p>
            <w:pPr>
              <w:ind w:left="520"/>
              <w:spacing w:after="0"/>
              <w:rPr>
                <w:sz w:val="20"/>
                <w:szCs w:val="20"/>
                <w:color w:val="auto"/>
              </w:rPr>
            </w:pPr>
            <w:r>
              <w:rPr>
                <w:rFonts w:ascii="Arial" w:cs="Arial" w:eastAsia="Arial" w:hAnsi="Arial"/>
                <w:sz w:val="13"/>
                <w:szCs w:val="13"/>
                <w:color w:val="131E29"/>
              </w:rPr>
              <w:t>Net cash provided by financing activities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200,732</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134,361</w:t>
            </w:r>
          </w:p>
        </w:tc>
        <w:tc>
          <w:tcPr>
            <w:tcW w:w="6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27,580</w:t>
            </w:r>
          </w:p>
        </w:tc>
      </w:tr>
      <w:tr>
        <w:trPr>
          <w:trHeight w:val="187"/>
        </w:trPr>
        <w:tc>
          <w:tcPr>
            <w:tcW w:w="7900" w:type="dxa"/>
            <w:vAlign w:val="bottom"/>
            <w:gridSpan w:val="2"/>
            <w:shd w:val="clear" w:color="auto" w:fill="D2DCE5"/>
          </w:tcPr>
          <w:p>
            <w:pPr>
              <w:ind w:left="660"/>
              <w:spacing w:after="0"/>
              <w:rPr>
                <w:sz w:val="20"/>
                <w:szCs w:val="20"/>
                <w:color w:val="auto"/>
              </w:rPr>
            </w:pPr>
            <w:r>
              <w:rPr>
                <w:rFonts w:ascii="Arial" w:cs="Arial" w:eastAsia="Arial" w:hAnsi="Arial"/>
                <w:sz w:val="13"/>
                <w:szCs w:val="13"/>
                <w:color w:val="131E29"/>
              </w:rPr>
              <w:t>Net increase (decrease) in cash and cash equivalents</w:t>
            </w: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113,367</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1,672</w:t>
            </w:r>
          </w:p>
        </w:tc>
        <w:tc>
          <w:tcPr>
            <w:tcW w:w="6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(13,134)</w:t>
            </w:r>
          </w:p>
        </w:tc>
      </w:tr>
      <w:tr>
        <w:trPr>
          <w:trHeight w:val="184"/>
        </w:trPr>
        <w:tc>
          <w:tcPr>
            <w:tcW w:w="790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Cash and cash equivalents, beginning of period</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20,178</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18,506</w:t>
            </w:r>
          </w:p>
        </w:tc>
        <w:tc>
          <w:tcPr>
            <w:tcW w:w="6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31,640</w:t>
            </w:r>
          </w:p>
        </w:tc>
      </w:tr>
      <w:tr>
        <w:trPr>
          <w:trHeight w:val="212"/>
        </w:trPr>
        <w:tc>
          <w:tcPr>
            <w:tcW w:w="79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3"/>
                <w:szCs w:val="13"/>
                <w:color w:val="131E29"/>
              </w:rPr>
              <w:t>Cash and cash equivalents, end of period</w:t>
            </w:r>
          </w:p>
        </w:tc>
        <w:tc>
          <w:tcPr>
            <w:tcW w:w="240" w:type="dxa"/>
            <w:vAlign w:val="bottom"/>
            <w:tcBorders>
              <w:bottom w:val="single" w:sz="8" w:color="auto"/>
            </w:tcBorders>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133,545</w:t>
            </w: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auto"/>
            </w:tcBorders>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20,178</w:t>
            </w:r>
          </w:p>
        </w:tc>
        <w:tc>
          <w:tcPr>
            <w:tcW w:w="6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auto"/>
            </w:tcBorders>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18,506</w:t>
            </w:r>
          </w:p>
        </w:tc>
      </w:tr>
      <w:tr>
        <w:trPr>
          <w:trHeight w:val="20"/>
        </w:trPr>
        <w:tc>
          <w:tcPr>
            <w:tcW w:w="78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3" w:name="page104"/>
    <w:bookmarkEnd w:id="103"/>
    <w:p>
      <w:pPr>
        <w:spacing w:after="0"/>
        <w:rPr>
          <w:sz w:val="20"/>
          <w:szCs w:val="20"/>
          <w:color w:val="auto"/>
        </w:rPr>
      </w:pPr>
      <w:r>
        <w:rPr>
          <w:rFonts w:ascii="Arial" w:cs="Arial" w:eastAsia="Arial" w:hAnsi="Arial"/>
          <w:sz w:val="11"/>
          <w:szCs w:val="11"/>
          <w:u w:val="single" w:color="auto"/>
          <w:color w:val="006098"/>
        </w:rPr>
        <w:t>Table of Contents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19050</wp:posOffset>
            </wp:positionV>
            <wp:extent cx="218122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8122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131E29"/>
              </w:rPr>
              <w:t>2023</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131E29"/>
              </w:rPr>
              <w:t>2022</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131E29"/>
              </w:rPr>
              <w:t>2021</w:t>
            </w:r>
          </w:p>
        </w:tc>
      </w:tr>
      <w:tr>
        <w:trPr>
          <w:trHeight w:val="181"/>
        </w:trPr>
        <w:tc>
          <w:tcPr>
            <w:tcW w:w="7840" w:type="dxa"/>
            <w:vAlign w:val="bottom"/>
            <w:gridSpan w:val="2"/>
          </w:tcPr>
          <w:p>
            <w:pPr>
              <w:ind w:left="20"/>
              <w:spacing w:after="0"/>
              <w:rPr>
                <w:sz w:val="20"/>
                <w:szCs w:val="20"/>
                <w:color w:val="auto"/>
              </w:rPr>
            </w:pPr>
            <w:r>
              <w:rPr>
                <w:rFonts w:ascii="Arial" w:cs="Arial" w:eastAsia="Arial" w:hAnsi="Arial"/>
                <w:sz w:val="13"/>
                <w:szCs w:val="13"/>
                <w:b w:val="1"/>
                <w:bCs w:val="1"/>
                <w:color w:val="131E29"/>
              </w:rPr>
              <w:t>Supplemental disclosure of cash flow information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4"/>
        </w:trPr>
        <w:tc>
          <w:tcPr>
            <w:tcW w:w="784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Cash paid for interest</w:t>
            </w:r>
          </w:p>
        </w:tc>
        <w:tc>
          <w:tcPr>
            <w:tcW w:w="26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34,969</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17,613</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97"/>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7,350</w:t>
            </w:r>
          </w:p>
        </w:tc>
      </w:tr>
      <w:tr>
        <w:trPr>
          <w:trHeight w:val="184"/>
        </w:trPr>
        <w:tc>
          <w:tcPr>
            <w:tcW w:w="7840" w:type="dxa"/>
            <w:vAlign w:val="bottom"/>
            <w:gridSpan w:val="2"/>
          </w:tcPr>
          <w:p>
            <w:pPr>
              <w:ind w:left="140"/>
              <w:spacing w:after="0"/>
              <w:rPr>
                <w:sz w:val="20"/>
                <w:szCs w:val="20"/>
                <w:color w:val="auto"/>
              </w:rPr>
            </w:pPr>
            <w:r>
              <w:rPr>
                <w:rFonts w:ascii="Arial" w:cs="Arial" w:eastAsia="Arial" w:hAnsi="Arial"/>
                <w:sz w:val="13"/>
                <w:szCs w:val="13"/>
                <w:color w:val="131E29"/>
              </w:rPr>
              <w:t>Income taxes paid</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1,731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1,316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886</w:t>
            </w:r>
          </w:p>
        </w:tc>
      </w:tr>
      <w:tr>
        <w:trPr>
          <w:trHeight w:val="197"/>
        </w:trPr>
        <w:tc>
          <w:tcPr>
            <w:tcW w:w="784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Supplemental disclosure of noncash investing and financing activities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r>
      <w:tr>
        <w:trPr>
          <w:trHeight w:val="184"/>
        </w:trPr>
        <w:tc>
          <w:tcPr>
            <w:tcW w:w="7840" w:type="dxa"/>
            <w:vAlign w:val="bottom"/>
            <w:gridSpan w:val="2"/>
          </w:tcPr>
          <w:p>
            <w:pPr>
              <w:ind w:left="140"/>
              <w:spacing w:after="0"/>
              <w:rPr>
                <w:sz w:val="20"/>
                <w:szCs w:val="20"/>
                <w:color w:val="auto"/>
              </w:rPr>
            </w:pPr>
            <w:r>
              <w:rPr>
                <w:rFonts w:ascii="Arial" w:cs="Arial" w:eastAsia="Arial" w:hAnsi="Arial"/>
                <w:sz w:val="13"/>
                <w:szCs w:val="13"/>
                <w:color w:val="131E29"/>
              </w:rPr>
              <w:t>Additions of property with capital leases</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35,169</w:t>
            </w:r>
          </w:p>
        </w:tc>
      </w:tr>
      <w:tr>
        <w:trPr>
          <w:trHeight w:val="197"/>
        </w:trPr>
        <w:tc>
          <w:tcPr>
            <w:tcW w:w="784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Additions of property and equipment accrued as of end of period</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13,880</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6,731</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6,452</w:t>
            </w:r>
          </w:p>
        </w:tc>
      </w:tr>
      <w:tr>
        <w:trPr>
          <w:trHeight w:val="184"/>
        </w:trPr>
        <w:tc>
          <w:tcPr>
            <w:tcW w:w="7840" w:type="dxa"/>
            <w:vAlign w:val="bottom"/>
            <w:gridSpan w:val="2"/>
          </w:tcPr>
          <w:p>
            <w:pPr>
              <w:ind w:left="140"/>
              <w:spacing w:after="0"/>
              <w:rPr>
                <w:sz w:val="20"/>
                <w:szCs w:val="20"/>
                <w:color w:val="auto"/>
              </w:rPr>
            </w:pPr>
            <w:r>
              <w:rPr>
                <w:rFonts w:ascii="Arial" w:cs="Arial" w:eastAsia="Arial" w:hAnsi="Arial"/>
                <w:sz w:val="13"/>
                <w:szCs w:val="13"/>
                <w:color w:val="131E29"/>
              </w:rPr>
              <w:t>Deferred offering costs accrued</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250</w:t>
            </w:r>
          </w:p>
        </w:tc>
      </w:tr>
      <w:tr>
        <w:trPr>
          <w:trHeight w:val="197"/>
        </w:trPr>
        <w:tc>
          <w:tcPr>
            <w:tcW w:w="784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Transfer between line of credit and term loan facility</w:t>
            </w:r>
          </w:p>
        </w:tc>
        <w:tc>
          <w:tcPr>
            <w:tcW w:w="260" w:type="dxa"/>
            <w:vAlign w:val="bottom"/>
            <w:shd w:val="clear" w:color="auto" w:fill="D2DCE5"/>
          </w:tcPr>
          <w:p>
            <w:pPr>
              <w:spacing w:after="0"/>
              <w:rPr>
                <w:sz w:val="17"/>
                <w:szCs w:val="17"/>
                <w:color w:val="auto"/>
              </w:rPr>
            </w:pP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100,000</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560" w:type="dxa"/>
            <w:vAlign w:val="bottom"/>
            <w:gridSpan w:val="2"/>
          </w:tcPr>
          <w:p>
            <w:pPr>
              <w:ind w:left="3980"/>
              <w:spacing w:after="0"/>
              <w:rPr>
                <w:sz w:val="20"/>
                <w:szCs w:val="20"/>
                <w:color w:val="auto"/>
              </w:rPr>
            </w:pPr>
            <w:r>
              <w:rPr>
                <w:rFonts w:ascii="Arial" w:cs="Arial" w:eastAsia="Arial" w:hAnsi="Arial"/>
                <w:sz w:val="14"/>
                <w:szCs w:val="14"/>
                <w:color w:val="131E29"/>
              </w:rPr>
              <w:t>Index for Notes to Consolidated Financial Statements</w:t>
            </w:r>
          </w:p>
        </w:tc>
        <w:tc>
          <w:tcPr>
            <w:tcW w:w="700" w:type="dxa"/>
            <w:vAlign w:val="bottom"/>
          </w:tcPr>
          <w:p>
            <w:pPr>
              <w:spacing w:after="0"/>
              <w:rPr>
                <w:sz w:val="16"/>
                <w:szCs w:val="16"/>
                <w:color w:val="auto"/>
              </w:rPr>
            </w:pPr>
          </w:p>
        </w:tc>
      </w:tr>
      <w:tr>
        <w:trPr>
          <w:trHeight w:val="225"/>
        </w:trPr>
        <w:tc>
          <w:tcPr>
            <w:tcW w:w="10480" w:type="dxa"/>
            <w:vAlign w:val="bottom"/>
            <w:tcBorders>
              <w:bottom w:val="single" w:sz="8" w:color="131E29"/>
            </w:tcBorders>
          </w:tcPr>
          <w:p>
            <w:pPr>
              <w:ind w:left="20"/>
              <w:spacing w:after="0"/>
              <w:rPr>
                <w:sz w:val="20"/>
                <w:szCs w:val="20"/>
                <w:color w:val="auto"/>
              </w:rPr>
            </w:pPr>
            <w:r>
              <w:rPr>
                <w:rFonts w:ascii="Arial" w:cs="Arial" w:eastAsia="Arial" w:hAnsi="Arial"/>
                <w:sz w:val="14"/>
                <w:szCs w:val="14"/>
                <w:b w:val="1"/>
                <w:bCs w:val="1"/>
                <w:color w:val="131E29"/>
              </w:rPr>
              <w:t>Note</w:t>
            </w:r>
          </w:p>
        </w:tc>
        <w:tc>
          <w:tcPr>
            <w:tcW w:w="80" w:type="dxa"/>
            <w:vAlign w:val="bottom"/>
            <w:tcBorders>
              <w:bottom w:val="single" w:sz="8" w:color="D2DCE5"/>
            </w:tcBorders>
          </w:tcPr>
          <w:p>
            <w:pPr>
              <w:spacing w:after="0"/>
              <w:rPr>
                <w:sz w:val="19"/>
                <w:szCs w:val="19"/>
                <w:color w:val="auto"/>
              </w:rPr>
            </w:pPr>
          </w:p>
        </w:tc>
        <w:tc>
          <w:tcPr>
            <w:tcW w:w="700" w:type="dxa"/>
            <w:vAlign w:val="bottom"/>
            <w:tcBorders>
              <w:bottom w:val="single" w:sz="8" w:color="131E29"/>
            </w:tcBorders>
          </w:tcPr>
          <w:p>
            <w:pPr>
              <w:ind w:left="180"/>
              <w:spacing w:after="0"/>
              <w:rPr>
                <w:sz w:val="20"/>
                <w:szCs w:val="20"/>
                <w:color w:val="auto"/>
              </w:rPr>
            </w:pPr>
            <w:r>
              <w:rPr>
                <w:rFonts w:ascii="Arial" w:cs="Arial" w:eastAsia="Arial" w:hAnsi="Arial"/>
                <w:sz w:val="14"/>
                <w:szCs w:val="14"/>
                <w:b w:val="1"/>
                <w:bCs w:val="1"/>
                <w:color w:val="131E29"/>
              </w:rPr>
              <w:t>Page</w:t>
            </w:r>
          </w:p>
        </w:tc>
      </w:tr>
      <w:tr>
        <w:trPr>
          <w:trHeight w:val="208"/>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 — Organization and Background</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102</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2 — Basis of Presentation and Summary of Significant Accounting Policies</w:t>
            </w:r>
          </w:p>
        </w:tc>
        <w:tc>
          <w:tcPr>
            <w:tcW w:w="700" w:type="dxa"/>
            <w:vAlign w:val="bottom"/>
          </w:tcPr>
          <w:p>
            <w:pPr>
              <w:jc w:val="center"/>
              <w:spacing w:after="0"/>
              <w:rPr>
                <w:sz w:val="20"/>
                <w:szCs w:val="20"/>
                <w:color w:val="auto"/>
              </w:rPr>
            </w:pPr>
            <w:r>
              <w:rPr>
                <w:rFonts w:ascii="Arial" w:cs="Arial" w:eastAsia="Arial" w:hAnsi="Arial"/>
                <w:sz w:val="14"/>
                <w:szCs w:val="14"/>
                <w:color w:val="131E29"/>
              </w:rPr>
              <w:t>102</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3 — Revenue Recognition</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111</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4 — Shop Acquisitions</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113</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5 — Inventories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114</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6 — Property and Equipment</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114</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7 — Intangible Assets and Goodwill</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115</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8 — Leases</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115</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9 — Debt</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117</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10 — Derivative Financial Instruments</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119</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11 — Tax Receivable Agreements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120</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12 — Income Taxes</w:t>
            </w:r>
          </w:p>
        </w:tc>
        <w:tc>
          <w:tcPr>
            <w:tcW w:w="700" w:type="dxa"/>
            <w:vAlign w:val="bottom"/>
          </w:tcPr>
          <w:p>
            <w:pPr>
              <w:jc w:val="center"/>
              <w:spacing w:after="0"/>
              <w:rPr>
                <w:sz w:val="20"/>
                <w:szCs w:val="20"/>
                <w:color w:val="auto"/>
              </w:rPr>
            </w:pPr>
            <w:r>
              <w:rPr>
                <w:rFonts w:ascii="Arial" w:cs="Arial" w:eastAsia="Arial" w:hAnsi="Arial"/>
                <w:sz w:val="14"/>
                <w:szCs w:val="14"/>
                <w:color w:val="131E29"/>
              </w:rPr>
              <w:t>121</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13 — Equity-Based Compensation</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123</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14 — Employee Benefit Plans</w:t>
            </w:r>
          </w:p>
        </w:tc>
        <w:tc>
          <w:tcPr>
            <w:tcW w:w="700" w:type="dxa"/>
            <w:vAlign w:val="bottom"/>
          </w:tcPr>
          <w:p>
            <w:pPr>
              <w:jc w:val="center"/>
              <w:spacing w:after="0"/>
              <w:rPr>
                <w:sz w:val="20"/>
                <w:szCs w:val="20"/>
                <w:color w:val="auto"/>
              </w:rPr>
            </w:pPr>
            <w:r>
              <w:rPr>
                <w:rFonts w:ascii="Arial" w:cs="Arial" w:eastAsia="Arial" w:hAnsi="Arial"/>
                <w:sz w:val="14"/>
                <w:szCs w:val="14"/>
                <w:color w:val="131E29"/>
              </w:rPr>
              <w:t>124</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15 — Non-Controlling Interests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125</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16 — Income (Loss) Per Share</w:t>
            </w:r>
          </w:p>
        </w:tc>
        <w:tc>
          <w:tcPr>
            <w:tcW w:w="700" w:type="dxa"/>
            <w:vAlign w:val="bottom"/>
          </w:tcPr>
          <w:p>
            <w:pPr>
              <w:jc w:val="center"/>
              <w:spacing w:after="0"/>
              <w:rPr>
                <w:sz w:val="20"/>
                <w:szCs w:val="20"/>
                <w:color w:val="auto"/>
              </w:rPr>
            </w:pPr>
            <w:r>
              <w:rPr>
                <w:rFonts w:ascii="Arial" w:cs="Arial" w:eastAsia="Arial" w:hAnsi="Arial"/>
                <w:sz w:val="14"/>
                <w:szCs w:val="14"/>
                <w:color w:val="131E29"/>
              </w:rPr>
              <w:t>126</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17 — Commitments and Contingencies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127</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18 — Related Party Transactions</w:t>
            </w:r>
          </w:p>
        </w:tc>
        <w:tc>
          <w:tcPr>
            <w:tcW w:w="700" w:type="dxa"/>
            <w:vAlign w:val="bottom"/>
          </w:tcPr>
          <w:p>
            <w:pPr>
              <w:jc w:val="center"/>
              <w:spacing w:after="0"/>
              <w:rPr>
                <w:sz w:val="20"/>
                <w:szCs w:val="20"/>
                <w:color w:val="auto"/>
              </w:rPr>
            </w:pPr>
            <w:r>
              <w:rPr>
                <w:rFonts w:ascii="Arial" w:cs="Arial" w:eastAsia="Arial" w:hAnsi="Arial"/>
                <w:sz w:val="14"/>
                <w:szCs w:val="14"/>
                <w:color w:val="131E29"/>
              </w:rPr>
              <w:t>129</w:t>
            </w:r>
          </w:p>
        </w:tc>
      </w:tr>
      <w:tr>
        <w:trPr>
          <w:trHeight w:val="221"/>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19 — Segment Reporting</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129</w:t>
            </w:r>
          </w:p>
        </w:tc>
      </w:tr>
      <w:tr>
        <w:trPr>
          <w:trHeight w:val="19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20 — Subsequent Events</w:t>
            </w:r>
          </w:p>
        </w:tc>
        <w:tc>
          <w:tcPr>
            <w:tcW w:w="700" w:type="dxa"/>
            <w:vAlign w:val="bottom"/>
          </w:tcPr>
          <w:p>
            <w:pPr>
              <w:jc w:val="center"/>
              <w:spacing w:after="0"/>
              <w:rPr>
                <w:sz w:val="20"/>
                <w:szCs w:val="20"/>
                <w:color w:val="auto"/>
              </w:rPr>
            </w:pPr>
            <w:r>
              <w:rPr>
                <w:rFonts w:ascii="Arial" w:cs="Arial" w:eastAsia="Arial" w:hAnsi="Arial"/>
                <w:sz w:val="14"/>
                <w:szCs w:val="14"/>
                <w:color w:val="131E29"/>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 — Organization and Background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Business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Dutch Bros is in the business of operating and franchising drive-thru coffee shops as well as the wholesale and distribution of coffee, coffee-related products and accessories. As of December 31, 2023, there were 831 shops in operation in 16 U.S. states, of which 542 were company-operated and 289 were franchised.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Organization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Dutch Bros Inc.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The Company’s fiscal year end is December 31.</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As of December 31, 2023, the Company held 100.0% of the voting interest and 45.5% of the economic interest of Dutch Bros OpCo. The Continuing Members held none of the voting interest and the remaining 54.5% of the economic interest of Dutch Bros OpCo.</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IPO and Reorganization Transactions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 2021 the Company completed its IPO of approximately 24.2 million shares of Class A common stock at a public offering price of $23.00 per share. In connection with the IPO, the Company completed various reorganization transactions, including amending and restating corporation and LLC documents, acquiring Dutch Bros OpCo’s common and voting units, designating Dutch Bros Inc. as managing member of Dutch Bros OpCo, and entering into Tax Receivable Agreements with the Continuing Members and Pre-IPO Blocker Holders (collectively, the Reorganization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Follow-On Offering</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On September 12, 2023, Dutch Bros Inc. completed a follow-on offering of approximately 13.3 million shares of Class A common stock at a public offering price of $26.00 per share, which included approximately 1.7 million shares issued pursuant to the exercise in full of the underwriters’ option to purchase additional shares. This resulted in proceeds of approximately $331.2 million, net of underwriting discounts and commissions. The proceeds were used to purchase an equal number of Class A common units of Dutch Bros OpCo. Dutch Bros OpCo used the proceeds for working capital and general corporate purposes, including principal repayment of the Company’s revolving credit facility, and for payment of offering costs of approximately $1.1 million. The offering costs were charged to additional paid-in capital on the Company’s consolidated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 — Basis of Presentation and Summary of Significant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Financial Statements Presentation</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Company’s consolidated financial statements as of December 31, 2023 and for the three years then ended have been prepared in accordance with GAAP and pursuant to the rules and regulations of the SEC.</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Reclassifications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 reclassified certain amounts in prior-period consolidated financial statements to conform to the current period's presentation. Accrued compensation and benefits costs have been reclassified from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other accrued liabilities and other current liabilities to be presented in a new line on the face of the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Principles of Consolidation</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consolidated financial statements include the accounts of the Company and its subsidiaries that it controls due to ownership of a majority voting interest or pursuant to accounting guidance for non-controlling interests. All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 of Estimates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The presentation of consolidated financial statements in conformity with GAAP requires management to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consolidated financial statements and the reported amounts of revenues and expenses during the reporting periods. Although management bases its estimates on historical experience and assumptions that are believed to be reasonable under the circumstances, actual results could differ from those estimates.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Cash and Cash Equivalents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Cash and cash equivalents include all short-term highly liquid instruments with original maturities of three months or less at the time of purchase, as well as credit card receivables for sales to customers in company-operated shops that generally settle within two to five business days. The Company’s cash accounts are maintained at various high credit quality financial institutions and may exceed federally insured limits. The Company has not experienced any losses in such accounts.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Fair Value Measurements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applies fair value accounting for all financial assets and liabilities and non-financial assets and liabilities that are recognized or disclosed at fair value in the consolidated financial statements on a recurring basis. The Company categorizes assets and liabilities, based on the priority of the inputs to the valuation technique, into a three-level fair value hierarchy as set forth below. The three levels of the hierarchy are defined as follows: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006098"/>
        </w:rPr>
        <w:t xml:space="preserve">Level 1 </w:t>
      </w:r>
      <w:r>
        <w:rPr>
          <w:rFonts w:ascii="Arial" w:cs="Arial" w:eastAsia="Arial" w:hAnsi="Arial"/>
          <w:sz w:val="14"/>
          <w:szCs w:val="14"/>
          <w:color w:val="131E29"/>
        </w:rPr>
        <w:t>– Unadjusted quoted prices in active markets for identical assets or liabilities.</w:t>
      </w:r>
    </w:p>
    <w:p>
      <w:pPr>
        <w:spacing w:after="0" w:line="135" w:lineRule="exact"/>
        <w:rPr>
          <w:sz w:val="20"/>
          <w:szCs w:val="20"/>
          <w:color w:val="auto"/>
        </w:rPr>
      </w:pPr>
    </w:p>
    <w:p>
      <w:pPr>
        <w:jc w:val="both"/>
        <w:ind w:left="260" w:hanging="253"/>
        <w:spacing w:after="0" w:line="288" w:lineRule="auto"/>
        <w:rPr>
          <w:sz w:val="20"/>
          <w:szCs w:val="20"/>
          <w:color w:val="auto"/>
        </w:rPr>
      </w:pPr>
      <w:r>
        <w:rPr>
          <w:rFonts w:ascii="Arial" w:cs="Arial" w:eastAsia="Arial" w:hAnsi="Arial"/>
          <w:sz w:val="14"/>
          <w:szCs w:val="14"/>
          <w:color w:val="006098"/>
        </w:rPr>
        <w:t xml:space="preserve">Level 2 </w:t>
      </w:r>
      <w:r>
        <w:rPr>
          <w:rFonts w:ascii="Arial" w:cs="Arial" w:eastAsia="Arial" w:hAnsi="Arial"/>
          <w:sz w:val="14"/>
          <w:szCs w:val="14"/>
          <w:color w:val="131E29"/>
        </w:rPr>
        <w:t>– Observable inputs other than quoted prices in active markets for identical assets or liabilities, quoted prices for identical assets or liabilities in inactive markets, or other</w:t>
      </w:r>
      <w:r>
        <w:rPr>
          <w:rFonts w:ascii="Arial" w:cs="Arial" w:eastAsia="Arial" w:hAnsi="Arial"/>
          <w:sz w:val="14"/>
          <w:szCs w:val="14"/>
          <w:color w:val="006098"/>
        </w:rPr>
        <w:t xml:space="preserve"> </w:t>
      </w:r>
      <w:r>
        <w:rPr>
          <w:rFonts w:ascii="Arial" w:cs="Arial" w:eastAsia="Arial" w:hAnsi="Arial"/>
          <w:sz w:val="14"/>
          <w:szCs w:val="14"/>
          <w:color w:val="131E29"/>
        </w:rPr>
        <w:t>inputs that are observable or can be corroborated by observable market data for substantially the full term of the assets or liabilities.</w:t>
      </w:r>
    </w:p>
    <w:p>
      <w:pPr>
        <w:spacing w:after="0" w:line="79" w:lineRule="exact"/>
        <w:rPr>
          <w:sz w:val="20"/>
          <w:szCs w:val="20"/>
          <w:color w:val="auto"/>
        </w:rPr>
      </w:pPr>
    </w:p>
    <w:p>
      <w:pPr>
        <w:jc w:val="both"/>
        <w:ind w:left="260" w:hanging="253"/>
        <w:spacing w:after="0" w:line="288" w:lineRule="auto"/>
        <w:rPr>
          <w:sz w:val="20"/>
          <w:szCs w:val="20"/>
          <w:color w:val="auto"/>
        </w:rPr>
      </w:pPr>
      <w:r>
        <w:rPr>
          <w:rFonts w:ascii="Arial" w:cs="Arial" w:eastAsia="Arial" w:hAnsi="Arial"/>
          <w:sz w:val="14"/>
          <w:szCs w:val="14"/>
          <w:color w:val="006098"/>
        </w:rPr>
        <w:t xml:space="preserve">Level 3 </w:t>
      </w:r>
      <w:r>
        <w:rPr>
          <w:rFonts w:ascii="Arial" w:cs="Arial" w:eastAsia="Arial" w:hAnsi="Arial"/>
          <w:sz w:val="14"/>
          <w:szCs w:val="14"/>
          <w:color w:val="131E29"/>
        </w:rPr>
        <w:t>– Inputs that are both unobservable and significant to the overall fair value measurements reflecting an entity's estimates of assumptions that market participants would use</w:t>
      </w:r>
      <w:r>
        <w:rPr>
          <w:rFonts w:ascii="Arial" w:cs="Arial" w:eastAsia="Arial" w:hAnsi="Arial"/>
          <w:sz w:val="14"/>
          <w:szCs w:val="14"/>
          <w:color w:val="006098"/>
        </w:rPr>
        <w:t xml:space="preserve"> </w:t>
      </w:r>
      <w:r>
        <w:rPr>
          <w:rFonts w:ascii="Arial" w:cs="Arial" w:eastAsia="Arial" w:hAnsi="Arial"/>
          <w:sz w:val="14"/>
          <w:szCs w:val="14"/>
          <w:color w:val="131E29"/>
        </w:rPr>
        <w:t>in pricing the asset or liability.</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Company’s consolidated balance sheets include cash and cash equivalents, accounts receivable, prepaid expenses and other current assets, accounts payable, accrued expenses and other current liabilities, for which the carrying amounts approximate fair value due to their short-term maturity. The fair value of the Company’s variable-rate credit facilities approximate their carrying amounts as the Company’s cost of borrowing is variable and approximates current market prices, which is considered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Derivative Instruments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 manages exposure to fluctuations in interest rates within its consolidated financial statements according to a hedging policy. Under this policy, the Company may from time to time enter into interest rate swap agreements to fix a portion of interest expense and hedge interest rate risk. A swap agreement is a contract between two parties to exchange cash flows based on specified underlying notional amounts, assets and/or indices. The Company does not enter into derivative instruments for speculative purposes or for any other purpose other than to manage its risks related to fluctuations in interest rates.</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By using swap instruments, the Company is exposed to potential credit risk. Credit risk is the failure of the counterparty to perform under the terms of the derivative contract. The Company minimizes this credit risk by entering into transactions with carefully selected, credit-worthy counterparties.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Cash Flow Hedges</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For derivative instruments that are designated and qualify as a cash flow hedge, the derivative's gain or loss is reported as a component of other comprehensive income (OCI) and recorded in accumulated other comprehensive income (AOCI) on the Company’s consolidated balance sheets. The gain or loss is subsequently reclassified into net earnings when the hedged exposure affects net earnings, in the same line item as the underlying hedged item on the Company’s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The Company discontinues hedge accounting when:</w:t>
      </w:r>
    </w:p>
    <w:p>
      <w:pPr>
        <w:spacing w:after="0" w:line="135"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it determines that the cash flow derivative is no longer effective in offsetting changes in the cash flows of a hedged item;</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the derivative expires or is sold, terminated or exercised;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it is no longer probable that the forecasted transaction will occur; or</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management determines that designation of the derivatives as a hedge instrument is no longer appropriate.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Refer to NOTE 10 — Derivative Financial Instruments for further discussion of the Company’s derivative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Accounts Receivable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Accounts receivable, net of allowance for credit losses, consist primarily of royalty revenues, outstanding balances for sales of roasted coffee beans, Blue Rebel, other retail-related supplies to franchisees, and vendor rebates. The allowance for credit losses is estimated based on the Company’s historical losses adjusted for current, reasonable and supportable forecasts of economic conditions and other pertinent factors affecting the Company’s customers, review of specific accounts, and the financial stability and credit worthiness of its customers. Accounts receivable are charged off against the allowance for credit losses when the financial condition of the Company’s customers is adversely affected and they are unable to meet their financial obligations. The Company had no allowance for credit losses at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Inventories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Inventories, net consist primarily of roasted and unroasted coffee beans, Blue Rebel, accessories, and other retail related supplies. Inventories are stated at the lower of cost or net realizable value, with cost being determined by the standard cost method which approximates actual cost on a first-in, first-out basis. The Company records product returns as they are received, and obsolete and slow-moving inventory when identified, as these types of transactions have generally been immaterial to the Company’s historical operations.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Property and Equipment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Property and equipment, net are stated at historical cost less accumulated depreciation. Expenditures for maintenance, repairs, and routine replacements are charged to expense as incurred. Expenditures for major repairs and improvements that extend the useful lives of property and equipment are capitalized. When property or equipment is sold or otherwise disposed of, the asset and related accumulated depreciation are removed from the balance sheet and any gain or loss is included in income (loss) from operations in the accompanying consolidated statements of operations. With the exception of the Company’s aircraft which is depreciated under the consumption method, depreciation is computed on a straight-line basis over the following useful lives: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years, except for aircraft)</w:t>
            </w:r>
          </w:p>
        </w:tc>
        <w:tc>
          <w:tcPr>
            <w:tcW w:w="80" w:type="dxa"/>
            <w:vAlign w:val="bottom"/>
            <w:tcBorders>
              <w:bottom w:val="single" w:sz="8" w:color="D2DCE5"/>
            </w:tcBorders>
          </w:tcPr>
          <w:p>
            <w:pPr>
              <w:spacing w:after="0"/>
              <w:rPr>
                <w:sz w:val="17"/>
                <w:szCs w:val="17"/>
                <w:color w:val="auto"/>
              </w:rPr>
            </w:pPr>
          </w:p>
        </w:tc>
        <w:tc>
          <w:tcPr>
            <w:tcW w:w="258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4"/>
                <w:szCs w:val="14"/>
                <w:b w:val="1"/>
                <w:bCs w:val="1"/>
                <w:color w:val="131E29"/>
              </w:rPr>
              <w:t>Estimated Useful Life</w:t>
            </w:r>
          </w:p>
        </w:tc>
      </w:tr>
      <w:tr>
        <w:trPr>
          <w:trHeight w:val="208"/>
        </w:trPr>
        <w:tc>
          <w:tcPr>
            <w:tcW w:w="8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1240" w:type="dxa"/>
            <w:vAlign w:val="bottom"/>
            <w:shd w:val="clear" w:color="auto" w:fill="D2DCE5"/>
          </w:tcPr>
          <w:p>
            <w:pPr>
              <w:spacing w:after="0"/>
              <w:rPr>
                <w:sz w:val="18"/>
                <w:szCs w:val="18"/>
                <w:color w:val="auto"/>
              </w:rPr>
            </w:pPr>
          </w:p>
        </w:tc>
        <w:tc>
          <w:tcPr>
            <w:tcW w:w="1340" w:type="dxa"/>
            <w:vAlign w:val="bottom"/>
            <w:shd w:val="clear" w:color="auto" w:fill="D2DCE5"/>
          </w:tcPr>
          <w:p>
            <w:pPr>
              <w:jc w:val="right"/>
              <w:ind w:right="1170"/>
              <w:spacing w:after="0"/>
              <w:rPr>
                <w:sz w:val="20"/>
                <w:szCs w:val="20"/>
                <w:color w:val="auto"/>
              </w:rPr>
            </w:pPr>
            <w:r>
              <w:rPr>
                <w:rFonts w:ascii="Arial" w:cs="Arial" w:eastAsia="Arial" w:hAnsi="Arial"/>
                <w:sz w:val="14"/>
                <w:szCs w:val="14"/>
                <w:color w:val="131E29"/>
              </w:rPr>
              <w:t>3</w:t>
            </w:r>
          </w:p>
        </w:tc>
      </w:tr>
      <w:tr>
        <w:trPr>
          <w:trHeight w:val="202"/>
        </w:trPr>
        <w:tc>
          <w:tcPr>
            <w:tcW w:w="870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1240" w:type="dxa"/>
            <w:vAlign w:val="bottom"/>
          </w:tcPr>
          <w:p>
            <w:pPr>
              <w:jc w:val="right"/>
              <w:spacing w:after="0"/>
              <w:rPr>
                <w:sz w:val="20"/>
                <w:szCs w:val="20"/>
                <w:color w:val="auto"/>
              </w:rPr>
            </w:pPr>
            <w:r>
              <w:rPr>
                <w:rFonts w:ascii="Arial" w:cs="Arial" w:eastAsia="Arial" w:hAnsi="Arial"/>
                <w:sz w:val="14"/>
                <w:szCs w:val="14"/>
                <w:color w:val="131E29"/>
              </w:rPr>
              <w:t>3</w:t>
            </w:r>
          </w:p>
        </w:tc>
        <w:tc>
          <w:tcPr>
            <w:tcW w:w="1340" w:type="dxa"/>
            <w:vAlign w:val="bottom"/>
          </w:tcPr>
          <w:p>
            <w:pPr>
              <w:jc w:val="right"/>
              <w:ind w:right="1070"/>
              <w:spacing w:after="0"/>
              <w:rPr>
                <w:sz w:val="20"/>
                <w:szCs w:val="20"/>
                <w:color w:val="auto"/>
              </w:rPr>
            </w:pPr>
            <w:r>
              <w:rPr>
                <w:rFonts w:ascii="Arial" w:cs="Arial" w:eastAsia="Arial" w:hAnsi="Arial"/>
                <w:sz w:val="14"/>
                <w:szCs w:val="14"/>
                <w:color w:val="131E29"/>
              </w:rPr>
              <w:t>- 7</w:t>
            </w:r>
          </w:p>
        </w:tc>
      </w:tr>
      <w:tr>
        <w:trPr>
          <w:trHeight w:val="221"/>
        </w:trPr>
        <w:tc>
          <w:tcPr>
            <w:tcW w:w="8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2580" w:type="dxa"/>
            <w:vAlign w:val="bottom"/>
            <w:gridSpan w:val="2"/>
            <w:shd w:val="clear" w:color="auto" w:fill="D2DCE5"/>
          </w:tcPr>
          <w:p>
            <w:pPr>
              <w:jc w:val="right"/>
              <w:ind w:right="990"/>
              <w:spacing w:after="0"/>
              <w:rPr>
                <w:sz w:val="20"/>
                <w:szCs w:val="20"/>
                <w:color w:val="auto"/>
              </w:rPr>
            </w:pPr>
            <w:r>
              <w:rPr>
                <w:rFonts w:ascii="Arial" w:cs="Arial" w:eastAsia="Arial" w:hAnsi="Arial"/>
                <w:sz w:val="14"/>
                <w:szCs w:val="14"/>
                <w:color w:val="131E29"/>
              </w:rPr>
              <w:t xml:space="preserve">5 - 15 </w:t>
            </w:r>
            <w:r>
              <w:rPr>
                <w:rFonts w:ascii="Arial" w:cs="Arial" w:eastAsia="Arial" w:hAnsi="Arial"/>
                <w:sz w:val="18"/>
                <w:szCs w:val="18"/>
                <w:color w:val="131E29"/>
                <w:vertAlign w:val="superscript"/>
              </w:rPr>
              <w:t>1</w:t>
            </w:r>
          </w:p>
        </w:tc>
      </w:tr>
      <w:tr>
        <w:trPr>
          <w:trHeight w:val="192"/>
        </w:trPr>
        <w:tc>
          <w:tcPr>
            <w:tcW w:w="870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1240" w:type="dxa"/>
            <w:vAlign w:val="bottom"/>
          </w:tcPr>
          <w:p>
            <w:pPr>
              <w:jc w:val="right"/>
              <w:spacing w:after="0"/>
              <w:rPr>
                <w:sz w:val="20"/>
                <w:szCs w:val="20"/>
                <w:color w:val="auto"/>
              </w:rPr>
            </w:pPr>
            <w:r>
              <w:rPr>
                <w:rFonts w:ascii="Arial" w:cs="Arial" w:eastAsia="Arial" w:hAnsi="Arial"/>
                <w:sz w:val="14"/>
                <w:szCs w:val="14"/>
                <w:color w:val="131E29"/>
              </w:rPr>
              <w:t>10</w:t>
            </w:r>
          </w:p>
        </w:tc>
        <w:tc>
          <w:tcPr>
            <w:tcW w:w="1340" w:type="dxa"/>
            <w:vAlign w:val="bottom"/>
          </w:tcPr>
          <w:p>
            <w:pPr>
              <w:jc w:val="right"/>
              <w:ind w:right="990"/>
              <w:spacing w:after="0"/>
              <w:rPr>
                <w:sz w:val="20"/>
                <w:szCs w:val="20"/>
                <w:color w:val="auto"/>
              </w:rPr>
            </w:pPr>
            <w:r>
              <w:rPr>
                <w:rFonts w:ascii="Arial" w:cs="Arial" w:eastAsia="Arial" w:hAnsi="Arial"/>
                <w:sz w:val="14"/>
                <w:szCs w:val="14"/>
                <w:color w:val="131E29"/>
              </w:rPr>
              <w:t>- 20</w:t>
            </w:r>
          </w:p>
        </w:tc>
      </w:tr>
      <w:tr>
        <w:trPr>
          <w:trHeight w:val="264"/>
        </w:trPr>
        <w:tc>
          <w:tcPr>
            <w:tcW w:w="862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52" w:lineRule="exact"/>
        <w:rPr>
          <w:sz w:val="20"/>
          <w:szCs w:val="20"/>
          <w:color w:val="auto"/>
        </w:rPr>
      </w:pPr>
    </w:p>
    <w:p>
      <w:pPr>
        <w:ind w:left="180" w:hanging="175"/>
        <w:spacing w:after="0"/>
        <w:tabs>
          <w:tab w:leader="none" w:pos="180" w:val="left"/>
        </w:tabs>
        <w:numPr>
          <w:ilvl w:val="0"/>
          <w:numId w:val="66"/>
        </w:numPr>
        <w:rPr>
          <w:rFonts w:ascii="Arial" w:cs="Arial" w:eastAsia="Arial" w:hAnsi="Arial"/>
          <w:sz w:val="15"/>
          <w:szCs w:val="15"/>
          <w:color w:val="131E29"/>
          <w:vertAlign w:val="superscript"/>
        </w:rPr>
      </w:pPr>
      <w:r>
        <w:rPr>
          <w:rFonts w:ascii="Arial" w:cs="Arial" w:eastAsia="Arial" w:hAnsi="Arial"/>
          <w:sz w:val="11"/>
          <w:szCs w:val="11"/>
          <w:color w:val="131E29"/>
        </w:rPr>
        <w:t>Lesser of lease term or useful life</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capitalizes costs associated with the acquisition or development of major software for internal use and amortizes the assets over the expected life of the software, generally 3 years. The Company only capitalizes subsequent additions, modifications, or upgrades to internal-use software to the extent that such changes allow the software to perform a task it previously did not perform. The Company expenses software maintenance and training costs as incurred.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Leases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 adopted ASC 842, as amended, using the modified retrospective transition method with an effective date of January 1, 2022. The modified retrospective approach permits a company to use its effective date as the date of initial application to apply the standard to its leases, and, therefore, not restate comparative prior period financial information. As such, results for reporting periods beginning on or after January 1, 2022 are presented under ASC 842. Prior period amounts were not revised and continue to be reported in accordance with ASC Topic 840 (ASC 840).</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leases its company-operated shops, warehouse facilities, most headquarters buildings, and certain equipment under non-cancelable lease agreements that expire on various dates through 2043. The Company’s real estate leases consist of commercial ground leases and build-to-suite leases. The Company recognizes a right of use asset and lease liability for each lease with a contractual term of greater than 12 months at lease inception. The Company has elected not to recognize leases with terms of 12 months or less.</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Company’s real estate leases typically have an initial term of 15 years and include one to three renewal periods of five-years each. The Company includes renewals in the lease term when it is reasonably certain that the renewal period will be exercised.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9" w:name="page110"/>
    <w:bookmarkEnd w:id="10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calculates right-of-use assets and lease liabilities based on the present value of the fixed minimum lease payments, including any estimated lease incentives, at lease commencement using an estimated incremental borrowing rate corresponding to the lease term and applied on a portfolio basis. The Company has elected not to separate lease and non-lease components.</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At lease commencement, the Company determines lease classification as operating or finance, and expense recognition occurs over the lease term from the date the Company takes possession of the property. For operating leases, expense is recognized on a straight-line basis; for finance leases, expense is recognized on an accelerated basis. The Company records lease expense in cost of sales on the Company’s consolidated statements of operations. Variable lease costs are expensed as incurred and recognized in cost of sales on the consolidated statements of operations.</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 has sale and leaseback transactions that do not qualify for sale-leaseback accounting because of deemed continuing involvement by the Company, which results in the transaction being recorded under the financing method. These financing obligations are included in long-term debt on the Company’s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For additional information, see NOTE 8 — Leases and NOTE 9 — Debt to the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Business Combinations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accounts for the acquisition of reacquired franchises from franchisees using the acquisition method of accounting for business combinations. The Company allocates the purchase price paid for acquired assets and liabilities in connection with an acquisition based on the Company’s estimated fair value at the time of acquisition. This allocation involves a number of assumptions, estimates, and judgments in determining the fair value of the following:</w:t>
      </w:r>
    </w:p>
    <w:p>
      <w:pPr>
        <w:spacing w:after="0" w:line="91" w:lineRule="exact"/>
        <w:rPr>
          <w:sz w:val="20"/>
          <w:szCs w:val="20"/>
          <w:color w:val="auto"/>
        </w:rPr>
      </w:pPr>
    </w:p>
    <w:p>
      <w:pPr>
        <w:ind w:left="260" w:hanging="255"/>
        <w:spacing w:after="0" w:line="288" w:lineRule="auto"/>
        <w:tabs>
          <w:tab w:leader="none" w:pos="256"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Intangible assets, including valuation methodology, estimations of future cash flows, discount rates, market segment growth rates, assumed market share, and estimated useful life;</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Deferred tax assets and liabilities, uncertain tax positions, and tax-related valuation allowances estimate; and</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Other assets and liabilities, and contingent consideration, as applicable.</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Fair value measurements for reacquired franchise rights and property and equipment were determined using the income approach and cost approach, respectively. The fair value measurement of acquired assets and liabilities as of the acquisition date is based on significant inputs not observed in the market, and as such, represents a Level 3 fair value measurement.</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Goodwill is measured as the excess of the purchase price paid over the net of the acquisition date fair values of assets acquired and liabilities assumed, Goodwill is allocated to the company-operated shops reportable segment and is expected to be fully deductible for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Goodwill</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reviews the recoverability of goodwill on a reporting unit basis at least annually, as of the beginning of the Company’s fourth fiscal quarter, and whenever events or changes in circumstances indicate that the carrying amount may not be recoverable. The annual impairment test includes an option to perform a qualitative assessment of whether it is more likely than not that a reporting unit’s fair value is less than its carrying value; the qualitative test may be performed prior to, or as an alternative to, performing a quantitative goodwill impairment test. If, after assessing the totality of events or circumstances, the Company determines that it is more likely than not that the fair value of a reporting unit is less than its carrying value, then the Company is required to perform the quantitative goodwill impairment test. Otherwise, no further analysis is required. The Company performed annual qualitative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0" w:name="page111"/>
    <w:bookmarkEnd w:id="11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impairment assessments for each of the three years in the period ended December 31, 2023, and no impairment charges were recognized.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Impairment of Long-Lived Assets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Long-lived assets are reviewed for impairment at least annually or whenever events or changes in circumstances indicate that the carrying amount of an asset or asset group may not be recoverable. The Company’s assessment of recoverability of property and equipment and finite-lived intangible assets is performed at the component level, which is generally an individual shop, and requires judgment and an estimate of future undiscounted shop-generated cash flows. Estimates of fair values are based on the best information available and require the use of estimates, judgments, and projections. The Company tests for recoverability by comparing the carrying value of the asset (asset group) to the undiscounted cash flows. If the carrying value is not recoverable, the Company would recognize an impairment loss if the carrying value of the asset (asset group) exceeds the fair value. The Company performed an annual qualitative assessment in its fourth fiscal quarter of 2023, which indicated no changes in circumstances or triggering events for impairment.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Revenue Recognition</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 xml:space="preserve">Consolidated revenues are recognized net of any discounts, returns, allowances and sales incentives in accordance with Accounting Standards Codification (ASC) Topic 606 (ASC 606), </w:t>
      </w:r>
      <w:r>
        <w:rPr>
          <w:rFonts w:ascii="Arial" w:cs="Arial" w:eastAsia="Arial" w:hAnsi="Arial"/>
          <w:sz w:val="14"/>
          <w:szCs w:val="14"/>
          <w:i w:val="1"/>
          <w:iCs w:val="1"/>
          <w:color w:val="131E29"/>
        </w:rPr>
        <w:t>Revenue from Contracts with Customers</w:t>
      </w:r>
      <w:r>
        <w:rPr>
          <w:rFonts w:ascii="Arial" w:cs="Arial" w:eastAsia="Arial" w:hAnsi="Arial"/>
          <w:sz w:val="14"/>
          <w:szCs w:val="14"/>
          <w:color w:val="131E29"/>
        </w:rPr>
        <w: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Company-operated Shops Revenue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Retail sales from company-operated shops and through online channels are recognized at the point in time when the products are sold to the customers. The Company reports revenues net of sales taxes collected from customers and remitted to government taxing authorities.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Loyalty Program</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131E29"/>
        </w:rPr>
        <w:t>Dutch Rewards, the Company’s digital loyalty program that is accessible via mobile app, provides the following key opportunities for customers:</w:t>
      </w:r>
    </w:p>
    <w:p>
      <w:pPr>
        <w:spacing w:after="0" w:line="121" w:lineRule="exact"/>
        <w:rPr>
          <w:sz w:val="20"/>
          <w:szCs w:val="20"/>
          <w:color w:val="auto"/>
        </w:rPr>
      </w:pPr>
    </w:p>
    <w:p>
      <w:pPr>
        <w:ind w:left="260" w:hanging="255"/>
        <w:spacing w:after="0"/>
        <w:tabs>
          <w:tab w:leader="none" w:pos="260" w:val="left"/>
        </w:tabs>
        <w:numPr>
          <w:ilvl w:val="0"/>
          <w:numId w:val="68"/>
        </w:numPr>
        <w:rPr>
          <w:rFonts w:ascii="Arial" w:cs="Arial" w:eastAsia="Arial" w:hAnsi="Arial"/>
          <w:sz w:val="14"/>
          <w:szCs w:val="14"/>
          <w:color w:val="131E29"/>
        </w:rPr>
      </w:pPr>
      <w:r>
        <w:rPr>
          <w:rFonts w:ascii="Arial" w:cs="Arial" w:eastAsia="Arial" w:hAnsi="Arial"/>
          <w:sz w:val="14"/>
          <w:szCs w:val="14"/>
          <w:color w:val="131E29"/>
        </w:rPr>
        <w:t>Collect points based on purchases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8"/>
        </w:numPr>
        <w:rPr>
          <w:rFonts w:ascii="Arial" w:cs="Arial" w:eastAsia="Arial" w:hAnsi="Arial"/>
          <w:sz w:val="14"/>
          <w:szCs w:val="14"/>
          <w:color w:val="131E29"/>
        </w:rPr>
      </w:pPr>
      <w:r>
        <w:rPr>
          <w:rFonts w:ascii="Arial" w:cs="Arial" w:eastAsia="Arial" w:hAnsi="Arial"/>
          <w:sz w:val="14"/>
          <w:szCs w:val="14"/>
          <w:color w:val="131E29"/>
        </w:rPr>
        <w:t>Convert points to rewards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8"/>
        </w:numPr>
        <w:rPr>
          <w:rFonts w:ascii="Arial" w:cs="Arial" w:eastAsia="Arial" w:hAnsi="Arial"/>
          <w:sz w:val="14"/>
          <w:szCs w:val="14"/>
          <w:color w:val="131E29"/>
        </w:rPr>
      </w:pPr>
      <w:r>
        <w:rPr>
          <w:rFonts w:ascii="Arial" w:cs="Arial" w:eastAsia="Arial" w:hAnsi="Arial"/>
          <w:sz w:val="14"/>
          <w:szCs w:val="14"/>
          <w:color w:val="131E29"/>
        </w:rPr>
        <w:t>Redeem rewards for free drinks</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68"/>
        </w:numPr>
        <w:rPr>
          <w:rFonts w:ascii="Arial" w:cs="Arial" w:eastAsia="Arial" w:hAnsi="Arial"/>
          <w:sz w:val="14"/>
          <w:szCs w:val="14"/>
          <w:color w:val="131E29"/>
        </w:rPr>
      </w:pPr>
      <w:r>
        <w:rPr>
          <w:rFonts w:ascii="Arial" w:cs="Arial" w:eastAsia="Arial" w:hAnsi="Arial"/>
          <w:sz w:val="14"/>
          <w:szCs w:val="14"/>
          <w:color w:val="131E29"/>
        </w:rPr>
        <w:t>Receive birthday and other promotional awards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Points earned and not redeemed for rewards within 180 days automatically expire, and rewards that are not used within six months of issuance automatically expire. Separately, birthday and other promotional awards automatically expire after eight to 30 days, depending on the specific award.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 defers revenue based on the estimated value of beverages for which the points, rewards, and awards are expected to be redeemed. Based on historical expiration rates, a portion of points, rewards, and awards are not expected to be redeemed and are recognized as breakage. For the year ended December 31, 2023, the Company recognized breakage of approximately $3.3 million. The Company completed its initial breakage assessment as of December 31, 2022, which resulted in revenue recognized of $7.4 million, including $4.9 million for points collected prior to January 1, 2022 that expired on December 31, 2022.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Gift Card Program</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operates a gift card program and maintains a contract liability for gift cards sold, recognizing revenue from gift cards when a gift card is redeemed. Gift cards do not have an expiration date or a service fee causing a decrement to the customer balance. Based on historical redemptions rates, a portion of gift cards are not expected to be redeemed and are recognized as breakage.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1" w:name="page112"/>
    <w:bookmarkEnd w:id="11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Franchising Revenue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Franchise royalty fees are generally computed as a percentage of net franchise sales and are charged for continuing support of franchisees for various services provided by the Company. These services are highly interrelated, and as such are accounted for as a single performance obligation.</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Separately, the Company receives marketing fees from franchisees for promotion of the Dutch Bros brand. Contributions are based on a percentage of shop sales and marketing expenditures include payments to third parties and other costs. If receipts exceed expenditures, the excess is recorded as an accrued liability. As of December 31, 2023 and 2022, no excess marketing fees were accrued in the Company’s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Initial and other deferred franchise fees are recorded as a contract liability, and revenue is recognized ratably over the term of the franchise agreement, which is generally ten years.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Other franchising revenue, including coffee bean sales, Dutch Bros. Blue Rebel beverage sales, accessories and other sales, are recognized when shipped.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Other Revenue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Other revenue includes retail coffee and other food and beverage sales, recognized at the date of sale, as well as sales of products through the Company website, recognized at the point in time of shipment to customers.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Deferred Revenue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131E29"/>
        </w:rPr>
        <w:t>Deferred revenue primarily consists of the unredeemed gift card liability and unredeemed points/rewards from our Dutch Rewards loyalty program. Deferred revenue also includes bean and beverage sales to distributors where the performance obligation has not yet been satisfied as control has not transferred to the customer.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Shop Pre-opening Expenses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Pre-opening expenses incurred with the opening of new company-operated shops are expensed as incurred. These costs include rent expense, wages, benefits, travel and lodging for the training and opening management teams, and beverage and other operating expenses incurred prior to a shop opening for business and are included in cost of sales.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Vendor Rebates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has entered into food and beverage supply agreements with certain major vendors. Per the terms of these arrangements, vendor rebates are provided to the Company based on the dollar value of purchases for systemwide shops. These rebates are recognized as earned throughout the year and are recorded as accounts receivable and a reduction to cost of sales.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Advertising Expense</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Advertising costs are expensed as incurred. Franchise shops contribute to an advertising fund that the Company manages on behalf of the shops. Under the Company’s standard franchise agreement, the contributions received must be spent on specific marketing-related activities. The expenditures are primarily amounts paid to third parties and other costs. Advertising expense was as follows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Borders>
              <w:bottom w:val="single" w:sz="8" w:color="auto"/>
            </w:tcBorders>
          </w:tcPr>
          <w:p>
            <w:pPr>
              <w:spacing w:after="0"/>
              <w:rPr>
                <w:sz w:val="17"/>
                <w:szCs w:val="17"/>
                <w:color w:val="auto"/>
              </w:rPr>
            </w:pPr>
          </w:p>
        </w:tc>
      </w:tr>
      <w:tr>
        <w:trPr>
          <w:trHeight w:val="202"/>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2023</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33"/>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Advertising expense</w:t>
            </w:r>
          </w:p>
        </w:tc>
        <w:tc>
          <w:tcPr>
            <w:tcW w:w="820" w:type="dxa"/>
            <w:vAlign w:val="bottom"/>
            <w:tcBorders>
              <w:bottom w:val="single" w:sz="8" w:color="auto"/>
            </w:tcBorders>
            <w:shd w:val="clear" w:color="auto" w:fill="D2DCE5"/>
          </w:tcPr>
          <w:p>
            <w:pPr>
              <w:jc w:val="right"/>
              <w:ind w:right="670"/>
              <w:spacing w:after="0"/>
              <w:rPr>
                <w:sz w:val="20"/>
                <w:szCs w:val="20"/>
                <w:color w:val="auto"/>
              </w:rPr>
            </w:pPr>
            <w:r>
              <w:rPr>
                <w:rFonts w:ascii="Arial" w:cs="Arial" w:eastAsia="Arial" w:hAnsi="Arial"/>
                <w:sz w:val="14"/>
                <w:szCs w:val="14"/>
                <w:color w:val="131E29"/>
                <w:w w:val="76"/>
              </w:rPr>
              <w:t>$</w:t>
            </w: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97"/>
              </w:rPr>
              <w:t>29,899</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32,327</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30,652</w:t>
            </w:r>
          </w:p>
        </w:tc>
      </w:tr>
      <w:tr>
        <w:trPr>
          <w:trHeight w:val="20"/>
        </w:trPr>
        <w:tc>
          <w:tcPr>
            <w:tcW w:w="70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5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2" w:name="page113"/>
    <w:bookmarkEnd w:id="11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granted time-based restricted stock awards (RSAs) to certain officers and employees in connection with the Reorganization Transactions and the IPO, and restricted stock units (RSUs) to directors and certain employees. The RSAs and RSUs are accounted for as equity-classified awards, and are granted at the fair value of the underlying Class A common stock of Dutch Bros Inc. as of the grant date and vest over the requisite service period.</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cost of the RSAs and RSUs is recognized as expense over the grantee’s requisite service period, and forfeitures are accounted for as they occur. To date, the Company has not granted any performance-based awards .</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Tax Receivables Agreements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In connection with the IPO and Reorganization Transactions, the Company entered into (i) the Exchange Tax Receivable Agreement with the holders of Class B common stock and Class C common stock (the Exchange Tax Receivable Agreement), and (ii) the Reorganization Tax Receivable Agreement with the holders of Class D common stock (the Reorganization Tax Receivable Agreement and together with the Exchange Tax Receivable Agreement, the Tax Receivable Agreements or TRAs). These TRAs provide for the payment by Dutch Bros Inc. to Continuing Members and the Pre-IPO Blocker Holders of 85.0% of the benefits, if any, Dutch Bros Inc. would be deemed to realize (calculated using certain assumptions) as a result of certain tax attributes and benefits covered by the TRAs.</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 expects to obtain an increase in its share of the tax basis in the net assets of Dutch Bros OpCo when OpCo Units are exchanged by Pre-IPO Dutch Bros OpCo Unitholders. The Company treats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TRA-related liabilities are classified on the Company’s consolidated balance sheets as current or non-current assets based on the expected date of payment under the captions “Current portion of tax receivable agreements liability” and “Tax receivable agreements liability, net of current portion,” respectively. The Company does not currently have any current portion of tax receivable agreements liability.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The Company is a corporation and sole managing member of Dutch Bros OpCo which is treated as a partnership for tax purposes.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 records income tax provision, deferred tax assets, deferred tax liabilities, uncertain tax positions, and valuation allowance, as applicable, only for the items for which the Company is responsible to the relevant tax authority.</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Deferred income taxes result from temporary differences between the financial reporting and tax basis of assets and liabilities, and are measured using the enacted tax rates and laws expected to be in effect when such differences are expected to reverse. These temporary differences are reflected as deferred income tax assets, net on the consolidated balance sheets. A deferred tax asset is recognized if it is more likely than not that a tax benefit will be realized.</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 recognizes tax benefits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3" w:name="page114"/>
    <w:bookmarkEnd w:id="11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Income (Loss) Per Share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Basic income (loss) per share of Class A and Class D common stock is computed by dividing net income (loss) attributable to Dutch Bros Inc. by the weighted-average number of shares of Class A and Class D common stock outstanding during the period. Diluted income (loss) per share of Class A and Class D common stock is computed by dividing net income (loss) attributable to Dutch Bros Inc., adjusted for the assumed exchange of all potentially dilutive instruments for Class A common stock, by the weighted-average number of shares of Class A and Class D common stock outstanding, adjusted to give effect to potentially dilutive elements. Share counts used in the diluted income (loss) per share calculations are adjusted for the deemed repurchases provided for in the treasury stock method for restricted stock awards and restricted stock units, and under the if-converted method for the outstanding convertible Class B and Class C common stock, if dilutive.</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Shares of the Company’s Class B and Class C common stock do not participate in the earnings or losses of the Company and are therefore not participating securities. As such, separate presentation of basic and diluted income (loss) per share of Class B and Class C common stock under the two-class method has not been presented.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Issued Accounting Standards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 xml:space="preserve">In October 2023, the Financial Accounting Standards Board (FASB) issued Accounting Standards Update (ASU) No. 2023-06, </w:t>
      </w:r>
      <w:r>
        <w:rPr>
          <w:rFonts w:ascii="Arial" w:cs="Arial" w:eastAsia="Arial" w:hAnsi="Arial"/>
          <w:sz w:val="14"/>
          <w:szCs w:val="14"/>
          <w:i w:val="1"/>
          <w:iCs w:val="1"/>
          <w:color w:val="131E29"/>
        </w:rPr>
        <w:t>Disclosure Improvements: Codification Amendments</w:t>
      </w:r>
      <w:r>
        <w:rPr>
          <w:rFonts w:ascii="Arial" w:cs="Arial" w:eastAsia="Arial" w:hAnsi="Arial"/>
          <w:sz w:val="14"/>
          <w:szCs w:val="14"/>
          <w:color w:val="131E29"/>
        </w:rPr>
        <w:t xml:space="preserve"> </w:t>
      </w:r>
      <w:r>
        <w:rPr>
          <w:rFonts w:ascii="Arial" w:cs="Arial" w:eastAsia="Arial" w:hAnsi="Arial"/>
          <w:sz w:val="14"/>
          <w:szCs w:val="14"/>
          <w:i w:val="1"/>
          <w:iCs w:val="1"/>
          <w:color w:val="131E29"/>
        </w:rPr>
        <w:t xml:space="preserve">in Response to the SEC’s Disclosure Update and Simplification Initiative. </w:t>
      </w:r>
      <w:r>
        <w:rPr>
          <w:rFonts w:ascii="Arial" w:cs="Arial" w:eastAsia="Arial" w:hAnsi="Arial"/>
          <w:sz w:val="14"/>
          <w:szCs w:val="14"/>
          <w:color w:val="131E29"/>
        </w:rPr>
        <w:t>The amendments in this update modify the disclosure or presentation requirements of a variety of Topics in</w:t>
      </w:r>
      <w:r>
        <w:rPr>
          <w:rFonts w:ascii="Arial" w:cs="Arial" w:eastAsia="Arial" w:hAnsi="Arial"/>
          <w:sz w:val="14"/>
          <w:szCs w:val="14"/>
          <w:i w:val="1"/>
          <w:iCs w:val="1"/>
          <w:color w:val="131E29"/>
        </w:rPr>
        <w:t xml:space="preserve"> </w:t>
      </w:r>
      <w:r>
        <w:rPr>
          <w:rFonts w:ascii="Arial" w:cs="Arial" w:eastAsia="Arial" w:hAnsi="Arial"/>
          <w:sz w:val="14"/>
          <w:szCs w:val="14"/>
          <w:color w:val="131E29"/>
        </w:rPr>
        <w:t xml:space="preserve">the ASC in response to the SEC’s Release No. 33-10532, </w:t>
      </w:r>
      <w:r>
        <w:rPr>
          <w:rFonts w:ascii="Arial" w:cs="Arial" w:eastAsia="Arial" w:hAnsi="Arial"/>
          <w:sz w:val="14"/>
          <w:szCs w:val="14"/>
          <w:i w:val="1"/>
          <w:iCs w:val="1"/>
          <w:color w:val="131E29"/>
        </w:rPr>
        <w:t>Disclosure Update and Simplification</w:t>
      </w:r>
      <w:r>
        <w:rPr>
          <w:rFonts w:ascii="Arial" w:cs="Arial" w:eastAsia="Arial" w:hAnsi="Arial"/>
          <w:sz w:val="14"/>
          <w:szCs w:val="14"/>
          <w:color w:val="131E29"/>
        </w:rPr>
        <w:t xml:space="preserve"> initiative, and align the ASC’s requirements with the SEC’s regulations. For entities subject to the SEC's existing disclosure requirements, the effective date for each amendment will be the date on which the SEC's removal of that related disclosure from Regulation S-X or Regulation S-K becomes effective. Early adoption is prohibited, and amendments should be applied prospectively. For all entities, if by June 30, 2027, the SEC has not removed the applicable requirement from Regulation S-X or Regulation S-K, the pending content of the related amendment will be removed from the ASC and will not become effective for any entity. The Company does not expect this standard to have a material impact on its consolidated financial statements.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 xml:space="preserve">In November 2023, the FASB issued ASU No. 2023-07, </w:t>
      </w:r>
      <w:r>
        <w:rPr>
          <w:rFonts w:ascii="Arial" w:cs="Arial" w:eastAsia="Arial" w:hAnsi="Arial"/>
          <w:sz w:val="14"/>
          <w:szCs w:val="14"/>
          <w:i w:val="1"/>
          <w:iCs w:val="1"/>
          <w:color w:val="131E29"/>
        </w:rPr>
        <w:t>Segment Reporting (Topic 280): Improvements to Reportable Segment Disclosures.</w:t>
      </w:r>
      <w:r>
        <w:rPr>
          <w:rFonts w:ascii="Arial" w:cs="Arial" w:eastAsia="Arial" w:hAnsi="Arial"/>
          <w:sz w:val="14"/>
          <w:szCs w:val="14"/>
          <w:color w:val="131E29"/>
        </w:rPr>
        <w:t xml:space="preserve"> The amendments in this update improve reportable segment disclosure requirements, primarily through enhanced disclosures about significant segment expenses. These improvements should enable investors to better understand an entity's overall performance and assist in assessing potential future cash flows. Effective for annual periods beginning after December 15, 2023, and interim periods within fiscal years beginning after December 15, 2024, with early adoption permitted. Public entities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reviewing the potential impacts the new standard may have on its consolidated financial statements and related disclosures, including potential changes to business processes, policies and procedures that may be required.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4" w:name="page115"/>
    <w:bookmarkEnd w:id="11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4"/>
          <w:szCs w:val="14"/>
          <w:color w:val="131E29"/>
        </w:rPr>
        <w:t xml:space="preserve">In December 2023, the FASB issued ASU No. 2023-09, </w:t>
      </w:r>
      <w:r>
        <w:rPr>
          <w:rFonts w:ascii="Arial" w:cs="Arial" w:eastAsia="Arial" w:hAnsi="Arial"/>
          <w:sz w:val="14"/>
          <w:szCs w:val="14"/>
          <w:i w:val="1"/>
          <w:iCs w:val="1"/>
          <w:color w:val="131E29"/>
        </w:rPr>
        <w:t>Income Taxes (Topic 740): Improvements to Income Tax Disclosures.</w:t>
      </w:r>
      <w:r>
        <w:rPr>
          <w:rFonts w:ascii="Arial" w:cs="Arial" w:eastAsia="Arial" w:hAnsi="Arial"/>
          <w:sz w:val="14"/>
          <w:szCs w:val="14"/>
          <w:color w:val="131E29"/>
        </w:rPr>
        <w:t xml:space="preserve"> The amendments in this update enhance the transparency and decision usefulness of income tax disclosures, primarily through improvements to the rate reconciliation and income taxes paid information, specifically requiring</w:t>
      </w:r>
    </w:p>
    <w:p>
      <w:pPr>
        <w:spacing w:after="0" w:line="1" w:lineRule="exact"/>
        <w:rPr>
          <w:sz w:val="20"/>
          <w:szCs w:val="20"/>
          <w:color w:val="auto"/>
        </w:rPr>
      </w:pPr>
    </w:p>
    <w:p>
      <w:pPr>
        <w:jc w:val="both"/>
        <w:ind w:firstLine="5"/>
        <w:spacing w:after="0" w:line="257" w:lineRule="auto"/>
        <w:tabs>
          <w:tab w:leader="none" w:pos="228" w:val="left"/>
        </w:tabs>
        <w:numPr>
          <w:ilvl w:val="0"/>
          <w:numId w:val="69"/>
        </w:numPr>
        <w:rPr>
          <w:rFonts w:ascii="Arial" w:cs="Arial" w:eastAsia="Arial" w:hAnsi="Arial"/>
          <w:sz w:val="14"/>
          <w:szCs w:val="14"/>
          <w:color w:val="131E29"/>
        </w:rPr>
      </w:pPr>
      <w:r>
        <w:rPr>
          <w:rFonts w:ascii="Arial" w:cs="Arial" w:eastAsia="Arial" w:hAnsi="Arial"/>
          <w:sz w:val="14"/>
          <w:szCs w:val="14"/>
          <w:color w:val="131E29"/>
        </w:rPr>
        <w:t>consistent categories and greater disaggregation of information in the rate reconciliation, and (2) income taxes paid disaggregation by jurisdiction. These amendments allow investors to better assess how an entity's operations and related tax risks and tax planning and operational opportunities affects its income tax rate and prospects for future cash flows. Effective for public business entities' annual periods beginning after December 15, 2024, and should be applied on a prospective basis. Early adoption is permitted for annual financial statements that have not yet been issued. The Company is currently assessing the potential impacts of this standard on its income tax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Adopted Accounting Standards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 xml:space="preserve">In October 2021, the FASB issued ASU No. 2021-08, </w:t>
      </w:r>
      <w:r>
        <w:rPr>
          <w:rFonts w:ascii="Arial" w:cs="Arial" w:eastAsia="Arial" w:hAnsi="Arial"/>
          <w:sz w:val="14"/>
          <w:szCs w:val="14"/>
          <w:i w:val="1"/>
          <w:iCs w:val="1"/>
          <w:color w:val="131E29"/>
        </w:rPr>
        <w:t>Business Combinations (Topic 805): Accounting for Contract Assets and Contract Liabilities from Contracts with Customers</w:t>
      </w:r>
      <w:r>
        <w:rPr>
          <w:rFonts w:ascii="Arial" w:cs="Arial" w:eastAsia="Arial" w:hAnsi="Arial"/>
          <w:sz w:val="14"/>
          <w:szCs w:val="14"/>
          <w:color w:val="131E29"/>
        </w:rPr>
        <w:t>. The amendments in this update provide specific guidance to address diversity in practice related to (1) recognition of an acquired contract liability, and (2) payment terms and their effect on subsequent revenue recognized by the acquirer. The amendments in ASU 2021-08 are applied on a prospective basis, and were effective for fiscal years beginning after December 15, 2022, including interim periods within those fiscal years. Early adoption is permitted. The Company’s adoption of this standard effective January 1, 2023 did not have a material impact on its consolidated financial statements.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 xml:space="preserve">In July 2023, the FASB issued ASU No. 2023-03, </w:t>
      </w:r>
      <w:r>
        <w:rPr>
          <w:rFonts w:ascii="Arial" w:cs="Arial" w:eastAsia="Arial" w:hAnsi="Arial"/>
          <w:sz w:val="14"/>
          <w:szCs w:val="14"/>
          <w:i w:val="1"/>
          <w:iCs w:val="1"/>
          <w:color w:val="131E29"/>
        </w:rPr>
        <w:t>Presentation of Financial Statements (Topic 205), Income Statement—Reporting Comprehensive Income (Topic 220),</w:t>
      </w:r>
      <w:r>
        <w:rPr>
          <w:rFonts w:ascii="Arial" w:cs="Arial" w:eastAsia="Arial" w:hAnsi="Arial"/>
          <w:sz w:val="14"/>
          <w:szCs w:val="14"/>
          <w:color w:val="131E29"/>
        </w:rPr>
        <w:t xml:space="preserve"> </w:t>
      </w:r>
      <w:r>
        <w:rPr>
          <w:rFonts w:ascii="Arial" w:cs="Arial" w:eastAsia="Arial" w:hAnsi="Arial"/>
          <w:sz w:val="14"/>
          <w:szCs w:val="14"/>
          <w:i w:val="1"/>
          <w:iCs w:val="1"/>
          <w:color w:val="131E29"/>
        </w:rPr>
        <w:t xml:space="preserve">Distinguishing Liabilities from Equity (Topic 480), Equity (Topic 505), and Compensation—Stock Compensation (Topic 718): Amendments to SEC Paragraphs Pursuant to SEC Staff Accounting Bulletin No. 120, SEC Staff Announcement at the March 24, 2022 EITF Meeting, and Staff Accounting Bulletin Topic 6.B, Accounting Series Release 280—General Revision of Regulation S-X: Income or Loss Applicable to Common Stock. </w:t>
      </w:r>
      <w:r>
        <w:rPr>
          <w:rFonts w:ascii="Arial" w:cs="Arial" w:eastAsia="Arial" w:hAnsi="Arial"/>
          <w:sz w:val="14"/>
          <w:szCs w:val="14"/>
          <w:color w:val="131E29"/>
        </w:rPr>
        <w:t>The ASU amends and supersedes various SEC paragraphs pursuant to SEC staff guidance and was</w:t>
      </w:r>
      <w:r>
        <w:rPr>
          <w:rFonts w:ascii="Arial" w:cs="Arial" w:eastAsia="Arial" w:hAnsi="Arial"/>
          <w:sz w:val="14"/>
          <w:szCs w:val="14"/>
          <w:i w:val="1"/>
          <w:iCs w:val="1"/>
          <w:color w:val="131E29"/>
        </w:rPr>
        <w:t xml:space="preserve"> </w:t>
      </w:r>
      <w:r>
        <w:rPr>
          <w:rFonts w:ascii="Arial" w:cs="Arial" w:eastAsia="Arial" w:hAnsi="Arial"/>
          <w:sz w:val="14"/>
          <w:szCs w:val="14"/>
          <w:color w:val="131E29"/>
        </w:rPr>
        <w:t>effective upon issuance. The new standard has had no material impact on the Company's consolidated financial statements.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 xml:space="preserve">In August 2023, the FASB issued ASU No. 2023-04, </w:t>
      </w:r>
      <w:r>
        <w:rPr>
          <w:rFonts w:ascii="Arial" w:cs="Arial" w:eastAsia="Arial" w:hAnsi="Arial"/>
          <w:sz w:val="14"/>
          <w:szCs w:val="14"/>
          <w:i w:val="1"/>
          <w:iCs w:val="1"/>
          <w:color w:val="131E29"/>
        </w:rPr>
        <w:t>Liabilities (Topic 405): Amendments to SEC Paragraphs Pursuant to SEC Staff Accounting Bulletin No. 121.</w:t>
      </w:r>
      <w:r>
        <w:rPr>
          <w:rFonts w:ascii="Arial" w:cs="Arial" w:eastAsia="Arial" w:hAnsi="Arial"/>
          <w:sz w:val="14"/>
          <w:szCs w:val="14"/>
          <w:color w:val="131E29"/>
        </w:rPr>
        <w:t xml:space="preserve"> The ASU amends and supersedes various SEC paragraphs pursuant to SEC staff guidance and was effective upon issuance. The new standard has had no material impact on the Company's consolidated financial statements.</w:t>
      </w:r>
    </w:p>
    <w:p>
      <w:pPr>
        <w:sectPr>
          <w:pgSz w:w="11900" w:h="16838" w:orient="portrait"/>
          <w:cols w:equalWidth="0" w:num="1">
            <w:col w:w="11280"/>
          </w:cols>
          <w:pgMar w:left="300" w:top="133" w:right="31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3 — Revenue Recognition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disaggregates revenue by major component:</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Company-operated shops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Franchising</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Other</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131E29"/>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262445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24455"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188"/>
        </w:trPr>
        <w:tc>
          <w:tcPr>
            <w:tcW w:w="280" w:type="dxa"/>
            <w:vAlign w:val="bottom"/>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403,746</w:t>
            </w:r>
          </w:p>
        </w:tc>
      </w:tr>
      <w:tr>
        <w:trPr>
          <w:trHeight w:val="211"/>
        </w:trPr>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101,907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93,756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87,465</w:t>
            </w:r>
          </w:p>
        </w:tc>
      </w:tr>
      <w:tr>
        <w:trPr>
          <w:trHeight w:val="221"/>
        </w:trPr>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5,930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5,546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6,665</w:t>
            </w:r>
          </w:p>
        </w:tc>
      </w:tr>
      <w:tr>
        <w:trPr>
          <w:trHeight w:val="202"/>
        </w:trPr>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497,876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-301625</wp:posOffset>
            </wp:positionV>
            <wp:extent cx="7162165" cy="133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2165" cy="13398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-576580</wp:posOffset>
            </wp:positionV>
            <wp:extent cx="7162165" cy="140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2165"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120"/>
          </w:cols>
          <w:pgMar w:left="300" w:top="13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875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Deferred 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Deferred revenue activity related to the Company’s gift card and loyalty programs was as follows:</w:t>
      </w:r>
    </w:p>
    <w:p>
      <w:pPr>
        <w:spacing w:after="0" w:line="177"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27940</wp:posOffset>
            </wp:positionV>
            <wp:extent cx="198691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86915"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131E29"/>
              </w:rPr>
              <w:t>2022</w:t>
            </w:r>
          </w:p>
        </w:tc>
      </w:tr>
      <w:tr>
        <w:trPr>
          <w:trHeight w:val="208"/>
        </w:trPr>
        <w:tc>
          <w:tcPr>
            <w:tcW w:w="81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Beginning balance</w:t>
            </w:r>
          </w:p>
        </w:tc>
        <w:tc>
          <w:tcPr>
            <w:tcW w:w="320" w:type="dxa"/>
            <w:vAlign w:val="bottom"/>
            <w:shd w:val="clear" w:color="auto" w:fill="D2DCE5"/>
          </w:tcPr>
          <w:p>
            <w:pPr>
              <w:jc w:val="right"/>
              <w:ind w:right="170"/>
              <w:spacing w:after="0"/>
              <w:rPr>
                <w:sz w:val="20"/>
                <w:szCs w:val="20"/>
                <w:color w:val="auto"/>
              </w:rPr>
            </w:pPr>
            <w:r>
              <w:rPr>
                <w:rFonts w:ascii="Arial" w:cs="Arial" w:eastAsia="Arial" w:hAnsi="Arial"/>
                <w:sz w:val="14"/>
                <w:szCs w:val="14"/>
                <w:color w:val="131E29"/>
                <w:w w:val="76"/>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26,904</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190"/>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22,765</w:t>
            </w:r>
          </w:p>
        </w:tc>
      </w:tr>
      <w:tr>
        <w:trPr>
          <w:trHeight w:val="202"/>
        </w:trPr>
        <w:tc>
          <w:tcPr>
            <w:tcW w:w="8160" w:type="dxa"/>
            <w:vAlign w:val="bottom"/>
            <w:gridSpan w:val="2"/>
          </w:tcPr>
          <w:p>
            <w:pPr>
              <w:ind w:left="20"/>
              <w:spacing w:after="0"/>
              <w:rPr>
                <w:sz w:val="20"/>
                <w:szCs w:val="20"/>
                <w:color w:val="auto"/>
              </w:rPr>
            </w:pPr>
            <w:r>
              <w:rPr>
                <w:rFonts w:ascii="Arial" w:cs="Arial" w:eastAsia="Arial" w:hAnsi="Arial"/>
                <w:sz w:val="14"/>
                <w:szCs w:val="14"/>
                <w:color w:val="131E29"/>
              </w:rPr>
              <w:t>Revenue deferred - gift card activations, loyalty app loads, and loyalty points and rewards earned</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362,482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261,909</w:t>
            </w:r>
          </w:p>
        </w:tc>
      </w:tr>
      <w:tr>
        <w:trPr>
          <w:trHeight w:val="221"/>
        </w:trPr>
        <w:tc>
          <w:tcPr>
            <w:tcW w:w="8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 recognized - gift card, loyalty app, loyalty rewards redemptions, and breakage</w:t>
            </w:r>
          </w:p>
        </w:tc>
        <w:tc>
          <w:tcPr>
            <w:tcW w:w="320" w:type="dxa"/>
            <w:vAlign w:val="bottom"/>
            <w:tcBorders>
              <w:bottom w:val="single" w:sz="8" w:color="auto"/>
            </w:tcBorders>
            <w:shd w:val="clear" w:color="auto" w:fill="D2DCE5"/>
          </w:tcPr>
          <w:p>
            <w:pPr>
              <w:spacing w:after="0"/>
              <w:rPr>
                <w:sz w:val="19"/>
                <w:szCs w:val="19"/>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(354,770)</w:t>
            </w:r>
          </w:p>
        </w:tc>
        <w:tc>
          <w:tcPr>
            <w:tcW w:w="8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(257,770)</w:t>
            </w:r>
          </w:p>
        </w:tc>
      </w:tr>
      <w:tr>
        <w:trPr>
          <w:trHeight w:val="196"/>
        </w:trPr>
        <w:tc>
          <w:tcPr>
            <w:tcW w:w="8160" w:type="dxa"/>
            <w:vAlign w:val="bottom"/>
            <w:gridSpan w:val="2"/>
          </w:tcPr>
          <w:p>
            <w:pPr>
              <w:ind w:left="20"/>
              <w:spacing w:after="0"/>
              <w:rPr>
                <w:sz w:val="20"/>
                <w:szCs w:val="20"/>
                <w:color w:val="auto"/>
              </w:rPr>
            </w:pPr>
            <w:r>
              <w:rPr>
                <w:rFonts w:ascii="Arial" w:cs="Arial" w:eastAsia="Arial" w:hAnsi="Arial"/>
                <w:sz w:val="14"/>
                <w:szCs w:val="14"/>
                <w:b w:val="1"/>
                <w:bCs w:val="1"/>
                <w:color w:val="131E29"/>
              </w:rPr>
              <w:t>Ending balance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34,616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26,904</w:t>
            </w:r>
          </w:p>
        </w:tc>
      </w:tr>
      <w:tr>
        <w:trPr>
          <w:trHeight w:val="208"/>
        </w:trPr>
        <w:tc>
          <w:tcPr>
            <w:tcW w:w="8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current portion</w:t>
            </w:r>
          </w:p>
        </w:tc>
        <w:tc>
          <w:tcPr>
            <w:tcW w:w="320" w:type="dxa"/>
            <w:vAlign w:val="bottom"/>
            <w:tcBorders>
              <w:bottom w:val="single" w:sz="8" w:color="auto"/>
            </w:tcBorders>
            <w:shd w:val="clear" w:color="auto" w:fill="D2DCE5"/>
          </w:tcPr>
          <w:p>
            <w:pPr>
              <w:spacing w:after="0"/>
              <w:rPr>
                <w:sz w:val="18"/>
                <w:szCs w:val="18"/>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(29,937)</w:t>
            </w:r>
          </w:p>
        </w:tc>
        <w:tc>
          <w:tcPr>
            <w:tcW w:w="8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(22,748)</w:t>
            </w:r>
          </w:p>
        </w:tc>
      </w:tr>
      <w:tr>
        <w:trPr>
          <w:trHeight w:val="211"/>
        </w:trPr>
        <w:tc>
          <w:tcPr>
            <w:tcW w:w="8160" w:type="dxa"/>
            <w:vAlign w:val="bottom"/>
            <w:gridSpan w:val="2"/>
          </w:tcPr>
          <w:p>
            <w:pPr>
              <w:ind w:left="100"/>
              <w:spacing w:after="0"/>
              <w:rPr>
                <w:sz w:val="20"/>
                <w:szCs w:val="20"/>
                <w:color w:val="auto"/>
              </w:rPr>
            </w:pPr>
            <w:r>
              <w:rPr>
                <w:rFonts w:ascii="Arial" w:cs="Arial" w:eastAsia="Arial" w:hAnsi="Arial"/>
                <w:sz w:val="14"/>
                <w:szCs w:val="14"/>
                <w:color w:val="131E29"/>
              </w:rPr>
              <w:t>Deferred revenue, net of current portion, gift card and loyalty programs</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131E29"/>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4,679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131E2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4,156</w:t>
            </w: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131E29"/>
        </w:rPr>
        <w:t>Deferred revenue also includes sales to distributors where the performance obligation has not been satisfied and control has not been transferred to the customer as of the reporting date, as well as initial unearned franchise fees from franchise partners. These deferred revenues reported in the Company’s consolidated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131E29"/>
            </w:tcBorders>
          </w:tcPr>
          <w:p>
            <w:pPr>
              <w:spacing w:after="0"/>
              <w:rPr>
                <w:sz w:val="17"/>
                <w:szCs w:val="17"/>
                <w:color w:val="auto"/>
              </w:rPr>
            </w:pPr>
          </w:p>
        </w:tc>
        <w:tc>
          <w:tcPr>
            <w:tcW w:w="1680" w:type="dxa"/>
            <w:vAlign w:val="bottom"/>
            <w:tcBorders>
              <w:bottom w:val="single" w:sz="8" w:color="131E29"/>
            </w:tcBorders>
          </w:tcPr>
          <w:p>
            <w:pPr>
              <w:jc w:val="right"/>
              <w:ind w:right="230"/>
              <w:spacing w:after="0"/>
              <w:rPr>
                <w:sz w:val="20"/>
                <w:szCs w:val="20"/>
                <w:color w:val="auto"/>
              </w:rPr>
            </w:pPr>
            <w:r>
              <w:rPr>
                <w:rFonts w:ascii="Arial" w:cs="Arial" w:eastAsia="Arial" w:hAnsi="Arial"/>
                <w:sz w:val="14"/>
                <w:szCs w:val="14"/>
                <w:b w:val="1"/>
                <w:bCs w:val="1"/>
                <w:color w:val="131E29"/>
              </w:rPr>
              <w:t>December 31, 2023</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31E29"/>
              </w:rPr>
              <w:t>December 31, 2022</w:t>
            </w:r>
          </w:p>
        </w:tc>
      </w:tr>
      <w:tr>
        <w:trPr>
          <w:trHeight w:val="208"/>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Outstanding performance obligations</w:t>
            </w:r>
          </w:p>
        </w:tc>
        <w:tc>
          <w:tcPr>
            <w:tcW w:w="2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17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40" w:type="dxa"/>
            <w:vAlign w:val="bottom"/>
            <w:shd w:val="clear" w:color="auto" w:fill="D2DCE5"/>
          </w:tcPr>
          <w:p>
            <w:pPr>
              <w:jc w:val="center"/>
              <w:ind w:left="1010"/>
              <w:spacing w:after="0"/>
              <w:rPr>
                <w:sz w:val="20"/>
                <w:szCs w:val="20"/>
                <w:color w:val="auto"/>
              </w:rPr>
            </w:pPr>
            <w:r>
              <w:rPr>
                <w:rFonts w:ascii="Arial" w:cs="Arial" w:eastAsia="Arial" w:hAnsi="Arial"/>
                <w:sz w:val="14"/>
                <w:szCs w:val="14"/>
                <w:color w:val="131E29"/>
                <w:w w:val="96"/>
              </w:rPr>
              <w:t>2,152</w:t>
            </w:r>
          </w:p>
        </w:tc>
      </w:tr>
      <w:tr>
        <w:trPr>
          <w:trHeight w:val="202"/>
        </w:trPr>
        <w:tc>
          <w:tcPr>
            <w:tcW w:w="75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Initial unearned franchise fees from franchise partners</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2,409</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1010"/>
              <w:spacing w:after="0"/>
              <w:rPr>
                <w:sz w:val="20"/>
                <w:szCs w:val="20"/>
                <w:color w:val="auto"/>
              </w:rPr>
            </w:pPr>
            <w:r>
              <w:rPr>
                <w:rFonts w:ascii="Arial" w:cs="Arial" w:eastAsia="Arial" w:hAnsi="Arial"/>
                <w:sz w:val="14"/>
                <w:szCs w:val="14"/>
                <w:color w:val="131E29"/>
                <w:w w:val="96"/>
              </w:rPr>
              <w:t>2,398</w:t>
            </w:r>
          </w:p>
        </w:tc>
      </w:tr>
      <w:tr>
        <w:trPr>
          <w:trHeight w:val="211"/>
        </w:trPr>
        <w:tc>
          <w:tcPr>
            <w:tcW w:w="75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 deferred revenue, excluding gift card and loyalty programs</w:t>
            </w:r>
          </w:p>
        </w:tc>
        <w:tc>
          <w:tcPr>
            <w:tcW w:w="200" w:type="dxa"/>
            <w:vAlign w:val="bottom"/>
            <w:shd w:val="clear" w:color="auto" w:fill="D2DCE5"/>
          </w:tcPr>
          <w:p>
            <w:pPr>
              <w:spacing w:after="0"/>
              <w:rPr>
                <w:sz w:val="18"/>
                <w:szCs w:val="18"/>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2,409</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540" w:type="dxa"/>
            <w:vAlign w:val="bottom"/>
            <w:shd w:val="clear" w:color="auto" w:fill="D2DCE5"/>
          </w:tcPr>
          <w:p>
            <w:pPr>
              <w:jc w:val="center"/>
              <w:ind w:left="1010"/>
              <w:spacing w:after="0"/>
              <w:rPr>
                <w:sz w:val="20"/>
                <w:szCs w:val="20"/>
                <w:color w:val="auto"/>
              </w:rPr>
            </w:pPr>
            <w:r>
              <w:rPr>
                <w:rFonts w:ascii="Arial" w:cs="Arial" w:eastAsia="Arial" w:hAnsi="Arial"/>
                <w:sz w:val="14"/>
                <w:szCs w:val="14"/>
                <w:color w:val="131E29"/>
                <w:w w:val="96"/>
              </w:rPr>
              <w:t>4,550</w:t>
            </w:r>
          </w:p>
        </w:tc>
      </w:tr>
      <w:tr>
        <w:trPr>
          <w:trHeight w:val="202"/>
        </w:trPr>
        <w:tc>
          <w:tcPr>
            <w:tcW w:w="75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(412)</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990"/>
              <w:spacing w:after="0"/>
              <w:rPr>
                <w:sz w:val="20"/>
                <w:szCs w:val="20"/>
                <w:color w:val="auto"/>
              </w:rPr>
            </w:pPr>
            <w:r>
              <w:rPr>
                <w:rFonts w:ascii="Arial" w:cs="Arial" w:eastAsia="Arial" w:hAnsi="Arial"/>
                <w:sz w:val="14"/>
                <w:szCs w:val="14"/>
                <w:color w:val="131E29"/>
                <w:w w:val="99"/>
              </w:rPr>
              <w:t>(2,587)</w:t>
            </w:r>
          </w:p>
        </w:tc>
      </w:tr>
      <w:tr>
        <w:trPr>
          <w:trHeight w:val="236"/>
        </w:trPr>
        <w:tc>
          <w:tcPr>
            <w:tcW w:w="75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Deferred revenue, net of current portion, excluding gift card and loyalty programs</w:t>
            </w:r>
          </w:p>
        </w:tc>
        <w:tc>
          <w:tcPr>
            <w:tcW w:w="2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1,997</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40" w:type="dxa"/>
            <w:vAlign w:val="bottom"/>
            <w:tcBorders>
              <w:bottom w:val="single" w:sz="8" w:color="auto"/>
            </w:tcBorders>
            <w:shd w:val="clear" w:color="auto" w:fill="D2DCE5"/>
          </w:tcPr>
          <w:p>
            <w:pPr>
              <w:jc w:val="center"/>
              <w:ind w:left="1010"/>
              <w:spacing w:after="0"/>
              <w:rPr>
                <w:sz w:val="20"/>
                <w:szCs w:val="20"/>
                <w:color w:val="auto"/>
              </w:rPr>
            </w:pPr>
            <w:r>
              <w:rPr>
                <w:rFonts w:ascii="Arial" w:cs="Arial" w:eastAsia="Arial" w:hAnsi="Arial"/>
                <w:sz w:val="14"/>
                <w:szCs w:val="14"/>
                <w:color w:val="131E29"/>
                <w:w w:val="96"/>
              </w:rPr>
              <w:t>1,963</w:t>
            </w:r>
          </w:p>
        </w:tc>
      </w:tr>
      <w:tr>
        <w:trPr>
          <w:trHeight w:val="20"/>
        </w:trPr>
        <w:tc>
          <w:tcPr>
            <w:tcW w:w="74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16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Revenue recognized during the three years ended December 31, 2023 that was included in the respective deferred revenue liability balances at the beginning of the period are shown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131E29"/>
              </w:rPr>
              <w:t>Year Ended December 31,</w:t>
            </w:r>
          </w:p>
        </w:tc>
        <w:tc>
          <w:tcPr>
            <w:tcW w:w="1020" w:type="dxa"/>
            <w:vAlign w:val="bottom"/>
            <w:tcBorders>
              <w:bottom w:val="single" w:sz="8" w:color="auto"/>
            </w:tcBorders>
          </w:tcPr>
          <w:p>
            <w:pPr>
              <w:spacing w:after="0"/>
              <w:rPr>
                <w:sz w:val="17"/>
                <w:szCs w:val="17"/>
                <w:color w:val="auto"/>
              </w:rPr>
            </w:pPr>
          </w:p>
        </w:tc>
      </w:tr>
      <w:tr>
        <w:trPr>
          <w:trHeight w:val="20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131E29"/>
              </w:rPr>
              <w:t>2023</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08"/>
        </w:trPr>
        <w:tc>
          <w:tcPr>
            <w:tcW w:w="7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Gift card redemptions </w:t>
            </w:r>
            <w:r>
              <w:rPr>
                <w:rFonts w:ascii="Arial" w:cs="Arial" w:eastAsia="Arial" w:hAnsi="Arial"/>
                <w:sz w:val="18"/>
                <w:szCs w:val="18"/>
                <w:color w:val="131E29"/>
                <w:vertAlign w:val="superscript"/>
              </w:rPr>
              <w:t>1</w:t>
            </w:r>
          </w:p>
        </w:tc>
        <w:tc>
          <w:tcPr>
            <w:tcW w:w="32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60" w:type="dxa"/>
            <w:vAlign w:val="bottom"/>
            <w:shd w:val="clear" w:color="auto" w:fill="D2DCE5"/>
          </w:tcPr>
          <w:p>
            <w:pPr>
              <w:jc w:val="right"/>
              <w:ind w:right="10"/>
              <w:spacing w:after="0"/>
              <w:rPr>
                <w:sz w:val="20"/>
                <w:szCs w:val="20"/>
                <w:color w:val="auto"/>
              </w:rPr>
            </w:pPr>
            <w:r>
              <w:rPr>
                <w:rFonts w:ascii="Arial" w:cs="Arial" w:eastAsia="Arial" w:hAnsi="Arial"/>
                <w:sz w:val="14"/>
                <w:szCs w:val="14"/>
                <w:color w:val="131E29"/>
              </w:rPr>
              <w:t>5,149</w:t>
            </w:r>
          </w:p>
        </w:tc>
        <w:tc>
          <w:tcPr>
            <w:tcW w:w="38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3,965</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3,805</w:t>
            </w:r>
          </w:p>
        </w:tc>
      </w:tr>
      <w:tr>
        <w:trPr>
          <w:trHeight w:val="192"/>
        </w:trPr>
        <w:tc>
          <w:tcPr>
            <w:tcW w:w="7080" w:type="dxa"/>
            <w:vAlign w:val="bottom"/>
            <w:gridSpan w:val="2"/>
          </w:tcPr>
          <w:p>
            <w:pPr>
              <w:ind w:left="20"/>
              <w:spacing w:after="0"/>
              <w:rPr>
                <w:sz w:val="20"/>
                <w:szCs w:val="20"/>
                <w:color w:val="auto"/>
              </w:rPr>
            </w:pPr>
            <w:r>
              <w:rPr>
                <w:rFonts w:ascii="Arial" w:cs="Arial" w:eastAsia="Arial" w:hAnsi="Arial"/>
                <w:sz w:val="14"/>
                <w:szCs w:val="14"/>
                <w:color w:val="131E29"/>
              </w:rPr>
              <w:t>Earned franchise fees</w:t>
            </w:r>
          </w:p>
        </w:tc>
        <w:tc>
          <w:tcPr>
            <w:tcW w:w="3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131E29"/>
              </w:rPr>
              <w:t>454</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507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630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131E29"/>
        </w:rPr>
        <w:t>_____________________</w:t>
      </w:r>
    </w:p>
    <w:p>
      <w:pPr>
        <w:spacing w:after="0" w:line="134" w:lineRule="exact"/>
        <w:rPr>
          <w:sz w:val="20"/>
          <w:szCs w:val="20"/>
          <w:color w:val="auto"/>
        </w:rPr>
      </w:pPr>
    </w:p>
    <w:p>
      <w:pPr>
        <w:ind w:left="200" w:hanging="195"/>
        <w:spacing w:after="0"/>
        <w:tabs>
          <w:tab w:leader="none" w:pos="200" w:val="left"/>
        </w:tabs>
        <w:numPr>
          <w:ilvl w:val="0"/>
          <w:numId w:val="70"/>
        </w:numPr>
        <w:rPr>
          <w:rFonts w:ascii="Arial" w:cs="Arial" w:eastAsia="Arial" w:hAnsi="Arial"/>
          <w:sz w:val="15"/>
          <w:szCs w:val="15"/>
          <w:color w:val="auto"/>
          <w:vertAlign w:val="superscript"/>
        </w:rPr>
      </w:pPr>
      <w:r>
        <w:rPr>
          <w:rFonts w:ascii="Arial" w:cs="Arial" w:eastAsia="Arial" w:hAnsi="Arial"/>
          <w:sz w:val="11"/>
          <w:szCs w:val="11"/>
          <w:color w:val="131E29"/>
        </w:rPr>
        <w:t>Amounts exclude cash loads and transactions related to the Company’s loyalty rewards program.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6" w:name="page117"/>
    <w:bookmarkEnd w:id="1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Future recognition of initial unearned franchise fees as of December 31, 2023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70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0"/>
        </w:trPr>
        <w:tc>
          <w:tcPr>
            <w:tcW w:w="96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2024</w:t>
            </w:r>
          </w:p>
        </w:tc>
        <w:tc>
          <w:tcPr>
            <w:tcW w:w="80" w:type="dxa"/>
            <w:vAlign w:val="bottom"/>
            <w:tcBorders>
              <w:top w:val="single" w:sz="8" w:color="D2DCE5"/>
            </w:tcBorders>
            <w:shd w:val="clear" w:color="auto" w:fill="D2DCE5"/>
          </w:tcPr>
          <w:p>
            <w:pPr>
              <w:spacing w:after="0"/>
              <w:rPr>
                <w:sz w:val="18"/>
                <w:szCs w:val="18"/>
                <w:color w:val="auto"/>
              </w:rPr>
            </w:pPr>
          </w:p>
        </w:tc>
        <w:tc>
          <w:tcPr>
            <w:tcW w:w="640" w:type="dxa"/>
            <w:vAlign w:val="bottom"/>
            <w:tcBorders>
              <w:top w:val="single" w:sz="8" w:color="auto"/>
            </w:tcBorders>
            <w:shd w:val="clear" w:color="auto" w:fill="D2DCE5"/>
          </w:tcPr>
          <w:p>
            <w:pPr>
              <w:jc w:val="right"/>
              <w:ind w:right="470"/>
              <w:spacing w:after="0"/>
              <w:rPr>
                <w:sz w:val="20"/>
                <w:szCs w:val="20"/>
                <w:color w:val="auto"/>
              </w:rPr>
            </w:pPr>
            <w:r>
              <w:rPr>
                <w:rFonts w:ascii="Arial" w:cs="Arial" w:eastAsia="Arial" w:hAnsi="Arial"/>
                <w:sz w:val="14"/>
                <w:szCs w:val="14"/>
                <w:color w:val="131E29"/>
              </w:rPr>
              <w:t>$</w:t>
            </w:r>
          </w:p>
        </w:tc>
        <w:tc>
          <w:tcPr>
            <w:tcW w:w="94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412</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358</w:t>
            </w:r>
          </w:p>
        </w:tc>
      </w:tr>
      <w:tr>
        <w:trPr>
          <w:trHeight w:val="221"/>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80" w:type="dxa"/>
            <w:vAlign w:val="bottom"/>
            <w:shd w:val="clear" w:color="auto" w:fill="D2DCE5"/>
          </w:tcPr>
          <w:p>
            <w:pPr>
              <w:spacing w:after="0"/>
              <w:rPr>
                <w:sz w:val="19"/>
                <w:szCs w:val="19"/>
                <w:color w:val="auto"/>
              </w:rPr>
            </w:pPr>
          </w:p>
        </w:tc>
        <w:tc>
          <w:tcPr>
            <w:tcW w:w="64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316</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2027</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271</w:t>
            </w:r>
          </w:p>
        </w:tc>
      </w:tr>
      <w:tr>
        <w:trPr>
          <w:trHeight w:val="221"/>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2028</w:t>
            </w:r>
          </w:p>
        </w:tc>
        <w:tc>
          <w:tcPr>
            <w:tcW w:w="80" w:type="dxa"/>
            <w:vAlign w:val="bottom"/>
            <w:shd w:val="clear" w:color="auto" w:fill="D2DCE5"/>
          </w:tcPr>
          <w:p>
            <w:pPr>
              <w:spacing w:after="0"/>
              <w:rPr>
                <w:sz w:val="19"/>
                <w:szCs w:val="19"/>
                <w:color w:val="auto"/>
              </w:rPr>
            </w:pPr>
          </w:p>
        </w:tc>
        <w:tc>
          <w:tcPr>
            <w:tcW w:w="64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222</w:t>
            </w:r>
          </w:p>
        </w:tc>
      </w:tr>
      <w:tr>
        <w:trPr>
          <w:trHeight w:val="202"/>
        </w:trPr>
        <w:tc>
          <w:tcPr>
            <w:tcW w:w="97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830</w:t>
            </w:r>
          </w:p>
        </w:tc>
      </w:tr>
      <w:tr>
        <w:trPr>
          <w:trHeight w:val="236"/>
        </w:trPr>
        <w:tc>
          <w:tcPr>
            <w:tcW w:w="9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Total</w:t>
            </w:r>
          </w:p>
        </w:tc>
        <w:tc>
          <w:tcPr>
            <w:tcW w:w="640" w:type="dxa"/>
            <w:vAlign w:val="bottom"/>
            <w:tcBorders>
              <w:bottom w:val="single" w:sz="8" w:color="auto"/>
            </w:tcBorders>
            <w:shd w:val="clear" w:color="auto" w:fill="D2DCE5"/>
          </w:tcPr>
          <w:p>
            <w:pPr>
              <w:jc w:val="right"/>
              <w:ind w:right="470"/>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2,409</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4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4 — Shop Acquisitions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During the year ended December 31, 2023, the Company did not repurchase the franchise rights and assets of any shops from franchise partners.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For the year ended December 31, 2022, the Company repurchased the franchise rights and assets of seven shops from two separate franchise partners in Washington. The following table summarizes the allocations of the purchase prices to the estimated fair values of assets acquired and liabilities assumed. The fair values for the 2022 acquisitions were considered final as of December 31,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131E29"/>
              </w:rPr>
              <w:t>December 31, 2022</w:t>
            </w:r>
          </w:p>
        </w:tc>
      </w:tr>
      <w:tr>
        <w:trPr>
          <w:trHeight w:val="208"/>
        </w:trPr>
        <w:tc>
          <w:tcPr>
            <w:tcW w:w="94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Acquisition consideration:</w:t>
            </w:r>
          </w:p>
        </w:tc>
        <w:tc>
          <w:tcPr>
            <w:tcW w:w="180" w:type="dxa"/>
            <w:vAlign w:val="bottom"/>
            <w:shd w:val="clear" w:color="auto" w:fill="D2DCE5"/>
          </w:tcPr>
          <w:p>
            <w:pPr>
              <w:spacing w:after="0"/>
              <w:rPr>
                <w:sz w:val="18"/>
                <w:szCs w:val="18"/>
                <w:color w:val="auto"/>
              </w:rPr>
            </w:pPr>
          </w:p>
        </w:tc>
        <w:tc>
          <w:tcPr>
            <w:tcW w:w="1620" w:type="dxa"/>
            <w:vAlign w:val="bottom"/>
            <w:shd w:val="clear" w:color="auto" w:fill="D2DCE5"/>
          </w:tcPr>
          <w:p>
            <w:pPr>
              <w:spacing w:after="0"/>
              <w:rPr>
                <w:sz w:val="18"/>
                <w:szCs w:val="18"/>
                <w:color w:val="auto"/>
              </w:rPr>
            </w:pPr>
          </w:p>
        </w:tc>
      </w:tr>
      <w:tr>
        <w:trPr>
          <w:trHeight w:val="202"/>
        </w:trPr>
        <w:tc>
          <w:tcPr>
            <w:tcW w:w="948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Purchase price consideration</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6,051</w:t>
            </w:r>
          </w:p>
        </w:tc>
      </w:tr>
      <w:tr>
        <w:trPr>
          <w:trHeight w:val="211"/>
        </w:trPr>
        <w:tc>
          <w:tcPr>
            <w:tcW w:w="9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Equipment and fixtures</w:t>
            </w:r>
          </w:p>
        </w:tc>
        <w:tc>
          <w:tcPr>
            <w:tcW w:w="180" w:type="dxa"/>
            <w:vAlign w:val="bottom"/>
            <w:shd w:val="clear" w:color="auto" w:fill="D2DCE5"/>
          </w:tcPr>
          <w:p>
            <w:pPr>
              <w:spacing w:after="0"/>
              <w:rPr>
                <w:sz w:val="18"/>
                <w:szCs w:val="18"/>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197</w:t>
            </w:r>
          </w:p>
        </w:tc>
      </w:tr>
      <w:tr>
        <w:trPr>
          <w:trHeight w:val="202"/>
        </w:trPr>
        <w:tc>
          <w:tcPr>
            <w:tcW w:w="9480" w:type="dxa"/>
            <w:vAlign w:val="bottom"/>
            <w:gridSpan w:val="2"/>
          </w:tcPr>
          <w:p>
            <w:pPr>
              <w:ind w:left="140"/>
              <w:spacing w:after="0"/>
              <w:rPr>
                <w:sz w:val="20"/>
                <w:szCs w:val="20"/>
                <w:color w:val="auto"/>
              </w:rPr>
            </w:pPr>
            <w:r>
              <w:rPr>
                <w:rFonts w:ascii="Arial" w:cs="Arial" w:eastAsia="Arial" w:hAnsi="Arial"/>
                <w:sz w:val="14"/>
                <w:szCs w:val="14"/>
                <w:color w:val="131E29"/>
              </w:rPr>
              <w:t>Building and leasehold improvements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1,470</w:t>
            </w:r>
          </w:p>
        </w:tc>
      </w:tr>
      <w:tr>
        <w:trPr>
          <w:trHeight w:val="221"/>
        </w:trPr>
        <w:tc>
          <w:tcPr>
            <w:tcW w:w="9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Inventories</w:t>
            </w: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w:t>
            </w:r>
          </w:p>
        </w:tc>
      </w:tr>
      <w:tr>
        <w:trPr>
          <w:trHeight w:val="202"/>
        </w:trPr>
        <w:tc>
          <w:tcPr>
            <w:tcW w:w="9480" w:type="dxa"/>
            <w:vAlign w:val="bottom"/>
            <w:gridSpan w:val="2"/>
          </w:tcPr>
          <w:p>
            <w:pPr>
              <w:ind w:left="140"/>
              <w:spacing w:after="0"/>
              <w:rPr>
                <w:sz w:val="20"/>
                <w:szCs w:val="20"/>
                <w:color w:val="auto"/>
              </w:rPr>
            </w:pPr>
            <w:r>
              <w:rPr>
                <w:rFonts w:ascii="Arial" w:cs="Arial" w:eastAsia="Arial" w:hAnsi="Arial"/>
                <w:sz w:val="14"/>
                <w:szCs w:val="14"/>
                <w:color w:val="131E29"/>
              </w:rPr>
              <w:t>Other assets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6</w:t>
            </w:r>
          </w:p>
        </w:tc>
      </w:tr>
      <w:tr>
        <w:trPr>
          <w:trHeight w:val="221"/>
        </w:trPr>
        <w:tc>
          <w:tcPr>
            <w:tcW w:w="9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 right-of-use assets</w:t>
            </w: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2,327</w:t>
            </w:r>
          </w:p>
        </w:tc>
      </w:tr>
      <w:tr>
        <w:trPr>
          <w:trHeight w:val="202"/>
        </w:trPr>
        <w:tc>
          <w:tcPr>
            <w:tcW w:w="9480" w:type="dxa"/>
            <w:vAlign w:val="bottom"/>
            <w:gridSpan w:val="2"/>
          </w:tcPr>
          <w:p>
            <w:pPr>
              <w:ind w:left="140"/>
              <w:spacing w:after="0"/>
              <w:rPr>
                <w:sz w:val="20"/>
                <w:szCs w:val="20"/>
                <w:color w:val="auto"/>
              </w:rPr>
            </w:pPr>
            <w:r>
              <w:rPr>
                <w:rFonts w:ascii="Arial" w:cs="Arial" w:eastAsia="Arial" w:hAnsi="Arial"/>
                <w:sz w:val="14"/>
                <w:szCs w:val="14"/>
                <w:color w:val="131E29"/>
              </w:rPr>
              <w:t>Reacquired franchise rights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1,735</w:t>
            </w:r>
          </w:p>
        </w:tc>
      </w:tr>
      <w:tr>
        <w:trPr>
          <w:trHeight w:val="221"/>
        </w:trPr>
        <w:tc>
          <w:tcPr>
            <w:tcW w:w="9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liabilities</w:t>
            </w: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(88)</w:t>
            </w:r>
          </w:p>
        </w:tc>
      </w:tr>
      <w:tr>
        <w:trPr>
          <w:trHeight w:val="202"/>
        </w:trPr>
        <w:tc>
          <w:tcPr>
            <w:tcW w:w="9480" w:type="dxa"/>
            <w:vAlign w:val="bottom"/>
            <w:gridSpan w:val="2"/>
          </w:tcPr>
          <w:p>
            <w:pPr>
              <w:ind w:left="140"/>
              <w:spacing w:after="0"/>
              <w:rPr>
                <w:sz w:val="20"/>
                <w:szCs w:val="20"/>
                <w:color w:val="auto"/>
              </w:rPr>
            </w:pPr>
            <w:r>
              <w:rPr>
                <w:rFonts w:ascii="Arial" w:cs="Arial" w:eastAsia="Arial" w:hAnsi="Arial"/>
                <w:sz w:val="14"/>
                <w:szCs w:val="14"/>
                <w:color w:val="131E29"/>
              </w:rPr>
              <w:t>Gift card liability</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(250)</w:t>
            </w:r>
          </w:p>
        </w:tc>
      </w:tr>
      <w:tr>
        <w:trPr>
          <w:trHeight w:val="221"/>
        </w:trPr>
        <w:tc>
          <w:tcPr>
            <w:tcW w:w="9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 obligations</w:t>
            </w:r>
          </w:p>
        </w:tc>
        <w:tc>
          <w:tcPr>
            <w:tcW w:w="180" w:type="dxa"/>
            <w:vAlign w:val="bottom"/>
            <w:tcBorders>
              <w:bottom w:val="single" w:sz="8" w:color="auto"/>
            </w:tcBorders>
            <w:shd w:val="clear" w:color="auto" w:fill="D2DCE5"/>
          </w:tcPr>
          <w:p>
            <w:pPr>
              <w:spacing w:after="0"/>
              <w:rPr>
                <w:sz w:val="19"/>
                <w:szCs w:val="19"/>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(2,327)</w:t>
            </w:r>
          </w:p>
        </w:tc>
      </w:tr>
      <w:tr>
        <w:trPr>
          <w:trHeight w:val="193"/>
        </w:trPr>
        <w:tc>
          <w:tcPr>
            <w:tcW w:w="94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Net assets acquired</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3,137</w:t>
            </w:r>
          </w:p>
        </w:tc>
      </w:tr>
      <w:tr>
        <w:trPr>
          <w:trHeight w:val="236"/>
        </w:trPr>
        <w:tc>
          <w:tcPr>
            <w:tcW w:w="9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Goodwill</w:t>
            </w:r>
          </w:p>
        </w:tc>
        <w:tc>
          <w:tcPr>
            <w:tcW w:w="18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2,914</w:t>
            </w:r>
          </w:p>
        </w:tc>
      </w:tr>
      <w:tr>
        <w:trPr>
          <w:trHeight w:val="20"/>
        </w:trPr>
        <w:tc>
          <w:tcPr>
            <w:tcW w:w="94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Reacquired franchise rights had a weighted-average useful life of 4.2 years at the time of purchase for the acquisitions made during the year ended December 31, 2022.</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131E29"/>
        </w:rPr>
        <w:t>The results of operations for the 2022 acquisitions are included in the Company’s consolidated statements of operations beginning on the dates of acquisition. Revenues of approximately $9.3 million and net income of approximately $1.6 million are included in the Company’s consolidated statements of operations for the year ended December 31, 2022.</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reflects the unaudited pro forma results of the Company and the five shops purchased in 2022 as if the acquisitions had taken place as of January 1, 2021: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875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7" w:name="page118"/>
    <w:bookmarkEnd w:id="1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131E29"/>
              </w:rPr>
              <w:t>Year Ended December 31, 2022</w:t>
            </w:r>
          </w:p>
        </w:tc>
      </w:tr>
      <w:tr>
        <w:trPr>
          <w:trHeight w:val="208"/>
        </w:trPr>
        <w:tc>
          <w:tcPr>
            <w:tcW w:w="8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w:t>
            </w:r>
          </w:p>
        </w:tc>
        <w:tc>
          <w:tcPr>
            <w:tcW w:w="2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24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740,964</w:t>
            </w:r>
          </w:p>
        </w:tc>
      </w:tr>
      <w:tr>
        <w:trPr>
          <w:trHeight w:val="192"/>
        </w:trPr>
        <w:tc>
          <w:tcPr>
            <w:tcW w:w="8600" w:type="dxa"/>
            <w:vAlign w:val="bottom"/>
            <w:gridSpan w:val="2"/>
          </w:tcPr>
          <w:p>
            <w:pPr>
              <w:ind w:left="20"/>
              <w:spacing w:after="0"/>
              <w:rPr>
                <w:sz w:val="20"/>
                <w:szCs w:val="20"/>
                <w:color w:val="auto"/>
              </w:rPr>
            </w:pPr>
            <w:r>
              <w:rPr>
                <w:rFonts w:ascii="Arial" w:cs="Arial" w:eastAsia="Arial" w:hAnsi="Arial"/>
                <w:sz w:val="14"/>
                <w:szCs w:val="14"/>
                <w:color w:val="131E29"/>
              </w:rPr>
              <w:t>Net loss</w:t>
            </w:r>
          </w:p>
        </w:tc>
        <w:tc>
          <w:tcPr>
            <w:tcW w:w="200" w:type="dxa"/>
            <w:vAlign w:val="bottom"/>
          </w:tcPr>
          <w:p>
            <w:pPr>
              <w:jc w:val="right"/>
              <w:ind w:right="30"/>
              <w:spacing w:after="0"/>
              <w:rPr>
                <w:sz w:val="20"/>
                <w:szCs w:val="20"/>
                <w:color w:val="auto"/>
              </w:rPr>
            </w:pPr>
            <w:r>
              <w:rPr>
                <w:rFonts w:ascii="Arial" w:cs="Arial" w:eastAsia="Arial" w:hAnsi="Arial"/>
                <w:sz w:val="14"/>
                <w:szCs w:val="14"/>
                <w:color w:val="131E29"/>
              </w:rPr>
              <w:t>$</w:t>
            </w:r>
          </w:p>
        </w:tc>
        <w:tc>
          <w:tcPr>
            <w:tcW w:w="2480" w:type="dxa"/>
            <w:vAlign w:val="bottom"/>
          </w:tcPr>
          <w:p>
            <w:pPr>
              <w:jc w:val="right"/>
              <w:spacing w:after="0"/>
              <w:rPr>
                <w:sz w:val="20"/>
                <w:szCs w:val="20"/>
                <w:color w:val="auto"/>
              </w:rPr>
            </w:pPr>
            <w:r>
              <w:rPr>
                <w:rFonts w:ascii="Arial" w:cs="Arial" w:eastAsia="Arial" w:hAnsi="Arial"/>
                <w:sz w:val="14"/>
                <w:szCs w:val="14"/>
                <w:color w:val="131E29"/>
              </w:rPr>
              <w:t>(18,875)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5 — Inventories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spacing w:after="0"/>
              <w:rPr>
                <w:sz w:val="20"/>
                <w:szCs w:val="20"/>
                <w:color w:val="auto"/>
              </w:rPr>
            </w:pPr>
            <w:r>
              <w:rPr>
                <w:rFonts w:ascii="Arial" w:cs="Arial" w:eastAsia="Arial" w:hAnsi="Arial"/>
                <w:sz w:val="14"/>
                <w:szCs w:val="14"/>
                <w:color w:val="131E29"/>
              </w:rPr>
              <w:t>Inventories, net consist of the following:</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131E29"/>
              </w:rPr>
              <w:t>December 31, 2023</w:t>
            </w:r>
          </w:p>
        </w:tc>
        <w:tc>
          <w:tcPr>
            <w:tcW w:w="100" w:type="dxa"/>
            <w:vAlign w:val="bottom"/>
            <w:tcBorders>
              <w:bottom w:val="single" w:sz="8" w:color="D2DC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131E29"/>
              </w:rPr>
              <w:t>December 31, 2022</w:t>
            </w:r>
          </w:p>
        </w:tc>
      </w:tr>
      <w:tr>
        <w:trPr>
          <w:trHeight w:val="208"/>
        </w:trPr>
        <w:tc>
          <w:tcPr>
            <w:tcW w:w="7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Raw materials</w:t>
            </w:r>
          </w:p>
        </w:tc>
        <w:tc>
          <w:tcPr>
            <w:tcW w:w="2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28,523</w:t>
            </w:r>
          </w:p>
        </w:tc>
        <w:tc>
          <w:tcPr>
            <w:tcW w:w="10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21,335</w:t>
            </w:r>
          </w:p>
        </w:tc>
      </w:tr>
      <w:tr>
        <w:trPr>
          <w:trHeight w:val="202"/>
        </w:trPr>
        <w:tc>
          <w:tcPr>
            <w:tcW w:w="76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Finished goods</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18,430</w:t>
            </w:r>
          </w:p>
        </w:tc>
        <w:tc>
          <w:tcPr>
            <w:tcW w:w="10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17,894</w:t>
            </w:r>
          </w:p>
        </w:tc>
      </w:tr>
      <w:tr>
        <w:trPr>
          <w:trHeight w:val="236"/>
        </w:trPr>
        <w:tc>
          <w:tcPr>
            <w:tcW w:w="766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Total inventories</w:t>
            </w:r>
          </w:p>
        </w:tc>
        <w:tc>
          <w:tcPr>
            <w:tcW w:w="2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46,953</w:t>
            </w:r>
          </w:p>
        </w:tc>
        <w:tc>
          <w:tcPr>
            <w:tcW w:w="100" w:type="dxa"/>
            <w:vAlign w:val="bottom"/>
            <w:tcBorders>
              <w:bottom w:val="single" w:sz="8" w:color="D2DCE5"/>
            </w:tcBorders>
            <w:shd w:val="clear" w:color="auto" w:fill="D2DCE5"/>
          </w:tcPr>
          <w:p>
            <w:pPr>
              <w:spacing w:after="0"/>
              <w:rPr>
                <w:sz w:val="20"/>
                <w:szCs w:val="20"/>
                <w:color w:val="auto"/>
              </w:rPr>
            </w:pP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39,229</w:t>
            </w:r>
          </w:p>
        </w:tc>
      </w:tr>
      <w:tr>
        <w:trPr>
          <w:trHeight w:val="20"/>
        </w:trPr>
        <w:tc>
          <w:tcPr>
            <w:tcW w:w="75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6 — Property and Equipment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Property and equipment, net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vMerge w:val="restart"/>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vMerge w:val="restart"/>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131E29"/>
              </w:rPr>
              <w:t xml:space="preserve">Useful Life </w:t>
            </w:r>
            <w:r>
              <w:rPr>
                <w:rFonts w:ascii="Arial" w:cs="Arial" w:eastAsia="Arial" w:hAnsi="Arial"/>
                <w:sz w:val="11"/>
                <w:szCs w:val="11"/>
                <w:color w:val="131E29"/>
              </w:rPr>
              <w:t>(Years)</w:t>
            </w:r>
          </w:p>
        </w:tc>
        <w:tc>
          <w:tcPr>
            <w:tcW w:w="162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131E29"/>
              </w:rPr>
              <w:t>December 31, 2023</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131E29"/>
              </w:rPr>
              <w:t>December 31, 2022</w:t>
            </w:r>
          </w:p>
        </w:tc>
        <w:tc>
          <w:tcPr>
            <w:tcW w:w="0" w:type="dxa"/>
            <w:vAlign w:val="bottom"/>
          </w:tcPr>
          <w:p>
            <w:pPr>
              <w:spacing w:after="0"/>
              <w:rPr>
                <w:sz w:val="1"/>
                <w:szCs w:val="1"/>
                <w:color w:val="auto"/>
              </w:rPr>
            </w:pPr>
          </w:p>
        </w:tc>
      </w:tr>
      <w:tr>
        <w:trPr>
          <w:trHeight w:val="133"/>
        </w:trPr>
        <w:tc>
          <w:tcPr>
            <w:tcW w:w="58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D2DCE5"/>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D2DCE5"/>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D2DCE5"/>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3</w:t>
            </w:r>
          </w:p>
        </w:tc>
        <w:tc>
          <w:tcPr>
            <w:tcW w:w="860" w:type="dxa"/>
            <w:vAlign w:val="bottom"/>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7,212</w:t>
            </w:r>
          </w:p>
        </w:tc>
        <w:tc>
          <w:tcPr>
            <w:tcW w:w="10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7,430</w:t>
            </w:r>
          </w:p>
        </w:tc>
        <w:tc>
          <w:tcPr>
            <w:tcW w:w="0" w:type="dxa"/>
            <w:vAlign w:val="bottom"/>
          </w:tcPr>
          <w:p>
            <w:pPr>
              <w:spacing w:after="0"/>
              <w:rPr>
                <w:sz w:val="1"/>
                <w:szCs w:val="1"/>
                <w:color w:val="auto"/>
              </w:rPr>
            </w:pPr>
          </w:p>
        </w:tc>
      </w:tr>
      <w:tr>
        <w:trPr>
          <w:trHeight w:val="202"/>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580" w:type="dxa"/>
            <w:vAlign w:val="bottom"/>
          </w:tcPr>
          <w:p>
            <w:pPr>
              <w:jc w:val="center"/>
              <w:ind w:left="70"/>
              <w:spacing w:after="0"/>
              <w:rPr>
                <w:sz w:val="20"/>
                <w:szCs w:val="20"/>
                <w:color w:val="auto"/>
              </w:rPr>
            </w:pPr>
            <w:r>
              <w:rPr>
                <w:rFonts w:ascii="Arial" w:cs="Arial" w:eastAsia="Arial" w:hAnsi="Arial"/>
                <w:sz w:val="14"/>
                <w:szCs w:val="14"/>
                <w:color w:val="131E29"/>
              </w:rPr>
              <w:t>3</w:t>
            </w:r>
          </w:p>
        </w:tc>
        <w:tc>
          <w:tcPr>
            <w:tcW w:w="52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580" w:type="dxa"/>
            <w:vAlign w:val="bottom"/>
          </w:tcPr>
          <w:p>
            <w:pPr>
              <w:jc w:val="center"/>
              <w:ind w:right="70"/>
              <w:spacing w:after="0"/>
              <w:rPr>
                <w:sz w:val="20"/>
                <w:szCs w:val="20"/>
                <w:color w:val="auto"/>
              </w:rPr>
            </w:pPr>
            <w:r>
              <w:rPr>
                <w:rFonts w:ascii="Arial" w:cs="Arial" w:eastAsia="Arial" w:hAnsi="Arial"/>
                <w:sz w:val="14"/>
                <w:szCs w:val="14"/>
                <w:color w:val="131E29"/>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157,352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93,908</w:t>
            </w:r>
          </w:p>
        </w:tc>
        <w:tc>
          <w:tcPr>
            <w:tcW w:w="0" w:type="dxa"/>
            <w:vAlign w:val="bottom"/>
          </w:tcPr>
          <w:p>
            <w:pPr>
              <w:spacing w:after="0"/>
              <w:rPr>
                <w:sz w:val="1"/>
                <w:szCs w:val="1"/>
                <w:color w:val="auto"/>
              </w:rPr>
            </w:pPr>
          </w:p>
        </w:tc>
      </w:tr>
      <w:tr>
        <w:trPr>
          <w:trHeight w:val="221"/>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580" w:type="dxa"/>
            <w:vAlign w:val="bottom"/>
            <w:shd w:val="clear" w:color="auto" w:fill="D2DCE5"/>
          </w:tcPr>
          <w:p>
            <w:pPr>
              <w:jc w:val="center"/>
              <w:ind w:left="70"/>
              <w:spacing w:after="0"/>
              <w:rPr>
                <w:sz w:val="20"/>
                <w:szCs w:val="20"/>
                <w:color w:val="auto"/>
              </w:rPr>
            </w:pPr>
            <w:r>
              <w:rPr>
                <w:rFonts w:ascii="Arial" w:cs="Arial" w:eastAsia="Arial" w:hAnsi="Arial"/>
                <w:sz w:val="14"/>
                <w:szCs w:val="14"/>
                <w:color w:val="131E29"/>
              </w:rPr>
              <w:t>5</w:t>
            </w:r>
          </w:p>
        </w:tc>
        <w:tc>
          <w:tcPr>
            <w:tcW w:w="520" w:type="dxa"/>
            <w:vAlign w:val="bottom"/>
            <w:shd w:val="clear" w:color="auto" w:fill="D2DCE5"/>
          </w:tcPr>
          <w:p>
            <w:pPr>
              <w:jc w:val="center"/>
              <w:spacing w:after="0"/>
              <w:rPr>
                <w:sz w:val="20"/>
                <w:szCs w:val="20"/>
                <w:color w:val="auto"/>
              </w:rPr>
            </w:pPr>
            <w:r>
              <w:rPr>
                <w:rFonts w:ascii="Arial" w:cs="Arial" w:eastAsia="Arial" w:hAnsi="Arial"/>
                <w:sz w:val="8"/>
                <w:szCs w:val="8"/>
                <w:color w:val="131E29"/>
                <w:w w:val="99"/>
              </w:rPr>
              <w:t>—</w:t>
            </w:r>
          </w:p>
        </w:tc>
        <w:tc>
          <w:tcPr>
            <w:tcW w:w="580" w:type="dxa"/>
            <w:vAlign w:val="bottom"/>
            <w:shd w:val="clear" w:color="auto" w:fill="D2DCE5"/>
          </w:tcPr>
          <w:p>
            <w:pPr>
              <w:jc w:val="center"/>
              <w:ind w:right="70"/>
              <w:spacing w:after="0"/>
              <w:rPr>
                <w:sz w:val="20"/>
                <w:szCs w:val="20"/>
                <w:color w:val="auto"/>
              </w:rPr>
            </w:pPr>
            <w:r>
              <w:rPr>
                <w:rFonts w:ascii="Arial" w:cs="Arial" w:eastAsia="Arial" w:hAnsi="Arial"/>
                <w:sz w:val="14"/>
                <w:szCs w:val="14"/>
                <w:color w:val="131E29"/>
              </w:rPr>
              <w:t>15</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42,441</w:t>
            </w:r>
          </w:p>
        </w:tc>
        <w:tc>
          <w:tcPr>
            <w:tcW w:w="10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29,985</w:t>
            </w:r>
          </w:p>
        </w:tc>
        <w:tc>
          <w:tcPr>
            <w:tcW w:w="0" w:type="dxa"/>
            <w:vAlign w:val="bottom"/>
          </w:tcPr>
          <w:p>
            <w:pPr>
              <w:spacing w:after="0"/>
              <w:rPr>
                <w:sz w:val="1"/>
                <w:szCs w:val="1"/>
                <w:color w:val="auto"/>
              </w:rPr>
            </w:pPr>
          </w:p>
        </w:tc>
      </w:tr>
      <w:tr>
        <w:trPr>
          <w:trHeight w:val="202"/>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580" w:type="dxa"/>
            <w:vAlign w:val="bottom"/>
          </w:tcPr>
          <w:p>
            <w:pPr>
              <w:jc w:val="center"/>
              <w:ind w:left="70"/>
              <w:spacing w:after="0"/>
              <w:rPr>
                <w:sz w:val="20"/>
                <w:szCs w:val="20"/>
                <w:color w:val="auto"/>
              </w:rPr>
            </w:pPr>
            <w:r>
              <w:rPr>
                <w:rFonts w:ascii="Arial" w:cs="Arial" w:eastAsia="Arial" w:hAnsi="Arial"/>
                <w:sz w:val="14"/>
                <w:szCs w:val="14"/>
                <w:color w:val="131E29"/>
              </w:rPr>
              <w:t>10</w:t>
            </w:r>
          </w:p>
        </w:tc>
        <w:tc>
          <w:tcPr>
            <w:tcW w:w="52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580" w:type="dxa"/>
            <w:vAlign w:val="bottom"/>
          </w:tcPr>
          <w:p>
            <w:pPr>
              <w:jc w:val="center"/>
              <w:ind w:right="70"/>
              <w:spacing w:after="0"/>
              <w:rPr>
                <w:sz w:val="20"/>
                <w:szCs w:val="20"/>
                <w:color w:val="auto"/>
              </w:rPr>
            </w:pPr>
            <w:r>
              <w:rPr>
                <w:rFonts w:ascii="Arial" w:cs="Arial" w:eastAsia="Arial" w:hAnsi="Arial"/>
                <w:sz w:val="14"/>
                <w:szCs w:val="14"/>
                <w:color w:val="131E29"/>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269,186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158,250</w:t>
            </w:r>
          </w:p>
        </w:tc>
        <w:tc>
          <w:tcPr>
            <w:tcW w:w="0" w:type="dxa"/>
            <w:vAlign w:val="bottom"/>
          </w:tcPr>
          <w:p>
            <w:pPr>
              <w:spacing w:after="0"/>
              <w:rPr>
                <w:sz w:val="1"/>
                <w:szCs w:val="1"/>
                <w:color w:val="auto"/>
              </w:rPr>
            </w:pPr>
          </w:p>
        </w:tc>
      </w:tr>
      <w:tr>
        <w:trPr>
          <w:trHeight w:val="221"/>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Land</w:t>
            </w:r>
          </w:p>
        </w:tc>
        <w:tc>
          <w:tcPr>
            <w:tcW w:w="580" w:type="dxa"/>
            <w:vAlign w:val="bottom"/>
            <w:shd w:val="clear" w:color="auto" w:fill="D2DCE5"/>
          </w:tcPr>
          <w:p>
            <w:pPr>
              <w:spacing w:after="0"/>
              <w:rPr>
                <w:sz w:val="19"/>
                <w:szCs w:val="19"/>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5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7,338</w:t>
            </w:r>
          </w:p>
        </w:tc>
        <w:tc>
          <w:tcPr>
            <w:tcW w:w="10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7,956</w:t>
            </w:r>
          </w:p>
        </w:tc>
        <w:tc>
          <w:tcPr>
            <w:tcW w:w="0" w:type="dxa"/>
            <w:vAlign w:val="bottom"/>
          </w:tcPr>
          <w:p>
            <w:pPr>
              <w:spacing w:after="0"/>
              <w:rPr>
                <w:sz w:val="1"/>
                <w:szCs w:val="1"/>
                <w:color w:val="auto"/>
              </w:rPr>
            </w:pPr>
          </w:p>
        </w:tc>
      </w:tr>
      <w:tr>
        <w:trPr>
          <w:trHeight w:val="211"/>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 xml:space="preserve">Aircraft </w:t>
            </w:r>
            <w:r>
              <w:rPr>
                <w:rFonts w:ascii="Arial" w:cs="Arial" w:eastAsia="Arial" w:hAnsi="Arial"/>
                <w:sz w:val="18"/>
                <w:szCs w:val="18"/>
                <w:color w:val="131E29"/>
                <w:vertAlign w:val="superscript"/>
              </w:rPr>
              <w:t>1</w:t>
            </w:r>
          </w:p>
        </w:tc>
        <w:tc>
          <w:tcPr>
            <w:tcW w:w="5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131E29"/>
              </w:rPr>
              <w:t>N/A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9,195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9,195</w:t>
            </w:r>
          </w:p>
        </w:tc>
        <w:tc>
          <w:tcPr>
            <w:tcW w:w="0" w:type="dxa"/>
            <w:vAlign w:val="bottom"/>
          </w:tcPr>
          <w:p>
            <w:pPr>
              <w:spacing w:after="0"/>
              <w:rPr>
                <w:sz w:val="1"/>
                <w:szCs w:val="1"/>
                <w:color w:val="auto"/>
              </w:rPr>
            </w:pPr>
          </w:p>
        </w:tc>
      </w:tr>
      <w:tr>
        <w:trPr>
          <w:trHeight w:val="211"/>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Construction-in-progress </w:t>
            </w:r>
            <w:r>
              <w:rPr>
                <w:rFonts w:ascii="Arial" w:cs="Arial" w:eastAsia="Arial" w:hAnsi="Arial"/>
                <w:sz w:val="18"/>
                <w:szCs w:val="18"/>
                <w:color w:val="131E29"/>
                <w:vertAlign w:val="superscript"/>
              </w:rPr>
              <w:t>2</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166,054</w:t>
            </w:r>
          </w:p>
        </w:tc>
        <w:tc>
          <w:tcPr>
            <w:tcW w:w="10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131,240</w:t>
            </w:r>
          </w:p>
        </w:tc>
        <w:tc>
          <w:tcPr>
            <w:tcW w:w="0" w:type="dxa"/>
            <w:vAlign w:val="bottom"/>
          </w:tcPr>
          <w:p>
            <w:pPr>
              <w:spacing w:after="0"/>
              <w:rPr>
                <w:sz w:val="1"/>
                <w:szCs w:val="1"/>
                <w:color w:val="auto"/>
              </w:rPr>
            </w:pPr>
          </w:p>
        </w:tc>
      </w:tr>
      <w:tr>
        <w:trPr>
          <w:trHeight w:val="192"/>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Property and equipment, gross</w:t>
            </w: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658,778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437,964</w:t>
            </w:r>
          </w:p>
        </w:tc>
        <w:tc>
          <w:tcPr>
            <w:tcW w:w="0" w:type="dxa"/>
            <w:vAlign w:val="bottom"/>
          </w:tcPr>
          <w:p>
            <w:pPr>
              <w:spacing w:after="0"/>
              <w:rPr>
                <w:sz w:val="1"/>
                <w:szCs w:val="1"/>
                <w:color w:val="auto"/>
              </w:rPr>
            </w:pPr>
          </w:p>
        </w:tc>
      </w:tr>
      <w:tr>
        <w:trPr>
          <w:trHeight w:val="212"/>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accumulated depreciation</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spacing w:after="0"/>
              <w:rPr>
                <w:sz w:val="18"/>
                <w:szCs w:val="18"/>
                <w:color w:val="auto"/>
              </w:rPr>
            </w:pP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(116,338)</w:t>
            </w:r>
          </w:p>
        </w:tc>
        <w:tc>
          <w:tcPr>
            <w:tcW w:w="10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(72,496)</w:t>
            </w:r>
          </w:p>
        </w:tc>
        <w:tc>
          <w:tcPr>
            <w:tcW w:w="0" w:type="dxa"/>
            <w:vAlign w:val="bottom"/>
          </w:tcPr>
          <w:p>
            <w:pPr>
              <w:spacing w:after="0"/>
              <w:rPr>
                <w:sz w:val="1"/>
                <w:szCs w:val="1"/>
                <w:color w:val="auto"/>
              </w:rPr>
            </w:pPr>
          </w:p>
        </w:tc>
      </w:tr>
      <w:tr>
        <w:trPr>
          <w:trHeight w:val="211"/>
        </w:trPr>
        <w:tc>
          <w:tcPr>
            <w:tcW w:w="5900" w:type="dxa"/>
            <w:vAlign w:val="bottom"/>
            <w:gridSpan w:val="2"/>
          </w:tcPr>
          <w:p>
            <w:pPr>
              <w:ind w:left="100"/>
              <w:spacing w:after="0"/>
              <w:rPr>
                <w:sz w:val="20"/>
                <w:szCs w:val="20"/>
                <w:color w:val="auto"/>
              </w:rPr>
            </w:pPr>
            <w:r>
              <w:rPr>
                <w:rFonts w:ascii="Arial" w:cs="Arial" w:eastAsia="Arial" w:hAnsi="Arial"/>
                <w:sz w:val="14"/>
                <w:szCs w:val="14"/>
                <w:color w:val="131E29"/>
              </w:rPr>
              <w:t>Property and equipment, net</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131E29"/>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542,440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131E29"/>
              </w:rPr>
              <w:t>365,468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4"/>
                <w:szCs w:val="14"/>
                <w:color w:val="131E29"/>
              </w:rPr>
              <w:t>_______________</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tabs>
          <w:tab w:leader="none" w:pos="140" w:val="left"/>
        </w:tabs>
        <w:rPr>
          <w:sz w:val="20"/>
          <w:szCs w:val="20"/>
          <w:color w:val="auto"/>
        </w:rPr>
      </w:pPr>
      <w:r>
        <w:rPr>
          <w:rFonts w:ascii="Arial" w:cs="Arial" w:eastAsia="Arial" w:hAnsi="Arial"/>
          <w:sz w:val="7"/>
          <w:szCs w:val="7"/>
          <w:color w:val="auto"/>
        </w:rPr>
        <w:t>1</w:t>
      </w:r>
      <w:r>
        <w:rPr>
          <w:sz w:val="20"/>
          <w:szCs w:val="20"/>
          <w:color w:val="auto"/>
        </w:rPr>
        <w:tab/>
      </w:r>
      <w:r>
        <w:rPr>
          <w:rFonts w:ascii="Arial" w:cs="Arial" w:eastAsia="Arial" w:hAnsi="Arial"/>
          <w:sz w:val="11"/>
          <w:szCs w:val="11"/>
          <w:color w:val="auto"/>
        </w:rPr>
        <w:t>Aircraft is depreciated under the consumption method.</w:t>
      </w:r>
    </w:p>
    <w:p>
      <w:pPr>
        <w:spacing w:after="0" w:line="113" w:lineRule="exact"/>
        <w:rPr>
          <w:sz w:val="20"/>
          <w:szCs w:val="20"/>
          <w:color w:val="auto"/>
        </w:rPr>
      </w:pPr>
    </w:p>
    <w:p>
      <w:pPr>
        <w:ind w:left="120" w:hanging="115"/>
        <w:spacing w:after="0"/>
        <w:tabs>
          <w:tab w:leader="none" w:pos="120" w:val="left"/>
        </w:tabs>
        <w:numPr>
          <w:ilvl w:val="0"/>
          <w:numId w:val="71"/>
        </w:numPr>
        <w:rPr>
          <w:rFonts w:ascii="Arial" w:cs="Arial" w:eastAsia="Arial" w:hAnsi="Arial"/>
          <w:sz w:val="15"/>
          <w:szCs w:val="15"/>
          <w:color w:val="131E29"/>
          <w:vertAlign w:val="superscript"/>
        </w:rPr>
      </w:pPr>
      <w:r>
        <w:rPr>
          <w:rFonts w:ascii="Arial" w:cs="Arial" w:eastAsia="Arial" w:hAnsi="Arial"/>
          <w:sz w:val="11"/>
          <w:szCs w:val="11"/>
          <w:color w:val="131E29"/>
        </w:rPr>
        <w:t>Construction-in-progress primarily consists of construction and equipment costs for new and existing shops, as well as our new roasting facility in Texas.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131E29"/>
        </w:rPr>
        <w:t>Depreciation expense included in the Company’s consolidated statements of operations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Borders>
              <w:bottom w:val="single" w:sz="8" w:color="auto"/>
            </w:tcBorders>
          </w:tcPr>
          <w:p>
            <w:pPr>
              <w:spacing w:after="0"/>
              <w:rPr>
                <w:sz w:val="17"/>
                <w:szCs w:val="17"/>
                <w:color w:val="auto"/>
              </w:rPr>
            </w:pPr>
          </w:p>
        </w:tc>
      </w:tr>
      <w:tr>
        <w:trPr>
          <w:trHeight w:val="202"/>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08"/>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28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42,807</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26,261</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19,023</w:t>
            </w:r>
          </w:p>
        </w:tc>
      </w:tr>
      <w:tr>
        <w:trPr>
          <w:trHeight w:val="202"/>
        </w:trPr>
        <w:tc>
          <w:tcPr>
            <w:tcW w:w="71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1,634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2,705</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2,663</w:t>
            </w:r>
          </w:p>
        </w:tc>
      </w:tr>
      <w:tr>
        <w:trPr>
          <w:trHeight w:val="236"/>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depreciation expense</w:t>
            </w:r>
          </w:p>
        </w:tc>
        <w:tc>
          <w:tcPr>
            <w:tcW w:w="28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44,441</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28,966</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21,686</w:t>
            </w:r>
          </w:p>
        </w:tc>
      </w:tr>
      <w:tr>
        <w:trPr>
          <w:trHeight w:val="20"/>
        </w:trPr>
        <w:tc>
          <w:tcPr>
            <w:tcW w:w="70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No impairment charges were recognized for the three years ended December 31, 2023.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875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8" w:name="page119"/>
    <w:bookmarkEnd w:id="11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7 — Intangible Assets and Goodwill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Intangible Assets</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5120" w:type="dxa"/>
            <w:vAlign w:val="bottom"/>
            <w:gridSpan w:val="2"/>
          </w:tcPr>
          <w:p>
            <w:pPr>
              <w:spacing w:after="0"/>
              <w:rPr>
                <w:sz w:val="20"/>
                <w:szCs w:val="20"/>
                <w:color w:val="auto"/>
              </w:rPr>
            </w:pPr>
            <w:r>
              <w:rPr>
                <w:rFonts w:ascii="Arial" w:cs="Arial" w:eastAsia="Arial" w:hAnsi="Arial"/>
                <w:sz w:val="14"/>
                <w:szCs w:val="14"/>
                <w:color w:val="131E29"/>
              </w:rPr>
              <w:t>The details of the intangible assets are as follows: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131E29"/>
              </w:rPr>
              <w:t>Weighted-average amortization</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rPr>
              <w:t xml:space="preserve">period </w:t>
            </w:r>
            <w:r>
              <w:rPr>
                <w:rFonts w:ascii="Arial" w:cs="Arial" w:eastAsia="Arial" w:hAnsi="Arial"/>
                <w:sz w:val="11"/>
                <w:szCs w:val="11"/>
                <w:color w:val="131E29"/>
              </w:rPr>
              <w:t>(in years)</w:t>
            </w:r>
          </w:p>
        </w:tc>
        <w:tc>
          <w:tcPr>
            <w:tcW w:w="80" w:type="dxa"/>
            <w:vAlign w:val="bottom"/>
            <w:tcBorders>
              <w:bottom w:val="single" w:sz="8" w:color="D2DCE5"/>
            </w:tcBorders>
          </w:tcPr>
          <w:p>
            <w:pPr>
              <w:spacing w:after="0"/>
              <w:rPr>
                <w:sz w:val="17"/>
                <w:szCs w:val="17"/>
                <w:color w:val="auto"/>
              </w:rPr>
            </w:pPr>
          </w:p>
        </w:tc>
        <w:tc>
          <w:tcPr>
            <w:tcW w:w="1760" w:type="dxa"/>
            <w:vAlign w:val="bottom"/>
            <w:tcBorders>
              <w:bottom w:val="single" w:sz="8" w:color="131E29"/>
            </w:tcBorders>
            <w:gridSpan w:val="3"/>
          </w:tcPr>
          <w:p>
            <w:pPr>
              <w:jc w:val="right"/>
              <w:ind w:right="170"/>
              <w:spacing w:after="0"/>
              <w:rPr>
                <w:sz w:val="20"/>
                <w:szCs w:val="20"/>
                <w:color w:val="auto"/>
              </w:rPr>
            </w:pPr>
            <w:r>
              <w:rPr>
                <w:rFonts w:ascii="Arial" w:cs="Arial" w:eastAsia="Arial" w:hAnsi="Arial"/>
                <w:sz w:val="14"/>
                <w:szCs w:val="14"/>
                <w:b w:val="1"/>
                <w:bCs w:val="1"/>
                <w:color w:val="131E29"/>
              </w:rPr>
              <w:t>December 31, 2023</w:t>
            </w:r>
          </w:p>
        </w:tc>
        <w:tc>
          <w:tcPr>
            <w:tcW w:w="20" w:type="dxa"/>
            <w:vAlign w:val="bottom"/>
            <w:tcBorders>
              <w:bottom w:val="single" w:sz="8" w:color="131E29"/>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1580" w:type="dxa"/>
            <w:vAlign w:val="bottom"/>
            <w:tcBorders>
              <w:bottom w:val="single" w:sz="8" w:color="131E29"/>
            </w:tcBorders>
            <w:gridSpan w:val="4"/>
          </w:tcPr>
          <w:p>
            <w:pPr>
              <w:jc w:val="right"/>
              <w:ind w:right="150"/>
              <w:spacing w:after="0"/>
              <w:rPr>
                <w:sz w:val="20"/>
                <w:szCs w:val="20"/>
                <w:color w:val="auto"/>
              </w:rPr>
            </w:pPr>
            <w:r>
              <w:rPr>
                <w:rFonts w:ascii="Arial" w:cs="Arial" w:eastAsia="Arial" w:hAnsi="Arial"/>
                <w:sz w:val="14"/>
                <w:szCs w:val="14"/>
                <w:b w:val="1"/>
                <w:bCs w:val="1"/>
                <w:color w:val="131E29"/>
              </w:rPr>
              <w:t>December 31, 2022</w:t>
            </w:r>
          </w:p>
        </w:tc>
        <w:tc>
          <w:tcPr>
            <w:tcW w:w="0" w:type="dxa"/>
            <w:vAlign w:val="bottom"/>
          </w:tcPr>
          <w:p>
            <w:pPr>
              <w:spacing w:after="0"/>
              <w:rPr>
                <w:sz w:val="1"/>
                <w:szCs w:val="1"/>
                <w:color w:val="auto"/>
              </w:rPr>
            </w:pPr>
          </w:p>
        </w:tc>
      </w:tr>
      <w:tr>
        <w:trPr>
          <w:trHeight w:val="208"/>
        </w:trPr>
        <w:tc>
          <w:tcPr>
            <w:tcW w:w="5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Reacquired franchise rights</w:t>
            </w:r>
          </w:p>
        </w:tc>
        <w:tc>
          <w:tcPr>
            <w:tcW w:w="1940" w:type="dxa"/>
            <w:vAlign w:val="bottom"/>
            <w:shd w:val="clear" w:color="auto" w:fill="D2DCE5"/>
          </w:tcPr>
          <w:p>
            <w:pPr>
              <w:jc w:val="center"/>
              <w:ind w:left="470"/>
              <w:spacing w:after="0"/>
              <w:rPr>
                <w:sz w:val="20"/>
                <w:szCs w:val="20"/>
                <w:color w:val="auto"/>
              </w:rPr>
            </w:pPr>
            <w:r>
              <w:rPr>
                <w:rFonts w:ascii="Arial" w:cs="Arial" w:eastAsia="Arial" w:hAnsi="Arial"/>
                <w:sz w:val="14"/>
                <w:szCs w:val="14"/>
                <w:color w:val="131E29"/>
              </w:rPr>
              <w:t>3.10</w:t>
            </w:r>
          </w:p>
        </w:tc>
        <w:tc>
          <w:tcPr>
            <w:tcW w:w="100" w:type="dxa"/>
            <w:vAlign w:val="bottom"/>
            <w:shd w:val="clear" w:color="auto" w:fill="D2DCE5"/>
          </w:tcPr>
          <w:p>
            <w:pPr>
              <w:spacing w:after="0"/>
              <w:rPr>
                <w:sz w:val="18"/>
                <w:szCs w:val="18"/>
                <w:color w:val="auto"/>
              </w:rPr>
            </w:pPr>
          </w:p>
        </w:tc>
        <w:tc>
          <w:tcPr>
            <w:tcW w:w="460" w:type="dxa"/>
            <w:vAlign w:val="bottom"/>
            <w:shd w:val="clear" w:color="auto" w:fill="D2DCE5"/>
          </w:tcPr>
          <w:p>
            <w:pPr>
              <w:spacing w:after="0"/>
              <w:rPr>
                <w:sz w:val="18"/>
                <w:szCs w:val="18"/>
                <w:color w:val="auto"/>
              </w:rPr>
            </w:pPr>
          </w:p>
        </w:tc>
        <w:tc>
          <w:tcPr>
            <w:tcW w:w="860" w:type="dxa"/>
            <w:vAlign w:val="bottom"/>
            <w:gridSpan w:val="2"/>
            <w:shd w:val="clear" w:color="auto" w:fill="D2DCE5"/>
          </w:tcPr>
          <w:p>
            <w:pPr>
              <w:jc w:val="right"/>
              <w:ind w:right="6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9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27,049</w:t>
            </w:r>
          </w:p>
        </w:tc>
        <w:tc>
          <w:tcPr>
            <w:tcW w:w="240" w:type="dxa"/>
            <w:vAlign w:val="bottom"/>
            <w:gridSpan w:val="4"/>
            <w:shd w:val="clear" w:color="auto" w:fill="D2DCE5"/>
          </w:tcPr>
          <w:p>
            <w:pPr>
              <w:jc w:val="right"/>
              <w:ind w:right="40"/>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27,049</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accumulated amortization</w:t>
            </w:r>
          </w:p>
        </w:tc>
        <w:tc>
          <w:tcPr>
            <w:tcW w:w="19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color w:val="131E29"/>
                <w:w w:val="99"/>
              </w:rPr>
              <w:t>(21,634)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(18,245)</w:t>
            </w:r>
          </w:p>
        </w:tc>
        <w:tc>
          <w:tcPr>
            <w:tcW w:w="0" w:type="dxa"/>
            <w:vAlign w:val="bottom"/>
          </w:tcPr>
          <w:p>
            <w:pPr>
              <w:spacing w:after="0"/>
              <w:rPr>
                <w:sz w:val="1"/>
                <w:szCs w:val="1"/>
                <w:color w:val="auto"/>
              </w:rPr>
            </w:pPr>
          </w:p>
        </w:tc>
      </w:tr>
      <w:tr>
        <w:trPr>
          <w:trHeight w:val="231"/>
        </w:trPr>
        <w:tc>
          <w:tcPr>
            <w:tcW w:w="512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Intangibles, net</w:t>
            </w:r>
          </w:p>
        </w:tc>
        <w:tc>
          <w:tcPr>
            <w:tcW w:w="1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60" w:type="dxa"/>
            <w:vAlign w:val="bottom"/>
            <w:shd w:val="clear" w:color="auto" w:fill="D2DCE5"/>
          </w:tcPr>
          <w:p>
            <w:pPr>
              <w:spacing w:after="0"/>
              <w:rPr>
                <w:sz w:val="20"/>
                <w:szCs w:val="20"/>
                <w:color w:val="auto"/>
              </w:rPr>
            </w:pPr>
          </w:p>
        </w:tc>
        <w:tc>
          <w:tcPr>
            <w:tcW w:w="860" w:type="dxa"/>
            <w:vAlign w:val="bottom"/>
            <w:gridSpan w:val="2"/>
            <w:shd w:val="clear" w:color="auto" w:fill="D2DCE5"/>
          </w:tcPr>
          <w:p>
            <w:pPr>
              <w:jc w:val="right"/>
              <w:ind w:right="6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5,415</w:t>
            </w:r>
          </w:p>
        </w:tc>
        <w:tc>
          <w:tcPr>
            <w:tcW w:w="240" w:type="dxa"/>
            <w:vAlign w:val="bottom"/>
            <w:gridSpan w:val="4"/>
            <w:shd w:val="clear" w:color="auto" w:fill="D2DCE5"/>
          </w:tcPr>
          <w:p>
            <w:pPr>
              <w:jc w:val="right"/>
              <w:ind w:right="40"/>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8,804</w:t>
            </w:r>
          </w:p>
        </w:tc>
        <w:tc>
          <w:tcPr>
            <w:tcW w:w="0" w:type="dxa"/>
            <w:vAlign w:val="bottom"/>
          </w:tcPr>
          <w:p>
            <w:pPr>
              <w:spacing w:after="0"/>
              <w:rPr>
                <w:sz w:val="1"/>
                <w:szCs w:val="1"/>
                <w:color w:val="auto"/>
              </w:rPr>
            </w:pPr>
          </w:p>
        </w:tc>
      </w:tr>
      <w:tr>
        <w:trPr>
          <w:trHeight w:val="20"/>
        </w:trPr>
        <w:tc>
          <w:tcPr>
            <w:tcW w:w="7620" w:type="dxa"/>
            <w:vAlign w:val="bottom"/>
            <w:tcBorders>
              <w:top w:val="single" w:sz="8" w:color="D2DCE5"/>
              <w:bottom w:val="single" w:sz="8" w:color="D2DCE5"/>
            </w:tcBorders>
            <w:gridSpan w:val="5"/>
            <w:vMerge w:val="restart"/>
          </w:tcPr>
          <w:p>
            <w:pPr>
              <w:spacing w:after="0"/>
              <w:rPr>
                <w:sz w:val="20"/>
                <w:szCs w:val="20"/>
                <w:color w:val="auto"/>
              </w:rPr>
            </w:pPr>
            <w:r>
              <w:rPr>
                <w:rFonts w:ascii="Arial" w:cs="Arial" w:eastAsia="Arial" w:hAnsi="Arial"/>
                <w:sz w:val="14"/>
                <w:szCs w:val="14"/>
                <w:color w:val="131E29"/>
              </w:rPr>
              <w:t>Amortization expense included in the Company’s consolidated statements of operations was as follows:</w:t>
            </w:r>
          </w:p>
        </w:tc>
        <w:tc>
          <w:tcPr>
            <w:tcW w:w="80" w:type="dxa"/>
            <w:vAlign w:val="bottom"/>
            <w:tcBorders>
              <w:top w:val="single" w:sz="8" w:color="D2DCE5"/>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62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center"/>
              <w:ind w:left="390"/>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194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900" w:type="dxa"/>
            <w:vAlign w:val="bottom"/>
            <w:tcBorders>
              <w:bottom w:val="single" w:sz="8" w:color="auto"/>
            </w:tcBorders>
          </w:tcPr>
          <w:p>
            <w:pPr>
              <w:jc w:val="center"/>
              <w:ind w:left="350"/>
              <w:spacing w:after="0"/>
              <w:rPr>
                <w:sz w:val="20"/>
                <w:szCs w:val="20"/>
                <w:color w:val="auto"/>
              </w:rPr>
            </w:pPr>
            <w:r>
              <w:rPr>
                <w:rFonts w:ascii="Arial" w:cs="Arial" w:eastAsia="Arial" w:hAnsi="Arial"/>
                <w:sz w:val="14"/>
                <w:szCs w:val="14"/>
                <w:b w:val="1"/>
                <w:bCs w:val="1"/>
                <w:color w:val="131E29"/>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c>
          <w:tcPr>
            <w:tcW w:w="0" w:type="dxa"/>
            <w:vAlign w:val="bottom"/>
          </w:tcPr>
          <w:p>
            <w:pPr>
              <w:spacing w:after="0"/>
              <w:rPr>
                <w:sz w:val="1"/>
                <w:szCs w:val="1"/>
                <w:color w:val="auto"/>
              </w:rPr>
            </w:pPr>
          </w:p>
        </w:tc>
      </w:tr>
      <w:tr>
        <w:trPr>
          <w:trHeight w:val="228"/>
        </w:trPr>
        <w:tc>
          <w:tcPr>
            <w:tcW w:w="5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2500" w:type="dxa"/>
            <w:vAlign w:val="bottom"/>
            <w:gridSpan w:val="3"/>
            <w:shd w:val="clear" w:color="auto" w:fill="D2DCE5"/>
          </w:tcPr>
          <w:p>
            <w:pPr>
              <w:jc w:val="right"/>
              <w:ind w:right="380"/>
              <w:spacing w:after="0"/>
              <w:rPr>
                <w:sz w:val="20"/>
                <w:szCs w:val="20"/>
                <w:color w:val="auto"/>
              </w:rPr>
            </w:pPr>
            <w:r>
              <w:rPr>
                <w:rFonts w:ascii="Arial" w:cs="Arial" w:eastAsia="Arial" w:hAnsi="Arial"/>
                <w:sz w:val="14"/>
                <w:szCs w:val="14"/>
                <w:color w:val="131E29"/>
              </w:rPr>
              <w:t>$</w:t>
            </w:r>
          </w:p>
        </w:tc>
        <w:tc>
          <w:tcPr>
            <w:tcW w:w="8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3,389</w:t>
            </w:r>
          </w:p>
        </w:tc>
        <w:tc>
          <w:tcPr>
            <w:tcW w:w="80" w:type="dxa"/>
            <w:vAlign w:val="bottom"/>
            <w:shd w:val="clear" w:color="auto" w:fill="D2DCE5"/>
          </w:tcPr>
          <w:p>
            <w:pPr>
              <w:spacing w:after="0"/>
              <w:rPr>
                <w:sz w:val="19"/>
                <w:szCs w:val="19"/>
                <w:color w:val="auto"/>
              </w:rPr>
            </w:pPr>
          </w:p>
        </w:tc>
        <w:tc>
          <w:tcPr>
            <w:tcW w:w="900" w:type="dxa"/>
            <w:vAlign w:val="bottom"/>
            <w:shd w:val="clear" w:color="auto" w:fill="D2DCE5"/>
          </w:tcPr>
          <w:p>
            <w:pPr>
              <w:jc w:val="right"/>
              <w:ind w:right="750"/>
              <w:spacing w:after="0"/>
              <w:rPr>
                <w:sz w:val="20"/>
                <w:szCs w:val="20"/>
                <w:color w:val="auto"/>
              </w:rPr>
            </w:pPr>
            <w:r>
              <w:rPr>
                <w:rFonts w:ascii="Arial" w:cs="Arial" w:eastAsia="Arial" w:hAnsi="Arial"/>
                <w:sz w:val="14"/>
                <w:szCs w:val="14"/>
                <w:color w:val="131E29"/>
                <w:w w:val="76"/>
              </w:rPr>
              <w:t>$</w:t>
            </w:r>
          </w:p>
        </w:tc>
        <w:tc>
          <w:tcPr>
            <w:tcW w:w="420" w:type="dxa"/>
            <w:vAlign w:val="bottom"/>
            <w:gridSpan w:val="5"/>
            <w:shd w:val="clear" w:color="auto" w:fill="D2DCE5"/>
          </w:tcPr>
          <w:p>
            <w:pPr>
              <w:jc w:val="right"/>
              <w:spacing w:after="0"/>
              <w:rPr>
                <w:sz w:val="20"/>
                <w:szCs w:val="20"/>
                <w:color w:val="auto"/>
              </w:rPr>
            </w:pPr>
            <w:r>
              <w:rPr>
                <w:rFonts w:ascii="Arial" w:cs="Arial" w:eastAsia="Arial" w:hAnsi="Arial"/>
                <w:sz w:val="14"/>
                <w:szCs w:val="14"/>
                <w:color w:val="131E29"/>
                <w:w w:val="96"/>
              </w:rPr>
              <w:t>4,034</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3,531</w:t>
            </w:r>
          </w:p>
        </w:tc>
        <w:tc>
          <w:tcPr>
            <w:tcW w:w="0" w:type="dxa"/>
            <w:vAlign w:val="bottom"/>
          </w:tcPr>
          <w:p>
            <w:pPr>
              <w:spacing w:after="0"/>
              <w:rPr>
                <w:sz w:val="1"/>
                <w:szCs w:val="1"/>
                <w:color w:val="auto"/>
              </w:rPr>
            </w:pPr>
          </w:p>
        </w:tc>
      </w:tr>
      <w:tr>
        <w:trPr>
          <w:trHeight w:val="20"/>
        </w:trPr>
        <w:tc>
          <w:tcPr>
            <w:tcW w:w="7060" w:type="dxa"/>
            <w:vAlign w:val="bottom"/>
            <w:tcBorders>
              <w:top w:val="single" w:sz="8" w:color="D2DCE5"/>
            </w:tcBorders>
            <w:gridSpan w:val="3"/>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620" w:type="dxa"/>
            <w:vAlign w:val="bottom"/>
            <w:gridSpan w:val="5"/>
          </w:tcPr>
          <w:p>
            <w:pPr>
              <w:spacing w:after="0"/>
              <w:rPr>
                <w:sz w:val="20"/>
                <w:szCs w:val="20"/>
                <w:color w:val="auto"/>
              </w:rPr>
            </w:pPr>
            <w:r>
              <w:rPr>
                <w:rFonts w:ascii="Arial" w:cs="Arial" w:eastAsia="Arial" w:hAnsi="Arial"/>
                <w:sz w:val="14"/>
                <w:szCs w:val="14"/>
                <w:color w:val="131E29"/>
              </w:rPr>
              <w:t>The estimated future amortization expense of the reacquired franchise rights as of December 31, 2023 is as follows: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20" w:type="dxa"/>
            <w:vAlign w:val="bottom"/>
            <w:tcBorders>
              <w:bottom w:val="single" w:sz="8" w:color="131E29"/>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194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46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78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900" w:type="dxa"/>
            <w:vAlign w:val="bottom"/>
            <w:tcBorders>
              <w:bottom w:val="single" w:sz="8" w:color="131E29"/>
            </w:tcBorders>
          </w:tcPr>
          <w:p>
            <w:pPr>
              <w:spacing w:after="0"/>
              <w:rPr>
                <w:sz w:val="24"/>
                <w:szCs w:val="24"/>
                <w:color w:val="auto"/>
              </w:rPr>
            </w:pPr>
          </w:p>
        </w:tc>
        <w:tc>
          <w:tcPr>
            <w:tcW w:w="2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40" w:type="dxa"/>
            <w:vAlign w:val="bottom"/>
            <w:tcBorders>
              <w:bottom w:val="single" w:sz="8" w:color="131E29"/>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2024</w:t>
            </w:r>
          </w:p>
        </w:tc>
        <w:tc>
          <w:tcPr>
            <w:tcW w:w="100" w:type="dxa"/>
            <w:vAlign w:val="bottom"/>
            <w:shd w:val="clear" w:color="auto" w:fill="D2DCE5"/>
          </w:tcPr>
          <w:p>
            <w:pPr>
              <w:spacing w:after="0"/>
              <w:rPr>
                <w:sz w:val="18"/>
                <w:szCs w:val="18"/>
                <w:color w:val="auto"/>
              </w:rPr>
            </w:pPr>
          </w:p>
        </w:tc>
        <w:tc>
          <w:tcPr>
            <w:tcW w:w="1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c>
          <w:tcPr>
            <w:tcW w:w="420" w:type="dxa"/>
            <w:vAlign w:val="bottom"/>
            <w:gridSpan w:val="5"/>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2,469</w:t>
            </w: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1,435</w:t>
            </w:r>
          </w:p>
        </w:tc>
        <w:tc>
          <w:tcPr>
            <w:tcW w:w="0" w:type="dxa"/>
            <w:vAlign w:val="bottom"/>
          </w:tcPr>
          <w:p>
            <w:pPr>
              <w:spacing w:after="0"/>
              <w:rPr>
                <w:sz w:val="1"/>
                <w:szCs w:val="1"/>
                <w:color w:val="auto"/>
              </w:rPr>
            </w:pPr>
          </w:p>
        </w:tc>
      </w:tr>
      <w:tr>
        <w:trPr>
          <w:trHeight w:val="221"/>
        </w:trPr>
        <w:tc>
          <w:tcPr>
            <w:tcW w:w="50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shd w:val="clear" w:color="auto" w:fill="D2DCE5"/>
          </w:tcPr>
          <w:p>
            <w:pPr>
              <w:spacing w:after="0"/>
              <w:rPr>
                <w:sz w:val="19"/>
                <w:szCs w:val="19"/>
                <w:color w:val="auto"/>
              </w:rPr>
            </w:pPr>
          </w:p>
        </w:tc>
        <w:tc>
          <w:tcPr>
            <w:tcW w:w="1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681</w:t>
            </w: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383</w:t>
            </w:r>
          </w:p>
        </w:tc>
        <w:tc>
          <w:tcPr>
            <w:tcW w:w="0" w:type="dxa"/>
            <w:vAlign w:val="bottom"/>
          </w:tcPr>
          <w:p>
            <w:pPr>
              <w:spacing w:after="0"/>
              <w:rPr>
                <w:sz w:val="1"/>
                <w:szCs w:val="1"/>
                <w:color w:val="auto"/>
              </w:rPr>
            </w:pPr>
          </w:p>
        </w:tc>
      </w:tr>
      <w:tr>
        <w:trPr>
          <w:trHeight w:val="221"/>
        </w:trPr>
        <w:tc>
          <w:tcPr>
            <w:tcW w:w="50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2028</w:t>
            </w:r>
          </w:p>
        </w:tc>
        <w:tc>
          <w:tcPr>
            <w:tcW w:w="100" w:type="dxa"/>
            <w:vAlign w:val="bottom"/>
            <w:shd w:val="clear" w:color="auto" w:fill="D2DCE5"/>
          </w:tcPr>
          <w:p>
            <w:pPr>
              <w:spacing w:after="0"/>
              <w:rPr>
                <w:sz w:val="19"/>
                <w:szCs w:val="19"/>
                <w:color w:val="auto"/>
              </w:rPr>
            </w:pPr>
          </w:p>
        </w:tc>
        <w:tc>
          <w:tcPr>
            <w:tcW w:w="1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247</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19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7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00" w:type="dxa"/>
            <w:vAlign w:val="bottom"/>
            <w:tcBorders>
              <w:bottom w:val="single" w:sz="8" w:color="D2DCE5"/>
            </w:tcBorders>
          </w:tcPr>
          <w:p>
            <w:pPr>
              <w:spacing w:after="0"/>
              <w:rPr>
                <w:sz w:val="17"/>
                <w:szCs w:val="17"/>
                <w:color w:val="auto"/>
              </w:rPr>
            </w:pPr>
          </w:p>
        </w:tc>
        <w:tc>
          <w:tcPr>
            <w:tcW w:w="2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00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200</w:t>
            </w:r>
          </w:p>
        </w:tc>
        <w:tc>
          <w:tcPr>
            <w:tcW w:w="0" w:type="dxa"/>
            <w:vAlign w:val="bottom"/>
          </w:tcPr>
          <w:p>
            <w:pPr>
              <w:spacing w:after="0"/>
              <w:rPr>
                <w:sz w:val="1"/>
                <w:szCs w:val="1"/>
                <w:color w:val="auto"/>
              </w:rPr>
            </w:pPr>
          </w:p>
        </w:tc>
      </w:tr>
      <w:tr>
        <w:trPr>
          <w:trHeight w:val="231"/>
        </w:trPr>
        <w:tc>
          <w:tcPr>
            <w:tcW w:w="512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Total</w:t>
            </w:r>
          </w:p>
        </w:tc>
        <w:tc>
          <w:tcPr>
            <w:tcW w:w="1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spacing w:after="0"/>
              <w:rPr>
                <w:sz w:val="20"/>
                <w:szCs w:val="20"/>
                <w:color w:val="auto"/>
              </w:rPr>
            </w:pPr>
          </w:p>
        </w:tc>
        <w:tc>
          <w:tcPr>
            <w:tcW w:w="420" w:type="dxa"/>
            <w:vAlign w:val="bottom"/>
            <w:gridSpan w:val="5"/>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5,415</w:t>
            </w:r>
          </w:p>
        </w:tc>
        <w:tc>
          <w:tcPr>
            <w:tcW w:w="0" w:type="dxa"/>
            <w:vAlign w:val="bottom"/>
          </w:tcPr>
          <w:p>
            <w:pPr>
              <w:spacing w:after="0"/>
              <w:rPr>
                <w:sz w:val="1"/>
                <w:szCs w:val="1"/>
                <w:color w:val="auto"/>
              </w:rPr>
            </w:pPr>
          </w:p>
        </w:tc>
      </w:tr>
      <w:tr>
        <w:trPr>
          <w:trHeight w:val="20"/>
        </w:trPr>
        <w:tc>
          <w:tcPr>
            <w:tcW w:w="512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b w:val="1"/>
                <w:bCs w:val="1"/>
                <w:i w:val="1"/>
                <w:iCs w:val="1"/>
                <w:color w:val="006098"/>
              </w:rPr>
              <w:t>Goodwill</w:t>
            </w:r>
          </w:p>
        </w:tc>
        <w:tc>
          <w:tcPr>
            <w:tcW w:w="19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Borders>
              <w:top w:val="single" w:sz="8" w:color="131E29"/>
              <w:bottom w:val="single" w:sz="8" w:color="131E29"/>
            </w:tcBorders>
          </w:tcPr>
          <w:p>
            <w:pPr>
              <w:spacing w:after="0" w:line="20" w:lineRule="exact"/>
              <w:rPr>
                <w:sz w:val="1"/>
                <w:szCs w:val="1"/>
                <w:color w:val="auto"/>
              </w:rPr>
            </w:pPr>
          </w:p>
        </w:tc>
        <w:tc>
          <w:tcPr>
            <w:tcW w:w="320" w:type="dxa"/>
            <w:vAlign w:val="bottom"/>
            <w:tcBorders>
              <w:top w:val="single" w:sz="8" w:color="131E29"/>
              <w:bottom w:val="single" w:sz="8" w:color="131E29"/>
            </w:tcBorders>
          </w:tcPr>
          <w:p>
            <w:pPr>
              <w:spacing w:after="0" w:line="20" w:lineRule="exact"/>
              <w:rPr>
                <w:sz w:val="1"/>
                <w:szCs w:val="1"/>
                <w:color w:val="auto"/>
              </w:rPr>
            </w:pPr>
          </w:p>
        </w:tc>
        <w:tc>
          <w:tcPr>
            <w:tcW w:w="1000" w:type="dxa"/>
            <w:vAlign w:val="bottom"/>
            <w:tcBorders>
              <w:top w:val="single" w:sz="8" w:color="131E29"/>
              <w:bottom w:val="single" w:sz="8" w:color="131E2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20" w:type="dxa"/>
            <w:vAlign w:val="bottom"/>
            <w:gridSpan w:val="2"/>
          </w:tcPr>
          <w:p>
            <w:pPr>
              <w:spacing w:after="0"/>
              <w:rPr>
                <w:sz w:val="20"/>
                <w:szCs w:val="20"/>
                <w:color w:val="auto"/>
              </w:rPr>
            </w:pPr>
            <w:r>
              <w:rPr>
                <w:rFonts w:ascii="Arial" w:cs="Arial" w:eastAsia="Arial" w:hAnsi="Arial"/>
                <w:sz w:val="14"/>
                <w:szCs w:val="14"/>
                <w:color w:val="131E29"/>
              </w:rPr>
              <w:t>The carrying amount and activity of goodwill was as follows: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1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D2DC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2021</w:t>
            </w:r>
          </w:p>
        </w:tc>
        <w:tc>
          <w:tcPr>
            <w:tcW w:w="1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c>
          <w:tcPr>
            <w:tcW w:w="420" w:type="dxa"/>
            <w:vAlign w:val="bottom"/>
            <w:gridSpan w:val="5"/>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18,715</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Business combinations</w:t>
            </w:r>
          </w:p>
        </w:tc>
        <w:tc>
          <w:tcPr>
            <w:tcW w:w="19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7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00" w:type="dxa"/>
            <w:vAlign w:val="bottom"/>
            <w:tcBorders>
              <w:bottom w:val="single" w:sz="8" w:color="D2DCE5"/>
            </w:tcBorders>
          </w:tcPr>
          <w:p>
            <w:pPr>
              <w:spacing w:after="0"/>
              <w:rPr>
                <w:sz w:val="17"/>
                <w:szCs w:val="17"/>
                <w:color w:val="auto"/>
              </w:rPr>
            </w:pPr>
          </w:p>
        </w:tc>
        <w:tc>
          <w:tcPr>
            <w:tcW w:w="2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2,914</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2022</w:t>
            </w:r>
          </w:p>
        </w:tc>
        <w:tc>
          <w:tcPr>
            <w:tcW w:w="1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c>
          <w:tcPr>
            <w:tcW w:w="420" w:type="dxa"/>
            <w:vAlign w:val="bottom"/>
            <w:gridSpan w:val="5"/>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21,629</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Business combinations</w:t>
            </w:r>
          </w:p>
        </w:tc>
        <w:tc>
          <w:tcPr>
            <w:tcW w:w="19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7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00" w:type="dxa"/>
            <w:vAlign w:val="bottom"/>
            <w:tcBorders>
              <w:bottom w:val="single" w:sz="8" w:color="D2DCE5"/>
            </w:tcBorders>
          </w:tcPr>
          <w:p>
            <w:pPr>
              <w:spacing w:after="0"/>
              <w:rPr>
                <w:sz w:val="17"/>
                <w:szCs w:val="17"/>
                <w:color w:val="auto"/>
              </w:rPr>
            </w:pPr>
          </w:p>
        </w:tc>
        <w:tc>
          <w:tcPr>
            <w:tcW w:w="2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31"/>
        </w:trPr>
        <w:tc>
          <w:tcPr>
            <w:tcW w:w="51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2023</w:t>
            </w:r>
          </w:p>
        </w:tc>
        <w:tc>
          <w:tcPr>
            <w:tcW w:w="1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spacing w:after="0"/>
              <w:rPr>
                <w:sz w:val="20"/>
                <w:szCs w:val="20"/>
                <w:color w:val="auto"/>
              </w:rPr>
            </w:pPr>
          </w:p>
        </w:tc>
        <w:tc>
          <w:tcPr>
            <w:tcW w:w="420" w:type="dxa"/>
            <w:vAlign w:val="bottom"/>
            <w:gridSpan w:val="5"/>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21,629</w:t>
            </w:r>
          </w:p>
        </w:tc>
        <w:tc>
          <w:tcPr>
            <w:tcW w:w="0" w:type="dxa"/>
            <w:vAlign w:val="bottom"/>
          </w:tcPr>
          <w:p>
            <w:pPr>
              <w:spacing w:after="0"/>
              <w:rPr>
                <w:sz w:val="1"/>
                <w:szCs w:val="1"/>
                <w:color w:val="auto"/>
              </w:rPr>
            </w:pPr>
          </w:p>
        </w:tc>
      </w:tr>
      <w:tr>
        <w:trPr>
          <w:trHeight w:val="20"/>
        </w:trPr>
        <w:tc>
          <w:tcPr>
            <w:tcW w:w="50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9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No impairment charges were recognized for the three years ended December 31, 2023.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8 — Leases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875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9" w:name="page120"/>
    <w:bookmarkEnd w:id="1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A summary of finance and operating lease right-of-use assets and lease liabilities as of December 31, 2023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131E29"/>
              </w:rPr>
              <w:t>December 31,</w:t>
            </w:r>
          </w:p>
        </w:tc>
        <w:tc>
          <w:tcPr>
            <w:tcW w:w="300" w:type="dxa"/>
            <w:vAlign w:val="bottom"/>
          </w:tcPr>
          <w:p>
            <w:pPr>
              <w:spacing w:after="0"/>
              <w:rPr>
                <w:sz w:val="14"/>
                <w:szCs w:val="14"/>
                <w:color w:val="auto"/>
              </w:rPr>
            </w:pPr>
          </w:p>
        </w:tc>
        <w:tc>
          <w:tcPr>
            <w:tcW w:w="1640" w:type="dxa"/>
            <w:vAlign w:val="bottom"/>
          </w:tcPr>
          <w:p>
            <w:pPr>
              <w:jc w:val="right"/>
              <w:ind w:right="430"/>
              <w:spacing w:after="0"/>
              <w:rPr>
                <w:sz w:val="20"/>
                <w:szCs w:val="20"/>
                <w:color w:val="auto"/>
              </w:rPr>
            </w:pPr>
            <w:r>
              <w:rPr>
                <w:rFonts w:ascii="Arial" w:cs="Arial" w:eastAsia="Arial" w:hAnsi="Arial"/>
                <w:sz w:val="14"/>
                <w:szCs w:val="14"/>
                <w:b w:val="1"/>
                <w:bCs w:val="1"/>
                <w:color w:val="131E29"/>
              </w:rPr>
              <w:t>December 31,</w:t>
            </w:r>
          </w:p>
        </w:tc>
      </w:tr>
      <w:tr>
        <w:trPr>
          <w:trHeight w:val="19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41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131E29"/>
              </w:rPr>
              <w:t>Balance Sheet Classification</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131E29"/>
              </w:rPr>
              <w:t>2022</w:t>
            </w:r>
          </w:p>
        </w:tc>
      </w:tr>
      <w:tr>
        <w:trPr>
          <w:trHeight w:val="208"/>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w:t>
            </w:r>
          </w:p>
        </w:tc>
        <w:tc>
          <w:tcPr>
            <w:tcW w:w="41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r>
      <w:tr>
        <w:trPr>
          <w:trHeight w:val="202"/>
        </w:trPr>
        <w:tc>
          <w:tcPr>
            <w:tcW w:w="308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4260" w:type="dxa"/>
            <w:vAlign w:val="bottom"/>
            <w:gridSpan w:val="2"/>
          </w:tcPr>
          <w:p>
            <w:pPr>
              <w:ind w:left="20"/>
              <w:spacing w:after="0"/>
              <w:rPr>
                <w:sz w:val="20"/>
                <w:szCs w:val="20"/>
                <w:color w:val="auto"/>
              </w:rPr>
            </w:pPr>
            <w:r>
              <w:rPr>
                <w:rFonts w:ascii="Arial" w:cs="Arial" w:eastAsia="Arial" w:hAnsi="Arial"/>
                <w:sz w:val="14"/>
                <w:szCs w:val="14"/>
                <w:color w:val="131E29"/>
              </w:rPr>
              <w:t>Finance lease right-of-use assets, net</w:t>
            </w: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382,734</w:t>
            </w:r>
          </w:p>
        </w:tc>
        <w:tc>
          <w:tcPr>
            <w:tcW w:w="80" w:type="dxa"/>
            <w:vAlign w:val="bottom"/>
          </w:tcPr>
          <w:p>
            <w:pPr>
              <w:spacing w:after="0"/>
              <w:rPr>
                <w:sz w:val="17"/>
                <w:szCs w:val="17"/>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247,943</w:t>
            </w:r>
          </w:p>
        </w:tc>
      </w:tr>
      <w:tr>
        <w:trPr>
          <w:trHeight w:val="212"/>
        </w:trPr>
        <w:tc>
          <w:tcPr>
            <w:tcW w:w="30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4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Operating lease right-of-use assets, net</w:t>
            </w:r>
          </w:p>
        </w:tc>
        <w:tc>
          <w:tcPr>
            <w:tcW w:w="3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199,673</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169,302</w:t>
            </w:r>
          </w:p>
        </w:tc>
      </w:tr>
      <w:tr>
        <w:trPr>
          <w:trHeight w:val="211"/>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right-of-use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582,407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417,245</w:t>
            </w:r>
          </w:p>
        </w:tc>
      </w:tr>
      <w:tr>
        <w:trPr>
          <w:trHeight w:val="20"/>
        </w:trPr>
        <w:tc>
          <w:tcPr>
            <w:tcW w:w="30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1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2"/>
        </w:trPr>
        <w:tc>
          <w:tcPr>
            <w:tcW w:w="30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41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1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1640" w:type="dxa"/>
            <w:vAlign w:val="bottom"/>
            <w:shd w:val="clear" w:color="auto" w:fill="D2DCE5"/>
          </w:tcPr>
          <w:p>
            <w:pPr>
              <w:spacing w:after="0"/>
              <w:rPr>
                <w:sz w:val="14"/>
                <w:szCs w:val="14"/>
                <w:color w:val="auto"/>
              </w:rPr>
            </w:pPr>
          </w:p>
        </w:tc>
      </w:tr>
      <w:tr>
        <w:trPr>
          <w:trHeight w:val="206"/>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131E29"/>
              </w:rPr>
              <w:t>Lease liabilities</w:t>
            </w: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7"/>
        </w:trPr>
        <w:tc>
          <w:tcPr>
            <w:tcW w:w="30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Finance leases</w:t>
            </w:r>
          </w:p>
        </w:tc>
        <w:tc>
          <w:tcPr>
            <w:tcW w:w="4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Current portion of finance lease liabilities</w:t>
            </w:r>
          </w:p>
        </w:tc>
        <w:tc>
          <w:tcPr>
            <w:tcW w:w="30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9,482</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7,971</w:t>
            </w:r>
          </w:p>
        </w:tc>
      </w:tr>
      <w:tr>
        <w:trPr>
          <w:trHeight w:val="202"/>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gridSpan w:val="2"/>
          </w:tcPr>
          <w:p>
            <w:pPr>
              <w:ind w:left="20"/>
              <w:spacing w:after="0"/>
              <w:rPr>
                <w:sz w:val="20"/>
                <w:szCs w:val="20"/>
                <w:color w:val="auto"/>
              </w:rPr>
            </w:pPr>
            <w:r>
              <w:rPr>
                <w:rFonts w:ascii="Arial" w:cs="Arial" w:eastAsia="Arial" w:hAnsi="Arial"/>
                <w:sz w:val="14"/>
                <w:szCs w:val="14"/>
                <w:color w:val="131E29"/>
              </w:rPr>
              <w:t>Finance lease liabilities, net of current portion</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367,775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237,130</w:t>
            </w:r>
          </w:p>
        </w:tc>
      </w:tr>
      <w:tr>
        <w:trPr>
          <w:trHeight w:val="221"/>
        </w:trPr>
        <w:tc>
          <w:tcPr>
            <w:tcW w:w="30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spacing w:after="0"/>
              <w:rPr>
                <w:sz w:val="19"/>
                <w:szCs w:val="19"/>
                <w:color w:val="auto"/>
              </w:rPr>
            </w:pPr>
          </w:p>
        </w:tc>
      </w:tr>
      <w:tr>
        <w:trPr>
          <w:trHeight w:val="202"/>
        </w:trPr>
        <w:tc>
          <w:tcPr>
            <w:tcW w:w="3080" w:type="dxa"/>
            <w:vAlign w:val="bottom"/>
            <w:gridSpan w:val="2"/>
          </w:tcPr>
          <w:p>
            <w:pPr>
              <w:ind w:left="140"/>
              <w:spacing w:after="0"/>
              <w:rPr>
                <w:sz w:val="20"/>
                <w:szCs w:val="20"/>
                <w:color w:val="auto"/>
              </w:rPr>
            </w:pPr>
            <w:r>
              <w:rPr>
                <w:rFonts w:ascii="Arial" w:cs="Arial" w:eastAsia="Arial" w:hAnsi="Arial"/>
                <w:sz w:val="14"/>
                <w:szCs w:val="14"/>
                <w:color w:val="131E29"/>
              </w:rPr>
              <w:t>Operating leases</w:t>
            </w:r>
          </w:p>
        </w:tc>
        <w:tc>
          <w:tcPr>
            <w:tcW w:w="4260" w:type="dxa"/>
            <w:vAlign w:val="bottom"/>
            <w:gridSpan w:val="2"/>
          </w:tcPr>
          <w:p>
            <w:pPr>
              <w:ind w:left="20"/>
              <w:spacing w:after="0"/>
              <w:rPr>
                <w:sz w:val="20"/>
                <w:szCs w:val="20"/>
                <w:color w:val="auto"/>
              </w:rPr>
            </w:pPr>
            <w:r>
              <w:rPr>
                <w:rFonts w:ascii="Arial" w:cs="Arial" w:eastAsia="Arial" w:hAnsi="Arial"/>
                <w:sz w:val="14"/>
                <w:szCs w:val="14"/>
                <w:color w:val="131E29"/>
              </w:rPr>
              <w:t>Current portion of 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10,239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9,317</w:t>
            </w:r>
          </w:p>
        </w:tc>
      </w:tr>
      <w:tr>
        <w:trPr>
          <w:trHeight w:val="212"/>
        </w:trPr>
        <w:tc>
          <w:tcPr>
            <w:tcW w:w="30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Operating lease liabilities, net of current portion</w:t>
            </w:r>
          </w:p>
        </w:tc>
        <w:tc>
          <w:tcPr>
            <w:tcW w:w="3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191,419</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161,228</w:t>
            </w:r>
          </w:p>
        </w:tc>
      </w:tr>
      <w:tr>
        <w:trPr>
          <w:trHeight w:val="211"/>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lease liabilities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578,915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415,646</w:t>
            </w: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gridSpan w:val="2"/>
          </w:tcPr>
          <w:p>
            <w:pPr>
              <w:spacing w:after="0"/>
              <w:rPr>
                <w:sz w:val="20"/>
                <w:szCs w:val="20"/>
                <w:color w:val="auto"/>
              </w:rPr>
            </w:pPr>
            <w:r>
              <w:rPr>
                <w:rFonts w:ascii="Arial" w:cs="Arial" w:eastAsia="Arial" w:hAnsi="Arial"/>
                <w:sz w:val="14"/>
                <w:szCs w:val="14"/>
                <w:color w:val="131E29"/>
              </w:rPr>
              <w:t>The components of lease cost were as follows for the periods presented:</w:t>
            </w:r>
          </w:p>
        </w:tc>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52"/>
        </w:trPr>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131E29"/>
              </w:rPr>
              <w:t>Year Ended December 31,</w:t>
            </w:r>
          </w:p>
        </w:tc>
      </w:tr>
      <w:tr>
        <w:trPr>
          <w:trHeight w:val="202"/>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131E29"/>
              </w:rPr>
              <w:t>Statement of Operations Classification</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2022</w:t>
            </w:r>
          </w:p>
        </w:tc>
      </w:tr>
      <w:tr>
        <w:trPr>
          <w:trHeight w:val="208"/>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Finance lease cost</w:t>
            </w:r>
          </w:p>
        </w:tc>
        <w:tc>
          <w:tcPr>
            <w:tcW w:w="30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r>
      <w:tr>
        <w:trPr>
          <w:trHeight w:val="202"/>
        </w:trPr>
        <w:tc>
          <w:tcPr>
            <w:tcW w:w="5620" w:type="dxa"/>
            <w:vAlign w:val="bottom"/>
            <w:gridSpan w:val="2"/>
          </w:tcPr>
          <w:p>
            <w:pPr>
              <w:ind w:left="140"/>
              <w:spacing w:after="0"/>
              <w:rPr>
                <w:sz w:val="20"/>
                <w:szCs w:val="20"/>
                <w:color w:val="auto"/>
              </w:rPr>
            </w:pPr>
            <w:r>
              <w:rPr>
                <w:rFonts w:ascii="Arial" w:cs="Arial" w:eastAsia="Arial" w:hAnsi="Arial"/>
                <w:sz w:val="14"/>
                <w:szCs w:val="14"/>
                <w:color w:val="131E29"/>
              </w:rPr>
              <w:t>Amortization of right-of-use assets</w:t>
            </w:r>
          </w:p>
        </w:tc>
        <w:tc>
          <w:tcPr>
            <w:tcW w:w="316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240" w:type="dxa"/>
            <w:vAlign w:val="bottom"/>
          </w:tcPr>
          <w:p>
            <w:pPr>
              <w:jc w:val="right"/>
              <w:ind w:right="70"/>
              <w:spacing w:after="0"/>
              <w:rPr>
                <w:sz w:val="20"/>
                <w:szCs w:val="20"/>
                <w:color w:val="auto"/>
              </w:rPr>
            </w:pPr>
            <w:r>
              <w:rPr>
                <w:rFonts w:ascii="Arial" w:cs="Arial" w:eastAsia="Arial" w:hAnsi="Arial"/>
                <w:sz w:val="14"/>
                <w:szCs w:val="14"/>
                <w:color w:val="131E29"/>
              </w:rPr>
              <w:t>$</w:t>
            </w:r>
          </w:p>
        </w:tc>
        <w:tc>
          <w:tcPr>
            <w:tcW w:w="980" w:type="dxa"/>
            <w:vAlign w:val="bottom"/>
          </w:tcPr>
          <w:p>
            <w:pPr>
              <w:jc w:val="right"/>
              <w:spacing w:after="0"/>
              <w:rPr>
                <w:sz w:val="20"/>
                <w:szCs w:val="20"/>
                <w:color w:val="auto"/>
              </w:rPr>
            </w:pPr>
            <w:r>
              <w:rPr>
                <w:rFonts w:ascii="Arial" w:cs="Arial" w:eastAsia="Arial" w:hAnsi="Arial"/>
                <w:sz w:val="14"/>
                <w:szCs w:val="14"/>
                <w:color w:val="131E29"/>
              </w:rPr>
              <w:t>21,305</w:t>
            </w:r>
          </w:p>
        </w:tc>
        <w:tc>
          <w:tcPr>
            <w:tcW w:w="80" w:type="dxa"/>
            <w:vAlign w:val="bottom"/>
          </w:tcPr>
          <w:p>
            <w:pPr>
              <w:spacing w:after="0"/>
              <w:rPr>
                <w:sz w:val="17"/>
                <w:szCs w:val="17"/>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11,728</w:t>
            </w:r>
          </w:p>
        </w:tc>
      </w:tr>
      <w:tr>
        <w:trPr>
          <w:trHeight w:val="221"/>
        </w:trPr>
        <w:tc>
          <w:tcPr>
            <w:tcW w:w="562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Interest on lease liabilities</w:t>
            </w:r>
          </w:p>
        </w:tc>
        <w:tc>
          <w:tcPr>
            <w:tcW w:w="3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w:t>
            </w:r>
          </w:p>
        </w:tc>
        <w:tc>
          <w:tcPr>
            <w:tcW w:w="240" w:type="dxa"/>
            <w:vAlign w:val="bottom"/>
            <w:tcBorders>
              <w:bottom w:val="single" w:sz="8" w:color="auto"/>
            </w:tcBorders>
            <w:shd w:val="clear" w:color="auto" w:fill="D2DCE5"/>
          </w:tcPr>
          <w:p>
            <w:pPr>
              <w:spacing w:after="0"/>
              <w:rPr>
                <w:sz w:val="19"/>
                <w:szCs w:val="19"/>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17,516</w:t>
            </w:r>
          </w:p>
        </w:tc>
        <w:tc>
          <w:tcPr>
            <w:tcW w:w="8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9,263</w:t>
            </w:r>
          </w:p>
        </w:tc>
      </w:tr>
      <w:tr>
        <w:trPr>
          <w:trHeight w:val="192"/>
        </w:trPr>
        <w:tc>
          <w:tcPr>
            <w:tcW w:w="5620" w:type="dxa"/>
            <w:vAlign w:val="bottom"/>
            <w:gridSpan w:val="2"/>
          </w:tcPr>
          <w:p>
            <w:pPr>
              <w:ind w:left="280"/>
              <w:spacing w:after="0"/>
              <w:rPr>
                <w:sz w:val="20"/>
                <w:szCs w:val="20"/>
                <w:color w:val="auto"/>
              </w:rPr>
            </w:pPr>
            <w:r>
              <w:rPr>
                <w:rFonts w:ascii="Arial" w:cs="Arial" w:eastAsia="Arial" w:hAnsi="Arial"/>
                <w:sz w:val="14"/>
                <w:szCs w:val="14"/>
                <w:color w:val="131E29"/>
              </w:rPr>
              <w:t>Total finance lease cost</w:t>
            </w:r>
          </w:p>
        </w:tc>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38,821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20,991</w:t>
            </w:r>
          </w:p>
        </w:tc>
      </w:tr>
      <w:tr>
        <w:trPr>
          <w:trHeight w:val="221"/>
        </w:trPr>
        <w:tc>
          <w:tcPr>
            <w:tcW w:w="55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r>
      <w:tr>
        <w:trPr>
          <w:trHeight w:val="202"/>
        </w:trPr>
        <w:tc>
          <w:tcPr>
            <w:tcW w:w="5620" w:type="dxa"/>
            <w:vAlign w:val="bottom"/>
            <w:gridSpan w:val="2"/>
          </w:tcPr>
          <w:p>
            <w:pPr>
              <w:ind w:left="20"/>
              <w:spacing w:after="0"/>
              <w:rPr>
                <w:sz w:val="20"/>
                <w:szCs w:val="20"/>
                <w:color w:val="auto"/>
              </w:rPr>
            </w:pPr>
            <w:r>
              <w:rPr>
                <w:rFonts w:ascii="Arial" w:cs="Arial" w:eastAsia="Arial" w:hAnsi="Arial"/>
                <w:sz w:val="14"/>
                <w:szCs w:val="14"/>
                <w:color w:val="131E29"/>
              </w:rPr>
              <w:t>Operating lease cost</w:t>
            </w:r>
          </w:p>
        </w:tc>
        <w:tc>
          <w:tcPr>
            <w:tcW w:w="316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19,440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16,465</w:t>
            </w:r>
          </w:p>
        </w:tc>
      </w:tr>
      <w:tr>
        <w:trPr>
          <w:trHeight w:val="221"/>
        </w:trPr>
        <w:tc>
          <w:tcPr>
            <w:tcW w:w="55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r>
      <w:tr>
        <w:trPr>
          <w:trHeight w:val="202"/>
        </w:trPr>
        <w:tc>
          <w:tcPr>
            <w:tcW w:w="56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Variable lease cost</w:t>
            </w:r>
          </w:p>
        </w:tc>
        <w:tc>
          <w:tcPr>
            <w:tcW w:w="31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Cost of sales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5,216</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3,979</w:t>
            </w:r>
          </w:p>
        </w:tc>
      </w:tr>
      <w:tr>
        <w:trPr>
          <w:trHeight w:val="236"/>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Total lease cost</w:t>
            </w:r>
          </w:p>
        </w:tc>
        <w:tc>
          <w:tcPr>
            <w:tcW w:w="308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63,477</w:t>
            </w:r>
          </w:p>
        </w:tc>
        <w:tc>
          <w:tcPr>
            <w:tcW w:w="8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41,435</w:t>
            </w:r>
          </w:p>
        </w:tc>
      </w:tr>
      <w:tr>
        <w:trPr>
          <w:trHeight w:val="20"/>
        </w:trPr>
        <w:tc>
          <w:tcPr>
            <w:tcW w:w="55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75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0" w:name="page121"/>
    <w:bookmarkEnd w:id="1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gridSpan w:val="2"/>
          </w:tcPr>
          <w:p>
            <w:pPr>
              <w:spacing w:after="0"/>
              <w:rPr>
                <w:sz w:val="20"/>
                <w:szCs w:val="20"/>
                <w:color w:val="auto"/>
              </w:rPr>
            </w:pPr>
            <w:r>
              <w:rPr>
                <w:rFonts w:ascii="Arial" w:cs="Arial" w:eastAsia="Arial" w:hAnsi="Arial"/>
                <w:sz w:val="14"/>
                <w:szCs w:val="14"/>
                <w:color w:val="131E29"/>
              </w:rPr>
              <w:t>Future minimum lease payments for finance and operating lease liabilities as of December 31, 2023 are as follows: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734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31E29"/>
              </w:rPr>
              <w:t>Finance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570"/>
              <w:spacing w:after="0"/>
              <w:rPr>
                <w:sz w:val="20"/>
                <w:szCs w:val="20"/>
                <w:color w:val="auto"/>
              </w:rPr>
            </w:pPr>
            <w:r>
              <w:rPr>
                <w:rFonts w:ascii="Arial" w:cs="Arial" w:eastAsia="Arial" w:hAnsi="Arial"/>
                <w:sz w:val="14"/>
                <w:szCs w:val="14"/>
                <w:b w:val="1"/>
                <w:bCs w:val="1"/>
                <w:color w:val="131E29"/>
              </w:rPr>
              <w:t>Operating</w:t>
            </w:r>
          </w:p>
        </w:tc>
        <w:tc>
          <w:tcPr>
            <w:tcW w:w="0" w:type="dxa"/>
            <w:vAlign w:val="bottom"/>
          </w:tcPr>
          <w:p>
            <w:pPr>
              <w:spacing w:after="0"/>
              <w:rPr>
                <w:sz w:val="1"/>
                <w:szCs w:val="1"/>
                <w:color w:val="auto"/>
              </w:rPr>
            </w:pPr>
          </w:p>
        </w:tc>
      </w:tr>
      <w:tr>
        <w:trPr>
          <w:trHeight w:val="208"/>
        </w:trPr>
        <w:tc>
          <w:tcPr>
            <w:tcW w:w="724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2024</w:t>
            </w:r>
          </w:p>
        </w:tc>
        <w:tc>
          <w:tcPr>
            <w:tcW w:w="100" w:type="dxa"/>
            <w:vAlign w:val="bottom"/>
            <w:tcBorders>
              <w:top w:val="single" w:sz="8" w:color="D2DCE5"/>
            </w:tcBorders>
            <w:shd w:val="clear" w:color="auto" w:fill="D2DCE5"/>
          </w:tcPr>
          <w:p>
            <w:pPr>
              <w:spacing w:after="0"/>
              <w:rPr>
                <w:sz w:val="18"/>
                <w:szCs w:val="18"/>
                <w:color w:val="auto"/>
              </w:rPr>
            </w:pPr>
          </w:p>
        </w:tc>
        <w:tc>
          <w:tcPr>
            <w:tcW w:w="160" w:type="dxa"/>
            <w:vAlign w:val="bottom"/>
            <w:tcBorders>
              <w:top w:val="single" w:sz="8" w:color="auto"/>
            </w:tcBorders>
            <w:gridSpan w:val="2"/>
            <w:shd w:val="clear" w:color="auto" w:fill="D2DCE5"/>
          </w:tcPr>
          <w:p>
            <w:pPr>
              <w:jc w:val="right"/>
              <w:ind w:right="80"/>
              <w:spacing w:after="0"/>
              <w:rPr>
                <w:sz w:val="20"/>
                <w:szCs w:val="20"/>
                <w:color w:val="auto"/>
              </w:rPr>
            </w:pPr>
            <w:r>
              <w:rPr>
                <w:rFonts w:ascii="Arial" w:cs="Arial" w:eastAsia="Arial" w:hAnsi="Arial"/>
                <w:sz w:val="14"/>
                <w:szCs w:val="14"/>
                <w:color w:val="131E29"/>
                <w:w w:val="76"/>
              </w:rPr>
              <w:t>$</w:t>
            </w:r>
          </w:p>
        </w:tc>
        <w:tc>
          <w:tcPr>
            <w:tcW w:w="48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auto"/>
            </w:tcBorders>
            <w:shd w:val="clear" w:color="auto" w:fill="D2DCE5"/>
          </w:tcPr>
          <w:p>
            <w:pPr>
              <w:spacing w:after="0"/>
              <w:rPr>
                <w:sz w:val="18"/>
                <w:szCs w:val="18"/>
                <w:color w:val="auto"/>
              </w:rPr>
            </w:pPr>
          </w:p>
        </w:tc>
        <w:tc>
          <w:tcPr>
            <w:tcW w:w="560" w:type="dxa"/>
            <w:vAlign w:val="bottom"/>
            <w:tcBorders>
              <w:top w:val="single" w:sz="8" w:color="auto"/>
            </w:tcBorders>
            <w:shd w:val="clear" w:color="auto" w:fill="D2DCE5"/>
          </w:tcPr>
          <w:p>
            <w:pPr>
              <w:spacing w:after="0"/>
              <w:rPr>
                <w:sz w:val="18"/>
                <w:szCs w:val="18"/>
                <w:color w:val="auto"/>
              </w:rPr>
            </w:pPr>
          </w:p>
        </w:tc>
        <w:tc>
          <w:tcPr>
            <w:tcW w:w="64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31,006</w:t>
            </w:r>
          </w:p>
        </w:tc>
        <w:tc>
          <w:tcPr>
            <w:tcW w:w="80" w:type="dxa"/>
            <w:vAlign w:val="bottom"/>
            <w:tcBorders>
              <w:top w:val="single" w:sz="8" w:color="D2DCE5"/>
            </w:tcBorders>
            <w:shd w:val="clear" w:color="auto" w:fill="D2DCE5"/>
          </w:tcPr>
          <w:p>
            <w:pPr>
              <w:spacing w:after="0"/>
              <w:rPr>
                <w:sz w:val="18"/>
                <w:szCs w:val="18"/>
                <w:color w:val="auto"/>
              </w:rPr>
            </w:pPr>
          </w:p>
        </w:tc>
        <w:tc>
          <w:tcPr>
            <w:tcW w:w="300" w:type="dxa"/>
            <w:vAlign w:val="bottom"/>
            <w:tcBorders>
              <w:top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80" w:type="dxa"/>
            <w:vAlign w:val="bottom"/>
            <w:tcBorders>
              <w:top w:val="single" w:sz="8" w:color="auto"/>
            </w:tcBorders>
            <w:shd w:val="clear" w:color="auto" w:fill="D2DCE5"/>
          </w:tcPr>
          <w:p>
            <w:pPr>
              <w:spacing w:after="0"/>
              <w:rPr>
                <w:sz w:val="18"/>
                <w:szCs w:val="18"/>
                <w:color w:val="auto"/>
              </w:rPr>
            </w:pPr>
          </w:p>
        </w:tc>
        <w:tc>
          <w:tcPr>
            <w:tcW w:w="140" w:type="dxa"/>
            <w:vAlign w:val="bottom"/>
            <w:tcBorders>
              <w:top w:val="single" w:sz="8" w:color="auto"/>
            </w:tcBorders>
            <w:shd w:val="clear" w:color="auto" w:fill="D2DCE5"/>
          </w:tcPr>
          <w:p>
            <w:pPr>
              <w:spacing w:after="0"/>
              <w:rPr>
                <w:sz w:val="18"/>
                <w:szCs w:val="18"/>
                <w:color w:val="auto"/>
              </w:rPr>
            </w:pPr>
          </w:p>
        </w:tc>
        <w:tc>
          <w:tcPr>
            <w:tcW w:w="142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19,553</w:t>
            </w: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131E29"/>
              </w:rPr>
              <w:t>33,550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131E29"/>
              </w:rPr>
              <w:t>20,181</w:t>
            </w:r>
          </w:p>
        </w:tc>
        <w:tc>
          <w:tcPr>
            <w:tcW w:w="0" w:type="dxa"/>
            <w:vAlign w:val="bottom"/>
          </w:tcPr>
          <w:p>
            <w:pPr>
              <w:spacing w:after="0"/>
              <w:rPr>
                <w:sz w:val="1"/>
                <w:szCs w:val="1"/>
                <w:color w:val="auto"/>
              </w:rPr>
            </w:pPr>
          </w:p>
        </w:tc>
      </w:tr>
      <w:tr>
        <w:trPr>
          <w:trHeight w:val="221"/>
        </w:trPr>
        <w:tc>
          <w:tcPr>
            <w:tcW w:w="724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33,856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19,844</w:t>
            </w: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131E29"/>
              </w:rPr>
              <w:t>34,533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131E29"/>
              </w:rPr>
              <w:t>18,942</w:t>
            </w:r>
          </w:p>
        </w:tc>
        <w:tc>
          <w:tcPr>
            <w:tcW w:w="0" w:type="dxa"/>
            <w:vAlign w:val="bottom"/>
          </w:tcPr>
          <w:p>
            <w:pPr>
              <w:spacing w:after="0"/>
              <w:rPr>
                <w:sz w:val="1"/>
                <w:szCs w:val="1"/>
                <w:color w:val="auto"/>
              </w:rPr>
            </w:pPr>
          </w:p>
        </w:tc>
      </w:tr>
      <w:tr>
        <w:trPr>
          <w:trHeight w:val="221"/>
        </w:trPr>
        <w:tc>
          <w:tcPr>
            <w:tcW w:w="724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2028</w:t>
            </w: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35,610</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18,355</w:t>
            </w:r>
          </w:p>
        </w:tc>
        <w:tc>
          <w:tcPr>
            <w:tcW w:w="0" w:type="dxa"/>
            <w:vAlign w:val="bottom"/>
          </w:tcPr>
          <w:p>
            <w:pPr>
              <w:spacing w:after="0"/>
              <w:rPr>
                <w:sz w:val="1"/>
                <w:szCs w:val="1"/>
                <w:color w:val="auto"/>
              </w:rPr>
            </w:pPr>
          </w:p>
        </w:tc>
      </w:tr>
      <w:tr>
        <w:trPr>
          <w:trHeight w:val="202"/>
        </w:trPr>
        <w:tc>
          <w:tcPr>
            <w:tcW w:w="7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433,244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191,530</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w:t>
            </w:r>
          </w:p>
        </w:tc>
        <w:tc>
          <w:tcPr>
            <w:tcW w:w="160" w:type="dxa"/>
            <w:vAlign w:val="bottom"/>
            <w:tcBorders>
              <w:bottom w:val="single" w:sz="8" w:color="auto"/>
            </w:tcBorders>
            <w:gridSpan w:val="2"/>
            <w:shd w:val="clear" w:color="auto" w:fill="D2DCE5"/>
          </w:tcPr>
          <w:p>
            <w:pPr>
              <w:jc w:val="right"/>
              <w:ind w:right="80"/>
              <w:spacing w:after="0"/>
              <w:rPr>
                <w:sz w:val="20"/>
                <w:szCs w:val="20"/>
                <w:color w:val="auto"/>
              </w:rPr>
            </w:pPr>
            <w:r>
              <w:rPr>
                <w:rFonts w:ascii="Arial" w:cs="Arial" w:eastAsia="Arial" w:hAnsi="Arial"/>
                <w:sz w:val="14"/>
                <w:szCs w:val="14"/>
                <w:color w:val="131E29"/>
                <w:w w:val="76"/>
              </w:rPr>
              <w:t>$</w:t>
            </w:r>
          </w:p>
        </w:tc>
        <w:tc>
          <w:tcPr>
            <w:tcW w:w="480" w:type="dxa"/>
            <w:vAlign w:val="bottom"/>
            <w:tcBorders>
              <w:bottom w:val="single" w:sz="8" w:color="auto"/>
            </w:tcBorders>
            <w:shd w:val="clear" w:color="auto" w:fill="D2DCE5"/>
          </w:tcPr>
          <w:p>
            <w:pPr>
              <w:spacing w:after="0"/>
              <w:rPr>
                <w:sz w:val="20"/>
                <w:szCs w:val="20"/>
                <w:color w:val="auto"/>
              </w:rPr>
            </w:pPr>
          </w:p>
        </w:tc>
        <w:tc>
          <w:tcPr>
            <w:tcW w:w="80" w:type="dxa"/>
            <w:vAlign w:val="bottom"/>
            <w:tcBorders>
              <w:bottom w:val="single" w:sz="8" w:color="auto"/>
            </w:tcBorders>
            <w:shd w:val="clear" w:color="auto" w:fill="D2DCE5"/>
          </w:tcPr>
          <w:p>
            <w:pPr>
              <w:spacing w:after="0"/>
              <w:rPr>
                <w:sz w:val="20"/>
                <w:szCs w:val="20"/>
                <w:color w:val="auto"/>
              </w:rPr>
            </w:pPr>
          </w:p>
        </w:tc>
        <w:tc>
          <w:tcPr>
            <w:tcW w:w="560" w:type="dxa"/>
            <w:vAlign w:val="bottom"/>
            <w:tcBorders>
              <w:bottom w:val="single" w:sz="8" w:color="auto"/>
            </w:tcBorders>
            <w:shd w:val="clear" w:color="auto" w:fill="D2DCE5"/>
          </w:tcPr>
          <w:p>
            <w:pPr>
              <w:spacing w:after="0"/>
              <w:rPr>
                <w:sz w:val="20"/>
                <w:szCs w:val="20"/>
                <w:color w:val="auto"/>
              </w:rPr>
            </w:pPr>
          </w:p>
        </w:tc>
        <w:tc>
          <w:tcPr>
            <w:tcW w:w="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601,799</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auto"/>
            </w:tcBorders>
            <w:shd w:val="clear" w:color="auto" w:fill="D2DCE5"/>
          </w:tcPr>
          <w:p>
            <w:pPr>
              <w:spacing w:after="0"/>
              <w:rPr>
                <w:sz w:val="20"/>
                <w:szCs w:val="20"/>
                <w:color w:val="auto"/>
              </w:rPr>
            </w:pPr>
          </w:p>
        </w:tc>
        <w:tc>
          <w:tcPr>
            <w:tcW w:w="140" w:type="dxa"/>
            <w:vAlign w:val="bottom"/>
            <w:tcBorders>
              <w:bottom w:val="single" w:sz="8" w:color="auto"/>
            </w:tcBorders>
            <w:shd w:val="clear" w:color="auto" w:fill="D2DCE5"/>
          </w:tcPr>
          <w:p>
            <w:pPr>
              <w:spacing w:after="0"/>
              <w:rPr>
                <w:sz w:val="20"/>
                <w:szCs w:val="20"/>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288,405</w:t>
            </w:r>
          </w:p>
        </w:tc>
        <w:tc>
          <w:tcPr>
            <w:tcW w:w="0" w:type="dxa"/>
            <w:vAlign w:val="bottom"/>
          </w:tcPr>
          <w:p>
            <w:pPr>
              <w:spacing w:after="0"/>
              <w:rPr>
                <w:sz w:val="1"/>
                <w:szCs w:val="1"/>
                <w:color w:val="auto"/>
              </w:rPr>
            </w:pPr>
          </w:p>
        </w:tc>
      </w:tr>
      <w:tr>
        <w:trPr>
          <w:trHeight w:val="20"/>
        </w:trPr>
        <w:tc>
          <w:tcPr>
            <w:tcW w:w="734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Less: imputed interest</w:t>
            </w:r>
          </w:p>
        </w:tc>
        <w:tc>
          <w:tcPr>
            <w:tcW w:w="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c>
          <w:tcPr>
            <w:tcW w:w="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40" w:type="dxa"/>
            <w:vAlign w:val="bottom"/>
            <w:tcBorders>
              <w:bottom w:val="single" w:sz="8" w:color="D2DCE5"/>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(224,542)</w:t>
            </w:r>
          </w:p>
        </w:tc>
        <w:tc>
          <w:tcPr>
            <w:tcW w:w="80" w:type="dxa"/>
            <w:vAlign w:val="bottom"/>
            <w:tcBorders>
              <w:bottom w:val="single" w:sz="8" w:color="D2DCE5"/>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(86,747)</w:t>
            </w:r>
          </w:p>
        </w:tc>
        <w:tc>
          <w:tcPr>
            <w:tcW w:w="0" w:type="dxa"/>
            <w:vAlign w:val="bottom"/>
          </w:tcPr>
          <w:p>
            <w:pPr>
              <w:spacing w:after="0"/>
              <w:rPr>
                <w:sz w:val="1"/>
                <w:szCs w:val="1"/>
                <w:color w:val="auto"/>
              </w:rPr>
            </w:pPr>
          </w:p>
        </w:tc>
      </w:tr>
      <w:tr>
        <w:trPr>
          <w:trHeight w:val="21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Present value of minimum lease payments</w:t>
            </w: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377,257</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201,658</w:t>
            </w:r>
          </w:p>
        </w:tc>
        <w:tc>
          <w:tcPr>
            <w:tcW w:w="0" w:type="dxa"/>
            <w:vAlign w:val="bottom"/>
          </w:tcPr>
          <w:p>
            <w:pPr>
              <w:spacing w:after="0"/>
              <w:rPr>
                <w:sz w:val="1"/>
                <w:szCs w:val="1"/>
                <w:color w:val="auto"/>
              </w:rPr>
            </w:pPr>
          </w:p>
        </w:tc>
      </w:tr>
      <w:tr>
        <w:trPr>
          <w:trHeight w:val="202"/>
        </w:trPr>
        <w:tc>
          <w:tcPr>
            <w:tcW w:w="7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(9,482)</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(10,239)</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Lease liabilities, net of current portion</w:t>
            </w:r>
          </w:p>
        </w:tc>
        <w:tc>
          <w:tcPr>
            <w:tcW w:w="160" w:type="dxa"/>
            <w:vAlign w:val="bottom"/>
            <w:tcBorders>
              <w:bottom w:val="single" w:sz="8" w:color="auto"/>
            </w:tcBorders>
            <w:gridSpan w:val="2"/>
            <w:shd w:val="clear" w:color="auto" w:fill="D2DCE5"/>
          </w:tcPr>
          <w:p>
            <w:pPr>
              <w:jc w:val="right"/>
              <w:ind w:right="80"/>
              <w:spacing w:after="0"/>
              <w:rPr>
                <w:sz w:val="20"/>
                <w:szCs w:val="20"/>
                <w:color w:val="auto"/>
              </w:rPr>
            </w:pPr>
            <w:r>
              <w:rPr>
                <w:rFonts w:ascii="Arial" w:cs="Arial" w:eastAsia="Arial" w:hAnsi="Arial"/>
                <w:sz w:val="14"/>
                <w:szCs w:val="14"/>
                <w:color w:val="131E29"/>
                <w:w w:val="76"/>
              </w:rPr>
              <w:t>$</w:t>
            </w:r>
          </w:p>
        </w:tc>
        <w:tc>
          <w:tcPr>
            <w:tcW w:w="480" w:type="dxa"/>
            <w:vAlign w:val="bottom"/>
            <w:tcBorders>
              <w:bottom w:val="single" w:sz="8" w:color="auto"/>
            </w:tcBorders>
            <w:shd w:val="clear" w:color="auto" w:fill="D2DCE5"/>
          </w:tcPr>
          <w:p>
            <w:pPr>
              <w:spacing w:after="0"/>
              <w:rPr>
                <w:sz w:val="20"/>
                <w:szCs w:val="20"/>
                <w:color w:val="auto"/>
              </w:rPr>
            </w:pPr>
          </w:p>
        </w:tc>
        <w:tc>
          <w:tcPr>
            <w:tcW w:w="80" w:type="dxa"/>
            <w:vAlign w:val="bottom"/>
            <w:tcBorders>
              <w:bottom w:val="single" w:sz="8" w:color="auto"/>
            </w:tcBorders>
            <w:shd w:val="clear" w:color="auto" w:fill="D2DCE5"/>
          </w:tcPr>
          <w:p>
            <w:pPr>
              <w:spacing w:after="0"/>
              <w:rPr>
                <w:sz w:val="20"/>
                <w:szCs w:val="20"/>
                <w:color w:val="auto"/>
              </w:rPr>
            </w:pPr>
          </w:p>
        </w:tc>
        <w:tc>
          <w:tcPr>
            <w:tcW w:w="560" w:type="dxa"/>
            <w:vAlign w:val="bottom"/>
            <w:tcBorders>
              <w:bottom w:val="single" w:sz="8" w:color="auto"/>
            </w:tcBorders>
            <w:shd w:val="clear" w:color="auto" w:fill="D2DCE5"/>
          </w:tcPr>
          <w:p>
            <w:pPr>
              <w:spacing w:after="0"/>
              <w:rPr>
                <w:sz w:val="20"/>
                <w:szCs w:val="20"/>
                <w:color w:val="auto"/>
              </w:rPr>
            </w:pPr>
          </w:p>
        </w:tc>
        <w:tc>
          <w:tcPr>
            <w:tcW w:w="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367,775</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auto"/>
            </w:tcBorders>
            <w:shd w:val="clear" w:color="auto" w:fill="D2DCE5"/>
          </w:tcPr>
          <w:p>
            <w:pPr>
              <w:spacing w:after="0"/>
              <w:rPr>
                <w:sz w:val="20"/>
                <w:szCs w:val="20"/>
                <w:color w:val="auto"/>
              </w:rPr>
            </w:pPr>
          </w:p>
        </w:tc>
        <w:tc>
          <w:tcPr>
            <w:tcW w:w="140" w:type="dxa"/>
            <w:vAlign w:val="bottom"/>
            <w:tcBorders>
              <w:bottom w:val="single" w:sz="8" w:color="auto"/>
            </w:tcBorders>
            <w:shd w:val="clear" w:color="auto" w:fill="D2DCE5"/>
          </w:tcPr>
          <w:p>
            <w:pPr>
              <w:spacing w:after="0"/>
              <w:rPr>
                <w:sz w:val="20"/>
                <w:szCs w:val="20"/>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191,419</w:t>
            </w:r>
          </w:p>
        </w:tc>
        <w:tc>
          <w:tcPr>
            <w:tcW w:w="0" w:type="dxa"/>
            <w:vAlign w:val="bottom"/>
          </w:tcPr>
          <w:p>
            <w:pPr>
              <w:spacing w:after="0"/>
              <w:rPr>
                <w:sz w:val="1"/>
                <w:szCs w:val="1"/>
                <w:color w:val="auto"/>
              </w:rPr>
            </w:pPr>
          </w:p>
        </w:tc>
      </w:tr>
      <w:tr>
        <w:trPr>
          <w:trHeight w:val="20"/>
        </w:trPr>
        <w:tc>
          <w:tcPr>
            <w:tcW w:w="734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color w:val="131E29"/>
              </w:rPr>
              <w:t>A summary of lease terms and discount rates for finance and operating leases is as follows:</w:t>
            </w:r>
          </w:p>
        </w:tc>
        <w:tc>
          <w:tcPr>
            <w:tcW w:w="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c>
          <w:tcPr>
            <w:tcW w:w="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3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131E29"/>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410"/>
              <w:spacing w:after="0"/>
              <w:rPr>
                <w:sz w:val="20"/>
                <w:szCs w:val="20"/>
                <w:color w:val="auto"/>
              </w:rPr>
            </w:pPr>
            <w:r>
              <w:rPr>
                <w:rFonts w:ascii="Arial" w:cs="Arial" w:eastAsia="Arial" w:hAnsi="Arial"/>
                <w:sz w:val="14"/>
                <w:szCs w:val="14"/>
                <w:b w:val="1"/>
                <w:bCs w:val="1"/>
                <w:color w:val="131E29"/>
              </w:rPr>
              <w:t>December 31,</w:t>
            </w:r>
          </w:p>
        </w:tc>
        <w:tc>
          <w:tcPr>
            <w:tcW w:w="0" w:type="dxa"/>
            <w:vAlign w:val="bottom"/>
          </w:tcPr>
          <w:p>
            <w:pPr>
              <w:spacing w:after="0"/>
              <w:rPr>
                <w:sz w:val="1"/>
                <w:szCs w:val="1"/>
                <w:color w:val="auto"/>
              </w:rPr>
            </w:pPr>
          </w:p>
        </w:tc>
      </w:tr>
      <w:tr>
        <w:trPr>
          <w:trHeight w:val="199"/>
        </w:trPr>
        <w:tc>
          <w:tcPr>
            <w:tcW w:w="7240" w:type="dxa"/>
            <w:vAlign w:val="bottom"/>
            <w:tcBorders>
              <w:bottom w:val="single" w:sz="8" w:color="131E29"/>
            </w:tcBorders>
          </w:tcPr>
          <w:p>
            <w:pPr>
              <w:spacing w:after="0"/>
              <w:rPr>
                <w:sz w:val="17"/>
                <w:szCs w:val="17"/>
                <w:color w:val="auto"/>
              </w:rPr>
            </w:pPr>
          </w:p>
        </w:tc>
        <w:tc>
          <w:tcPr>
            <w:tcW w:w="10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1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4"/>
                <w:szCs w:val="14"/>
                <w:b w:val="1"/>
                <w:bCs w:val="1"/>
                <w:color w:val="131E29"/>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90"/>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8"/>
        </w:trPr>
        <w:tc>
          <w:tcPr>
            <w:tcW w:w="73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Weighted-average remaining lease term (years)</w:t>
            </w: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4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left="690"/>
              <w:spacing w:after="0"/>
              <w:rPr>
                <w:sz w:val="20"/>
                <w:szCs w:val="20"/>
                <w:color w:val="auto"/>
              </w:rPr>
            </w:pPr>
            <w:r>
              <w:rPr>
                <w:rFonts w:ascii="Arial" w:cs="Arial" w:eastAsia="Arial" w:hAnsi="Arial"/>
                <w:sz w:val="14"/>
                <w:szCs w:val="14"/>
                <w:color w:val="131E29"/>
              </w:rPr>
              <w:t>16.3</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390"/>
              <w:spacing w:after="0"/>
              <w:rPr>
                <w:sz w:val="20"/>
                <w:szCs w:val="20"/>
                <w:color w:val="auto"/>
              </w:rPr>
            </w:pPr>
            <w:r>
              <w:rPr>
                <w:rFonts w:ascii="Arial" w:cs="Arial" w:eastAsia="Arial" w:hAnsi="Arial"/>
                <w:sz w:val="14"/>
                <w:szCs w:val="14"/>
                <w:color w:val="131E29"/>
              </w:rPr>
              <w:t>16.1</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120" w:type="dxa"/>
            <w:vAlign w:val="bottom"/>
            <w:gridSpan w:val="3"/>
            <w:shd w:val="clear" w:color="auto" w:fill="D2DCE5"/>
          </w:tcPr>
          <w:p>
            <w:pPr>
              <w:jc w:val="center"/>
              <w:ind w:left="690"/>
              <w:spacing w:after="0"/>
              <w:rPr>
                <w:sz w:val="20"/>
                <w:szCs w:val="20"/>
                <w:color w:val="auto"/>
              </w:rPr>
            </w:pPr>
            <w:r>
              <w:rPr>
                <w:rFonts w:ascii="Arial" w:cs="Arial" w:eastAsia="Arial" w:hAnsi="Arial"/>
                <w:sz w:val="14"/>
                <w:szCs w:val="14"/>
                <w:color w:val="131E29"/>
              </w:rPr>
              <w:t>14.7</w:t>
            </w:r>
          </w:p>
        </w:tc>
        <w:tc>
          <w:tcPr>
            <w:tcW w:w="6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jc w:val="center"/>
              <w:ind w:right="390"/>
              <w:spacing w:after="0"/>
              <w:rPr>
                <w:sz w:val="20"/>
                <w:szCs w:val="20"/>
                <w:color w:val="auto"/>
              </w:rPr>
            </w:pPr>
            <w:r>
              <w:rPr>
                <w:rFonts w:ascii="Arial" w:cs="Arial" w:eastAsia="Arial" w:hAnsi="Arial"/>
                <w:sz w:val="14"/>
                <w:szCs w:val="14"/>
                <w:color w:val="131E29"/>
              </w:rPr>
              <w:t>14.9</w:t>
            </w:r>
          </w:p>
        </w:tc>
        <w:tc>
          <w:tcPr>
            <w:tcW w:w="0" w:type="dxa"/>
            <w:vAlign w:val="bottom"/>
          </w:tcPr>
          <w:p>
            <w:pPr>
              <w:spacing w:after="0"/>
              <w:rPr>
                <w:sz w:val="1"/>
                <w:szCs w:val="1"/>
                <w:color w:val="auto"/>
              </w:rPr>
            </w:pPr>
          </w:p>
        </w:tc>
      </w:tr>
      <w:tr>
        <w:trPr>
          <w:trHeight w:val="211"/>
        </w:trPr>
        <w:tc>
          <w:tcPr>
            <w:tcW w:w="7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Weighted-average discount rate (percentages)</w:t>
            </w: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4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left="690"/>
              <w:spacing w:after="0"/>
              <w:rPr>
                <w:sz w:val="20"/>
                <w:szCs w:val="20"/>
                <w:color w:val="auto"/>
              </w:rPr>
            </w:pPr>
            <w:r>
              <w:rPr>
                <w:rFonts w:ascii="Arial" w:cs="Arial" w:eastAsia="Arial" w:hAnsi="Arial"/>
                <w:sz w:val="14"/>
                <w:szCs w:val="14"/>
                <w:color w:val="131E29"/>
              </w:rPr>
              <w:t>5.9%</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390"/>
              <w:spacing w:after="0"/>
              <w:rPr>
                <w:sz w:val="20"/>
                <w:szCs w:val="20"/>
                <w:color w:val="auto"/>
              </w:rPr>
            </w:pPr>
            <w:r>
              <w:rPr>
                <w:rFonts w:ascii="Arial" w:cs="Arial" w:eastAsia="Arial" w:hAnsi="Arial"/>
                <w:sz w:val="14"/>
                <w:szCs w:val="14"/>
                <w:color w:val="131E29"/>
              </w:rPr>
              <w:t>5.3%</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120" w:type="dxa"/>
            <w:vAlign w:val="bottom"/>
            <w:gridSpan w:val="3"/>
            <w:shd w:val="clear" w:color="auto" w:fill="D2DCE5"/>
          </w:tcPr>
          <w:p>
            <w:pPr>
              <w:jc w:val="center"/>
              <w:ind w:left="690"/>
              <w:spacing w:after="0"/>
              <w:rPr>
                <w:sz w:val="20"/>
                <w:szCs w:val="20"/>
                <w:color w:val="auto"/>
              </w:rPr>
            </w:pPr>
            <w:r>
              <w:rPr>
                <w:rFonts w:ascii="Arial" w:cs="Arial" w:eastAsia="Arial" w:hAnsi="Arial"/>
                <w:sz w:val="14"/>
                <w:szCs w:val="14"/>
                <w:color w:val="131E29"/>
              </w:rPr>
              <w:t>4.9%</w:t>
            </w:r>
          </w:p>
        </w:tc>
        <w:tc>
          <w:tcPr>
            <w:tcW w:w="6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jc w:val="center"/>
              <w:ind w:right="390"/>
              <w:spacing w:after="0"/>
              <w:rPr>
                <w:sz w:val="20"/>
                <w:szCs w:val="20"/>
                <w:color w:val="auto"/>
              </w:rPr>
            </w:pPr>
            <w:r>
              <w:rPr>
                <w:rFonts w:ascii="Arial" w:cs="Arial" w:eastAsia="Arial" w:hAnsi="Arial"/>
                <w:sz w:val="14"/>
                <w:szCs w:val="14"/>
                <w:color w:val="131E29"/>
              </w:rPr>
              <w:t>4.2%</w:t>
            </w:r>
          </w:p>
        </w:tc>
        <w:tc>
          <w:tcPr>
            <w:tcW w:w="0" w:type="dxa"/>
            <w:vAlign w:val="bottom"/>
          </w:tcPr>
          <w:p>
            <w:pPr>
              <w:spacing w:after="0"/>
              <w:rPr>
                <w:sz w:val="1"/>
                <w:szCs w:val="1"/>
                <w:color w:val="auto"/>
              </w:rPr>
            </w:pPr>
          </w:p>
        </w:tc>
      </w:tr>
      <w:tr>
        <w:trPr>
          <w:trHeight w:val="361"/>
        </w:trPr>
        <w:tc>
          <w:tcPr>
            <w:tcW w:w="7500" w:type="dxa"/>
            <w:vAlign w:val="bottom"/>
            <w:gridSpan w:val="4"/>
          </w:tcPr>
          <w:p>
            <w:pPr>
              <w:spacing w:after="0"/>
              <w:rPr>
                <w:sz w:val="20"/>
                <w:szCs w:val="20"/>
                <w:color w:val="auto"/>
              </w:rPr>
            </w:pPr>
            <w:r>
              <w:rPr>
                <w:rFonts w:ascii="Arial" w:cs="Arial" w:eastAsia="Arial" w:hAnsi="Arial"/>
                <w:sz w:val="14"/>
                <w:szCs w:val="14"/>
                <w:color w:val="131E29"/>
              </w:rPr>
              <w:t>Supplemental cash flow information related to leases as of December 31, 2023 is as follows for the periods presented: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4"/>
                <w:szCs w:val="14"/>
                <w:b w:val="1"/>
                <w:bCs w:val="1"/>
                <w:color w:val="131E29"/>
              </w:rPr>
              <w:t>Year Ended December 31,</w:t>
            </w:r>
          </w:p>
        </w:tc>
        <w:tc>
          <w:tcPr>
            <w:tcW w:w="0" w:type="dxa"/>
            <w:vAlign w:val="bottom"/>
          </w:tcPr>
          <w:p>
            <w:pPr>
              <w:spacing w:after="0"/>
              <w:rPr>
                <w:sz w:val="1"/>
                <w:szCs w:val="1"/>
                <w:color w:val="auto"/>
              </w:rPr>
            </w:pPr>
          </w:p>
        </w:tc>
      </w:tr>
      <w:tr>
        <w:trPr>
          <w:trHeight w:val="202"/>
        </w:trPr>
        <w:tc>
          <w:tcPr>
            <w:tcW w:w="73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8"/>
        </w:trPr>
        <w:tc>
          <w:tcPr>
            <w:tcW w:w="73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Cash paid for amounts included in the measurement of lease liabilities:</w:t>
            </w: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4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Operating cash flows from finance leases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color w:val="131E29"/>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131E29"/>
              </w:rPr>
              <w:t>17,516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420" w:type="dxa"/>
            <w:vAlign w:val="bottom"/>
          </w:tcPr>
          <w:p>
            <w:pPr>
              <w:jc w:val="right"/>
              <w:spacing w:after="0"/>
              <w:rPr>
                <w:sz w:val="20"/>
                <w:szCs w:val="20"/>
                <w:color w:val="auto"/>
              </w:rPr>
            </w:pPr>
            <w:r>
              <w:rPr>
                <w:rFonts w:ascii="Arial" w:cs="Arial" w:eastAsia="Arial" w:hAnsi="Arial"/>
                <w:sz w:val="14"/>
                <w:szCs w:val="14"/>
                <w:color w:val="131E29"/>
              </w:rPr>
              <w:t>9,264</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cash flows from operating leases</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10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17,167</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16,269</w:t>
            </w:r>
          </w:p>
        </w:tc>
        <w:tc>
          <w:tcPr>
            <w:tcW w:w="0" w:type="dxa"/>
            <w:vAlign w:val="bottom"/>
          </w:tcPr>
          <w:p>
            <w:pPr>
              <w:spacing w:after="0"/>
              <w:rPr>
                <w:sz w:val="1"/>
                <w:szCs w:val="1"/>
                <w:color w:val="auto"/>
              </w:rPr>
            </w:pP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Financing cash flows from finance leases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131E29"/>
              </w:rPr>
              <w:t>12,432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131E29"/>
              </w:rPr>
              <w:t>5,838</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 obtained in exchange for lease obligations</w:t>
            </w:r>
            <w:r>
              <w:rPr>
                <w:rFonts w:ascii="Arial" w:cs="Arial" w:eastAsia="Arial" w:hAnsi="Arial"/>
                <w:sz w:val="18"/>
                <w:szCs w:val="18"/>
                <w:b w:val="1"/>
                <w:bCs w:val="1"/>
                <w:color w:val="131E29"/>
                <w:vertAlign w:val="superscript"/>
              </w:rPr>
              <w:t>1</w:t>
            </w:r>
            <w:r>
              <w:rPr>
                <w:rFonts w:ascii="Arial" w:cs="Arial" w:eastAsia="Arial" w:hAnsi="Arial"/>
                <w:sz w:val="14"/>
                <w:szCs w:val="14"/>
                <w:b w:val="1"/>
                <w:bCs w:val="1"/>
                <w:color w:val="131E29"/>
              </w:rPr>
              <w:t>:</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6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131E29"/>
              </w:rPr>
              <w:t>144,588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131E29"/>
              </w:rPr>
              <w:t>167,687</w:t>
            </w:r>
          </w:p>
        </w:tc>
        <w:tc>
          <w:tcPr>
            <w:tcW w:w="0" w:type="dxa"/>
            <w:vAlign w:val="bottom"/>
          </w:tcPr>
          <w:p>
            <w:pPr>
              <w:spacing w:after="0"/>
              <w:rPr>
                <w:sz w:val="1"/>
                <w:szCs w:val="1"/>
                <w:color w:val="auto"/>
              </w:rPr>
            </w:pPr>
          </w:p>
        </w:tc>
      </w:tr>
      <w:tr>
        <w:trPr>
          <w:trHeight w:val="22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10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40,253</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178,138</w:t>
            </w:r>
          </w:p>
        </w:tc>
        <w:tc>
          <w:tcPr>
            <w:tcW w:w="0" w:type="dxa"/>
            <w:vAlign w:val="bottom"/>
          </w:tcPr>
          <w:p>
            <w:pPr>
              <w:spacing w:after="0"/>
              <w:rPr>
                <w:sz w:val="1"/>
                <w:szCs w:val="1"/>
                <w:color w:val="auto"/>
              </w:rPr>
            </w:pPr>
          </w:p>
        </w:tc>
      </w:tr>
      <w:tr>
        <w:trPr>
          <w:trHeight w:val="245"/>
        </w:trPr>
        <w:tc>
          <w:tcPr>
            <w:tcW w:w="7240" w:type="dxa"/>
            <w:vAlign w:val="bottom"/>
          </w:tcPr>
          <w:p>
            <w:pPr>
              <w:spacing w:after="0"/>
              <w:rPr>
                <w:sz w:val="20"/>
                <w:szCs w:val="20"/>
                <w:color w:val="auto"/>
              </w:rPr>
            </w:pPr>
            <w:r>
              <w:rPr>
                <w:rFonts w:ascii="Arial" w:cs="Arial" w:eastAsia="Arial" w:hAnsi="Arial"/>
                <w:sz w:val="14"/>
                <w:szCs w:val="14"/>
                <w:color w:val="131E29"/>
              </w:rPr>
              <w:t>________________</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131E29"/>
          <w:vertAlign w:val="superscript"/>
        </w:rPr>
        <w:t>1</w:t>
      </w:r>
      <w:r>
        <w:rPr>
          <w:rFonts w:ascii="Arial" w:cs="Arial" w:eastAsia="Arial" w:hAnsi="Arial"/>
          <w:sz w:val="11"/>
          <w:szCs w:val="11"/>
          <w:color w:val="131E29"/>
        </w:rPr>
        <w:t xml:space="preserve"> The 2022 amounts include the transition adjustment for the adoption of ASU 2016-02, as amended.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9 — Debt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75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1" w:name="page122"/>
    <w:bookmarkEnd w:id="1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 and portions of the delayed draw term loan facility expire in February 2024 and February 2025.</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consolidated statements of operations.</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In September 2023, the Company used proceeds received from the Follow-On Offering to repay approximately $202.7 million of the 2022 Credit Facility, representing the balance of the Company’s revolving loans as of the repayment date. As of December 31, 2023, $349.4 million was available for borrowing on the revolving credit facility, net of a $0.6 million letter of credit outstanding.</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As of December 31, 2023, approximately $95.6 million of principal was outstanding on the term loan. The term loan bears interest at 6.96% as of December 31, 2023. The Company was in compliance with its financial covenants as of that date.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Long-Term Debt</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7600" w:type="dxa"/>
            <w:vAlign w:val="bottom"/>
            <w:gridSpan w:val="2"/>
          </w:tcPr>
          <w:p>
            <w:pPr>
              <w:spacing w:after="0"/>
              <w:rPr>
                <w:sz w:val="20"/>
                <w:szCs w:val="20"/>
                <w:color w:val="auto"/>
              </w:rPr>
            </w:pPr>
            <w:r>
              <w:rPr>
                <w:rFonts w:ascii="Arial" w:cs="Arial" w:eastAsia="Arial" w:hAnsi="Arial"/>
                <w:sz w:val="14"/>
                <w:szCs w:val="14"/>
                <w:color w:val="131E29"/>
              </w:rPr>
              <w:t>The Company’s long-term debt consisted of the following for the periods presented:</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24"/>
                <w:szCs w:val="24"/>
                <w:color w:val="auto"/>
              </w:rPr>
            </w:pPr>
          </w:p>
        </w:tc>
        <w:tc>
          <w:tcPr>
            <w:tcW w:w="200" w:type="dxa"/>
            <w:vAlign w:val="bottom"/>
            <w:tcBorders>
              <w:bottom w:val="single" w:sz="8" w:color="131E29"/>
            </w:tcBorders>
          </w:tcPr>
          <w:p>
            <w:pPr>
              <w:spacing w:after="0"/>
              <w:rPr>
                <w:sz w:val="24"/>
                <w:szCs w:val="24"/>
                <w:color w:val="auto"/>
              </w:rPr>
            </w:pPr>
          </w:p>
        </w:tc>
        <w:tc>
          <w:tcPr>
            <w:tcW w:w="1680" w:type="dxa"/>
            <w:vAlign w:val="bottom"/>
            <w:tcBorders>
              <w:bottom w:val="single" w:sz="8" w:color="131E29"/>
            </w:tcBorders>
          </w:tcPr>
          <w:p>
            <w:pPr>
              <w:jc w:val="right"/>
              <w:ind w:right="230"/>
              <w:spacing w:after="0"/>
              <w:rPr>
                <w:sz w:val="20"/>
                <w:szCs w:val="20"/>
                <w:color w:val="auto"/>
              </w:rPr>
            </w:pPr>
            <w:r>
              <w:rPr>
                <w:rFonts w:ascii="Arial" w:cs="Arial" w:eastAsia="Arial" w:hAnsi="Arial"/>
                <w:sz w:val="14"/>
                <w:szCs w:val="14"/>
                <w:b w:val="1"/>
                <w:bCs w:val="1"/>
                <w:color w:val="131E29"/>
              </w:rPr>
              <w:t>December 31, 2023</w:t>
            </w:r>
          </w:p>
        </w:tc>
        <w:tc>
          <w:tcPr>
            <w:tcW w:w="100" w:type="dxa"/>
            <w:vAlign w:val="bottom"/>
            <w:tcBorders>
              <w:bottom w:val="single" w:sz="8" w:color="D2DCE5"/>
            </w:tcBorders>
          </w:tcPr>
          <w:p>
            <w:pPr>
              <w:spacing w:after="0"/>
              <w:rPr>
                <w:sz w:val="24"/>
                <w:szCs w:val="24"/>
                <w:color w:val="auto"/>
              </w:rPr>
            </w:pPr>
          </w:p>
        </w:tc>
        <w:tc>
          <w:tcPr>
            <w:tcW w:w="140" w:type="dxa"/>
            <w:vAlign w:val="bottom"/>
            <w:tcBorders>
              <w:bottom w:val="single" w:sz="8" w:color="131E29"/>
            </w:tcBorders>
          </w:tcPr>
          <w:p>
            <w:pPr>
              <w:spacing w:after="0"/>
              <w:rPr>
                <w:sz w:val="24"/>
                <w:szCs w:val="24"/>
                <w:color w:val="auto"/>
              </w:rPr>
            </w:pPr>
          </w:p>
        </w:tc>
        <w:tc>
          <w:tcPr>
            <w:tcW w:w="1560" w:type="dxa"/>
            <w:vAlign w:val="bottom"/>
            <w:tcBorders>
              <w:bottom w:val="single" w:sz="8" w:color="131E29"/>
            </w:tcBorders>
          </w:tcPr>
          <w:p>
            <w:pPr>
              <w:jc w:val="right"/>
              <w:ind w:right="150"/>
              <w:spacing w:after="0"/>
              <w:rPr>
                <w:sz w:val="20"/>
                <w:szCs w:val="20"/>
                <w:color w:val="auto"/>
              </w:rPr>
            </w:pPr>
            <w:r>
              <w:rPr>
                <w:rFonts w:ascii="Arial" w:cs="Arial" w:eastAsia="Arial" w:hAnsi="Arial"/>
                <w:sz w:val="14"/>
                <w:szCs w:val="14"/>
                <w:b w:val="1"/>
                <w:bCs w:val="1"/>
                <w:color w:val="131E29"/>
              </w:rPr>
              <w:t>December 31, 2022</w:t>
            </w:r>
          </w:p>
        </w:tc>
        <w:tc>
          <w:tcPr>
            <w:tcW w:w="0" w:type="dxa"/>
            <w:vAlign w:val="bottom"/>
          </w:tcPr>
          <w:p>
            <w:pPr>
              <w:spacing w:after="0"/>
              <w:rPr>
                <w:sz w:val="1"/>
                <w:szCs w:val="1"/>
                <w:color w:val="auto"/>
              </w:rPr>
            </w:pPr>
          </w:p>
        </w:tc>
      </w:tr>
      <w:tr>
        <w:trPr>
          <w:trHeight w:val="208"/>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Term loan under credit facility</w:t>
            </w:r>
          </w:p>
        </w:tc>
        <w:tc>
          <w:tcPr>
            <w:tcW w:w="20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1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95,625</w:t>
            </w:r>
          </w:p>
        </w:tc>
        <w:tc>
          <w:tcPr>
            <w:tcW w:w="10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98,125</w:t>
            </w:r>
          </w:p>
        </w:tc>
        <w:tc>
          <w:tcPr>
            <w:tcW w:w="0" w:type="dxa"/>
            <w:vAlign w:val="bottom"/>
          </w:tcPr>
          <w:p>
            <w:pPr>
              <w:spacing w:after="0"/>
              <w:rPr>
                <w:sz w:val="1"/>
                <w:szCs w:val="1"/>
                <w:color w:val="auto"/>
              </w:rPr>
            </w:pPr>
          </w:p>
        </w:tc>
      </w:tr>
      <w:tr>
        <w:trPr>
          <w:trHeight w:val="211"/>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Finance obligation</w:t>
            </w:r>
            <w:r>
              <w:rPr>
                <w:rFonts w:ascii="Arial" w:cs="Arial" w:eastAsia="Arial" w:hAnsi="Arial"/>
                <w:sz w:val="18"/>
                <w:szCs w:val="18"/>
                <w:color w:val="131E29"/>
                <w:vertAlign w:val="superscript"/>
              </w:rPr>
              <w:t>1</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131E29"/>
              </w:rPr>
              <w:t>3,022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1,379</w:t>
            </w:r>
          </w:p>
        </w:tc>
        <w:tc>
          <w:tcPr>
            <w:tcW w:w="0" w:type="dxa"/>
            <w:vAlign w:val="bottom"/>
          </w:tcPr>
          <w:p>
            <w:pPr>
              <w:spacing w:after="0"/>
              <w:rPr>
                <w:sz w:val="1"/>
                <w:szCs w:val="1"/>
                <w:color w:val="auto"/>
              </w:rPr>
            </w:pPr>
          </w:p>
        </w:tc>
      </w:tr>
      <w:tr>
        <w:trPr>
          <w:trHeight w:val="211"/>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Unsecured note payable</w:t>
            </w:r>
          </w:p>
        </w:tc>
        <w:tc>
          <w:tcPr>
            <w:tcW w:w="200" w:type="dxa"/>
            <w:vAlign w:val="bottom"/>
            <w:tcBorders>
              <w:bottom w:val="single" w:sz="8" w:color="auto"/>
            </w:tcBorders>
            <w:shd w:val="clear" w:color="auto" w:fill="D2DCE5"/>
          </w:tcPr>
          <w:p>
            <w:pPr>
              <w:spacing w:after="0"/>
              <w:rPr>
                <w:sz w:val="18"/>
                <w:szCs w:val="18"/>
                <w:color w:val="auto"/>
              </w:rPr>
            </w:pP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415</w:t>
            </w:r>
          </w:p>
        </w:tc>
        <w:tc>
          <w:tcPr>
            <w:tcW w:w="10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524</w:t>
            </w:r>
          </w:p>
        </w:tc>
        <w:tc>
          <w:tcPr>
            <w:tcW w:w="0" w:type="dxa"/>
            <w:vAlign w:val="bottom"/>
          </w:tcPr>
          <w:p>
            <w:pPr>
              <w:spacing w:after="0"/>
              <w:rPr>
                <w:sz w:val="1"/>
                <w:szCs w:val="1"/>
                <w:color w:val="auto"/>
              </w:rPr>
            </w:pPr>
          </w:p>
        </w:tc>
      </w:tr>
      <w:tr>
        <w:trPr>
          <w:trHeight w:val="192"/>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Total debt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131E29"/>
              </w:rPr>
              <w:t>99,062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100,028</w:t>
            </w:r>
          </w:p>
        </w:tc>
        <w:tc>
          <w:tcPr>
            <w:tcW w:w="0" w:type="dxa"/>
            <w:vAlign w:val="bottom"/>
          </w:tcPr>
          <w:p>
            <w:pPr>
              <w:spacing w:after="0"/>
              <w:rPr>
                <w:sz w:val="1"/>
                <w:szCs w:val="1"/>
                <w:color w:val="auto"/>
              </w:rPr>
            </w:pPr>
          </w:p>
        </w:tc>
      </w:tr>
      <w:tr>
        <w:trPr>
          <w:trHeight w:val="221"/>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loan origination fees</w:t>
            </w:r>
          </w:p>
        </w:tc>
        <w:tc>
          <w:tcPr>
            <w:tcW w:w="200" w:type="dxa"/>
            <w:vAlign w:val="bottom"/>
            <w:shd w:val="clear" w:color="auto" w:fill="D2DCE5"/>
          </w:tcPr>
          <w:p>
            <w:pPr>
              <w:spacing w:after="0"/>
              <w:rPr>
                <w:sz w:val="19"/>
                <w:szCs w:val="19"/>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(1,396)</w:t>
            </w:r>
          </w:p>
        </w:tc>
        <w:tc>
          <w:tcPr>
            <w:tcW w:w="10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(1,122)</w:t>
            </w:r>
          </w:p>
        </w:tc>
        <w:tc>
          <w:tcPr>
            <w:tcW w:w="0" w:type="dxa"/>
            <w:vAlign w:val="bottom"/>
          </w:tcPr>
          <w:p>
            <w:pPr>
              <w:spacing w:after="0"/>
              <w:rPr>
                <w:sz w:val="1"/>
                <w:szCs w:val="1"/>
                <w:color w:val="auto"/>
              </w:rPr>
            </w:pPr>
          </w:p>
        </w:tc>
      </w:tr>
      <w:tr>
        <w:trPr>
          <w:trHeight w:val="202"/>
        </w:trPr>
        <w:tc>
          <w:tcPr>
            <w:tcW w:w="76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(4,491)</w:t>
            </w:r>
          </w:p>
        </w:tc>
        <w:tc>
          <w:tcPr>
            <w:tcW w:w="10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(2,609)</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long-term debt, net of current portion</w:t>
            </w:r>
          </w:p>
        </w:tc>
        <w:tc>
          <w:tcPr>
            <w:tcW w:w="2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rPr>
              <w:t>$</w:t>
            </w: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93,175</w:t>
            </w:r>
          </w:p>
        </w:tc>
        <w:tc>
          <w:tcPr>
            <w:tcW w:w="100" w:type="dxa"/>
            <w:vAlign w:val="bottom"/>
            <w:tcBorders>
              <w:bottom w:val="single" w:sz="8" w:color="D2DCE5"/>
            </w:tcBorders>
            <w:shd w:val="clear" w:color="auto" w:fill="D2DCE5"/>
          </w:tcPr>
          <w:p>
            <w:pPr>
              <w:spacing w:after="0"/>
              <w:rPr>
                <w:sz w:val="20"/>
                <w:szCs w:val="20"/>
                <w:color w:val="auto"/>
              </w:rPr>
            </w:pP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96,297</w:t>
            </w:r>
          </w:p>
        </w:tc>
        <w:tc>
          <w:tcPr>
            <w:tcW w:w="0" w:type="dxa"/>
            <w:vAlign w:val="bottom"/>
          </w:tcPr>
          <w:p>
            <w:pPr>
              <w:spacing w:after="0"/>
              <w:rPr>
                <w:sz w:val="1"/>
                <w:szCs w:val="1"/>
                <w:color w:val="auto"/>
              </w:rPr>
            </w:pPr>
          </w:p>
        </w:tc>
      </w:tr>
      <w:tr>
        <w:trPr>
          <w:trHeight w:val="20"/>
        </w:trPr>
        <w:tc>
          <w:tcPr>
            <w:tcW w:w="752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w:t>
            </w: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16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875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2" w:name="page123"/>
    <w:bookmarkEnd w:id="1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hanging="115"/>
        <w:spacing w:after="0"/>
        <w:tabs>
          <w:tab w:leader="none" w:pos="120" w:val="left"/>
        </w:tabs>
        <w:numPr>
          <w:ilvl w:val="0"/>
          <w:numId w:val="72"/>
        </w:numPr>
        <w:rPr>
          <w:rFonts w:ascii="Arial" w:cs="Arial" w:eastAsia="Arial" w:hAnsi="Arial"/>
          <w:sz w:val="15"/>
          <w:szCs w:val="15"/>
          <w:color w:val="auto"/>
          <w:vertAlign w:val="superscript"/>
        </w:rPr>
      </w:pPr>
      <w:r>
        <w:rPr>
          <w:rFonts w:ascii="Arial" w:cs="Arial" w:eastAsia="Arial" w:hAnsi="Arial"/>
          <w:sz w:val="11"/>
          <w:szCs w:val="11"/>
          <w:color w:val="auto"/>
        </w:rPr>
        <w:t>Represents failed sale-leaseback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131E29"/>
        </w:rPr>
        <w:t>Future annual maturities of long-term debt as of December 31, 2023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70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0"/>
        </w:trPr>
        <w:tc>
          <w:tcPr>
            <w:tcW w:w="96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2024</w:t>
            </w:r>
          </w:p>
        </w:tc>
        <w:tc>
          <w:tcPr>
            <w:tcW w:w="80" w:type="dxa"/>
            <w:vAlign w:val="bottom"/>
            <w:tcBorders>
              <w:top w:val="single" w:sz="8" w:color="D2DCE5"/>
            </w:tcBorders>
            <w:shd w:val="clear" w:color="auto" w:fill="D2DCE5"/>
          </w:tcPr>
          <w:p>
            <w:pPr>
              <w:spacing w:after="0"/>
              <w:rPr>
                <w:sz w:val="18"/>
                <w:szCs w:val="18"/>
                <w:color w:val="auto"/>
              </w:rPr>
            </w:pPr>
          </w:p>
        </w:tc>
        <w:tc>
          <w:tcPr>
            <w:tcW w:w="600" w:type="dxa"/>
            <w:vAlign w:val="bottom"/>
            <w:tcBorders>
              <w:top w:val="single" w:sz="8" w:color="auto"/>
            </w:tcBorders>
            <w:shd w:val="clear" w:color="auto" w:fill="D2DCE5"/>
          </w:tcPr>
          <w:p>
            <w:pPr>
              <w:jc w:val="right"/>
              <w:ind w:right="430"/>
              <w:spacing w:after="0"/>
              <w:rPr>
                <w:sz w:val="20"/>
                <w:szCs w:val="20"/>
                <w:color w:val="auto"/>
              </w:rPr>
            </w:pPr>
            <w:r>
              <w:rPr>
                <w:rFonts w:ascii="Arial" w:cs="Arial" w:eastAsia="Arial" w:hAnsi="Arial"/>
                <w:sz w:val="14"/>
                <w:szCs w:val="14"/>
                <w:color w:val="131E29"/>
              </w:rPr>
              <w:t>$</w:t>
            </w:r>
          </w:p>
        </w:tc>
        <w:tc>
          <w:tcPr>
            <w:tcW w:w="98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4,491</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6,998</w:t>
            </w:r>
          </w:p>
        </w:tc>
      </w:tr>
      <w:tr>
        <w:trPr>
          <w:trHeight w:val="221"/>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8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13,256</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71,295</w:t>
            </w:r>
          </w:p>
        </w:tc>
      </w:tr>
      <w:tr>
        <w:trPr>
          <w:trHeight w:val="221"/>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2028</w:t>
            </w:r>
          </w:p>
        </w:tc>
        <w:tc>
          <w:tcPr>
            <w:tcW w:w="8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97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3,022</w:t>
            </w:r>
          </w:p>
        </w:tc>
      </w:tr>
      <w:tr>
        <w:trPr>
          <w:trHeight w:val="236"/>
        </w:trPr>
        <w:tc>
          <w:tcPr>
            <w:tcW w:w="97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w:t>
            </w:r>
          </w:p>
        </w:tc>
        <w:tc>
          <w:tcPr>
            <w:tcW w:w="600" w:type="dxa"/>
            <w:vAlign w:val="bottom"/>
            <w:tcBorders>
              <w:bottom w:val="single" w:sz="8" w:color="auto"/>
            </w:tcBorders>
            <w:shd w:val="clear" w:color="auto" w:fill="D2DCE5"/>
          </w:tcPr>
          <w:p>
            <w:pPr>
              <w:jc w:val="right"/>
              <w:ind w:right="430"/>
              <w:spacing w:after="0"/>
              <w:rPr>
                <w:sz w:val="20"/>
                <w:szCs w:val="20"/>
                <w:color w:val="auto"/>
              </w:rPr>
            </w:pPr>
            <w:r>
              <w:rPr>
                <w:rFonts w:ascii="Arial" w:cs="Arial" w:eastAsia="Arial" w:hAnsi="Arial"/>
                <w:sz w:val="14"/>
                <w:szCs w:val="14"/>
                <w:color w:val="131E29"/>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99,062</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10 — Derivative Financial Instruments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 has a receive-variable (Receive Leg), pay-fixed (Pay Leg) interest rate swap with JPMorgan Chase Bank, N.A. The interest rate swap has a notional amount of $70 million and hedges interest rate risk on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December 31, 2023, the one-month adjusted term SOFR was 5.36%.</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December 31, 2023, the Company expects to reclassify a gain of approximately $1.4 million from AOCI to earnings within the next twelve months.</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Designated as a Level 2 instrument within the fair value hierarchy, the fair value and effect of the derivative instrument included in the Company’s consolidated financial statements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131E29"/>
              </w:rPr>
              <w:t>December 31,</w:t>
            </w:r>
          </w:p>
        </w:tc>
        <w:tc>
          <w:tcPr>
            <w:tcW w:w="420" w:type="dxa"/>
            <w:vAlign w:val="bottom"/>
          </w:tcPr>
          <w:p>
            <w:pPr>
              <w:spacing w:after="0"/>
              <w:rPr>
                <w:sz w:val="14"/>
                <w:szCs w:val="14"/>
                <w:color w:val="auto"/>
              </w:rPr>
            </w:pPr>
          </w:p>
        </w:tc>
        <w:tc>
          <w:tcPr>
            <w:tcW w:w="2000" w:type="dxa"/>
            <w:vAlign w:val="bottom"/>
          </w:tcPr>
          <w:p>
            <w:pPr>
              <w:jc w:val="right"/>
              <w:ind w:right="670"/>
              <w:spacing w:after="0"/>
              <w:rPr>
                <w:sz w:val="20"/>
                <w:szCs w:val="20"/>
                <w:color w:val="auto"/>
              </w:rPr>
            </w:pPr>
            <w:r>
              <w:rPr>
                <w:rFonts w:ascii="Arial" w:cs="Arial" w:eastAsia="Arial" w:hAnsi="Arial"/>
                <w:sz w:val="14"/>
                <w:szCs w:val="14"/>
                <w:b w:val="1"/>
                <w:bCs w:val="1"/>
                <w:color w:val="131E29"/>
              </w:rPr>
              <w:t>December 31,</w:t>
            </w:r>
          </w:p>
        </w:tc>
        <w:tc>
          <w:tcPr>
            <w:tcW w:w="0" w:type="dxa"/>
            <w:vAlign w:val="bottom"/>
          </w:tcPr>
          <w:p>
            <w:pPr>
              <w:spacing w:after="0"/>
              <w:rPr>
                <w:sz w:val="1"/>
                <w:szCs w:val="1"/>
                <w:color w:val="auto"/>
              </w:rPr>
            </w:pPr>
          </w:p>
        </w:tc>
      </w:tr>
      <w:tr>
        <w:trPr>
          <w:trHeight w:val="19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7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131E29"/>
              </w:rPr>
              <w:t>Balance Sheet Classification</w:t>
            </w: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990"/>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8"/>
        </w:trPr>
        <w:tc>
          <w:tcPr>
            <w:tcW w:w="3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instrument designated as cash flow hedge:</w:t>
            </w:r>
          </w:p>
        </w:tc>
        <w:tc>
          <w:tcPr>
            <w:tcW w:w="27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8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20" w:type="dxa"/>
            <w:vAlign w:val="bottom"/>
            <w:shd w:val="clear" w:color="auto" w:fill="D2DCE5"/>
          </w:tcPr>
          <w:p>
            <w:pPr>
              <w:spacing w:after="0"/>
              <w:rPr>
                <w:sz w:val="18"/>
                <w:szCs w:val="18"/>
                <w:color w:val="auto"/>
              </w:rPr>
            </w:pPr>
          </w:p>
        </w:tc>
        <w:tc>
          <w:tcPr>
            <w:tcW w:w="20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gridSpan w:val="2"/>
          </w:tcPr>
          <w:p>
            <w:pPr>
              <w:ind w:left="100"/>
              <w:spacing w:after="0"/>
              <w:rPr>
                <w:sz w:val="20"/>
                <w:szCs w:val="20"/>
                <w:color w:val="auto"/>
              </w:rPr>
            </w:pPr>
            <w:r>
              <w:rPr>
                <w:rFonts w:ascii="Arial" w:cs="Arial" w:eastAsia="Arial" w:hAnsi="Arial"/>
                <w:sz w:val="14"/>
                <w:szCs w:val="14"/>
                <w:color w:val="131E29"/>
              </w:rPr>
              <w:t>Interest rate swap contract</w:t>
            </w:r>
          </w:p>
        </w:tc>
        <w:tc>
          <w:tcPr>
            <w:tcW w:w="2880" w:type="dxa"/>
            <w:vAlign w:val="bottom"/>
            <w:gridSpan w:val="2"/>
          </w:tcPr>
          <w:p>
            <w:pPr>
              <w:ind w:left="20"/>
              <w:spacing w:after="0"/>
              <w:rPr>
                <w:sz w:val="20"/>
                <w:szCs w:val="20"/>
                <w:color w:val="auto"/>
              </w:rPr>
            </w:pPr>
            <w:r>
              <w:rPr>
                <w:rFonts w:ascii="Arial" w:cs="Arial" w:eastAsia="Arial" w:hAnsi="Arial"/>
                <w:sz w:val="14"/>
                <w:szCs w:val="14"/>
                <w:color w:val="131E29"/>
              </w:rPr>
              <w:t>Prepaid expenses and other current assets</w:t>
            </w:r>
          </w:p>
        </w:tc>
        <w:tc>
          <w:tcPr>
            <w:tcW w:w="340" w:type="dxa"/>
            <w:vAlign w:val="bottom"/>
          </w:tcPr>
          <w:p>
            <w:pPr>
              <w:jc w:val="right"/>
              <w:ind w:right="190"/>
              <w:spacing w:after="0"/>
              <w:rPr>
                <w:sz w:val="20"/>
                <w:szCs w:val="20"/>
                <w:color w:val="auto"/>
              </w:rPr>
            </w:pPr>
            <w:r>
              <w:rPr>
                <w:rFonts w:ascii="Arial" w:cs="Arial" w:eastAsia="Arial" w:hAnsi="Arial"/>
                <w:sz w:val="14"/>
                <w:szCs w:val="14"/>
                <w:color w:val="131E29"/>
                <w:w w:val="76"/>
              </w:rPr>
              <w:t>$</w:t>
            </w:r>
          </w:p>
        </w:tc>
        <w:tc>
          <w:tcPr>
            <w:tcW w:w="1800" w:type="dxa"/>
            <w:vAlign w:val="bottom"/>
          </w:tcPr>
          <w:p>
            <w:pPr>
              <w:jc w:val="right"/>
              <w:spacing w:after="0"/>
              <w:rPr>
                <w:sz w:val="20"/>
                <w:szCs w:val="20"/>
                <w:color w:val="auto"/>
              </w:rPr>
            </w:pPr>
            <w:r>
              <w:rPr>
                <w:rFonts w:ascii="Arial" w:cs="Arial" w:eastAsia="Arial" w:hAnsi="Arial"/>
                <w:sz w:val="14"/>
                <w:szCs w:val="14"/>
                <w:color w:val="131E29"/>
              </w:rPr>
              <w:t>1,371</w:t>
            </w:r>
          </w:p>
        </w:tc>
        <w:tc>
          <w:tcPr>
            <w:tcW w:w="80" w:type="dxa"/>
            <w:vAlign w:val="bottom"/>
          </w:tcPr>
          <w:p>
            <w:pPr>
              <w:spacing w:after="0"/>
              <w:rPr>
                <w:sz w:val="17"/>
                <w:szCs w:val="17"/>
                <w:color w:val="auto"/>
              </w:rPr>
            </w:pPr>
          </w:p>
        </w:tc>
        <w:tc>
          <w:tcPr>
            <w:tcW w:w="420" w:type="dxa"/>
            <w:vAlign w:val="bottom"/>
          </w:tcPr>
          <w:p>
            <w:pPr>
              <w:jc w:val="right"/>
              <w:ind w:right="250"/>
              <w:spacing w:after="0"/>
              <w:rPr>
                <w:sz w:val="20"/>
                <w:szCs w:val="20"/>
                <w:color w:val="auto"/>
              </w:rPr>
            </w:pPr>
            <w:r>
              <w:rPr>
                <w:rFonts w:ascii="Arial" w:cs="Arial" w:eastAsia="Arial" w:hAnsi="Arial"/>
                <w:sz w:val="14"/>
                <w:szCs w:val="14"/>
                <w:color w:val="131E29"/>
              </w:rPr>
              <w:t>$</w:t>
            </w:r>
          </w:p>
        </w:tc>
        <w:tc>
          <w:tcPr>
            <w:tcW w:w="2000" w:type="dxa"/>
            <w:vAlign w:val="bottom"/>
          </w:tcPr>
          <w:p>
            <w:pPr>
              <w:jc w:val="right"/>
              <w:spacing w:after="0"/>
              <w:rPr>
                <w:sz w:val="20"/>
                <w:szCs w:val="20"/>
                <w:color w:val="auto"/>
              </w:rPr>
            </w:pPr>
            <w:r>
              <w:rPr>
                <w:rFonts w:ascii="Arial" w:cs="Arial" w:eastAsia="Arial" w:hAnsi="Arial"/>
                <w:sz w:val="14"/>
                <w:szCs w:val="14"/>
                <w:color w:val="131E29"/>
              </w:rPr>
              <w:t>1,457</w:t>
            </w:r>
          </w:p>
        </w:tc>
        <w:tc>
          <w:tcPr>
            <w:tcW w:w="0" w:type="dxa"/>
            <w:vAlign w:val="bottom"/>
          </w:tcPr>
          <w:p>
            <w:pPr>
              <w:spacing w:after="0"/>
              <w:rPr>
                <w:sz w:val="1"/>
                <w:szCs w:val="1"/>
                <w:color w:val="auto"/>
              </w:rPr>
            </w:pPr>
          </w:p>
        </w:tc>
      </w:tr>
      <w:tr>
        <w:trPr>
          <w:trHeight w:val="221"/>
        </w:trPr>
        <w:tc>
          <w:tcPr>
            <w:tcW w:w="36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Other long-term assets</w:t>
            </w:r>
          </w:p>
        </w:tc>
        <w:tc>
          <w:tcPr>
            <w:tcW w:w="340" w:type="dxa"/>
            <w:vAlign w:val="bottom"/>
            <w:tcBorders>
              <w:bottom w:val="single" w:sz="8" w:color="auto"/>
            </w:tcBorders>
            <w:shd w:val="clear" w:color="auto" w:fill="D2DCE5"/>
          </w:tcPr>
          <w:p>
            <w:pPr>
              <w:spacing w:after="0"/>
              <w:rPr>
                <w:sz w:val="19"/>
                <w:szCs w:val="19"/>
                <w:color w:val="auto"/>
              </w:rPr>
            </w:pPr>
          </w:p>
        </w:tc>
        <w:tc>
          <w:tcPr>
            <w:tcW w:w="1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837</w:t>
            </w:r>
          </w:p>
        </w:tc>
        <w:tc>
          <w:tcPr>
            <w:tcW w:w="80" w:type="dxa"/>
            <w:vAlign w:val="bottom"/>
            <w:shd w:val="clear" w:color="auto" w:fill="D2DCE5"/>
          </w:tcPr>
          <w:p>
            <w:pPr>
              <w:spacing w:after="0"/>
              <w:rPr>
                <w:sz w:val="19"/>
                <w:szCs w:val="19"/>
                <w:color w:val="auto"/>
              </w:rPr>
            </w:pPr>
          </w:p>
        </w:tc>
        <w:tc>
          <w:tcPr>
            <w:tcW w:w="420" w:type="dxa"/>
            <w:vAlign w:val="bottom"/>
            <w:tcBorders>
              <w:bottom w:val="single" w:sz="8" w:color="auto"/>
            </w:tcBorders>
            <w:shd w:val="clear" w:color="auto" w:fill="D2DCE5"/>
          </w:tcPr>
          <w:p>
            <w:pPr>
              <w:spacing w:after="0"/>
              <w:rPr>
                <w:sz w:val="19"/>
                <w:szCs w:val="19"/>
                <w:color w:val="auto"/>
              </w:rPr>
            </w:pPr>
          </w:p>
        </w:tc>
        <w:tc>
          <w:tcPr>
            <w:tcW w:w="2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1,706</w:t>
            </w:r>
          </w:p>
        </w:tc>
        <w:tc>
          <w:tcPr>
            <w:tcW w:w="0" w:type="dxa"/>
            <w:vAlign w:val="bottom"/>
          </w:tcPr>
          <w:p>
            <w:pPr>
              <w:spacing w:after="0"/>
              <w:rPr>
                <w:sz w:val="1"/>
                <w:szCs w:val="1"/>
                <w:color w:val="auto"/>
              </w:rPr>
            </w:pPr>
          </w:p>
        </w:tc>
      </w:tr>
      <w:tr>
        <w:trPr>
          <w:trHeight w:val="156"/>
        </w:trPr>
        <w:tc>
          <w:tcPr>
            <w:tcW w:w="37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131E29"/>
              </w:rPr>
              <w:t>Total derivative instrument designated as cash flow</w:t>
            </w: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restart"/>
          </w:tcPr>
          <w:p>
            <w:pPr>
              <w:jc w:val="right"/>
              <w:ind w:right="190"/>
              <w:spacing w:after="0"/>
              <w:rPr>
                <w:sz w:val="20"/>
                <w:szCs w:val="20"/>
                <w:color w:val="auto"/>
              </w:rPr>
            </w:pPr>
            <w:r>
              <w:rPr>
                <w:rFonts w:ascii="Arial" w:cs="Arial" w:eastAsia="Arial" w:hAnsi="Arial"/>
                <w:sz w:val="14"/>
                <w:szCs w:val="14"/>
                <w:color w:val="131E29"/>
                <w:w w:val="76"/>
              </w:rPr>
              <w:t>$</w:t>
            </w:r>
          </w:p>
        </w:tc>
        <w:tc>
          <w:tcPr>
            <w:tcW w:w="1800" w:type="dxa"/>
            <w:vAlign w:val="bottom"/>
            <w:vMerge w:val="restart"/>
          </w:tcPr>
          <w:p>
            <w:pPr>
              <w:jc w:val="right"/>
              <w:spacing w:after="0"/>
              <w:rPr>
                <w:sz w:val="20"/>
                <w:szCs w:val="20"/>
                <w:color w:val="auto"/>
              </w:rPr>
            </w:pPr>
            <w:r>
              <w:rPr>
                <w:rFonts w:ascii="Arial" w:cs="Arial" w:eastAsia="Arial" w:hAnsi="Arial"/>
                <w:sz w:val="14"/>
                <w:szCs w:val="14"/>
                <w:color w:val="131E29"/>
              </w:rPr>
              <w:t>2,208</w:t>
            </w:r>
          </w:p>
        </w:tc>
        <w:tc>
          <w:tcPr>
            <w:tcW w:w="80" w:type="dxa"/>
            <w:vAlign w:val="bottom"/>
          </w:tcPr>
          <w:p>
            <w:pPr>
              <w:spacing w:after="0"/>
              <w:rPr>
                <w:sz w:val="13"/>
                <w:szCs w:val="13"/>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4"/>
                <w:szCs w:val="14"/>
                <w:color w:val="131E29"/>
              </w:rPr>
              <w:t>$</w:t>
            </w:r>
          </w:p>
        </w:tc>
        <w:tc>
          <w:tcPr>
            <w:tcW w:w="2000" w:type="dxa"/>
            <w:vAlign w:val="bottom"/>
            <w:vMerge w:val="restart"/>
          </w:tcPr>
          <w:p>
            <w:pPr>
              <w:jc w:val="right"/>
              <w:spacing w:after="0"/>
              <w:rPr>
                <w:sz w:val="20"/>
                <w:szCs w:val="20"/>
                <w:color w:val="auto"/>
              </w:rPr>
            </w:pPr>
            <w:r>
              <w:rPr>
                <w:rFonts w:ascii="Arial" w:cs="Arial" w:eastAsia="Arial" w:hAnsi="Arial"/>
                <w:sz w:val="14"/>
                <w:szCs w:val="14"/>
                <w:color w:val="131E29"/>
              </w:rPr>
              <w:t>3,163</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131E29"/>
              </w:rPr>
              <w:t>hedge</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440"/>
        <w:spacing w:after="0"/>
        <w:rPr>
          <w:sz w:val="20"/>
          <w:szCs w:val="20"/>
          <w:color w:val="auto"/>
        </w:rPr>
      </w:pPr>
      <w:r>
        <w:rPr>
          <w:sz w:val="1"/>
          <w:szCs w:val="1"/>
          <w:color w:val="auto"/>
        </w:rPr>
        <w:drawing>
          <wp:inline distT="0" distB="0" distL="0" distR="0">
            <wp:extent cx="133985" cy="1879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75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3" w:name="page124"/>
    <w:bookmarkEnd w:id="1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131E29"/>
              </w:rPr>
              <w:t>Year Ended December 31,</w:t>
            </w:r>
          </w:p>
        </w:tc>
      </w:tr>
      <w:tr>
        <w:trPr>
          <w:trHeight w:val="20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8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131E29"/>
              </w:rPr>
              <w:t>Financial Statements Classification</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131E29"/>
              </w:rPr>
              <w:t>2022</w:t>
            </w:r>
          </w:p>
        </w:tc>
      </w:tr>
      <w:tr>
        <w:trPr>
          <w:trHeight w:val="208"/>
        </w:trPr>
        <w:tc>
          <w:tcPr>
            <w:tcW w:w="58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instrument designated as cash flow hedge:</w:t>
            </w:r>
          </w:p>
        </w:tc>
        <w:tc>
          <w:tcPr>
            <w:tcW w:w="28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r>
      <w:tr>
        <w:trPr>
          <w:trHeight w:val="202"/>
        </w:trPr>
        <w:tc>
          <w:tcPr>
            <w:tcW w:w="5820" w:type="dxa"/>
            <w:vAlign w:val="bottom"/>
            <w:gridSpan w:val="2"/>
          </w:tcPr>
          <w:p>
            <w:pPr>
              <w:ind w:left="100"/>
              <w:spacing w:after="0"/>
              <w:rPr>
                <w:sz w:val="20"/>
                <w:szCs w:val="20"/>
                <w:color w:val="auto"/>
              </w:rPr>
            </w:pPr>
            <w:r>
              <w:rPr>
                <w:rFonts w:ascii="Arial" w:cs="Arial" w:eastAsia="Arial" w:hAnsi="Arial"/>
                <w:sz w:val="14"/>
                <w:szCs w:val="14"/>
                <w:color w:val="131E29"/>
              </w:rPr>
              <w:t>Income recognized in other comprehensive income (loss) before reclassifications</w:t>
            </w:r>
          </w:p>
        </w:tc>
        <w:tc>
          <w:tcPr>
            <w:tcW w:w="2960" w:type="dxa"/>
            <w:vAlign w:val="bottom"/>
            <w:gridSpan w:val="2"/>
          </w:tcPr>
          <w:p>
            <w:pPr>
              <w:ind w:left="20"/>
              <w:spacing w:after="0"/>
              <w:rPr>
                <w:sz w:val="20"/>
                <w:szCs w:val="20"/>
                <w:color w:val="auto"/>
              </w:rPr>
            </w:pPr>
            <w:r>
              <w:rPr>
                <w:rFonts w:ascii="Arial" w:cs="Arial" w:eastAsia="Arial" w:hAnsi="Arial"/>
                <w:sz w:val="14"/>
                <w:szCs w:val="14"/>
                <w:color w:val="131E29"/>
              </w:rPr>
              <w:t>Statement of Comprehensive Income (Loss)</w:t>
            </w:r>
          </w:p>
        </w:tc>
        <w:tc>
          <w:tcPr>
            <w:tcW w:w="240" w:type="dxa"/>
            <w:vAlign w:val="bottom"/>
          </w:tcPr>
          <w:p>
            <w:pPr>
              <w:jc w:val="right"/>
              <w:ind w:right="70"/>
              <w:spacing w:after="0"/>
              <w:rPr>
                <w:sz w:val="20"/>
                <w:szCs w:val="20"/>
                <w:color w:val="auto"/>
              </w:rPr>
            </w:pPr>
            <w:r>
              <w:rPr>
                <w:rFonts w:ascii="Arial" w:cs="Arial" w:eastAsia="Arial" w:hAnsi="Arial"/>
                <w:sz w:val="14"/>
                <w:szCs w:val="14"/>
                <w:color w:val="131E29"/>
              </w:rPr>
              <w:t>$</w:t>
            </w:r>
          </w:p>
        </w:tc>
        <w:tc>
          <w:tcPr>
            <w:tcW w:w="980" w:type="dxa"/>
            <w:vAlign w:val="bottom"/>
          </w:tcPr>
          <w:p>
            <w:pPr>
              <w:jc w:val="right"/>
              <w:spacing w:after="0"/>
              <w:rPr>
                <w:sz w:val="20"/>
                <w:szCs w:val="20"/>
                <w:color w:val="auto"/>
              </w:rPr>
            </w:pPr>
            <w:r>
              <w:rPr>
                <w:rFonts w:ascii="Arial" w:cs="Arial" w:eastAsia="Arial" w:hAnsi="Arial"/>
                <w:sz w:val="14"/>
                <w:szCs w:val="14"/>
                <w:color w:val="131E29"/>
              </w:rPr>
              <w:t>954</w:t>
            </w:r>
          </w:p>
        </w:tc>
        <w:tc>
          <w:tcPr>
            <w:tcW w:w="80" w:type="dxa"/>
            <w:vAlign w:val="bottom"/>
          </w:tcPr>
          <w:p>
            <w:pPr>
              <w:spacing w:after="0"/>
              <w:rPr>
                <w:sz w:val="17"/>
                <w:szCs w:val="17"/>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2,966</w:t>
            </w:r>
          </w:p>
        </w:tc>
      </w:tr>
      <w:tr>
        <w:trPr>
          <w:trHeight w:val="185"/>
        </w:trPr>
        <w:tc>
          <w:tcPr>
            <w:tcW w:w="582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Reclassification from accumulated other comprehensive income to earnings for the</w:t>
            </w:r>
          </w:p>
        </w:tc>
        <w:tc>
          <w:tcPr>
            <w:tcW w:w="2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Statement of Operations - Interest expense,</w:t>
            </w:r>
          </w:p>
        </w:tc>
        <w:tc>
          <w:tcPr>
            <w:tcW w:w="240" w:type="dxa"/>
            <w:vAlign w:val="bottom"/>
            <w:shd w:val="clear" w:color="auto" w:fill="D2DCE5"/>
          </w:tcPr>
          <w:p>
            <w:pPr>
              <w:spacing w:after="0"/>
              <w:rPr>
                <w:sz w:val="16"/>
                <w:szCs w:val="16"/>
                <w:color w:val="auto"/>
              </w:rPr>
            </w:pPr>
          </w:p>
        </w:tc>
        <w:tc>
          <w:tcPr>
            <w:tcW w:w="9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r>
      <w:tr>
        <w:trPr>
          <w:trHeight w:val="205"/>
        </w:trPr>
        <w:tc>
          <w:tcPr>
            <w:tcW w:w="582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effective portion</w:t>
            </w:r>
          </w:p>
        </w:tc>
        <w:tc>
          <w:tcPr>
            <w:tcW w:w="2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w:t>
            </w:r>
          </w:p>
        </w:tc>
        <w:tc>
          <w:tcPr>
            <w:tcW w:w="240" w:type="dxa"/>
            <w:vAlign w:val="bottom"/>
            <w:shd w:val="clear" w:color="auto" w:fill="D2DCE5"/>
          </w:tcPr>
          <w:p>
            <w:pPr>
              <w:jc w:val="right"/>
              <w:ind w:right="70"/>
              <w:spacing w:after="0"/>
              <w:rPr>
                <w:sz w:val="20"/>
                <w:szCs w:val="20"/>
                <w:color w:val="auto"/>
              </w:rPr>
            </w:pPr>
            <w:r>
              <w:rPr>
                <w:rFonts w:ascii="Arial" w:cs="Arial" w:eastAsia="Arial" w:hAnsi="Arial"/>
                <w:sz w:val="14"/>
                <w:szCs w:val="14"/>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(1,692)</w:t>
            </w: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215</w:t>
            </w:r>
          </w:p>
        </w:tc>
      </w:tr>
      <w:tr>
        <w:trPr>
          <w:trHeight w:val="176"/>
        </w:trPr>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2"/>
          </w:tcPr>
          <w:p>
            <w:pPr>
              <w:ind w:left="20"/>
              <w:spacing w:after="0"/>
              <w:rPr>
                <w:sz w:val="20"/>
                <w:szCs w:val="20"/>
                <w:color w:val="auto"/>
              </w:rPr>
            </w:pPr>
            <w:r>
              <w:rPr>
                <w:rFonts w:ascii="Arial" w:cs="Arial" w:eastAsia="Arial" w:hAnsi="Arial"/>
                <w:sz w:val="14"/>
                <w:szCs w:val="14"/>
                <w:color w:val="131E29"/>
              </w:rPr>
              <w:t>Statement of Operations - Income tax</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5820" w:type="dxa"/>
            <w:vAlign w:val="bottom"/>
            <w:gridSpan w:val="2"/>
          </w:tcPr>
          <w:p>
            <w:pPr>
              <w:ind w:left="100"/>
              <w:spacing w:after="0"/>
              <w:rPr>
                <w:sz w:val="20"/>
                <w:szCs w:val="20"/>
                <w:color w:val="auto"/>
              </w:rPr>
            </w:pPr>
            <w:r>
              <w:rPr>
                <w:rFonts w:ascii="Arial" w:cs="Arial" w:eastAsia="Arial" w:hAnsi="Arial"/>
                <w:sz w:val="14"/>
                <w:szCs w:val="14"/>
                <w:color w:val="131E29"/>
              </w:rPr>
              <w:t>Income tax expense</w:t>
            </w:r>
          </w:p>
        </w:tc>
        <w:tc>
          <w:tcPr>
            <w:tcW w:w="296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240" w:type="dxa"/>
            <w:vAlign w:val="bottom"/>
          </w:tcPr>
          <w:p>
            <w:pPr>
              <w:jc w:val="right"/>
              <w:ind w:right="70"/>
              <w:spacing w:after="0"/>
              <w:rPr>
                <w:sz w:val="20"/>
                <w:szCs w:val="20"/>
                <w:color w:val="auto"/>
              </w:rPr>
            </w:pPr>
            <w:r>
              <w:rPr>
                <w:rFonts w:ascii="Arial" w:cs="Arial" w:eastAsia="Arial" w:hAnsi="Arial"/>
                <w:sz w:val="14"/>
                <w:szCs w:val="14"/>
                <w:color w:val="131E29"/>
              </w:rPr>
              <w:t>$</w:t>
            </w:r>
          </w:p>
        </w:tc>
        <w:tc>
          <w:tcPr>
            <w:tcW w:w="980" w:type="dxa"/>
            <w:vAlign w:val="bottom"/>
          </w:tcPr>
          <w:p>
            <w:pPr>
              <w:jc w:val="right"/>
              <w:spacing w:after="0"/>
              <w:rPr>
                <w:sz w:val="20"/>
                <w:szCs w:val="20"/>
                <w:color w:val="auto"/>
              </w:rPr>
            </w:pPr>
            <w:r>
              <w:rPr>
                <w:rFonts w:ascii="Arial" w:cs="Arial" w:eastAsia="Arial" w:hAnsi="Arial"/>
                <w:sz w:val="14"/>
                <w:szCs w:val="14"/>
                <w:color w:val="131E29"/>
              </w:rPr>
              <w:t>(10)</w:t>
            </w:r>
          </w:p>
        </w:tc>
        <w:tc>
          <w:tcPr>
            <w:tcW w:w="8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(273)</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131E29"/>
        </w:rPr>
        <w:t>There were no changes to the interest rate swap contract resulting from the amendment to the Company’s 2022 Credit Facility as discussed in NOTE 9 — Debt.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11 — Tax Receivable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changes related to the Company’s TRAs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131E29"/>
              </w:rPr>
              <w:t>December 31, 2023</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131E29"/>
              </w:rPr>
              <w:t>December 31, 2022</w:t>
            </w:r>
          </w:p>
        </w:tc>
        <w:tc>
          <w:tcPr>
            <w:tcW w:w="0" w:type="dxa"/>
            <w:vAlign w:val="bottom"/>
          </w:tcPr>
          <w:p>
            <w:pPr>
              <w:spacing w:after="0"/>
              <w:rPr>
                <w:sz w:val="1"/>
                <w:szCs w:val="1"/>
                <w:color w:val="auto"/>
              </w:rPr>
            </w:pPr>
          </w:p>
        </w:tc>
      </w:tr>
      <w:tr>
        <w:trPr>
          <w:trHeight w:val="208"/>
        </w:trPr>
        <w:tc>
          <w:tcPr>
            <w:tcW w:w="7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TRAs liability, beginning balance</w:t>
            </w:r>
          </w:p>
        </w:tc>
        <w:tc>
          <w:tcPr>
            <w:tcW w:w="180" w:type="dxa"/>
            <w:vAlign w:val="bottom"/>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220,923</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jc w:val="right"/>
              <w:ind w:right="30"/>
              <w:spacing w:after="0"/>
              <w:rPr>
                <w:sz w:val="20"/>
                <w:szCs w:val="20"/>
                <w:color w:val="auto"/>
              </w:rPr>
            </w:pPr>
            <w:r>
              <w:rPr>
                <w:rFonts w:ascii="Arial" w:cs="Arial" w:eastAsia="Arial" w:hAnsi="Arial"/>
                <w:sz w:val="14"/>
                <w:szCs w:val="14"/>
                <w:color w:val="131E29"/>
                <w:w w:val="76"/>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109,733</w:t>
            </w:r>
          </w:p>
        </w:tc>
        <w:tc>
          <w:tcPr>
            <w:tcW w:w="0" w:type="dxa"/>
            <w:vAlign w:val="bottom"/>
          </w:tcPr>
          <w:p>
            <w:pPr>
              <w:spacing w:after="0"/>
              <w:rPr>
                <w:sz w:val="1"/>
                <w:szCs w:val="1"/>
                <w:color w:val="auto"/>
              </w:rPr>
            </w:pPr>
          </w:p>
        </w:tc>
      </w:tr>
      <w:tr>
        <w:trPr>
          <w:trHeight w:val="202"/>
        </w:trPr>
        <w:tc>
          <w:tcPr>
            <w:tcW w:w="7580" w:type="dxa"/>
            <w:vAlign w:val="bottom"/>
            <w:gridSpan w:val="2"/>
          </w:tcPr>
          <w:p>
            <w:pPr>
              <w:ind w:left="20"/>
              <w:spacing w:after="0"/>
              <w:rPr>
                <w:sz w:val="20"/>
                <w:szCs w:val="20"/>
                <w:color w:val="auto"/>
              </w:rPr>
            </w:pPr>
            <w:r>
              <w:rPr>
                <w:rFonts w:ascii="Arial" w:cs="Arial" w:eastAsia="Arial" w:hAnsi="Arial"/>
                <w:sz w:val="14"/>
                <w:szCs w:val="14"/>
                <w:color w:val="131E29"/>
              </w:rPr>
              <w:t>Additions (reductions) to TRAs: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5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Exchange of Dutch Bros OpCo Class A common units for Class A common stock</w:t>
            </w:r>
          </w:p>
        </w:tc>
        <w:tc>
          <w:tcPr>
            <w:tcW w:w="18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72,635</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114,656</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D2DCE5"/>
            </w:tcBorders>
            <w:gridSpan w:val="2"/>
          </w:tcPr>
          <w:p>
            <w:pPr>
              <w:ind w:left="180"/>
              <w:spacing w:after="0"/>
              <w:rPr>
                <w:sz w:val="20"/>
                <w:szCs w:val="20"/>
                <w:color w:val="auto"/>
              </w:rPr>
            </w:pPr>
            <w:r>
              <w:rPr>
                <w:rFonts w:ascii="Arial" w:cs="Arial" w:eastAsia="Arial" w:hAnsi="Arial"/>
                <w:sz w:val="14"/>
                <w:szCs w:val="14"/>
                <w:color w:val="131E29"/>
              </w:rPr>
              <w:t xml:space="preserve">TRAs remeasurements </w:t>
            </w:r>
            <w:r>
              <w:rPr>
                <w:rFonts w:ascii="Arial" w:cs="Arial" w:eastAsia="Arial" w:hAnsi="Arial"/>
                <w:sz w:val="18"/>
                <w:szCs w:val="18"/>
                <w:color w:val="131E29"/>
                <w:vertAlign w:val="superscript"/>
              </w:rPr>
              <w:t>1</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(2,638)</w:t>
            </w: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(3,466)</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TRAs liability, ending balance</w:t>
            </w:r>
          </w:p>
        </w:tc>
        <w:tc>
          <w:tcPr>
            <w:tcW w:w="180" w:type="dxa"/>
            <w:vAlign w:val="bottom"/>
            <w:tcBorders>
              <w:bottom w:val="single" w:sz="8" w:color="auto"/>
            </w:tcBorders>
            <w:shd w:val="clear" w:color="auto" w:fill="D2DCE5"/>
          </w:tcPr>
          <w:p>
            <w:pPr>
              <w:jc w:val="right"/>
              <w:ind w:right="1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290,920</w:t>
            </w:r>
          </w:p>
        </w:tc>
        <w:tc>
          <w:tcPr>
            <w:tcW w:w="80" w:type="dxa"/>
            <w:vAlign w:val="bottom"/>
            <w:tcBorders>
              <w:bottom w:val="single" w:sz="8" w:color="D2DCE5"/>
            </w:tcBorders>
            <w:shd w:val="clear" w:color="auto" w:fill="D2DCE5"/>
          </w:tcPr>
          <w:p>
            <w:pPr>
              <w:spacing w:after="0"/>
              <w:rPr>
                <w:sz w:val="19"/>
                <w:szCs w:val="19"/>
                <w:color w:val="auto"/>
              </w:rPr>
            </w:pPr>
          </w:p>
        </w:tc>
        <w:tc>
          <w:tcPr>
            <w:tcW w:w="18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220,923</w:t>
            </w:r>
          </w:p>
        </w:tc>
        <w:tc>
          <w:tcPr>
            <w:tcW w:w="0" w:type="dxa"/>
            <w:vAlign w:val="bottom"/>
          </w:tcPr>
          <w:p>
            <w:pPr>
              <w:spacing w:after="0"/>
              <w:rPr>
                <w:sz w:val="1"/>
                <w:szCs w:val="1"/>
                <w:color w:val="auto"/>
              </w:rPr>
            </w:pPr>
          </w:p>
        </w:tc>
      </w:tr>
      <w:tr>
        <w:trPr>
          <w:trHeight w:val="20"/>
        </w:trPr>
        <w:tc>
          <w:tcPr>
            <w:tcW w:w="75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 w:hanging="55"/>
        <w:spacing w:after="0"/>
        <w:tabs>
          <w:tab w:leader="none" w:pos="60" w:val="left"/>
        </w:tabs>
        <w:numPr>
          <w:ilvl w:val="0"/>
          <w:numId w:val="73"/>
        </w:numPr>
        <w:rPr>
          <w:rFonts w:ascii="Arial" w:cs="Arial" w:eastAsia="Arial" w:hAnsi="Arial"/>
          <w:sz w:val="14"/>
          <w:szCs w:val="14"/>
          <w:color w:val="131E29"/>
          <w:vertAlign w:val="superscript"/>
        </w:rPr>
      </w:pPr>
      <w:r>
        <w:rPr>
          <w:rFonts w:ascii="Arial" w:cs="Arial" w:eastAsia="Arial" w:hAnsi="Arial"/>
          <w:sz w:val="10"/>
          <w:szCs w:val="10"/>
          <w:color w:val="131E29"/>
        </w:rPr>
        <w:t>Impact primarily related to state tax rates and adjustments from previous estimates upon finalization of the tax attributes subject to the TRA.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4" w:name="page125"/>
    <w:bookmarkEnd w:id="1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12 — Income Taxes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Company’s income tax expense (benefit)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131E29"/>
              </w:rPr>
              <w:t>Year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c>
          <w:tcPr>
            <w:tcW w:w="0" w:type="dxa"/>
            <w:vAlign w:val="bottom"/>
          </w:tcPr>
          <w:p>
            <w:pPr>
              <w:spacing w:after="0"/>
              <w:rPr>
                <w:sz w:val="1"/>
                <w:szCs w:val="1"/>
                <w:color w:val="auto"/>
              </w:rPr>
            </w:pPr>
          </w:p>
        </w:tc>
      </w:tr>
      <w:tr>
        <w:trPr>
          <w:trHeight w:val="208"/>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Current tax provision</w:t>
            </w:r>
          </w:p>
        </w:tc>
        <w:tc>
          <w:tcPr>
            <w:tcW w:w="1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gridSpan w:val="4"/>
          </w:tcPr>
          <w:p>
            <w:pPr>
              <w:ind w:left="180"/>
              <w:spacing w:after="0"/>
              <w:rPr>
                <w:sz w:val="20"/>
                <w:szCs w:val="20"/>
                <w:color w:val="auto"/>
              </w:rPr>
            </w:pPr>
            <w:r>
              <w:rPr>
                <w:rFonts w:ascii="Arial" w:cs="Arial" w:eastAsia="Arial" w:hAnsi="Arial"/>
                <w:sz w:val="14"/>
                <w:szCs w:val="14"/>
                <w:color w:val="131E29"/>
              </w:rPr>
              <w:t>Federal</w:t>
            </w:r>
          </w:p>
        </w:tc>
        <w:tc>
          <w:tcPr>
            <w:tcW w:w="180" w:type="dxa"/>
            <w:vAlign w:val="bottom"/>
          </w:tcPr>
          <w:p>
            <w:pPr>
              <w:jc w:val="right"/>
              <w:ind w:right="30"/>
              <w:spacing w:after="0"/>
              <w:rPr>
                <w:sz w:val="20"/>
                <w:szCs w:val="20"/>
                <w:color w:val="auto"/>
              </w:rPr>
            </w:pPr>
            <w:r>
              <w:rPr>
                <w:rFonts w:ascii="Arial" w:cs="Arial" w:eastAsia="Arial" w:hAnsi="Arial"/>
                <w:sz w:val="14"/>
                <w:szCs w:val="14"/>
                <w:color w:val="131E29"/>
                <w:w w:val="76"/>
              </w:rPr>
              <w:t>$</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131E29"/>
              </w:rPr>
              <w:t>193</w:t>
            </w:r>
          </w:p>
        </w:tc>
        <w:tc>
          <w:tcPr>
            <w:tcW w:w="8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131E29"/>
                <w:w w:val="76"/>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131E29"/>
              </w:rPr>
              <w:t>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131E29"/>
              </w:rPr>
              <w:t>$</w:t>
            </w:r>
          </w:p>
        </w:tc>
        <w:tc>
          <w:tcPr>
            <w:tcW w:w="1040" w:type="dxa"/>
            <w:vAlign w:val="bottom"/>
          </w:tcPr>
          <w:p>
            <w:pPr>
              <w:jc w:val="right"/>
              <w:spacing w:after="0"/>
              <w:rPr>
                <w:sz w:val="20"/>
                <w:szCs w:val="20"/>
                <w:color w:val="auto"/>
              </w:rPr>
            </w:pPr>
            <w:r>
              <w:rPr>
                <w:rFonts w:ascii="Arial" w:cs="Arial" w:eastAsia="Arial" w:hAnsi="Arial"/>
                <w:sz w:val="14"/>
                <w:szCs w:val="14"/>
                <w:color w:val="131E29"/>
              </w:rPr>
              <w:t>170</w:t>
            </w: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180"/>
              <w:spacing w:after="0"/>
              <w:rPr>
                <w:sz w:val="20"/>
                <w:szCs w:val="20"/>
                <w:color w:val="auto"/>
              </w:rPr>
            </w:pPr>
            <w:r>
              <w:rPr>
                <w:rFonts w:ascii="Arial" w:cs="Arial" w:eastAsia="Arial" w:hAnsi="Arial"/>
                <w:sz w:val="14"/>
                <w:szCs w:val="14"/>
                <w:color w:val="131E29"/>
              </w:rPr>
              <w:t>State</w:t>
            </w:r>
          </w:p>
        </w:tc>
        <w:tc>
          <w:tcPr>
            <w:tcW w:w="180" w:type="dxa"/>
            <w:vAlign w:val="bottom"/>
            <w:tcBorders>
              <w:bottom w:val="single" w:sz="8" w:color="auto"/>
            </w:tcBorders>
            <w:shd w:val="clear" w:color="auto" w:fill="D2DCE5"/>
          </w:tcPr>
          <w:p>
            <w:pPr>
              <w:spacing w:after="0"/>
              <w:rPr>
                <w:sz w:val="19"/>
                <w:szCs w:val="19"/>
                <w:color w:val="auto"/>
              </w:rPr>
            </w:pPr>
          </w:p>
        </w:tc>
        <w:tc>
          <w:tcPr>
            <w:tcW w:w="114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844</w:t>
            </w:r>
          </w:p>
        </w:tc>
        <w:tc>
          <w:tcPr>
            <w:tcW w:w="80" w:type="dxa"/>
            <w:vAlign w:val="bottom"/>
            <w:shd w:val="clear" w:color="auto" w:fill="D2DCE5"/>
          </w:tcPr>
          <w:p>
            <w:pPr>
              <w:spacing w:after="0"/>
              <w:rPr>
                <w:sz w:val="19"/>
                <w:szCs w:val="19"/>
                <w:color w:val="auto"/>
              </w:rPr>
            </w:pPr>
          </w:p>
        </w:tc>
        <w:tc>
          <w:tcPr>
            <w:tcW w:w="220" w:type="dxa"/>
            <w:vAlign w:val="bottom"/>
            <w:tcBorders>
              <w:bottom w:val="single" w:sz="8" w:color="auto"/>
            </w:tcBorders>
            <w:shd w:val="clear" w:color="auto" w:fill="D2DCE5"/>
          </w:tcPr>
          <w:p>
            <w:pPr>
              <w:spacing w:after="0"/>
              <w:rPr>
                <w:sz w:val="19"/>
                <w:szCs w:val="19"/>
                <w:color w:val="auto"/>
              </w:rPr>
            </w:pPr>
          </w:p>
        </w:tc>
        <w:tc>
          <w:tcPr>
            <w:tcW w:w="1080" w:type="dxa"/>
            <w:vAlign w:val="bottom"/>
            <w:tcBorders>
              <w:bottom w:val="single" w:sz="8" w:color="auto"/>
            </w:tcBorders>
            <w:gridSpan w:val="2"/>
            <w:shd w:val="clear" w:color="auto" w:fill="D2DCE5"/>
          </w:tcPr>
          <w:p>
            <w:pPr>
              <w:jc w:val="right"/>
              <w:ind w:right="40"/>
              <w:spacing w:after="0"/>
              <w:rPr>
                <w:sz w:val="20"/>
                <w:szCs w:val="20"/>
                <w:color w:val="auto"/>
              </w:rPr>
            </w:pPr>
            <w:r>
              <w:rPr>
                <w:rFonts w:ascii="Arial" w:cs="Arial" w:eastAsia="Arial" w:hAnsi="Arial"/>
                <w:sz w:val="14"/>
                <w:szCs w:val="14"/>
                <w:color w:val="131E29"/>
              </w:rPr>
              <w:t>1,340</w:t>
            </w:r>
          </w:p>
        </w:tc>
        <w:tc>
          <w:tcPr>
            <w:tcW w:w="20" w:type="dxa"/>
            <w:vAlign w:val="bottom"/>
            <w:tcBorders>
              <w:bottom w:val="single" w:sz="8" w:color="auto"/>
            </w:tcBorders>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865</w:t>
            </w:r>
          </w:p>
        </w:tc>
        <w:tc>
          <w:tcPr>
            <w:tcW w:w="0" w:type="dxa"/>
            <w:vAlign w:val="bottom"/>
          </w:tcPr>
          <w:p>
            <w:pPr>
              <w:spacing w:after="0"/>
              <w:rPr>
                <w:sz w:val="1"/>
                <w:szCs w:val="1"/>
                <w:color w:val="auto"/>
              </w:rPr>
            </w:pPr>
          </w:p>
        </w:tc>
      </w:tr>
      <w:tr>
        <w:trPr>
          <w:trHeight w:val="19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Total current tax provision</w:t>
            </w:r>
          </w:p>
        </w:tc>
        <w:tc>
          <w:tcPr>
            <w:tcW w:w="18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131E29"/>
              </w:rPr>
              <w:t>1,037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131E29"/>
              </w:rPr>
              <w:t>1,521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1,035</w:t>
            </w:r>
          </w:p>
        </w:tc>
        <w:tc>
          <w:tcPr>
            <w:tcW w:w="0" w:type="dxa"/>
            <w:vAlign w:val="bottom"/>
          </w:tcPr>
          <w:p>
            <w:pPr>
              <w:spacing w:after="0"/>
              <w:rPr>
                <w:sz w:val="1"/>
                <w:szCs w:val="1"/>
                <w:color w:val="auto"/>
              </w:rPr>
            </w:pPr>
          </w:p>
        </w:tc>
      </w:tr>
      <w:tr>
        <w:trPr>
          <w:trHeight w:val="221"/>
        </w:trPr>
        <w:tc>
          <w:tcPr>
            <w:tcW w:w="68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Deferred tax expense (benefit)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180"/>
              <w:spacing w:after="0"/>
              <w:rPr>
                <w:sz w:val="20"/>
                <w:szCs w:val="20"/>
                <w:color w:val="auto"/>
              </w:rPr>
            </w:pPr>
            <w:r>
              <w:rPr>
                <w:rFonts w:ascii="Arial" w:cs="Arial" w:eastAsia="Arial" w:hAnsi="Arial"/>
                <w:sz w:val="14"/>
                <w:szCs w:val="14"/>
                <w:color w:val="131E29"/>
              </w:rPr>
              <w:t>Federal</w:t>
            </w:r>
          </w:p>
        </w:tc>
        <w:tc>
          <w:tcPr>
            <w:tcW w:w="180" w:type="dxa"/>
            <w:vAlign w:val="bottom"/>
            <w:shd w:val="clear" w:color="auto" w:fill="D2DCE5"/>
          </w:tcPr>
          <w:p>
            <w:pPr>
              <w:spacing w:after="0"/>
              <w:rPr>
                <w:sz w:val="19"/>
                <w:szCs w:val="19"/>
                <w:color w:val="auto"/>
              </w:rPr>
            </w:pPr>
          </w:p>
        </w:tc>
        <w:tc>
          <w:tcPr>
            <w:tcW w:w="114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1,605</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(6,081)</w:t>
            </w: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(2,265)</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D2DCE5"/>
            </w:tcBorders>
            <w:gridSpan w:val="4"/>
          </w:tcPr>
          <w:p>
            <w:pPr>
              <w:ind w:left="180"/>
              <w:spacing w:after="0"/>
              <w:rPr>
                <w:sz w:val="20"/>
                <w:szCs w:val="20"/>
                <w:color w:val="auto"/>
              </w:rPr>
            </w:pPr>
            <w:r>
              <w:rPr>
                <w:rFonts w:ascii="Arial" w:cs="Arial" w:eastAsia="Arial" w:hAnsi="Arial"/>
                <w:sz w:val="14"/>
                <w:szCs w:val="14"/>
                <w:color w:val="131E29"/>
              </w:rPr>
              <w:t>State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131E29"/>
              </w:rPr>
              <w:t>4,325</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131E29"/>
              </w:rPr>
              <w:t>7,159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(398)</w:t>
            </w:r>
          </w:p>
        </w:tc>
        <w:tc>
          <w:tcPr>
            <w:tcW w:w="0" w:type="dxa"/>
            <w:vAlign w:val="bottom"/>
          </w:tcPr>
          <w:p>
            <w:pPr>
              <w:spacing w:after="0"/>
              <w:rPr>
                <w:sz w:val="1"/>
                <w:szCs w:val="1"/>
                <w:color w:val="auto"/>
              </w:rPr>
            </w:pPr>
          </w:p>
        </w:tc>
      </w:tr>
      <w:tr>
        <w:trPr>
          <w:trHeight w:val="211"/>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Total deferred tax provision</w:t>
            </w:r>
          </w:p>
        </w:tc>
        <w:tc>
          <w:tcPr>
            <w:tcW w:w="180" w:type="dxa"/>
            <w:vAlign w:val="bottom"/>
            <w:shd w:val="clear" w:color="auto" w:fill="D2DCE5"/>
          </w:tcPr>
          <w:p>
            <w:pPr>
              <w:spacing w:after="0"/>
              <w:rPr>
                <w:sz w:val="18"/>
                <w:szCs w:val="18"/>
                <w:color w:val="auto"/>
              </w:rPr>
            </w:pPr>
          </w:p>
        </w:tc>
        <w:tc>
          <w:tcPr>
            <w:tcW w:w="114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5,930</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1080" w:type="dxa"/>
            <w:vAlign w:val="bottom"/>
            <w:gridSpan w:val="2"/>
            <w:shd w:val="clear" w:color="auto" w:fill="D2DCE5"/>
          </w:tcPr>
          <w:p>
            <w:pPr>
              <w:jc w:val="right"/>
              <w:ind w:right="40"/>
              <w:spacing w:after="0"/>
              <w:rPr>
                <w:sz w:val="20"/>
                <w:szCs w:val="20"/>
                <w:color w:val="auto"/>
              </w:rPr>
            </w:pPr>
            <w:r>
              <w:rPr>
                <w:rFonts w:ascii="Arial" w:cs="Arial" w:eastAsia="Arial" w:hAnsi="Arial"/>
                <w:sz w:val="14"/>
                <w:szCs w:val="14"/>
                <w:color w:val="131E29"/>
              </w:rPr>
              <w:t>1,078</w:t>
            </w:r>
          </w:p>
        </w:tc>
        <w:tc>
          <w:tcPr>
            <w:tcW w:w="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(2,663)</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D2DCE5"/>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D2DCE5"/>
            </w:tcBorders>
          </w:tcPr>
          <w:p>
            <w:pPr>
              <w:spacing w:after="0"/>
              <w:rPr>
                <w:sz w:val="18"/>
                <w:szCs w:val="18"/>
                <w:color w:val="auto"/>
              </w:rPr>
            </w:pPr>
          </w:p>
        </w:tc>
        <w:tc>
          <w:tcPr>
            <w:tcW w:w="10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18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4"/>
                <w:szCs w:val="14"/>
                <w:color w:val="131E29"/>
                <w:w w:val="76"/>
              </w:rPr>
              <w:t>$</w:t>
            </w:r>
          </w:p>
        </w:tc>
        <w:tc>
          <w:tcPr>
            <w:tcW w:w="114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6,967</w:t>
            </w:r>
          </w:p>
        </w:tc>
        <w:tc>
          <w:tcPr>
            <w:tcW w:w="8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4"/>
                <w:szCs w:val="14"/>
                <w:color w:val="131E29"/>
                <w:w w:val="76"/>
              </w:rPr>
              <w:t>$</w:t>
            </w:r>
          </w:p>
        </w:tc>
        <w:tc>
          <w:tcPr>
            <w:tcW w:w="1080" w:type="dxa"/>
            <w:vAlign w:val="bottom"/>
            <w:tcBorders>
              <w:bottom w:val="single" w:sz="8" w:color="auto"/>
            </w:tcBorders>
            <w:gridSpan w:val="2"/>
            <w:shd w:val="clear" w:color="auto" w:fill="D2DCE5"/>
          </w:tcPr>
          <w:p>
            <w:pPr>
              <w:jc w:val="right"/>
              <w:ind w:right="40"/>
              <w:spacing w:after="0"/>
              <w:rPr>
                <w:sz w:val="20"/>
                <w:szCs w:val="20"/>
                <w:color w:val="auto"/>
              </w:rPr>
            </w:pPr>
            <w:r>
              <w:rPr>
                <w:rFonts w:ascii="Arial" w:cs="Arial" w:eastAsia="Arial" w:hAnsi="Arial"/>
                <w:sz w:val="14"/>
                <w:szCs w:val="14"/>
                <w:color w:val="131E29"/>
              </w:rPr>
              <w:t>2,599</w:t>
            </w:r>
          </w:p>
        </w:tc>
        <w:tc>
          <w:tcPr>
            <w:tcW w:w="20" w:type="dxa"/>
            <w:vAlign w:val="bottom"/>
            <w:tcBorders>
              <w:bottom w:val="single" w:sz="8" w:color="auto"/>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4"/>
                <w:szCs w:val="14"/>
                <w:color w:val="131E2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(1,628)</w:t>
            </w:r>
          </w:p>
        </w:tc>
        <w:tc>
          <w:tcPr>
            <w:tcW w:w="0" w:type="dxa"/>
            <w:vAlign w:val="bottom"/>
          </w:tcPr>
          <w:p>
            <w:pPr>
              <w:spacing w:after="0"/>
              <w:rPr>
                <w:sz w:val="1"/>
                <w:szCs w:val="1"/>
                <w:color w:val="auto"/>
              </w:rPr>
            </w:pPr>
          </w:p>
        </w:tc>
      </w:tr>
      <w:tr>
        <w:trPr>
          <w:trHeight w:val="20"/>
        </w:trPr>
        <w:tc>
          <w:tcPr>
            <w:tcW w:w="7160" w:type="dxa"/>
            <w:vAlign w:val="bottom"/>
            <w:tcBorders>
              <w:top w:val="single" w:sz="8" w:color="D2DCE5"/>
              <w:bottom w:val="single" w:sz="8" w:color="D2DCE5"/>
            </w:tcBorders>
            <w:gridSpan w:val="4"/>
            <w:vMerge w:val="restart"/>
          </w:tcPr>
          <w:p>
            <w:pPr>
              <w:spacing w:after="0"/>
              <w:rPr>
                <w:sz w:val="20"/>
                <w:szCs w:val="20"/>
                <w:color w:val="auto"/>
              </w:rPr>
            </w:pPr>
            <w:r>
              <w:rPr>
                <w:rFonts w:ascii="Arial" w:cs="Arial" w:eastAsia="Arial" w:hAnsi="Arial"/>
                <w:sz w:val="14"/>
                <w:szCs w:val="14"/>
                <w:color w:val="131E29"/>
              </w:rPr>
              <w:t>The Company’s effective income tax rate differs from the U.S. federal statutory income tax rate as itemized below:</w:t>
            </w: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16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131E29"/>
                <w:w w:val="99"/>
              </w:rPr>
              <w:t>Year Ended December 31,</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0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131E29"/>
              </w:rPr>
              <w:t>2021</w:t>
            </w:r>
          </w:p>
        </w:tc>
        <w:tc>
          <w:tcPr>
            <w:tcW w:w="0" w:type="dxa"/>
            <w:vAlign w:val="bottom"/>
          </w:tcPr>
          <w:p>
            <w:pPr>
              <w:spacing w:after="0"/>
              <w:rPr>
                <w:sz w:val="1"/>
                <w:szCs w:val="1"/>
                <w:color w:val="auto"/>
              </w:rPr>
            </w:pPr>
          </w:p>
        </w:tc>
      </w:tr>
      <w:tr>
        <w:trPr>
          <w:trHeight w:val="208"/>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U.S. federal statutory income tax rate</w:t>
            </w:r>
          </w:p>
        </w:tc>
        <w:tc>
          <w:tcPr>
            <w:tcW w:w="1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0" w:type="dxa"/>
            <w:vAlign w:val="bottom"/>
          </w:tcPr>
          <w:p>
            <w:pPr>
              <w:spacing w:after="0"/>
              <w:rPr>
                <w:sz w:val="1"/>
                <w:szCs w:val="1"/>
                <w:color w:val="auto"/>
              </w:rPr>
            </w:pPr>
          </w:p>
        </w:tc>
      </w:tr>
      <w:tr>
        <w:trPr>
          <w:trHeight w:val="20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Income allocable to non-controlling interests not subject to tax</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6.3 %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(18.4)%</w:t>
            </w: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State and local income taxes, net of federal benefit</w:t>
            </w:r>
          </w:p>
        </w:tc>
        <w:tc>
          <w:tcPr>
            <w:tcW w:w="1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10.1 %</w:t>
            </w: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(9.5)%</w:t>
            </w: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(0.8)%</w:t>
            </w:r>
          </w:p>
        </w:tc>
        <w:tc>
          <w:tcPr>
            <w:tcW w:w="0" w:type="dxa"/>
            <w:vAlign w:val="bottom"/>
          </w:tcPr>
          <w:p>
            <w:pPr>
              <w:spacing w:after="0"/>
              <w:rPr>
                <w:sz w:val="1"/>
                <w:szCs w:val="1"/>
                <w:color w:val="auto"/>
              </w:rPr>
            </w:pPr>
          </w:p>
        </w:tc>
      </w:tr>
      <w:tr>
        <w:trPr>
          <w:trHeight w:val="20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State rate adjustment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17.5 %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Net impact of GAAP basis shifts</w:t>
            </w:r>
          </w:p>
        </w:tc>
        <w:tc>
          <w:tcPr>
            <w:tcW w:w="180" w:type="dxa"/>
            <w:vAlign w:val="bottom"/>
            <w:shd w:val="clear" w:color="auto" w:fill="D2DCE5"/>
          </w:tcPr>
          <w:p>
            <w:pPr>
              <w:spacing w:after="0"/>
              <w:rPr>
                <w:sz w:val="19"/>
                <w:szCs w:val="19"/>
                <w:color w:val="auto"/>
              </w:rPr>
            </w:pPr>
          </w:p>
        </w:tc>
        <w:tc>
          <w:tcPr>
            <w:tcW w:w="1220" w:type="dxa"/>
            <w:vAlign w:val="bottom"/>
            <w:gridSpan w:val="4"/>
            <w:shd w:val="clear" w:color="auto" w:fill="D2DCE5"/>
          </w:tcPr>
          <w:p>
            <w:pPr>
              <w:jc w:val="right"/>
              <w:ind w:right="300"/>
              <w:spacing w:after="0"/>
              <w:rPr>
                <w:sz w:val="20"/>
                <w:szCs w:val="20"/>
                <w:color w:val="auto"/>
              </w:rPr>
            </w:pPr>
            <w:r>
              <w:rPr>
                <w:rFonts w:ascii="Arial" w:cs="Arial" w:eastAsia="Arial" w:hAnsi="Arial"/>
                <w:sz w:val="14"/>
                <w:szCs w:val="14"/>
                <w:color w:val="131E29"/>
              </w:rPr>
              <w:t>— %</w:t>
            </w:r>
          </w:p>
        </w:tc>
        <w:tc>
          <w:tcPr>
            <w:tcW w:w="220" w:type="dxa"/>
            <w:vAlign w:val="bottom"/>
            <w:shd w:val="clear" w:color="auto" w:fill="D2DCE5"/>
          </w:tcPr>
          <w:p>
            <w:pPr>
              <w:spacing w:after="0"/>
              <w:rPr>
                <w:sz w:val="19"/>
                <w:szCs w:val="19"/>
                <w:color w:val="auto"/>
              </w:rPr>
            </w:pPr>
          </w:p>
        </w:tc>
        <w:tc>
          <w:tcPr>
            <w:tcW w:w="1180" w:type="dxa"/>
            <w:vAlign w:val="bottom"/>
            <w:gridSpan w:val="4"/>
            <w:shd w:val="clear" w:color="auto" w:fill="D2DCE5"/>
          </w:tcPr>
          <w:p>
            <w:pPr>
              <w:jc w:val="right"/>
              <w:ind w:right="200"/>
              <w:spacing w:after="0"/>
              <w:rPr>
                <w:sz w:val="20"/>
                <w:szCs w:val="20"/>
                <w:color w:val="auto"/>
              </w:rPr>
            </w:pPr>
            <w:r>
              <w:rPr>
                <w:rFonts w:ascii="Arial" w:cs="Arial" w:eastAsia="Arial" w:hAnsi="Arial"/>
                <w:sz w:val="14"/>
                <w:szCs w:val="14"/>
                <w:color w:val="131E29"/>
              </w:rPr>
              <w:t>— %</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0" w:type="dxa"/>
            <w:vAlign w:val="bottom"/>
          </w:tcPr>
          <w:p>
            <w:pPr>
              <w:spacing w:after="0"/>
              <w:rPr>
                <w:sz w:val="1"/>
                <w:szCs w:val="1"/>
                <w:color w:val="auto"/>
              </w:rPr>
            </w:pPr>
          </w:p>
        </w:tc>
      </w:tr>
      <w:tr>
        <w:trPr>
          <w:trHeight w:val="20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Non-deductible compensation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0.7 %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(0.2)%</w:t>
            </w: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Tax credits</w:t>
            </w:r>
          </w:p>
        </w:tc>
        <w:tc>
          <w:tcPr>
            <w:tcW w:w="1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(12.9)%</w:t>
            </w: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10.1 %</w:t>
            </w: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0.3 %</w:t>
            </w:r>
          </w:p>
        </w:tc>
        <w:tc>
          <w:tcPr>
            <w:tcW w:w="0" w:type="dxa"/>
            <w:vAlign w:val="bottom"/>
          </w:tcPr>
          <w:p>
            <w:pPr>
              <w:spacing w:after="0"/>
              <w:rPr>
                <w:sz w:val="1"/>
                <w:szCs w:val="1"/>
                <w:color w:val="auto"/>
              </w:rPr>
            </w:pPr>
          </w:p>
        </w:tc>
      </w:tr>
      <w:tr>
        <w:trPr>
          <w:trHeight w:val="20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TRA adjustments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0.2 %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4.4 %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Return-to-provision adjustments</w:t>
            </w:r>
          </w:p>
        </w:tc>
        <w:tc>
          <w:tcPr>
            <w:tcW w:w="1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w:t>
            </w: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32.4 %</w:t>
            </w: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02"/>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Stock-based compensation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4"/>
                <w:szCs w:val="14"/>
                <w:color w:val="131E29"/>
              </w:rPr>
              <w:t>— %</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21"/>
        </w:trPr>
        <w:tc>
          <w:tcPr>
            <w:tcW w:w="716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Other</w:t>
            </w:r>
          </w:p>
        </w:tc>
        <w:tc>
          <w:tcPr>
            <w:tcW w:w="1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0.4 %</w:t>
            </w: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180" w:type="dxa"/>
            <w:vAlign w:val="bottom"/>
            <w:gridSpan w:val="4"/>
            <w:shd w:val="clear" w:color="auto" w:fill="D2DCE5"/>
          </w:tcPr>
          <w:p>
            <w:pPr>
              <w:jc w:val="right"/>
              <w:ind w:right="200"/>
              <w:spacing w:after="0"/>
              <w:rPr>
                <w:sz w:val="20"/>
                <w:szCs w:val="20"/>
                <w:color w:val="auto"/>
              </w:rPr>
            </w:pPr>
            <w:r>
              <w:rPr>
                <w:rFonts w:ascii="Arial" w:cs="Arial" w:eastAsia="Arial" w:hAnsi="Arial"/>
                <w:sz w:val="14"/>
                <w:szCs w:val="14"/>
                <w:color w:val="131E29"/>
              </w:rPr>
              <w:t>— %</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02"/>
        </w:trPr>
        <w:tc>
          <w:tcPr>
            <w:tcW w:w="68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Valuation allowance</w:t>
            </w:r>
          </w:p>
        </w:tc>
        <w:tc>
          <w:tcPr>
            <w:tcW w:w="28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(0.5)%</w:t>
            </w: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 %</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(0.3)%</w:t>
            </w:r>
          </w:p>
        </w:tc>
        <w:tc>
          <w:tcPr>
            <w:tcW w:w="0" w:type="dxa"/>
            <w:vAlign w:val="bottom"/>
          </w:tcPr>
          <w:p>
            <w:pPr>
              <w:spacing w:after="0"/>
              <w:rPr>
                <w:sz w:val="1"/>
                <w:szCs w:val="1"/>
                <w:color w:val="auto"/>
              </w:rPr>
            </w:pPr>
          </w:p>
        </w:tc>
      </w:tr>
      <w:tr>
        <w:trPr>
          <w:trHeight w:val="231"/>
        </w:trPr>
        <w:tc>
          <w:tcPr>
            <w:tcW w:w="7160" w:type="dxa"/>
            <w:vAlign w:val="bottom"/>
            <w:gridSpan w:val="4"/>
            <w:shd w:val="clear" w:color="auto" w:fill="D2DCE5"/>
          </w:tcPr>
          <w:p>
            <w:pPr>
              <w:ind w:left="140"/>
              <w:spacing w:after="0"/>
              <w:rPr>
                <w:sz w:val="20"/>
                <w:szCs w:val="20"/>
                <w:color w:val="auto"/>
              </w:rPr>
            </w:pPr>
            <w:r>
              <w:rPr>
                <w:rFonts w:ascii="Arial" w:cs="Arial" w:eastAsia="Arial" w:hAnsi="Arial"/>
                <w:sz w:val="14"/>
                <w:szCs w:val="14"/>
                <w:color w:val="131E29"/>
              </w:rPr>
              <w:t>Effective income tax rate</w:t>
            </w:r>
          </w:p>
        </w:tc>
        <w:tc>
          <w:tcPr>
            <w:tcW w:w="180" w:type="dxa"/>
            <w:vAlign w:val="bottom"/>
            <w:shd w:val="clear" w:color="auto" w:fill="D2DCE5"/>
          </w:tcPr>
          <w:p>
            <w:pPr>
              <w:spacing w:after="0"/>
              <w:rPr>
                <w:sz w:val="20"/>
                <w:szCs w:val="20"/>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41.2 %</w:t>
            </w:r>
          </w:p>
        </w:tc>
        <w:tc>
          <w:tcPr>
            <w:tcW w:w="8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(15.6)%</w:t>
            </w:r>
          </w:p>
        </w:tc>
        <w:tc>
          <w:tcPr>
            <w:tcW w:w="80" w:type="dxa"/>
            <w:vAlign w:val="bottom"/>
            <w:shd w:val="clear" w:color="auto" w:fill="D2DCE5"/>
          </w:tcPr>
          <w:p>
            <w:pPr>
              <w:spacing w:after="0"/>
              <w:rPr>
                <w:sz w:val="20"/>
                <w:szCs w:val="20"/>
                <w:color w:val="auto"/>
              </w:rPr>
            </w:pPr>
          </w:p>
        </w:tc>
        <w:tc>
          <w:tcPr>
            <w:tcW w:w="2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1.4 %</w:t>
            </w:r>
          </w:p>
        </w:tc>
        <w:tc>
          <w:tcPr>
            <w:tcW w:w="0" w:type="dxa"/>
            <w:vAlign w:val="bottom"/>
          </w:tcPr>
          <w:p>
            <w:pPr>
              <w:spacing w:after="0"/>
              <w:rPr>
                <w:sz w:val="1"/>
                <w:szCs w:val="1"/>
                <w:color w:val="auto"/>
              </w:rPr>
            </w:pPr>
          </w:p>
        </w:tc>
      </w:tr>
      <w:tr>
        <w:trPr>
          <w:trHeight w:val="20"/>
        </w:trPr>
        <w:tc>
          <w:tcPr>
            <w:tcW w:w="68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5" w:name="page126"/>
    <w:bookmarkEnd w:id="1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gridSpan w:val="2"/>
          </w:tcPr>
          <w:p>
            <w:pPr>
              <w:spacing w:after="0"/>
              <w:rPr>
                <w:sz w:val="20"/>
                <w:szCs w:val="20"/>
                <w:color w:val="auto"/>
              </w:rPr>
            </w:pPr>
            <w:r>
              <w:rPr>
                <w:rFonts w:ascii="Arial" w:cs="Arial" w:eastAsia="Arial" w:hAnsi="Arial"/>
                <w:sz w:val="14"/>
                <w:szCs w:val="14"/>
                <w:color w:val="131E29"/>
              </w:rPr>
              <w:t>The components of the Company’s deferred tax assets are as follows: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5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131E29"/>
              </w:rPr>
              <w:t>December 31, 2023</w:t>
            </w:r>
          </w:p>
        </w:tc>
        <w:tc>
          <w:tcPr>
            <w:tcW w:w="80" w:type="dxa"/>
            <w:vAlign w:val="bottom"/>
            <w:tcBorders>
              <w:bottom w:val="single" w:sz="8" w:color="D2DCE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131E29"/>
              </w:rPr>
              <w:t>December 31, 2022</w:t>
            </w:r>
          </w:p>
        </w:tc>
      </w:tr>
      <w:tr>
        <w:trPr>
          <w:trHeight w:val="208"/>
        </w:trPr>
        <w:tc>
          <w:tcPr>
            <w:tcW w:w="7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Deferred tax assets</w:t>
            </w:r>
          </w:p>
        </w:tc>
        <w:tc>
          <w:tcPr>
            <w:tcW w:w="18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1620" w:type="dxa"/>
            <w:vAlign w:val="bottom"/>
            <w:shd w:val="clear" w:color="auto" w:fill="D2DCE5"/>
          </w:tcPr>
          <w:p>
            <w:pPr>
              <w:spacing w:after="0"/>
              <w:rPr>
                <w:sz w:val="18"/>
                <w:szCs w:val="18"/>
                <w:color w:val="auto"/>
              </w:rPr>
            </w:pPr>
          </w:p>
        </w:tc>
      </w:tr>
      <w:tr>
        <w:trPr>
          <w:trHeight w:val="202"/>
        </w:trPr>
        <w:tc>
          <w:tcPr>
            <w:tcW w:w="7580" w:type="dxa"/>
            <w:vAlign w:val="bottom"/>
            <w:gridSpan w:val="2"/>
          </w:tcPr>
          <w:p>
            <w:pPr>
              <w:ind w:left="180"/>
              <w:spacing w:after="0"/>
              <w:rPr>
                <w:sz w:val="20"/>
                <w:szCs w:val="20"/>
                <w:color w:val="auto"/>
              </w:rPr>
            </w:pPr>
            <w:r>
              <w:rPr>
                <w:rFonts w:ascii="Arial" w:cs="Arial" w:eastAsia="Arial" w:hAnsi="Arial"/>
                <w:sz w:val="14"/>
                <w:szCs w:val="14"/>
                <w:color w:val="131E29"/>
              </w:rPr>
              <w:t>Investment in Dutch Bros OpCo</w:t>
            </w:r>
          </w:p>
        </w:tc>
        <w:tc>
          <w:tcPr>
            <w:tcW w:w="180" w:type="dxa"/>
            <w:vAlign w:val="bottom"/>
          </w:tcPr>
          <w:p>
            <w:pPr>
              <w:jc w:val="right"/>
              <w:ind w:right="10"/>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346,172</w:t>
            </w:r>
          </w:p>
        </w:tc>
        <w:tc>
          <w:tcPr>
            <w:tcW w:w="8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131E29"/>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255,763</w:t>
            </w:r>
          </w:p>
        </w:tc>
      </w:tr>
      <w:tr>
        <w:trPr>
          <w:trHeight w:val="221"/>
        </w:trPr>
        <w:tc>
          <w:tcPr>
            <w:tcW w:w="75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Net operating loss carryforwards</w:t>
            </w:r>
          </w:p>
        </w:tc>
        <w:tc>
          <w:tcPr>
            <w:tcW w:w="18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34,988</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19,356</w:t>
            </w:r>
          </w:p>
        </w:tc>
      </w:tr>
      <w:tr>
        <w:trPr>
          <w:trHeight w:val="202"/>
        </w:trPr>
        <w:tc>
          <w:tcPr>
            <w:tcW w:w="7580" w:type="dxa"/>
            <w:vAlign w:val="bottom"/>
            <w:gridSpan w:val="2"/>
          </w:tcPr>
          <w:p>
            <w:pPr>
              <w:ind w:left="180"/>
              <w:spacing w:after="0"/>
              <w:rPr>
                <w:sz w:val="20"/>
                <w:szCs w:val="20"/>
                <w:color w:val="auto"/>
              </w:rPr>
            </w:pPr>
            <w:r>
              <w:rPr>
                <w:rFonts w:ascii="Arial" w:cs="Arial" w:eastAsia="Arial" w:hAnsi="Arial"/>
                <w:sz w:val="14"/>
                <w:szCs w:val="14"/>
                <w:color w:val="131E29"/>
              </w:rPr>
              <w:t>Interest expense</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14,187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7,781</w:t>
            </w:r>
          </w:p>
        </w:tc>
      </w:tr>
      <w:tr>
        <w:trPr>
          <w:trHeight w:val="221"/>
        </w:trPr>
        <w:tc>
          <w:tcPr>
            <w:tcW w:w="75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Credit carryforwards</w:t>
            </w:r>
          </w:p>
        </w:tc>
        <w:tc>
          <w:tcPr>
            <w:tcW w:w="18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4,991</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2,813</w:t>
            </w:r>
          </w:p>
        </w:tc>
      </w:tr>
      <w:tr>
        <w:trPr>
          <w:trHeight w:val="202"/>
        </w:trPr>
        <w:tc>
          <w:tcPr>
            <w:tcW w:w="7580" w:type="dxa"/>
            <w:vAlign w:val="bottom"/>
            <w:gridSpan w:val="2"/>
          </w:tcPr>
          <w:p>
            <w:pPr>
              <w:ind w:left="180"/>
              <w:spacing w:after="0"/>
              <w:rPr>
                <w:sz w:val="20"/>
                <w:szCs w:val="20"/>
                <w:color w:val="auto"/>
              </w:rPr>
            </w:pPr>
            <w:r>
              <w:rPr>
                <w:rFonts w:ascii="Arial" w:cs="Arial" w:eastAsia="Arial" w:hAnsi="Arial"/>
                <w:sz w:val="14"/>
                <w:szCs w:val="14"/>
                <w:color w:val="131E29"/>
              </w:rPr>
              <w:t>Charitable contribution carryforward</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1,546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1,498</w:t>
            </w:r>
          </w:p>
        </w:tc>
      </w:tr>
      <w:tr>
        <w:trPr>
          <w:trHeight w:val="221"/>
        </w:trPr>
        <w:tc>
          <w:tcPr>
            <w:tcW w:w="75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Other</w:t>
            </w:r>
          </w:p>
        </w:tc>
        <w:tc>
          <w:tcPr>
            <w:tcW w:w="180" w:type="dxa"/>
            <w:vAlign w:val="bottom"/>
            <w:tcBorders>
              <w:bottom w:val="single" w:sz="8" w:color="auto"/>
            </w:tcBorders>
            <w:shd w:val="clear" w:color="auto" w:fill="D2DCE5"/>
          </w:tcPr>
          <w:p>
            <w:pPr>
              <w:spacing w:after="0"/>
              <w:rPr>
                <w:sz w:val="19"/>
                <w:szCs w:val="19"/>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2,130</w:t>
            </w:r>
          </w:p>
        </w:tc>
        <w:tc>
          <w:tcPr>
            <w:tcW w:w="80" w:type="dxa"/>
            <w:vAlign w:val="bottom"/>
            <w:shd w:val="clear" w:color="auto" w:fill="D2DCE5"/>
          </w:tcPr>
          <w:p>
            <w:pPr>
              <w:spacing w:after="0"/>
              <w:rPr>
                <w:sz w:val="19"/>
                <w:szCs w:val="19"/>
                <w:color w:val="auto"/>
              </w:rPr>
            </w:pPr>
          </w:p>
        </w:tc>
        <w:tc>
          <w:tcPr>
            <w:tcW w:w="180" w:type="dxa"/>
            <w:vAlign w:val="bottom"/>
            <w:tcBorders>
              <w:bottom w:val="single" w:sz="8" w:color="auto"/>
            </w:tcBorders>
            <w:shd w:val="clear" w:color="auto" w:fill="D2DCE5"/>
          </w:tcPr>
          <w:p>
            <w:pPr>
              <w:spacing w:after="0"/>
              <w:rPr>
                <w:sz w:val="19"/>
                <w:szCs w:val="19"/>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2,661</w:t>
            </w:r>
          </w:p>
        </w:tc>
      </w:tr>
      <w:tr>
        <w:trPr>
          <w:trHeight w:val="192"/>
        </w:trPr>
        <w:tc>
          <w:tcPr>
            <w:tcW w:w="7580" w:type="dxa"/>
            <w:vAlign w:val="bottom"/>
            <w:gridSpan w:val="2"/>
          </w:tcPr>
          <w:p>
            <w:pPr>
              <w:ind w:left="20"/>
              <w:spacing w:after="0"/>
              <w:rPr>
                <w:sz w:val="20"/>
                <w:szCs w:val="20"/>
                <w:color w:val="auto"/>
              </w:rPr>
            </w:pPr>
            <w:r>
              <w:rPr>
                <w:rFonts w:ascii="Arial" w:cs="Arial" w:eastAsia="Arial" w:hAnsi="Arial"/>
                <w:sz w:val="14"/>
                <w:szCs w:val="14"/>
                <w:color w:val="131E29"/>
              </w:rPr>
              <w:t>Total deferred tax assets</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404,014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289,872</w:t>
            </w:r>
          </w:p>
        </w:tc>
      </w:tr>
      <w:tr>
        <w:trPr>
          <w:trHeight w:val="212"/>
        </w:trPr>
        <w:tc>
          <w:tcPr>
            <w:tcW w:w="75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valuation allowance</w:t>
            </w:r>
          </w:p>
        </w:tc>
        <w:tc>
          <w:tcPr>
            <w:tcW w:w="18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(1,019)</w:t>
            </w:r>
          </w:p>
        </w:tc>
        <w:tc>
          <w:tcPr>
            <w:tcW w:w="80" w:type="dxa"/>
            <w:vAlign w:val="bottom"/>
            <w:shd w:val="clear" w:color="auto" w:fill="D2DCE5"/>
          </w:tcPr>
          <w:p>
            <w:pPr>
              <w:spacing w:after="0"/>
              <w:rPr>
                <w:sz w:val="18"/>
                <w:szCs w:val="18"/>
                <w:color w:val="auto"/>
              </w:rPr>
            </w:pPr>
          </w:p>
        </w:tc>
        <w:tc>
          <w:tcPr>
            <w:tcW w:w="18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(1,107)</w:t>
            </w:r>
          </w:p>
        </w:tc>
      </w:tr>
      <w:tr>
        <w:trPr>
          <w:trHeight w:val="211"/>
        </w:trPr>
        <w:tc>
          <w:tcPr>
            <w:tcW w:w="7580" w:type="dxa"/>
            <w:vAlign w:val="bottom"/>
            <w:gridSpan w:val="2"/>
          </w:tcPr>
          <w:p>
            <w:pPr>
              <w:ind w:left="20"/>
              <w:spacing w:after="0"/>
              <w:rPr>
                <w:sz w:val="20"/>
                <w:szCs w:val="20"/>
                <w:color w:val="auto"/>
              </w:rPr>
            </w:pPr>
            <w:r>
              <w:rPr>
                <w:rFonts w:ascii="Arial" w:cs="Arial" w:eastAsia="Arial" w:hAnsi="Arial"/>
                <w:sz w:val="14"/>
                <w:szCs w:val="14"/>
                <w:color w:val="131E29"/>
              </w:rPr>
              <w:t>Net deferred tax assets</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402,995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288,765</w:t>
            </w:r>
          </w:p>
        </w:tc>
      </w:tr>
      <w:tr>
        <w:trPr>
          <w:trHeight w:val="20"/>
        </w:trPr>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The Company recognizes deferred tax assets to the extent, based on available evidence, that it is more likely than not that they will be realized. In making such a determination, the Company considers all available positive and negative evidence, including future reversals of existing taxable temporary differences, projected future taxable income, tax planning strategies, and recent results of operations. For the year ended December 31, 2023, the Company recorded a valuation allowance on its deferred tax assets, primarily related to the Company’s charitable contributions, of which it does not expect to recognize the benefit from in the foreseeable future. The Company has no deferred tax liabilities.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As of December 31, 2023, the Company had U.S. federal net operating losses of $142.8 million and tax credit carryforwards of approximately $5.0 million. The Company’s federal net operating losses do not expire and tax credits will begin to expire in 2038 if not utilized. As of December 31, 2023, the Company had $95.0 million of state tax net operating losses and no state tax credits. Of the state tax net operating losses, $90.0 million will begin to expire in 2033 if not utilized and the remaining $5.0 million do not expire.</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There were no interest and penalties accrued for the three years ended December 31, 2023. The Company has assessed its tax positions taken and concluded there are no significant uncertain tax positions. The Company has no unrecognized tax benefits as of December 31, 2023 or 2022, that, if recognized, would affect the amount of income tax expense reported.</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files returns with the Internal Revenue Service and multiple state jurisdictions, which are subject to examination by the taxing authorities for years 2018 and later. The earlier tax years are subject to examination due to the utilization of net operating losses in recent tax years. None of our federal or state income tax returns are currently under examination by federal or state taxing authorities.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6" w:name="page127"/>
    <w:bookmarkEnd w:id="1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13 — Equity-Based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 Awards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2023, the Company had equity-based compensation awards outstanding consisting of time-based RSAs and RSUs with three years service vesting periods.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131E29"/>
        </w:rPr>
        <w:t>Awards currently outstanding vest under one of the following schedules:</w:t>
      </w:r>
    </w:p>
    <w:p>
      <w:pPr>
        <w:spacing w:after="0" w:line="121"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Approximately one-third installments on each first, second, and third anniversary of the vesting commencement date;</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50% each of the second and third anniversaries of the vesting commencement date; or</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100% vesting on the third anniversary of the vesting commencement date.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Vesting of all awards granted are subject to the grantee’s continued service to the Company through the applicable vesting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Restricted Stock Awards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Activity for the Company’s RSAs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center"/>
              <w:ind w:right="30"/>
              <w:spacing w:after="0"/>
              <w:rPr>
                <w:sz w:val="20"/>
                <w:szCs w:val="20"/>
                <w:color w:val="auto"/>
              </w:rPr>
            </w:pPr>
            <w:r>
              <w:rPr>
                <w:rFonts w:ascii="Arial" w:cs="Arial" w:eastAsia="Arial" w:hAnsi="Arial"/>
                <w:sz w:val="14"/>
                <w:szCs w:val="14"/>
                <w:b w:val="1"/>
                <w:bCs w:val="1"/>
                <w:color w:val="131E29"/>
              </w:rPr>
              <w:t>Weighted-average grant date fair</w:t>
            </w:r>
          </w:p>
        </w:tc>
        <w:tc>
          <w:tcPr>
            <w:tcW w:w="0" w:type="dxa"/>
            <w:vAlign w:val="bottom"/>
          </w:tcPr>
          <w:p>
            <w:pPr>
              <w:spacing w:after="0"/>
              <w:rPr>
                <w:sz w:val="1"/>
                <w:szCs w:val="1"/>
                <w:color w:val="auto"/>
              </w:rPr>
            </w:pPr>
          </w:p>
        </w:tc>
      </w:tr>
      <w:tr>
        <w:trPr>
          <w:trHeight w:val="19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131E29"/>
              </w:rPr>
              <w:t>Restricted Stock Awards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131E29"/>
              </w:rPr>
              <w:t>value per share</w:t>
            </w:r>
          </w:p>
        </w:tc>
        <w:tc>
          <w:tcPr>
            <w:tcW w:w="0" w:type="dxa"/>
            <w:vAlign w:val="bottom"/>
          </w:tcPr>
          <w:p>
            <w:pPr>
              <w:spacing w:after="0"/>
              <w:rPr>
                <w:sz w:val="1"/>
                <w:szCs w:val="1"/>
                <w:color w:val="auto"/>
              </w:rPr>
            </w:pPr>
          </w:p>
        </w:tc>
      </w:tr>
      <w:tr>
        <w:trPr>
          <w:trHeight w:val="208"/>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2021</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4,000</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02"/>
        </w:trPr>
        <w:tc>
          <w:tcPr>
            <w:tcW w:w="68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(1,333)</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11"/>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2022</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2,667</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tcPr>
          <w:p>
            <w:pPr>
              <w:jc w:val="right"/>
              <w:spacing w:after="0"/>
              <w:rPr>
                <w:sz w:val="20"/>
                <w:szCs w:val="20"/>
                <w:color w:val="auto"/>
              </w:rPr>
            </w:pPr>
            <w:r>
              <w:rPr>
                <w:rFonts w:ascii="Arial" w:cs="Arial" w:eastAsia="Arial" w:hAnsi="Arial"/>
                <w:sz w:val="14"/>
                <w:szCs w:val="14"/>
                <w:color w:val="131E29"/>
              </w:rPr>
              <w:t>(1,366)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12"/>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Forfeitures</w:t>
            </w:r>
          </w:p>
        </w:tc>
        <w:tc>
          <w:tcPr>
            <w:tcW w:w="1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2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11"/>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December 31, 2023</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1,283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006098"/>
              </w:rPr>
              <w:t>Restricted Stock Units</w:t>
            </w: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8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gridSpan w:val="2"/>
          </w:tcPr>
          <w:p>
            <w:pPr>
              <w:spacing w:after="0"/>
              <w:rPr>
                <w:sz w:val="20"/>
                <w:szCs w:val="20"/>
                <w:color w:val="auto"/>
              </w:rPr>
            </w:pPr>
            <w:r>
              <w:rPr>
                <w:rFonts w:ascii="Arial" w:cs="Arial" w:eastAsia="Arial" w:hAnsi="Arial"/>
                <w:sz w:val="14"/>
                <w:szCs w:val="14"/>
                <w:color w:val="131E29"/>
              </w:rPr>
              <w:t>Activity for the Company’s RSUs was as follows: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jc w:val="center"/>
              <w:ind w:right="30"/>
              <w:spacing w:after="0"/>
              <w:rPr>
                <w:sz w:val="20"/>
                <w:szCs w:val="20"/>
                <w:color w:val="auto"/>
              </w:rPr>
            </w:pPr>
            <w:r>
              <w:rPr>
                <w:rFonts w:ascii="Arial" w:cs="Arial" w:eastAsia="Arial" w:hAnsi="Arial"/>
                <w:sz w:val="14"/>
                <w:szCs w:val="14"/>
                <w:b w:val="1"/>
                <w:bCs w:val="1"/>
                <w:color w:val="131E29"/>
              </w:rPr>
              <w:t>Weighted-average grant date fair</w:t>
            </w:r>
          </w:p>
        </w:tc>
        <w:tc>
          <w:tcPr>
            <w:tcW w:w="0" w:type="dxa"/>
            <w:vAlign w:val="bottom"/>
          </w:tcPr>
          <w:p>
            <w:pPr>
              <w:spacing w:after="0"/>
              <w:rPr>
                <w:sz w:val="1"/>
                <w:szCs w:val="1"/>
                <w:color w:val="auto"/>
              </w:rPr>
            </w:pPr>
          </w:p>
        </w:tc>
      </w:tr>
      <w:tr>
        <w:trPr>
          <w:trHeight w:val="19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131E29"/>
              </w:rPr>
              <w:t>Restricted Stock Units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131E29"/>
              </w:rPr>
              <w:t>value per share</w:t>
            </w:r>
          </w:p>
        </w:tc>
        <w:tc>
          <w:tcPr>
            <w:tcW w:w="0" w:type="dxa"/>
            <w:vAlign w:val="bottom"/>
          </w:tcPr>
          <w:p>
            <w:pPr>
              <w:spacing w:after="0"/>
              <w:rPr>
                <w:sz w:val="1"/>
                <w:szCs w:val="1"/>
                <w:color w:val="auto"/>
              </w:rPr>
            </w:pPr>
          </w:p>
        </w:tc>
      </w:tr>
      <w:tr>
        <w:trPr>
          <w:trHeight w:val="208"/>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2021</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596</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43.55</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0"/>
              <w:spacing w:after="0"/>
              <w:rPr>
                <w:sz w:val="20"/>
                <w:szCs w:val="20"/>
                <w:color w:val="auto"/>
              </w:rPr>
            </w:pPr>
            <w:r>
              <w:rPr>
                <w:rFonts w:ascii="Arial" w:cs="Arial" w:eastAsia="Arial" w:hAnsi="Arial"/>
                <w:sz w:val="14"/>
                <w:szCs w:val="14"/>
                <w:color w:val="131E29"/>
              </w:rPr>
              <w:t>New grants</w:t>
            </w:r>
          </w:p>
        </w:tc>
        <w:tc>
          <w:tcPr>
            <w:tcW w:w="1940" w:type="dxa"/>
            <w:vAlign w:val="bottom"/>
          </w:tcPr>
          <w:p>
            <w:pPr>
              <w:jc w:val="right"/>
              <w:spacing w:after="0"/>
              <w:rPr>
                <w:sz w:val="20"/>
                <w:szCs w:val="20"/>
                <w:color w:val="auto"/>
              </w:rPr>
            </w:pPr>
            <w:r>
              <w:rPr>
                <w:rFonts w:ascii="Arial" w:cs="Arial" w:eastAsia="Arial" w:hAnsi="Arial"/>
                <w:sz w:val="14"/>
                <w:szCs w:val="14"/>
                <w:color w:val="131E29"/>
              </w:rPr>
              <w:t>196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45.85</w:t>
            </w:r>
          </w:p>
        </w:tc>
        <w:tc>
          <w:tcPr>
            <w:tcW w:w="0" w:type="dxa"/>
            <w:vAlign w:val="bottom"/>
          </w:tcPr>
          <w:p>
            <w:pPr>
              <w:spacing w:after="0"/>
              <w:rPr>
                <w:sz w:val="1"/>
                <w:szCs w:val="1"/>
                <w:color w:val="auto"/>
              </w:rPr>
            </w:pPr>
          </w:p>
        </w:tc>
      </w:tr>
      <w:tr>
        <w:trPr>
          <w:trHeight w:val="221"/>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(206)</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51.69</w:t>
            </w:r>
          </w:p>
        </w:tc>
        <w:tc>
          <w:tcPr>
            <w:tcW w:w="0" w:type="dxa"/>
            <w:vAlign w:val="bottom"/>
          </w:tcPr>
          <w:p>
            <w:pPr>
              <w:spacing w:after="0"/>
              <w:rPr>
                <w:sz w:val="1"/>
                <w:szCs w:val="1"/>
                <w:color w:val="auto"/>
              </w:rPr>
            </w:pPr>
          </w:p>
        </w:tc>
      </w:tr>
      <w:tr>
        <w:trPr>
          <w:trHeight w:val="202"/>
        </w:trPr>
        <w:tc>
          <w:tcPr>
            <w:tcW w:w="68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Forfeitures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47.57</w:t>
            </w:r>
          </w:p>
        </w:tc>
        <w:tc>
          <w:tcPr>
            <w:tcW w:w="0" w:type="dxa"/>
            <w:vAlign w:val="bottom"/>
          </w:tcPr>
          <w:p>
            <w:pPr>
              <w:spacing w:after="0"/>
              <w:rPr>
                <w:sz w:val="1"/>
                <w:szCs w:val="1"/>
                <w:color w:val="auto"/>
              </w:rPr>
            </w:pPr>
          </w:p>
        </w:tc>
      </w:tr>
      <w:tr>
        <w:trPr>
          <w:trHeight w:val="211"/>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2022</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583</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44.34</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0"/>
              <w:spacing w:after="0"/>
              <w:rPr>
                <w:sz w:val="20"/>
                <w:szCs w:val="20"/>
                <w:color w:val="auto"/>
              </w:rPr>
            </w:pPr>
            <w:r>
              <w:rPr>
                <w:rFonts w:ascii="Arial" w:cs="Arial" w:eastAsia="Arial" w:hAnsi="Arial"/>
                <w:sz w:val="14"/>
                <w:szCs w:val="14"/>
                <w:color w:val="131E29"/>
              </w:rPr>
              <w:t>New grants</w:t>
            </w:r>
          </w:p>
        </w:tc>
        <w:tc>
          <w:tcPr>
            <w:tcW w:w="1940" w:type="dxa"/>
            <w:vAlign w:val="bottom"/>
          </w:tcPr>
          <w:p>
            <w:pPr>
              <w:jc w:val="right"/>
              <w:spacing w:after="0"/>
              <w:rPr>
                <w:sz w:val="20"/>
                <w:szCs w:val="20"/>
                <w:color w:val="auto"/>
              </w:rPr>
            </w:pPr>
            <w:r>
              <w:rPr>
                <w:rFonts w:ascii="Arial" w:cs="Arial" w:eastAsia="Arial" w:hAnsi="Arial"/>
                <w:sz w:val="14"/>
                <w:szCs w:val="14"/>
                <w:color w:val="131E29"/>
              </w:rPr>
              <w:t>473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31.03</w:t>
            </w:r>
          </w:p>
        </w:tc>
        <w:tc>
          <w:tcPr>
            <w:tcW w:w="0" w:type="dxa"/>
            <w:vAlign w:val="bottom"/>
          </w:tcPr>
          <w:p>
            <w:pPr>
              <w:spacing w:after="0"/>
              <w:rPr>
                <w:sz w:val="1"/>
                <w:szCs w:val="1"/>
                <w:color w:val="auto"/>
              </w:rPr>
            </w:pPr>
          </w:p>
        </w:tc>
      </w:tr>
      <w:tr>
        <w:trPr>
          <w:trHeight w:val="221"/>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(228)</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41.59</w:t>
            </w:r>
          </w:p>
        </w:tc>
        <w:tc>
          <w:tcPr>
            <w:tcW w:w="0" w:type="dxa"/>
            <w:vAlign w:val="bottom"/>
          </w:tcPr>
          <w:p>
            <w:pPr>
              <w:spacing w:after="0"/>
              <w:rPr>
                <w:sz w:val="1"/>
                <w:szCs w:val="1"/>
                <w:color w:val="auto"/>
              </w:rPr>
            </w:pPr>
          </w:p>
        </w:tc>
      </w:tr>
      <w:tr>
        <w:trPr>
          <w:trHeight w:val="202"/>
        </w:trPr>
        <w:tc>
          <w:tcPr>
            <w:tcW w:w="68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Forfeitures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(180)</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42.92</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2023</w:t>
            </w:r>
          </w:p>
        </w:tc>
        <w:tc>
          <w:tcPr>
            <w:tcW w:w="1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648</w:t>
            </w:r>
          </w:p>
        </w:tc>
        <w:tc>
          <w:tcPr>
            <w:tcW w:w="8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35.99</w:t>
            </w:r>
          </w:p>
        </w:tc>
        <w:tc>
          <w:tcPr>
            <w:tcW w:w="0" w:type="dxa"/>
            <w:vAlign w:val="bottom"/>
          </w:tcPr>
          <w:p>
            <w:pPr>
              <w:spacing w:after="0"/>
              <w:rPr>
                <w:sz w:val="1"/>
                <w:szCs w:val="1"/>
                <w:color w:val="auto"/>
              </w:rPr>
            </w:pPr>
          </w:p>
        </w:tc>
      </w:tr>
      <w:tr>
        <w:trPr>
          <w:trHeight w:val="20"/>
        </w:trPr>
        <w:tc>
          <w:tcPr>
            <w:tcW w:w="67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23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Total release date fair value of vested restricted stock awards and units for the years ended December 31, 2023 and 2022 are presented below.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7" w:name="page128"/>
    <w:bookmarkEnd w:id="1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0"/>
              <w:spacing w:after="0"/>
              <w:rPr>
                <w:sz w:val="20"/>
                <w:szCs w:val="20"/>
                <w:color w:val="auto"/>
              </w:rPr>
            </w:pPr>
            <w:r>
              <w:rPr>
                <w:rFonts w:ascii="Arial" w:cs="Arial" w:eastAsia="Arial" w:hAnsi="Arial"/>
                <w:sz w:val="14"/>
                <w:szCs w:val="14"/>
                <w:b w:val="1"/>
                <w:bCs w:val="1"/>
                <w:color w:val="131E29"/>
              </w:rPr>
              <w:t>Weighted-average</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30"/>
              <w:spacing w:after="0"/>
              <w:rPr>
                <w:sz w:val="20"/>
                <w:szCs w:val="20"/>
                <w:color w:val="auto"/>
              </w:rPr>
            </w:pPr>
            <w:r>
              <w:rPr>
                <w:rFonts w:ascii="Arial" w:cs="Arial" w:eastAsia="Arial" w:hAnsi="Arial"/>
                <w:sz w:val="14"/>
                <w:szCs w:val="14"/>
                <w:b w:val="1"/>
                <w:bCs w:val="1"/>
                <w:color w:val="131E29"/>
                <w:w w:val="99"/>
              </w:rPr>
              <w:t>Weighted-average</w:t>
            </w:r>
          </w:p>
        </w:tc>
      </w:tr>
      <w:tr>
        <w:trPr>
          <w:trHeight w:val="169"/>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0"/>
              <w:spacing w:after="0"/>
              <w:rPr>
                <w:sz w:val="20"/>
                <w:szCs w:val="20"/>
                <w:color w:val="auto"/>
              </w:rPr>
            </w:pPr>
            <w:r>
              <w:rPr>
                <w:rFonts w:ascii="Arial" w:cs="Arial" w:eastAsia="Arial" w:hAnsi="Arial"/>
                <w:sz w:val="14"/>
                <w:szCs w:val="14"/>
                <w:b w:val="1"/>
                <w:bCs w:val="1"/>
                <w:color w:val="131E29"/>
                <w:w w:val="99"/>
              </w:rPr>
              <w:t>vest date fair value</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30"/>
              <w:spacing w:after="0"/>
              <w:rPr>
                <w:sz w:val="20"/>
                <w:szCs w:val="20"/>
                <w:color w:val="auto"/>
              </w:rPr>
            </w:pPr>
            <w:r>
              <w:rPr>
                <w:rFonts w:ascii="Arial" w:cs="Arial" w:eastAsia="Arial" w:hAnsi="Arial"/>
                <w:sz w:val="14"/>
                <w:szCs w:val="14"/>
                <w:b w:val="1"/>
                <w:bCs w:val="1"/>
                <w:color w:val="131E29"/>
              </w:rPr>
              <w:t>vest date fair value</w:t>
            </w:r>
          </w:p>
        </w:tc>
      </w:tr>
      <w:tr>
        <w:trPr>
          <w:trHeight w:val="19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100" w:type="dxa"/>
            <w:vAlign w:val="bottom"/>
            <w:tcBorders>
              <w:bottom w:val="single" w:sz="8" w:color="D2DCE5"/>
            </w:tcBorders>
          </w:tcPr>
          <w:p>
            <w:pPr>
              <w:spacing w:after="0"/>
              <w:rPr>
                <w:sz w:val="17"/>
                <w:szCs w:val="17"/>
                <w:color w:val="auto"/>
              </w:rPr>
            </w:pPr>
          </w:p>
        </w:tc>
        <w:tc>
          <w:tcPr>
            <w:tcW w:w="2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131E29"/>
              </w:rPr>
              <w:t>Year Ended December 31, 2023</w:t>
            </w: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131E29"/>
              </w:rPr>
              <w:t>per share</w:t>
            </w: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Year Ended December 31, 2022</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131E29"/>
              </w:rPr>
              <w:t>per share</w:t>
            </w:r>
          </w:p>
        </w:tc>
      </w:tr>
      <w:tr>
        <w:trPr>
          <w:trHeight w:val="208"/>
        </w:trPr>
        <w:tc>
          <w:tcPr>
            <w:tcW w:w="3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Restricted stock awards</w:t>
            </w:r>
          </w:p>
        </w:tc>
        <w:tc>
          <w:tcPr>
            <w:tcW w:w="900" w:type="dxa"/>
            <w:vAlign w:val="bottom"/>
            <w:shd w:val="clear" w:color="auto" w:fill="D2DCE5"/>
          </w:tcPr>
          <w:p>
            <w:pPr>
              <w:jc w:val="right"/>
              <w:ind w:right="750"/>
              <w:spacing w:after="0"/>
              <w:rPr>
                <w:sz w:val="20"/>
                <w:szCs w:val="20"/>
                <w:color w:val="auto"/>
              </w:rPr>
            </w:pPr>
            <w:r>
              <w:rPr>
                <w:rFonts w:ascii="Arial" w:cs="Arial" w:eastAsia="Arial" w:hAnsi="Arial"/>
                <w:sz w:val="14"/>
                <w:szCs w:val="14"/>
                <w:color w:val="131E29"/>
                <w:w w:val="76"/>
              </w:rPr>
              <w:t>$</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37,373</w:t>
            </w: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27.36</w:t>
            </w:r>
          </w:p>
        </w:tc>
        <w:tc>
          <w:tcPr>
            <w:tcW w:w="940" w:type="dxa"/>
            <w:vAlign w:val="bottom"/>
            <w:shd w:val="clear" w:color="auto" w:fill="D2DCE5"/>
          </w:tcPr>
          <w:p>
            <w:pPr>
              <w:jc w:val="right"/>
              <w:ind w:right="750"/>
              <w:spacing w:after="0"/>
              <w:rPr>
                <w:sz w:val="20"/>
                <w:szCs w:val="20"/>
                <w:color w:val="auto"/>
              </w:rPr>
            </w:pPr>
            <w:r>
              <w:rPr>
                <w:rFonts w:ascii="Arial" w:cs="Arial" w:eastAsia="Arial" w:hAnsi="Arial"/>
                <w:sz w:val="14"/>
                <w:szCs w:val="14"/>
                <w:color w:val="131E29"/>
              </w:rPr>
              <w:t>$</w:t>
            </w: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69,604</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52.22</w:t>
            </w:r>
          </w:p>
        </w:tc>
      </w:tr>
      <w:tr>
        <w:trPr>
          <w:trHeight w:val="192"/>
        </w:trPr>
        <w:tc>
          <w:tcPr>
            <w:tcW w:w="3680" w:type="dxa"/>
            <w:vAlign w:val="bottom"/>
            <w:gridSpan w:val="2"/>
          </w:tcPr>
          <w:p>
            <w:pPr>
              <w:ind w:left="20"/>
              <w:spacing w:after="0"/>
              <w:rPr>
                <w:sz w:val="20"/>
                <w:szCs w:val="20"/>
                <w:color w:val="auto"/>
              </w:rPr>
            </w:pPr>
            <w:r>
              <w:rPr>
                <w:rFonts w:ascii="Arial" w:cs="Arial" w:eastAsia="Arial" w:hAnsi="Arial"/>
                <w:sz w:val="14"/>
                <w:szCs w:val="14"/>
                <w:color w:val="131E29"/>
              </w:rPr>
              <w:t>Restricted stock units</w:t>
            </w:r>
          </w:p>
        </w:tc>
        <w:tc>
          <w:tcPr>
            <w:tcW w:w="9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131E29"/>
              </w:rPr>
              <w:t>6,185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131E29"/>
              </w:rPr>
              <w:t>27.16</w:t>
            </w:r>
          </w:p>
        </w:tc>
        <w:tc>
          <w:tcPr>
            <w:tcW w:w="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10,627</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131E29"/>
              </w:rPr>
              <w:t>51.59</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131E29"/>
        </w:rPr>
        <w:t>Equity-based compensation expense is recognized on a straight-line basis and is included in the Company’s consolidated statements of operations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Borders>
              <w:bottom w:val="single" w:sz="8" w:color="auto"/>
            </w:tcBorders>
          </w:tcPr>
          <w:p>
            <w:pPr>
              <w:spacing w:after="0"/>
              <w:rPr>
                <w:sz w:val="17"/>
                <w:szCs w:val="17"/>
                <w:color w:val="auto"/>
              </w:rPr>
            </w:pPr>
          </w:p>
        </w:tc>
      </w:tr>
      <w:tr>
        <w:trPr>
          <w:trHeight w:val="202"/>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2023</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33"/>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820" w:type="dxa"/>
            <w:vAlign w:val="bottom"/>
            <w:tcBorders>
              <w:bottom w:val="single" w:sz="8" w:color="auto"/>
            </w:tcBorders>
            <w:shd w:val="clear" w:color="auto" w:fill="D2DCE5"/>
          </w:tcPr>
          <w:p>
            <w:pPr>
              <w:jc w:val="right"/>
              <w:ind w:right="670"/>
              <w:spacing w:after="0"/>
              <w:rPr>
                <w:sz w:val="20"/>
                <w:szCs w:val="20"/>
                <w:color w:val="auto"/>
              </w:rPr>
            </w:pPr>
            <w:r>
              <w:rPr>
                <w:rFonts w:ascii="Arial" w:cs="Arial" w:eastAsia="Arial" w:hAnsi="Arial"/>
                <w:sz w:val="14"/>
                <w:szCs w:val="14"/>
                <w:color w:val="131E29"/>
                <w:w w:val="76"/>
              </w:rPr>
              <w:t>$</w:t>
            </w: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97"/>
              </w:rPr>
              <w:t>39,222</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41,657</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157,716</w:t>
            </w:r>
          </w:p>
        </w:tc>
      </w:tr>
      <w:tr>
        <w:trPr>
          <w:trHeight w:val="20"/>
        </w:trPr>
        <w:tc>
          <w:tcPr>
            <w:tcW w:w="70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5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2023, total unrecognized stock-based compensation related to unvested stock awards was $13.8 million, which will be recognized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70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0"/>
        </w:trPr>
        <w:tc>
          <w:tcPr>
            <w:tcW w:w="96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2024</w:t>
            </w:r>
          </w:p>
        </w:tc>
        <w:tc>
          <w:tcPr>
            <w:tcW w:w="80" w:type="dxa"/>
            <w:vAlign w:val="bottom"/>
            <w:tcBorders>
              <w:top w:val="single" w:sz="8" w:color="D2DCE5"/>
            </w:tcBorders>
            <w:shd w:val="clear" w:color="auto" w:fill="D2DCE5"/>
          </w:tcPr>
          <w:p>
            <w:pPr>
              <w:spacing w:after="0"/>
              <w:rPr>
                <w:sz w:val="18"/>
                <w:szCs w:val="18"/>
                <w:color w:val="auto"/>
              </w:rPr>
            </w:pPr>
          </w:p>
        </w:tc>
        <w:tc>
          <w:tcPr>
            <w:tcW w:w="600" w:type="dxa"/>
            <w:vAlign w:val="bottom"/>
            <w:tcBorders>
              <w:top w:val="single" w:sz="8" w:color="131E29"/>
            </w:tcBorders>
            <w:shd w:val="clear" w:color="auto" w:fill="D2DCE5"/>
          </w:tcPr>
          <w:p>
            <w:pPr>
              <w:jc w:val="right"/>
              <w:ind w:right="430"/>
              <w:spacing w:after="0"/>
              <w:rPr>
                <w:sz w:val="20"/>
                <w:szCs w:val="20"/>
                <w:color w:val="auto"/>
              </w:rPr>
            </w:pPr>
            <w:r>
              <w:rPr>
                <w:rFonts w:ascii="Arial" w:cs="Arial" w:eastAsia="Arial" w:hAnsi="Arial"/>
                <w:sz w:val="14"/>
                <w:szCs w:val="14"/>
                <w:color w:val="131E29"/>
              </w:rPr>
              <w:t>$</w:t>
            </w:r>
          </w:p>
        </w:tc>
        <w:tc>
          <w:tcPr>
            <w:tcW w:w="980" w:type="dxa"/>
            <w:vAlign w:val="bottom"/>
            <w:tcBorders>
              <w:top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7,703</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5,147</w:t>
            </w:r>
          </w:p>
        </w:tc>
      </w:tr>
      <w:tr>
        <w:trPr>
          <w:trHeight w:val="21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80" w:type="dxa"/>
            <w:vAlign w:val="bottom"/>
            <w:shd w:val="clear" w:color="auto" w:fill="D2DCE5"/>
          </w:tcPr>
          <w:p>
            <w:pPr>
              <w:spacing w:after="0"/>
              <w:rPr>
                <w:sz w:val="18"/>
                <w:szCs w:val="18"/>
                <w:color w:val="auto"/>
              </w:rPr>
            </w:pPr>
          </w:p>
        </w:tc>
        <w:tc>
          <w:tcPr>
            <w:tcW w:w="600" w:type="dxa"/>
            <w:vAlign w:val="bottom"/>
            <w:tcBorders>
              <w:bottom w:val="single" w:sz="8" w:color="auto"/>
            </w:tcBorders>
            <w:shd w:val="clear" w:color="auto" w:fill="D2DCE5"/>
          </w:tcPr>
          <w:p>
            <w:pPr>
              <w:spacing w:after="0"/>
              <w:rPr>
                <w:sz w:val="18"/>
                <w:szCs w:val="18"/>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931</w:t>
            </w:r>
          </w:p>
        </w:tc>
      </w:tr>
      <w:tr>
        <w:trPr>
          <w:trHeight w:val="211"/>
        </w:trPr>
        <w:tc>
          <w:tcPr>
            <w:tcW w:w="9700" w:type="dxa"/>
            <w:vAlign w:val="bottom"/>
            <w:gridSpan w:val="2"/>
          </w:tcPr>
          <w:p>
            <w:pPr>
              <w:ind w:left="100"/>
              <w:spacing w:after="0"/>
              <w:rPr>
                <w:sz w:val="20"/>
                <w:szCs w:val="20"/>
                <w:color w:val="auto"/>
              </w:rPr>
            </w:pPr>
            <w:r>
              <w:rPr>
                <w:rFonts w:ascii="Arial" w:cs="Arial" w:eastAsia="Arial" w:hAnsi="Arial"/>
                <w:sz w:val="14"/>
                <w:szCs w:val="14"/>
                <w:color w:val="131E29"/>
              </w:rPr>
              <w:t>Total unrecognized stock-based compensation</w:t>
            </w:r>
          </w:p>
        </w:tc>
        <w:tc>
          <w:tcPr>
            <w:tcW w:w="6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131E2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13,781</w:t>
            </w:r>
          </w:p>
        </w:tc>
      </w:tr>
      <w:tr>
        <w:trPr>
          <w:trHeight w:val="20"/>
        </w:trPr>
        <w:tc>
          <w:tcPr>
            <w:tcW w:w="9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14 — Employee Benefit Plans</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Company’s 401(k) plan (the 401(k) Plan) covers substantially all employees of the Company who meet certain requirements. Contributions to the 401(k) Plan are determined by each participant by means of an elective compensation deferral, subject to annual limits. The Company matches 100% of employee contributions, up to 4% of eligible compensation. The total employer matching contributions to the 401(k) Plan recognized in the Company’s consolidated statements of operations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2"/>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131E29"/>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2021</w:t>
            </w:r>
          </w:p>
        </w:tc>
      </w:tr>
      <w:tr>
        <w:trPr>
          <w:trHeight w:val="208"/>
        </w:trPr>
        <w:tc>
          <w:tcPr>
            <w:tcW w:w="63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1060" w:type="dxa"/>
            <w:vAlign w:val="bottom"/>
            <w:shd w:val="clear" w:color="auto" w:fill="D2DCE5"/>
          </w:tcPr>
          <w:p>
            <w:pPr>
              <w:jc w:val="right"/>
              <w:ind w:right="890"/>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2,341</w:t>
            </w:r>
          </w:p>
        </w:tc>
        <w:tc>
          <w:tcPr>
            <w:tcW w:w="460" w:type="dxa"/>
            <w:vAlign w:val="bottom"/>
            <w:gridSpan w:val="2"/>
            <w:shd w:val="clear" w:color="auto" w:fill="D2DCE5"/>
          </w:tcPr>
          <w:p>
            <w:pPr>
              <w:jc w:val="right"/>
              <w:ind w:right="28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1,680</w:t>
            </w:r>
          </w:p>
        </w:tc>
        <w:tc>
          <w:tcPr>
            <w:tcW w:w="80" w:type="dxa"/>
            <w:vAlign w:val="bottom"/>
            <w:shd w:val="clear" w:color="auto" w:fill="D2DCE5"/>
          </w:tcPr>
          <w:p>
            <w:pPr>
              <w:spacing w:after="0"/>
              <w:rPr>
                <w:sz w:val="18"/>
                <w:szCs w:val="18"/>
                <w:color w:val="auto"/>
              </w:rPr>
            </w:pPr>
          </w:p>
        </w:tc>
        <w:tc>
          <w:tcPr>
            <w:tcW w:w="380" w:type="dxa"/>
            <w:vAlign w:val="bottom"/>
            <w:shd w:val="clear" w:color="auto" w:fill="D2DCE5"/>
          </w:tcPr>
          <w:p>
            <w:pPr>
              <w:jc w:val="right"/>
              <w:ind w:right="21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8" w:name="page129"/>
    <w:bookmarkEnd w:id="1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15 — Non-Controlling Interests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Inc. is the sole managing member of Dutch Bros OpCo, and, as a result, consolidates the financial results of Dutch Bros OpCo. The Company reports a non-controlling interest representing the economic interest in the Dutch Bros OpCo held by the other members of Dutch Bros OpCo. The Third Amended and Restated Limited Liability Company Agreement of Dutch Bros OpCo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ectPr>
          <w:pgSz w:w="11900" w:h="16838" w:orient="portrait"/>
          <w:cols w:equalWidth="0" w:num="1">
            <w:col w:w="11280"/>
          </w:cols>
          <w:pgMar w:left="300" w:top="133" w:right="319"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the ownership interest in Dutch Bros OpCo:</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2165" cy="140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2165" cy="14097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Dutch Bros OpCo Class A common units held by Dutch Bros Inc.</w:t>
      </w:r>
      <w:r>
        <w:rPr>
          <w:rFonts w:ascii="Arial" w:cs="Arial" w:eastAsia="Arial" w:hAnsi="Arial"/>
          <w:sz w:val="18"/>
          <w:szCs w:val="18"/>
          <w:color w:val="131E29"/>
          <w:vertAlign w:val="superscript"/>
        </w:rPr>
        <w:t>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Dutch Bros OpCo 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2165"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2165" cy="154305"/>
                    </a:xfrm>
                    <a:prstGeom prst="rect">
                      <a:avLst/>
                    </a:prstGeom>
                    <a:noFill/>
                  </pic:spPr>
                </pic:pic>
              </a:graphicData>
            </a:graphic>
          </wp:anchor>
        </w:drawing>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Total Dutch Bros OpCo Class A common units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131E29"/>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27940</wp:posOffset>
            </wp:positionV>
            <wp:extent cx="241617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16175" cy="6985"/>
                    </a:xfrm>
                    <a:prstGeom prst="rect">
                      <a:avLst/>
                    </a:prstGeom>
                    <a:noFill/>
                  </pic:spPr>
                </pic:pic>
              </a:graphicData>
            </a:graphic>
          </wp:anchor>
        </w:drawing>
      </w:r>
    </w:p>
    <w:p>
      <w:pPr>
        <w:spacing w:after="0" w:line="41" w:lineRule="exact"/>
        <w:rPr>
          <w:sz w:val="20"/>
          <w:szCs w:val="20"/>
          <w:color w:val="auto"/>
        </w:rPr>
      </w:pPr>
    </w:p>
    <w:p>
      <w:pPr>
        <w:spacing w:after="0"/>
        <w:tabs>
          <w:tab w:leader="none" w:pos="1880" w:val="left"/>
        </w:tabs>
        <w:rPr>
          <w:sz w:val="20"/>
          <w:szCs w:val="20"/>
          <w:color w:val="auto"/>
        </w:rPr>
      </w:pPr>
      <w:r>
        <w:rPr>
          <w:rFonts w:ascii="Arial" w:cs="Arial" w:eastAsia="Arial" w:hAnsi="Arial"/>
          <w:sz w:val="14"/>
          <w:szCs w:val="14"/>
          <w:b w:val="1"/>
          <w:bCs w:val="1"/>
          <w:color w:val="131E29"/>
        </w:rPr>
        <w:t>OpCo Units</w:t>
      </w:r>
      <w:r>
        <w:rPr>
          <w:sz w:val="20"/>
          <w:szCs w:val="20"/>
          <w:color w:val="auto"/>
        </w:rPr>
        <w:tab/>
      </w:r>
      <w:r>
        <w:rPr>
          <w:rFonts w:ascii="Arial" w:cs="Arial" w:eastAsia="Arial" w:hAnsi="Arial"/>
          <w:sz w:val="13"/>
          <w:szCs w:val="13"/>
          <w:b w:val="1"/>
          <w:bCs w:val="1"/>
          <w:color w:val="131E29"/>
        </w:rPr>
        <w:t>Ownership %</w:t>
      </w:r>
    </w:p>
    <w:p>
      <w:pPr>
        <w:spacing w:after="0" w:line="61" w:lineRule="exact"/>
        <w:rPr>
          <w:sz w:val="20"/>
          <w:szCs w:val="20"/>
          <w:color w:val="auto"/>
        </w:rPr>
      </w:pPr>
    </w:p>
    <w:p>
      <w:pPr>
        <w:jc w:val="both"/>
        <w:ind w:left="800"/>
        <w:spacing w:after="0"/>
        <w:tabs>
          <w:tab w:leader="none" w:pos="2820" w:val="left"/>
        </w:tabs>
        <w:rPr>
          <w:sz w:val="20"/>
          <w:szCs w:val="20"/>
          <w:color w:val="auto"/>
        </w:rPr>
      </w:pPr>
      <w:r>
        <w:rPr>
          <w:rFonts w:ascii="Arial" w:cs="Arial" w:eastAsia="Arial" w:hAnsi="Arial"/>
          <w:sz w:val="14"/>
          <w:szCs w:val="14"/>
          <w:color w:val="131E29"/>
        </w:rPr>
        <w:t>80,627</w:t>
      </w:r>
      <w:r>
        <w:rPr>
          <w:sz w:val="20"/>
          <w:szCs w:val="20"/>
          <w:color w:val="auto"/>
        </w:rPr>
        <w:tab/>
      </w:r>
      <w:r>
        <w:rPr>
          <w:rFonts w:ascii="Arial" w:cs="Arial" w:eastAsia="Arial" w:hAnsi="Arial"/>
          <w:sz w:val="14"/>
          <w:szCs w:val="14"/>
          <w:color w:val="131E29"/>
        </w:rPr>
        <w:t>45.5 %</w:t>
      </w:r>
    </w:p>
    <w:p>
      <w:pPr>
        <w:spacing w:after="0" w:line="50" w:lineRule="exact"/>
        <w:rPr>
          <w:sz w:val="20"/>
          <w:szCs w:val="20"/>
          <w:color w:val="auto"/>
        </w:rPr>
      </w:pPr>
    </w:p>
    <w:p>
      <w:pPr>
        <w:jc w:val="both"/>
        <w:ind w:left="800"/>
        <w:spacing w:after="0"/>
        <w:tabs>
          <w:tab w:leader="none" w:pos="2820" w:val="left"/>
        </w:tabs>
        <w:rPr>
          <w:sz w:val="20"/>
          <w:szCs w:val="20"/>
          <w:color w:val="auto"/>
        </w:rPr>
      </w:pPr>
      <w:r>
        <w:rPr>
          <w:rFonts w:ascii="Arial" w:cs="Arial" w:eastAsia="Arial" w:hAnsi="Arial"/>
          <w:sz w:val="14"/>
          <w:szCs w:val="14"/>
          <w:color w:val="131E29"/>
        </w:rPr>
        <w:t>96,493</w:t>
      </w:r>
      <w:r>
        <w:rPr>
          <w:sz w:val="20"/>
          <w:szCs w:val="20"/>
          <w:color w:val="auto"/>
        </w:rPr>
        <w:tab/>
      </w:r>
      <w:r>
        <w:rPr>
          <w:rFonts w:ascii="Arial" w:cs="Arial" w:eastAsia="Arial" w:hAnsi="Arial"/>
          <w:sz w:val="14"/>
          <w:szCs w:val="14"/>
          <w:color w:val="131E29"/>
        </w:rPr>
        <w:t>54.5 %</w:t>
      </w:r>
    </w:p>
    <w:p>
      <w:pPr>
        <w:spacing w:after="0" w:line="61" w:lineRule="exact"/>
        <w:rPr>
          <w:sz w:val="20"/>
          <w:szCs w:val="20"/>
          <w:color w:val="auto"/>
        </w:rPr>
      </w:pPr>
    </w:p>
    <w:p>
      <w:pPr>
        <w:jc w:val="both"/>
        <w:ind w:left="720"/>
        <w:spacing w:after="0"/>
        <w:tabs>
          <w:tab w:leader="none" w:pos="2740" w:val="left"/>
        </w:tabs>
        <w:rPr>
          <w:sz w:val="20"/>
          <w:szCs w:val="20"/>
          <w:color w:val="auto"/>
        </w:rPr>
      </w:pPr>
      <w:r>
        <w:rPr>
          <w:rFonts w:ascii="Arial" w:cs="Arial" w:eastAsia="Arial" w:hAnsi="Arial"/>
          <w:sz w:val="14"/>
          <w:szCs w:val="14"/>
          <w:color w:val="131E29"/>
        </w:rPr>
        <w:t>177,120</w:t>
      </w:r>
      <w:r>
        <w:rPr>
          <w:sz w:val="20"/>
          <w:szCs w:val="20"/>
          <w:color w:val="auto"/>
        </w:rPr>
        <w:tab/>
      </w:r>
      <w:r>
        <w:rPr>
          <w:rFonts w:ascii="Arial" w:cs="Arial" w:eastAsia="Arial" w:hAnsi="Arial"/>
          <w:sz w:val="14"/>
          <w:szCs w:val="14"/>
          <w:color w:val="131E29"/>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48260</wp:posOffset>
            </wp:positionV>
            <wp:extent cx="241617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16175" cy="698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7260" w:space="720"/>
            <w:col w:w="3300"/>
          </w:cols>
          <w:pgMar w:left="300" w:top="133" w:right="319" w:bottom="1440" w:gutter="0" w:footer="0" w:header="0"/>
          <w:type w:val="continuous"/>
        </w:sectPr>
      </w:pPr>
    </w:p>
    <w:p>
      <w:pPr>
        <w:ind w:left="140" w:hanging="135"/>
        <w:spacing w:after="0" w:line="229" w:lineRule="auto"/>
        <w:tabs>
          <w:tab w:leader="none" w:pos="177" w:val="left"/>
        </w:tabs>
        <w:numPr>
          <w:ilvl w:val="0"/>
          <w:numId w:val="75"/>
        </w:numPr>
        <w:rPr>
          <w:rFonts w:ascii="Arial" w:cs="Arial" w:eastAsia="Arial" w:hAnsi="Arial"/>
          <w:sz w:val="15"/>
          <w:szCs w:val="15"/>
          <w:color w:val="131E29"/>
          <w:vertAlign w:val="superscript"/>
        </w:rPr>
      </w:pPr>
      <w:r>
        <w:rPr>
          <w:rFonts w:ascii="Arial" w:cs="Arial" w:eastAsia="Arial" w:hAnsi="Arial"/>
          <w:sz w:val="11"/>
          <w:szCs w:val="11"/>
          <w:color w:val="131E29"/>
        </w:rPr>
        <w:t>Includes approximately 1.3 million Dutch Bros OpCo Class A common units related to unvested restricted stock awards held by former Profits Interest Units holders. These Dutch Bros OpCo Class A common units are excluded from non-controlling interest calculations.</w:t>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p>
      <w:pPr>
        <w:spacing w:after="0" w:line="12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27940</wp:posOffset>
            </wp:positionV>
            <wp:extent cx="284607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131E29"/>
              </w:rPr>
              <w:t>2021¹</w:t>
            </w:r>
          </w:p>
        </w:tc>
      </w:tr>
      <w:tr>
        <w:trPr>
          <w:trHeight w:val="208"/>
        </w:trPr>
        <w:tc>
          <w:tcPr>
            <w:tcW w:w="7720" w:type="dxa"/>
            <w:vAlign w:val="bottom"/>
            <w:gridSpan w:val="3"/>
            <w:shd w:val="clear" w:color="auto" w:fill="D2DCE5"/>
          </w:tcPr>
          <w:p>
            <w:pPr>
              <w:jc w:val="right"/>
              <w:ind w:right="5050"/>
              <w:spacing w:after="0"/>
              <w:rPr>
                <w:sz w:val="20"/>
                <w:szCs w:val="20"/>
                <w:color w:val="auto"/>
              </w:rPr>
            </w:pPr>
            <w:r>
              <w:rPr>
                <w:rFonts w:ascii="Arial" w:cs="Arial" w:eastAsia="Arial" w:hAnsi="Arial"/>
                <w:sz w:val="14"/>
                <w:szCs w:val="14"/>
                <w:color w:val="131E29"/>
              </w:rPr>
              <w:t>Weighted-average ownership percentage</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62.8 %</w:t>
            </w:r>
          </w:p>
        </w:tc>
        <w:tc>
          <w:tcPr>
            <w:tcW w:w="80" w:type="dxa"/>
            <w:vAlign w:val="bottom"/>
            <w:shd w:val="clear" w:color="auto" w:fill="D2DCE5"/>
          </w:tcPr>
          <w:p>
            <w:pPr>
              <w:spacing w:after="0"/>
              <w:rPr>
                <w:sz w:val="18"/>
                <w:szCs w:val="18"/>
                <w:color w:val="auto"/>
              </w:rPr>
            </w:pPr>
          </w:p>
        </w:tc>
        <w:tc>
          <w:tcPr>
            <w:tcW w:w="1320" w:type="dxa"/>
            <w:vAlign w:val="bottom"/>
            <w:shd w:val="clear" w:color="auto" w:fill="D2DCE5"/>
          </w:tcPr>
          <w:p>
            <w:pPr>
              <w:jc w:val="right"/>
              <w:ind w:right="390"/>
              <w:spacing w:after="0"/>
              <w:rPr>
                <w:sz w:val="20"/>
                <w:szCs w:val="20"/>
                <w:color w:val="auto"/>
              </w:rPr>
            </w:pPr>
            <w:r>
              <w:rPr>
                <w:rFonts w:ascii="Arial" w:cs="Arial" w:eastAsia="Arial" w:hAnsi="Arial"/>
                <w:sz w:val="14"/>
                <w:szCs w:val="14"/>
                <w:color w:val="131E29"/>
              </w:rPr>
              <w:t>67.8%</w:t>
            </w:r>
          </w:p>
        </w:tc>
        <w:tc>
          <w:tcPr>
            <w:tcW w:w="80" w:type="dxa"/>
            <w:vAlign w:val="bottom"/>
            <w:shd w:val="clear" w:color="auto" w:fill="D2DCE5"/>
          </w:tcPr>
          <w:p>
            <w:pPr>
              <w:spacing w:after="0"/>
              <w:rPr>
                <w:sz w:val="18"/>
                <w:szCs w:val="18"/>
                <w:color w:val="auto"/>
              </w:rPr>
            </w:pPr>
          </w:p>
        </w:tc>
        <w:tc>
          <w:tcPr>
            <w:tcW w:w="1560" w:type="dxa"/>
            <w:vAlign w:val="bottom"/>
            <w:shd w:val="clear" w:color="auto" w:fill="D2DCE5"/>
          </w:tcPr>
          <w:p>
            <w:pPr>
              <w:jc w:val="right"/>
              <w:ind w:right="510"/>
              <w:spacing w:after="0"/>
              <w:rPr>
                <w:sz w:val="20"/>
                <w:szCs w:val="20"/>
                <w:color w:val="auto"/>
              </w:rPr>
            </w:pPr>
            <w:r>
              <w:rPr>
                <w:rFonts w:ascii="Arial" w:cs="Arial" w:eastAsia="Arial" w:hAnsi="Arial"/>
                <w:sz w:val="14"/>
                <w:szCs w:val="14"/>
                <w:color w:val="131E29"/>
              </w:rPr>
              <w:t>71.3%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1"/>
          <w:szCs w:val="11"/>
          <w:color w:val="131E29"/>
        </w:rPr>
        <w:t>¹ For the period from the September 14, 2021 Reorganization date to December 31, 2021.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the effect of changes in ownership of Dutch Bros OpCo on the Company’s equity for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8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940" w:type="dxa"/>
            <w:vAlign w:val="bottom"/>
          </w:tcPr>
          <w:p>
            <w:pPr>
              <w:spacing w:after="0"/>
              <w:rPr>
                <w:sz w:val="17"/>
                <w:szCs w:val="17"/>
                <w:color w:val="auto"/>
              </w:rPr>
            </w:pPr>
          </w:p>
        </w:tc>
        <w:tc>
          <w:tcPr>
            <w:tcW w:w="23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131E29"/>
              </w:rPr>
              <w:t>Year Ended December 31,</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6500" w:type="dxa"/>
            <w:vAlign w:val="bottom"/>
            <w:tcBorders>
              <w:top w:val="single" w:sz="8" w:color="auto"/>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2023</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D2DCE5"/>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top w:val="single" w:sz="8" w:color="auto"/>
              <w:bottom w:val="single" w:sz="8" w:color="D2DCE5"/>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131E29"/>
              </w:rPr>
              <w:t>2021</w:t>
            </w:r>
          </w:p>
        </w:tc>
      </w:tr>
      <w:tr>
        <w:trPr>
          <w:trHeight w:val="208"/>
        </w:trPr>
        <w:tc>
          <w:tcPr>
            <w:tcW w:w="6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 attributable to Dutch Bros Inc.</w:t>
            </w:r>
          </w:p>
        </w:tc>
        <w:tc>
          <w:tcPr>
            <w:tcW w:w="940" w:type="dxa"/>
            <w:vAlign w:val="bottom"/>
            <w:shd w:val="clear" w:color="auto" w:fill="D2DCE5"/>
          </w:tcPr>
          <w:p>
            <w:pPr>
              <w:jc w:val="right"/>
              <w:ind w:right="770"/>
              <w:spacing w:after="0"/>
              <w:rPr>
                <w:sz w:val="20"/>
                <w:szCs w:val="20"/>
                <w:color w:val="auto"/>
              </w:rPr>
            </w:pPr>
            <w:r>
              <w:rPr>
                <w:rFonts w:ascii="Arial" w:cs="Arial" w:eastAsia="Arial" w:hAnsi="Arial"/>
                <w:sz w:val="14"/>
                <w:szCs w:val="14"/>
                <w:color w:val="131E29"/>
              </w:rPr>
              <w:t>$</w:t>
            </w:r>
          </w:p>
        </w:tc>
        <w:tc>
          <w:tcPr>
            <w:tcW w:w="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190"/>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(12,679)</w:t>
            </w:r>
          </w:p>
        </w:tc>
      </w:tr>
      <w:tr>
        <w:trPr>
          <w:trHeight w:val="202"/>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1"/>
        </w:trPr>
        <w:tc>
          <w:tcPr>
            <w:tcW w:w="65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Unrealized gain (loss) on derivative securities, effective portion, net of income tax expense</w:t>
            </w:r>
          </w:p>
        </w:tc>
        <w:tc>
          <w:tcPr>
            <w:tcW w:w="940" w:type="dxa"/>
            <w:vAlign w:val="bottom"/>
            <w:shd w:val="clear" w:color="auto" w:fill="D2DCE5"/>
          </w:tcPr>
          <w:p>
            <w:pPr>
              <w:spacing w:after="0"/>
              <w:rPr>
                <w:sz w:val="19"/>
                <w:szCs w:val="19"/>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(269)</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813</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Transfers from (to) non-controlling interests: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1"/>
        </w:trPr>
        <w:tc>
          <w:tcPr>
            <w:tcW w:w="65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Decrease in additional paid-in capital as a result of the Reorganization Transactions</w:t>
            </w:r>
          </w:p>
        </w:tc>
        <w:tc>
          <w:tcPr>
            <w:tcW w:w="940" w:type="dxa"/>
            <w:vAlign w:val="bottom"/>
            <w:shd w:val="clear" w:color="auto" w:fill="D2DCE5"/>
          </w:tcPr>
          <w:p>
            <w:pPr>
              <w:spacing w:after="0"/>
              <w:rPr>
                <w:sz w:val="19"/>
                <w:szCs w:val="19"/>
                <w:color w:val="auto"/>
              </w:rPr>
            </w:pPr>
          </w:p>
        </w:tc>
        <w:tc>
          <w:tcPr>
            <w:tcW w:w="7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60" w:type="dxa"/>
            <w:vAlign w:val="bottom"/>
            <w:shd w:val="clear" w:color="auto" w:fill="D2DCE5"/>
          </w:tcPr>
          <w:p>
            <w:pPr>
              <w:spacing w:after="0"/>
              <w:rPr>
                <w:sz w:val="19"/>
                <w:szCs w:val="19"/>
                <w:color w:val="auto"/>
              </w:rPr>
            </w:pPr>
          </w:p>
        </w:tc>
        <w:tc>
          <w:tcPr>
            <w:tcW w:w="13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(195,936)</w:t>
            </w:r>
          </w:p>
        </w:tc>
      </w:tr>
      <w:tr>
        <w:trPr>
          <w:trHeight w:val="202"/>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Decrease in accumulated deficit as a result of the adoption of ASC 842</w:t>
            </w:r>
          </w:p>
        </w:tc>
        <w:tc>
          <w:tcPr>
            <w:tcW w:w="9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1"/>
        </w:trPr>
        <w:tc>
          <w:tcPr>
            <w:tcW w:w="65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Increase in additional paid-in capital as a result of equity-based compensation</w:t>
            </w:r>
          </w:p>
        </w:tc>
        <w:tc>
          <w:tcPr>
            <w:tcW w:w="940" w:type="dxa"/>
            <w:vAlign w:val="bottom"/>
            <w:shd w:val="clear" w:color="auto" w:fill="D2DCE5"/>
          </w:tcPr>
          <w:p>
            <w:pPr>
              <w:spacing w:after="0"/>
              <w:rPr>
                <w:sz w:val="19"/>
                <w:szCs w:val="19"/>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15,177</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13,743</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12,663</w:t>
            </w:r>
          </w:p>
        </w:tc>
      </w:tr>
      <w:tr>
        <w:trPr>
          <w:trHeight w:val="176"/>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Decrease in additional paid-in capital as a result of common stock issuances pursuant to vesting of</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equity awards, net of stock withheld for tax</w:t>
            </w:r>
          </w:p>
        </w:tc>
        <w:tc>
          <w:tcPr>
            <w:tcW w:w="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131E29"/>
              </w:rPr>
              <w:t>(661)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(1,145)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(3,258)</w:t>
            </w:r>
          </w:p>
        </w:tc>
      </w:tr>
      <w:tr>
        <w:trPr>
          <w:trHeight w:val="185"/>
        </w:trPr>
        <w:tc>
          <w:tcPr>
            <w:tcW w:w="65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Increase (decrease) in additional paid-in capital as a result of the acquisition of Dutch Bros OpCo</w:t>
            </w:r>
          </w:p>
        </w:tc>
        <w:tc>
          <w:tcPr>
            <w:tcW w:w="940" w:type="dxa"/>
            <w:vAlign w:val="bottom"/>
            <w:shd w:val="clear" w:color="auto" w:fill="D2DCE5"/>
          </w:tcPr>
          <w:p>
            <w:pPr>
              <w:spacing w:after="0"/>
              <w:rPr>
                <w:sz w:val="16"/>
                <w:szCs w:val="16"/>
                <w:color w:val="auto"/>
              </w:rPr>
            </w:pPr>
          </w:p>
        </w:tc>
        <w:tc>
          <w:tcPr>
            <w:tcW w:w="6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1060" w:type="dxa"/>
            <w:vAlign w:val="bottom"/>
            <w:shd w:val="clear" w:color="auto" w:fill="D2DCE5"/>
          </w:tcPr>
          <w:p>
            <w:pPr>
              <w:spacing w:after="0"/>
              <w:rPr>
                <w:sz w:val="16"/>
                <w:szCs w:val="16"/>
                <w:color w:val="auto"/>
              </w:rPr>
            </w:pPr>
          </w:p>
        </w:tc>
      </w:tr>
      <w:tr>
        <w:trPr>
          <w:trHeight w:val="196"/>
        </w:trPr>
        <w:tc>
          <w:tcPr>
            <w:tcW w:w="65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A common units</w:t>
            </w:r>
          </w:p>
        </w:tc>
        <w:tc>
          <w:tcPr>
            <w:tcW w:w="940" w:type="dxa"/>
            <w:vAlign w:val="bottom"/>
            <w:tcBorders>
              <w:bottom w:val="single" w:sz="8" w:color="auto"/>
            </w:tcBorders>
            <w:shd w:val="clear" w:color="auto" w:fill="D2DCE5"/>
          </w:tcPr>
          <w:p>
            <w:pPr>
              <w:spacing w:after="0"/>
              <w:rPr>
                <w:sz w:val="17"/>
                <w:szCs w:val="17"/>
                <w:color w:val="auto"/>
              </w:rPr>
            </w:pPr>
          </w:p>
        </w:tc>
        <w:tc>
          <w:tcPr>
            <w:tcW w:w="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(158,152)</w:t>
            </w:r>
          </w:p>
        </w:tc>
        <w:tc>
          <w:tcPr>
            <w:tcW w:w="80" w:type="dxa"/>
            <w:vAlign w:val="bottom"/>
            <w:shd w:val="clear" w:color="auto" w:fill="D2DCE5"/>
          </w:tcPr>
          <w:p>
            <w:pPr>
              <w:spacing w:after="0"/>
              <w:rPr>
                <w:sz w:val="17"/>
                <w:szCs w:val="17"/>
                <w:color w:val="auto"/>
              </w:rPr>
            </w:pPr>
          </w:p>
        </w:tc>
        <w:tc>
          <w:tcPr>
            <w:tcW w:w="360" w:type="dxa"/>
            <w:vAlign w:val="bottom"/>
            <w:tcBorders>
              <w:bottom w:val="single" w:sz="8" w:color="auto"/>
            </w:tcBorders>
            <w:shd w:val="clear" w:color="auto" w:fill="D2DCE5"/>
          </w:tcPr>
          <w:p>
            <w:pPr>
              <w:spacing w:after="0"/>
              <w:rPr>
                <w:sz w:val="17"/>
                <w:szCs w:val="17"/>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9,410</w:t>
            </w:r>
          </w:p>
        </w:tc>
        <w:tc>
          <w:tcPr>
            <w:tcW w:w="80" w:type="dxa"/>
            <w:vAlign w:val="bottom"/>
            <w:shd w:val="clear" w:color="auto" w:fill="D2DCE5"/>
          </w:tcPr>
          <w:p>
            <w:pPr>
              <w:spacing w:after="0"/>
              <w:rPr>
                <w:sz w:val="17"/>
                <w:szCs w:val="17"/>
                <w:color w:val="auto"/>
              </w:rPr>
            </w:pPr>
          </w:p>
        </w:tc>
        <w:tc>
          <w:tcPr>
            <w:tcW w:w="320" w:type="dxa"/>
            <w:vAlign w:val="bottom"/>
            <w:tcBorders>
              <w:bottom w:val="single" w:sz="8" w:color="auto"/>
            </w:tcBorders>
            <w:shd w:val="clear" w:color="auto" w:fill="D2DCE5"/>
          </w:tcPr>
          <w:p>
            <w:pPr>
              <w:spacing w:after="0"/>
              <w:rPr>
                <w:sz w:val="17"/>
                <w:szCs w:val="17"/>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(239,132)</w:t>
            </w:r>
          </w:p>
        </w:tc>
      </w:tr>
      <w:tr>
        <w:trPr>
          <w:trHeight w:val="211"/>
        </w:trPr>
        <w:tc>
          <w:tcPr>
            <w:tcW w:w="658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effect of changes in ownership interest on equity attributable to Dutch Bros Inc.</w:t>
            </w:r>
          </w:p>
        </w:tc>
        <w:tc>
          <w:tcPr>
            <w:tcW w:w="94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(142,187)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131E2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18,190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(438,342)</w:t>
            </w:r>
          </w:p>
        </w:tc>
      </w:tr>
      <w:tr>
        <w:trPr>
          <w:trHeight w:val="20"/>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16 — Income (Loss) Per Share</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following tables set forth the numerators and denominators used to compute basic and diluted net income (loss) per share of Class A and Class D common stock for the periods presented.</w:t>
      </w:r>
    </w:p>
    <w:p>
      <w:pPr>
        <w:sectPr>
          <w:pgSz w:w="11900" w:h="16838" w:orient="portrait"/>
          <w:cols w:equalWidth="0" w:num="1">
            <w:col w:w="11280"/>
          </w:cols>
          <w:pgMar w:left="300" w:top="133" w:right="319" w:bottom="1440" w:gutter="0" w:footer="0" w:header="0"/>
        </w:sect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2165" cy="140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2165" cy="14097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Numerator:</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62165" cy="133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2165" cy="13398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Less: net loss attributable to Dutch Bros OpCo before Reorganization Transactions</w:t>
      </w:r>
    </w:p>
    <w:p>
      <w:pPr>
        <w:spacing w:after="0" w:line="50" w:lineRule="exact"/>
        <w:rPr>
          <w:sz w:val="20"/>
          <w:szCs w:val="20"/>
          <w:color w:val="auto"/>
        </w:rPr>
      </w:pPr>
    </w:p>
    <w:p>
      <w:pPr>
        <w:ind w:left="20" w:right="2160" w:firstLine="127"/>
        <w:spacing w:after="0" w:line="399" w:lineRule="auto"/>
        <w:rPr>
          <w:sz w:val="20"/>
          <w:szCs w:val="20"/>
          <w:color w:val="auto"/>
        </w:rPr>
      </w:pPr>
      <w:r>
        <w:rPr>
          <w:rFonts w:ascii="Arial" w:cs="Arial" w:eastAsia="Arial" w:hAnsi="Arial"/>
          <w:sz w:val="14"/>
          <w:szCs w:val="14"/>
          <w:color w:val="131E29"/>
        </w:rPr>
        <w:t>Less: Net income (loss) attributable to non-controlling interests Net income (loss) attributable to Dutch Bros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162165"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216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277241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72410"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2021</w:t>
            </w:r>
          </w:p>
        </w:tc>
      </w:tr>
      <w:tr>
        <w:trPr>
          <w:trHeight w:val="400"/>
        </w:trPr>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tcPr>
          <w:p>
            <w:pPr>
              <w:spacing w:after="0"/>
              <w:rPr>
                <w:sz w:val="24"/>
                <w:szCs w:val="24"/>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24"/>
                <w:szCs w:val="24"/>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131E29"/>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(117,931)</w:t>
            </w:r>
          </w:p>
        </w:tc>
      </w:tr>
      <w:tr>
        <w:trPr>
          <w:trHeight w:val="211"/>
        </w:trPr>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131E29"/>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(67,374)</w:t>
            </w:r>
          </w:p>
        </w:tc>
      </w:tr>
      <w:tr>
        <w:trPr>
          <w:trHeight w:val="221"/>
        </w:trPr>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8,234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(14,500)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(37,878)</w:t>
            </w:r>
          </w:p>
        </w:tc>
      </w:tr>
      <w:tr>
        <w:trPr>
          <w:trHeight w:val="202"/>
        </w:trPr>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1,718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(4,753)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131E2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(12,679)</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ectPr>
          <w:pgSz w:w="11900" w:h="16838" w:orient="portrait"/>
          <w:cols w:equalWidth="0" w:num="2">
            <w:col w:w="6200" w:space="720"/>
            <w:col w:w="4360"/>
          </w:cols>
          <w:pgMar w:left="300" w:top="133" w:right="31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9420"/>
        <w:spacing w:after="0"/>
        <w:rPr>
          <w:sz w:val="20"/>
          <w:szCs w:val="20"/>
          <w:color w:val="auto"/>
        </w:rPr>
      </w:pPr>
      <w:r>
        <w:rPr>
          <w:sz w:val="1"/>
          <w:szCs w:val="1"/>
          <w:color w:val="auto"/>
        </w:rPr>
        <w:drawing>
          <wp:inline distT="0" distB="0" distL="0" distR="0">
            <wp:extent cx="133985" cy="1879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875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131E29"/>
                <w:w w:val="99"/>
              </w:rPr>
              <w:t>Year Ended December 31,</w:t>
            </w:r>
          </w:p>
        </w:tc>
        <w:tc>
          <w:tcPr>
            <w:tcW w:w="1140" w:type="dxa"/>
            <w:vAlign w:val="bottom"/>
            <w:tcBorders>
              <w:bottom w:val="single" w:sz="8" w:color="auto"/>
            </w:tcBorders>
          </w:tcPr>
          <w:p>
            <w:pPr>
              <w:spacing w:after="0"/>
              <w:rPr>
                <w:sz w:val="17"/>
                <w:szCs w:val="17"/>
                <w:color w:val="auto"/>
              </w:rPr>
            </w:pPr>
          </w:p>
        </w:tc>
      </w:tr>
      <w:tr>
        <w:trPr>
          <w:trHeight w:val="20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2021</w:t>
            </w:r>
          </w:p>
        </w:tc>
      </w:tr>
      <w:tr>
        <w:trPr>
          <w:trHeight w:val="208"/>
        </w:trPr>
        <w:tc>
          <w:tcPr>
            <w:tcW w:w="69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Basic and diluted net income (loss) per share attributable to common stockholders</w:t>
            </w: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140" w:type="dxa"/>
            <w:vAlign w:val="bottom"/>
            <w:shd w:val="clear" w:color="auto" w:fill="D2DCE5"/>
          </w:tcPr>
          <w:p>
            <w:pPr>
              <w:spacing w:after="0"/>
              <w:rPr>
                <w:sz w:val="18"/>
                <w:szCs w:val="18"/>
                <w:color w:val="auto"/>
              </w:rPr>
            </w:pPr>
          </w:p>
        </w:tc>
      </w:tr>
      <w:tr>
        <w:trPr>
          <w:trHeight w:val="206"/>
        </w:trPr>
        <w:tc>
          <w:tcPr>
            <w:tcW w:w="6900" w:type="dxa"/>
            <w:vAlign w:val="bottom"/>
            <w:gridSpan w:val="2"/>
          </w:tcPr>
          <w:p>
            <w:pPr>
              <w:ind w:left="100"/>
              <w:spacing w:after="0"/>
              <w:rPr>
                <w:sz w:val="20"/>
                <w:szCs w:val="20"/>
                <w:color w:val="auto"/>
              </w:rPr>
            </w:pPr>
            <w:r>
              <w:rPr>
                <w:rFonts w:ascii="Arial" w:cs="Arial" w:eastAsia="Arial" w:hAnsi="Arial"/>
                <w:sz w:val="14"/>
                <w:szCs w:val="14"/>
                <w:b w:val="1"/>
                <w:bCs w:val="1"/>
                <w:color w:val="131E29"/>
              </w:rPr>
              <w:t>Numerator: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690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Net income (loss) attributable to Dutch Bros Inc.</w:t>
            </w:r>
          </w:p>
        </w:tc>
        <w:tc>
          <w:tcPr>
            <w:tcW w:w="30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380" w:type="dxa"/>
            <w:vAlign w:val="bottom"/>
            <w:gridSpan w:val="2"/>
            <w:shd w:val="clear" w:color="auto" w:fill="D2DCE5"/>
          </w:tcPr>
          <w:p>
            <w:pPr>
              <w:jc w:val="right"/>
              <w:ind w:right="200"/>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jc w:val="right"/>
              <w:ind w:right="270"/>
              <w:spacing w:after="0"/>
              <w:rPr>
                <w:sz w:val="20"/>
                <w:szCs w:val="20"/>
                <w:color w:val="auto"/>
              </w:rPr>
            </w:pPr>
            <w:r>
              <w:rPr>
                <w:rFonts w:ascii="Arial" w:cs="Arial" w:eastAsia="Arial" w:hAnsi="Arial"/>
                <w:sz w:val="14"/>
                <w:szCs w:val="14"/>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(12,679)</w:t>
            </w:r>
          </w:p>
        </w:tc>
      </w:tr>
      <w:tr>
        <w:trPr>
          <w:trHeight w:val="206"/>
        </w:trPr>
        <w:tc>
          <w:tcPr>
            <w:tcW w:w="6900" w:type="dxa"/>
            <w:vAlign w:val="bottom"/>
            <w:gridSpan w:val="2"/>
          </w:tcPr>
          <w:p>
            <w:pPr>
              <w:ind w:left="100"/>
              <w:spacing w:after="0"/>
              <w:rPr>
                <w:sz w:val="20"/>
                <w:szCs w:val="20"/>
                <w:color w:val="auto"/>
              </w:rPr>
            </w:pPr>
            <w:r>
              <w:rPr>
                <w:rFonts w:ascii="Arial" w:cs="Arial" w:eastAsia="Arial" w:hAnsi="Arial"/>
                <w:sz w:val="14"/>
                <w:szCs w:val="14"/>
                <w:b w:val="1"/>
                <w:bCs w:val="1"/>
                <w:color w:val="131E29"/>
              </w:rPr>
              <w:t>Denominator: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690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Weighted-average number of shares of Class A and Class D common stock outstanding - basic</w:t>
            </w: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62,074</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51,871</w:t>
            </w: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45,864</w:t>
            </w:r>
          </w:p>
        </w:tc>
      </w:tr>
      <w:tr>
        <w:trPr>
          <w:trHeight w:val="202"/>
        </w:trPr>
        <w:tc>
          <w:tcPr>
            <w:tcW w:w="6900" w:type="dxa"/>
            <w:vAlign w:val="bottom"/>
            <w:gridSpan w:val="2"/>
          </w:tcPr>
          <w:p>
            <w:pPr>
              <w:ind w:left="360"/>
              <w:spacing w:after="0"/>
              <w:rPr>
                <w:sz w:val="20"/>
                <w:szCs w:val="20"/>
                <w:color w:val="auto"/>
              </w:rPr>
            </w:pPr>
            <w:r>
              <w:rPr>
                <w:rFonts w:ascii="Arial" w:cs="Arial" w:eastAsia="Arial" w:hAnsi="Arial"/>
                <w:sz w:val="14"/>
                <w:szCs w:val="14"/>
                <w:color w:val="131E29"/>
              </w:rPr>
              <w:t>Dilutive effect of restricted stock awards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6900" w:type="dxa"/>
            <w:vAlign w:val="bottom"/>
            <w:gridSpan w:val="2"/>
            <w:shd w:val="clear" w:color="auto" w:fill="D2DCE5"/>
          </w:tcPr>
          <w:p>
            <w:pPr>
              <w:ind w:left="360"/>
              <w:spacing w:after="0"/>
              <w:rPr>
                <w:sz w:val="20"/>
                <w:szCs w:val="20"/>
                <w:color w:val="auto"/>
              </w:rPr>
            </w:pPr>
            <w:r>
              <w:rPr>
                <w:rFonts w:ascii="Arial" w:cs="Arial" w:eastAsia="Arial" w:hAnsi="Arial"/>
                <w:sz w:val="14"/>
                <w:szCs w:val="14"/>
                <w:color w:val="131E29"/>
              </w:rPr>
              <w:t>Dilutive effect of restricted stock units</w:t>
            </w: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1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440" w:type="dxa"/>
            <w:vAlign w:val="bottom"/>
            <w:shd w:val="clear" w:color="auto" w:fill="D2DCE5"/>
          </w:tcPr>
          <w:p>
            <w:pPr>
              <w:spacing w:after="0"/>
              <w:rPr>
                <w:sz w:val="18"/>
                <w:szCs w:val="18"/>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11"/>
        </w:trPr>
        <w:tc>
          <w:tcPr>
            <w:tcW w:w="6900" w:type="dxa"/>
            <w:vAlign w:val="bottom"/>
            <w:gridSpan w:val="2"/>
          </w:tcPr>
          <w:p>
            <w:pPr>
              <w:ind w:left="240"/>
              <w:spacing w:after="0"/>
              <w:rPr>
                <w:sz w:val="20"/>
                <w:szCs w:val="20"/>
                <w:color w:val="auto"/>
              </w:rPr>
            </w:pPr>
            <w:r>
              <w:rPr>
                <w:rFonts w:ascii="Arial" w:cs="Arial" w:eastAsia="Arial" w:hAnsi="Arial"/>
                <w:sz w:val="14"/>
                <w:szCs w:val="14"/>
                <w:color w:val="131E29"/>
              </w:rPr>
              <w:t>Weighted-average number of shares of Class A and Class D common stock outstanding - diluted</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62,074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51,871</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45,864</w:t>
            </w:r>
          </w:p>
        </w:tc>
      </w:tr>
      <w:tr>
        <w:trPr>
          <w:trHeight w:val="20"/>
        </w:trPr>
        <w:tc>
          <w:tcPr>
            <w:tcW w:w="68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68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440" w:type="dxa"/>
            <w:vAlign w:val="bottom"/>
            <w:shd w:val="clear" w:color="auto" w:fill="D2DCE5"/>
          </w:tcPr>
          <w:p>
            <w:pPr>
              <w:spacing w:after="0"/>
              <w:rPr>
                <w:sz w:val="15"/>
                <w:szCs w:val="15"/>
                <w:color w:val="auto"/>
              </w:rPr>
            </w:pPr>
          </w:p>
        </w:tc>
        <w:tc>
          <w:tcPr>
            <w:tcW w:w="1140" w:type="dxa"/>
            <w:vAlign w:val="bottom"/>
            <w:shd w:val="clear" w:color="auto" w:fill="D2DCE5"/>
          </w:tcPr>
          <w:p>
            <w:pPr>
              <w:spacing w:after="0"/>
              <w:rPr>
                <w:sz w:val="15"/>
                <w:szCs w:val="15"/>
                <w:color w:val="auto"/>
              </w:rPr>
            </w:pPr>
          </w:p>
        </w:tc>
      </w:tr>
      <w:tr>
        <w:trPr>
          <w:trHeight w:val="202"/>
        </w:trPr>
        <w:tc>
          <w:tcPr>
            <w:tcW w:w="6900" w:type="dxa"/>
            <w:vAlign w:val="bottom"/>
            <w:gridSpan w:val="2"/>
          </w:tcPr>
          <w:p>
            <w:pPr>
              <w:ind w:left="20"/>
              <w:spacing w:after="0"/>
              <w:rPr>
                <w:sz w:val="20"/>
                <w:szCs w:val="20"/>
                <w:color w:val="auto"/>
              </w:rPr>
            </w:pPr>
            <w:r>
              <w:rPr>
                <w:rFonts w:ascii="Arial" w:cs="Arial" w:eastAsia="Arial" w:hAnsi="Arial"/>
                <w:sz w:val="14"/>
                <w:szCs w:val="14"/>
                <w:color w:val="131E29"/>
              </w:rPr>
              <w:t>Basic net income (loss) per share attributable to common stockholders</w:t>
            </w: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0.03</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(0.09)</w:t>
            </w:r>
          </w:p>
        </w:tc>
        <w:tc>
          <w:tcPr>
            <w:tcW w:w="80" w:type="dxa"/>
            <w:vAlign w:val="bottom"/>
          </w:tcPr>
          <w:p>
            <w:pPr>
              <w:spacing w:after="0"/>
              <w:rPr>
                <w:sz w:val="17"/>
                <w:szCs w:val="17"/>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131E29"/>
              </w:rPr>
              <w:t>$</w:t>
            </w:r>
          </w:p>
        </w:tc>
        <w:tc>
          <w:tcPr>
            <w:tcW w:w="1140" w:type="dxa"/>
            <w:vAlign w:val="bottom"/>
          </w:tcPr>
          <w:p>
            <w:pPr>
              <w:jc w:val="right"/>
              <w:spacing w:after="0"/>
              <w:rPr>
                <w:sz w:val="20"/>
                <w:szCs w:val="20"/>
                <w:color w:val="auto"/>
              </w:rPr>
            </w:pPr>
            <w:r>
              <w:rPr>
                <w:rFonts w:ascii="Arial" w:cs="Arial" w:eastAsia="Arial" w:hAnsi="Arial"/>
                <w:sz w:val="14"/>
                <w:szCs w:val="14"/>
                <w:color w:val="131E29"/>
              </w:rPr>
              <w:t>(0.28)</w:t>
            </w:r>
          </w:p>
        </w:tc>
      </w:tr>
      <w:tr>
        <w:trPr>
          <w:trHeight w:val="221"/>
        </w:trPr>
        <w:tc>
          <w:tcPr>
            <w:tcW w:w="6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Diluted net income (loss) per share attributable to common stockholders</w:t>
            </w:r>
          </w:p>
        </w:tc>
        <w:tc>
          <w:tcPr>
            <w:tcW w:w="300" w:type="dxa"/>
            <w:vAlign w:val="bottom"/>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0.03</w:t>
            </w:r>
          </w:p>
        </w:tc>
        <w:tc>
          <w:tcPr>
            <w:tcW w:w="380" w:type="dxa"/>
            <w:vAlign w:val="bottom"/>
            <w:gridSpan w:val="2"/>
            <w:shd w:val="clear" w:color="auto" w:fill="D2DCE5"/>
          </w:tcPr>
          <w:p>
            <w:pPr>
              <w:jc w:val="right"/>
              <w:ind w:right="200"/>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(0.09)</w:t>
            </w: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jc w:val="right"/>
              <w:ind w:right="270"/>
              <w:spacing w:after="0"/>
              <w:rPr>
                <w:sz w:val="20"/>
                <w:szCs w:val="20"/>
                <w:color w:val="auto"/>
              </w:rPr>
            </w:pPr>
            <w:r>
              <w:rPr>
                <w:rFonts w:ascii="Arial" w:cs="Arial" w:eastAsia="Arial" w:hAnsi="Arial"/>
                <w:sz w:val="14"/>
                <w:szCs w:val="14"/>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Class A common stock equivalents were excluded from diluted net income (loss) per share in the periods presented because they were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131E29"/>
                <w:w w:val="98"/>
              </w:rPr>
              <w:t>Year Ended December 31,</w:t>
            </w:r>
          </w:p>
        </w:tc>
        <w:tc>
          <w:tcPr>
            <w:tcW w:w="1580" w:type="dxa"/>
            <w:vAlign w:val="bottom"/>
            <w:tcBorders>
              <w:bottom w:val="single" w:sz="8" w:color="auto"/>
            </w:tcBorders>
          </w:tcPr>
          <w:p>
            <w:pPr>
              <w:spacing w:after="0"/>
              <w:rPr>
                <w:sz w:val="17"/>
                <w:szCs w:val="17"/>
                <w:color w:val="auto"/>
              </w:rPr>
            </w:pPr>
          </w:p>
        </w:tc>
      </w:tr>
      <w:tr>
        <w:trPr>
          <w:trHeight w:val="202"/>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131E29"/>
              </w:rPr>
              <w:t>2021</w:t>
            </w:r>
          </w:p>
        </w:tc>
      </w:tr>
      <w:tr>
        <w:trPr>
          <w:trHeight w:val="208"/>
        </w:trPr>
        <w:tc>
          <w:tcPr>
            <w:tcW w:w="63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Restricted stock awards</w:t>
            </w:r>
          </w:p>
        </w:tc>
        <w:tc>
          <w:tcPr>
            <w:tcW w:w="15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1,283</w:t>
            </w:r>
          </w:p>
        </w:tc>
        <w:tc>
          <w:tcPr>
            <w:tcW w:w="16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2,667</w:t>
            </w:r>
          </w:p>
        </w:tc>
        <w:tc>
          <w:tcPr>
            <w:tcW w:w="80" w:type="dxa"/>
            <w:vAlign w:val="bottom"/>
            <w:shd w:val="clear" w:color="auto" w:fill="D2DCE5"/>
          </w:tcPr>
          <w:p>
            <w:pPr>
              <w:spacing w:after="0"/>
              <w:rPr>
                <w:sz w:val="18"/>
                <w:szCs w:val="18"/>
                <w:color w:val="auto"/>
              </w:rPr>
            </w:pPr>
          </w:p>
        </w:tc>
        <w:tc>
          <w:tcPr>
            <w:tcW w:w="15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4,000</w:t>
            </w:r>
          </w:p>
        </w:tc>
      </w:tr>
      <w:tr>
        <w:trPr>
          <w:trHeight w:val="202"/>
        </w:trPr>
        <w:tc>
          <w:tcPr>
            <w:tcW w:w="63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Restricted stock units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648</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583</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595</w:t>
            </w:r>
          </w:p>
        </w:tc>
      </w:tr>
      <w:tr>
        <w:trPr>
          <w:trHeight w:val="231"/>
        </w:trPr>
        <w:tc>
          <w:tcPr>
            <w:tcW w:w="63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 anti-dilutive securities</w:t>
            </w:r>
          </w:p>
        </w:tc>
        <w:tc>
          <w:tcPr>
            <w:tcW w:w="15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1,931</w:t>
            </w:r>
          </w:p>
        </w:tc>
        <w:tc>
          <w:tcPr>
            <w:tcW w:w="16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3,250</w:t>
            </w:r>
          </w:p>
        </w:tc>
        <w:tc>
          <w:tcPr>
            <w:tcW w:w="80" w:type="dxa"/>
            <w:vAlign w:val="bottom"/>
            <w:shd w:val="clear" w:color="auto" w:fill="D2DCE5"/>
          </w:tcPr>
          <w:p>
            <w:pPr>
              <w:spacing w:after="0"/>
              <w:rPr>
                <w:sz w:val="20"/>
                <w:szCs w:val="20"/>
                <w:color w:val="auto"/>
              </w:rPr>
            </w:pPr>
          </w:p>
        </w:tc>
        <w:tc>
          <w:tcPr>
            <w:tcW w:w="15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4,595</w:t>
            </w:r>
          </w:p>
        </w:tc>
      </w:tr>
      <w:tr>
        <w:trPr>
          <w:trHeight w:val="20"/>
        </w:trPr>
        <w:tc>
          <w:tcPr>
            <w:tcW w:w="63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17 — Commitments and Contingencies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Purchase Obligations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Guarantees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The Company periodically provides guarantees to franchise partners for lease payments. Annually, the Company determines if a liability needs to be recorded related to these guarantees. As of December 31, 2023 and December 31, 2022, the Company had guaranteed approximately $1.4 million and $ 1.6 million, respectively, in franchise partners’ lease payments and has not established a liability for these guarantees as any liability arising from the guarantees is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1" w:name="page132"/>
    <w:bookmarkEnd w:id="1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Legal Proceedings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Any claim, proceeding or litigation has an element of uncertainty, and an unfavorable outcome may have a material adverse effect on the Company’s financial condition,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Litigation Related to Securities Claims</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 xml:space="preserve">On March 1, 2023, plaintiff Jerry Peacock filed a putative class action lawsuit in U.S. District Court for the Southern District of New York against Dutch Bros Inc. and certain of its executive officers for alleged violations of U.S. federal securities laws. On August 3, 2023, the court appointed a lead plaintiff and re-captioned the case </w:t>
      </w:r>
      <w:r>
        <w:rPr>
          <w:rFonts w:ascii="Arial" w:cs="Arial" w:eastAsia="Arial" w:hAnsi="Arial"/>
          <w:sz w:val="14"/>
          <w:szCs w:val="14"/>
          <w:i w:val="1"/>
          <w:iCs w:val="1"/>
          <w:color w:val="131E29"/>
        </w:rPr>
        <w:t>Douglas Rein, Individually</w:t>
      </w:r>
      <w:r>
        <w:rPr>
          <w:rFonts w:ascii="Arial" w:cs="Arial" w:eastAsia="Arial" w:hAnsi="Arial"/>
          <w:sz w:val="14"/>
          <w:szCs w:val="14"/>
          <w:color w:val="131E29"/>
        </w:rPr>
        <w:t xml:space="preserve"> </w:t>
      </w:r>
      <w:r>
        <w:rPr>
          <w:rFonts w:ascii="Arial" w:cs="Arial" w:eastAsia="Arial" w:hAnsi="Arial"/>
          <w:sz w:val="14"/>
          <w:szCs w:val="14"/>
          <w:i w:val="1"/>
          <w:iCs w:val="1"/>
          <w:color w:val="131E29"/>
        </w:rPr>
        <w:t>and On Behalf of All Others Similarly Situated v. Dutch Bros, Inc. et al</w:t>
      </w:r>
      <w:r>
        <w:rPr>
          <w:rFonts w:ascii="Arial" w:cs="Arial" w:eastAsia="Arial" w:hAnsi="Arial"/>
          <w:sz w:val="14"/>
          <w:szCs w:val="14"/>
          <w:color w:val="131E29"/>
        </w:rPr>
        <w:t>. On August 31, 2023 an amended complaint was filed (the Amended Complaint) which asserts claims under</w:t>
      </w:r>
      <w:r>
        <w:rPr>
          <w:rFonts w:ascii="Arial" w:cs="Arial" w:eastAsia="Arial" w:hAnsi="Arial"/>
          <w:sz w:val="14"/>
          <w:szCs w:val="14"/>
          <w:i w:val="1"/>
          <w:iCs w:val="1"/>
          <w:color w:val="131E29"/>
        </w:rPr>
        <w:t xml:space="preserve"> </w:t>
      </w:r>
      <w:r>
        <w:rPr>
          <w:rFonts w:ascii="Arial" w:cs="Arial" w:eastAsia="Arial" w:hAnsi="Arial"/>
          <w:sz w:val="14"/>
          <w:szCs w:val="14"/>
          <w:color w:val="131E29"/>
        </w:rPr>
        <w:t>Sections 10(b) and 20(a) of the Securities Exchange Act of 1934, as amended (the Exchange Act), on behalf of a proposed class consisting of those who acquired Dutch Bros Inc.’s securities between November 10, 2021 and May 11, 2022. The Amended Complaint generally alleges that the defendants made false or misleading statements about the impact of commodity inflation on the Company’s financial results for the first quarter of 2022. The Amended Complaint primarily seeks compensatory damages for all affected members of the purported class. Briefing on the defendants’ motion to dismiss the Amended Complaint was completed on November 9, 2023.</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 xml:space="preserve">In addition, on June 14, 2023, June 30, 2023, and July 18, 2023, respectively, plaintiffs Brennan Hudson, Darren Wakefield, and Amanda Boster each filed a putative stockholder derivative lawsuit in U.S. District Court for the Southern District of New York. The complaints name Dutch Bros Inc. as a nominal defendant and purport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complaints each primarily seek to recover for Dutch Bros Inc. compensatory damages for losses allegedly sustained by Dutch Bros Inc. related to the facts alleged, restitution, and equitable relief in the form of revisions to Dutch Bros Inc.’s governing documents. On July 27, 2023, the three actions were consolidated, and the consolidated action is now captioned </w:t>
      </w:r>
      <w:r>
        <w:rPr>
          <w:rFonts w:ascii="Arial" w:cs="Arial" w:eastAsia="Arial" w:hAnsi="Arial"/>
          <w:sz w:val="14"/>
          <w:szCs w:val="14"/>
          <w:i w:val="1"/>
          <w:iCs w:val="1"/>
          <w:color w:val="131E29"/>
        </w:rPr>
        <w:t>In re Dutch Bros Inc. Derivative Litigation</w:t>
      </w:r>
      <w:r>
        <w:rPr>
          <w:rFonts w:ascii="Arial" w:cs="Arial" w:eastAsia="Arial" w:hAnsi="Arial"/>
          <w:sz w:val="14"/>
          <w:szCs w:val="14"/>
          <w:color w:val="131E29"/>
        </w:rPr>
        <w:t>. On September 14, 2023, the court entered an order staying the consolidated action pending the resolution of the motion to dismiss in the above-described putative class action lawsuit and entry of a scheduling order in the consolidated action.</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On November 3, 2023, plaintiff David Briggs filed a putative stockholder derivative lawsuit in the Delaware Court of Chancery. The complaint names Dutch Bros Inc. as a nominal defendant and purports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 primarily seeks to recover for Dutch Bros Inc. compensatory damages for losses allegedly sustained by Dutch Bros Inc. related to the facts alleged,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2" w:name="page133"/>
    <w:bookmarkEnd w:id="1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restitution, and equitable relief in the form of revisions to Dutch Bros Inc.’s governing documents. On January 24, 2024, the court entered an order staying this action pending the resolution of the motion to dismiss in the above-described putative class action lawsuit.</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 intends to vigorously defend these lawsuits. Given the nature of these cases, including that the proceedings are in their early stages, the Company is unable to predict the ultimate outcome of these cases or estimate the range of potential loss, if any.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Liabilities Under Tax Receivable Agreements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December 31, 2023, Dutch Bros Inc. recognized $290.9 million of liabilities related to its obligations under the TRAs.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18 — Related Party Transactions</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Company’s donations to the Dutch Bros Foundation (the Foundation), a not-for-profit founded by the Company that provides philanthropy to coffee farmers and local communities and for which the Company’s Chief Executive Officer (CEO) and Chief Operating Officer (COO) serve on the board of directors,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Borders>
              <w:bottom w:val="single" w:sz="8" w:color="auto"/>
            </w:tcBorders>
          </w:tcPr>
          <w:p>
            <w:pPr>
              <w:spacing w:after="0"/>
              <w:rPr>
                <w:sz w:val="17"/>
                <w:szCs w:val="17"/>
                <w:color w:val="auto"/>
              </w:rPr>
            </w:pPr>
          </w:p>
        </w:tc>
      </w:tr>
      <w:tr>
        <w:trPr>
          <w:trHeight w:val="202"/>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131E29"/>
              </w:rPr>
              <w:t>2023</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33"/>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Donations to Dutch Bros Foundation</w:t>
            </w:r>
          </w:p>
        </w:tc>
        <w:tc>
          <w:tcPr>
            <w:tcW w:w="920" w:type="dxa"/>
            <w:vAlign w:val="bottom"/>
            <w:tcBorders>
              <w:bottom w:val="single" w:sz="8" w:color="auto"/>
            </w:tcBorders>
            <w:shd w:val="clear" w:color="auto" w:fill="D2DCE5"/>
          </w:tcPr>
          <w:p>
            <w:pPr>
              <w:jc w:val="right"/>
              <w:ind w:right="770"/>
              <w:spacing w:after="0"/>
              <w:rPr>
                <w:sz w:val="20"/>
                <w:szCs w:val="20"/>
                <w:color w:val="auto"/>
              </w:rPr>
            </w:pPr>
            <w:r>
              <w:rPr>
                <w:rFonts w:ascii="Arial" w:cs="Arial" w:eastAsia="Arial" w:hAnsi="Arial"/>
                <w:sz w:val="14"/>
                <w:szCs w:val="14"/>
                <w:color w:val="131E29"/>
                <w:w w:val="76"/>
              </w:rPr>
              <w:t>$</w:t>
            </w:r>
          </w:p>
        </w:tc>
        <w:tc>
          <w:tcPr>
            <w:tcW w:w="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250</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5,149</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10,546</w:t>
            </w:r>
          </w:p>
        </w:tc>
      </w:tr>
      <w:tr>
        <w:trPr>
          <w:trHeight w:val="20"/>
        </w:trPr>
        <w:tc>
          <w:tcPr>
            <w:tcW w:w="70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D2DCE5"/>
              <w:bottom w:val="single" w:sz="8" w:color="auto"/>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For the year ended December 31, 2023, the Company and the Foundation focused on local community givebacks.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19 — Segment Reporting</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Segment information is prepared on the same basis that the Company’s CEO, who is the chief operating decision maker (the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The CODM reviews segment performance and allocates resources based upon segment contribution, which is defined as segment gross profit before depreciation and amortization.</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All segment revenue is earned in the United States, and there are no intersegment revenues. The CODM does not evaluate operating segments using discrete asset information, and we do not identify or allocate assets by operating segments.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No changes have been made to the Company’s segments during the year ended December 31, 2023. In addition, no customer represented 10% or more of total revenue for the three years ended December 31,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3" w:name="page134"/>
    <w:bookmarkEnd w:id="1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Financial information for the Company’s reportable segments was as follows for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Borders>
              <w:bottom w:val="single" w:sz="8" w:color="auto"/>
            </w:tcBorders>
          </w:tcPr>
          <w:p>
            <w:pPr>
              <w:spacing w:after="0"/>
              <w:rPr>
                <w:sz w:val="17"/>
                <w:szCs w:val="17"/>
                <w:color w:val="auto"/>
              </w:rPr>
            </w:pPr>
          </w:p>
        </w:tc>
      </w:tr>
      <w:tr>
        <w:trPr>
          <w:trHeight w:val="20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6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131E29"/>
              </w:rPr>
              <w:t>2021</w:t>
            </w:r>
          </w:p>
        </w:tc>
      </w:tr>
      <w:tr>
        <w:trPr>
          <w:trHeight w:val="208"/>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r>
      <w:tr>
        <w:trPr>
          <w:trHeight w:val="202"/>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tcPr>
          <w:p>
            <w:pPr>
              <w:spacing w:after="0"/>
              <w:rPr>
                <w:sz w:val="17"/>
                <w:szCs w:val="17"/>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403,746</w:t>
            </w: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107,837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80" w:type="dxa"/>
            <w:vAlign w:val="bottom"/>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r>
      <w:tr>
        <w:trPr>
          <w:trHeight w:val="193"/>
        </w:trPr>
        <w:tc>
          <w:tcPr>
            <w:tcW w:w="716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497,876</w:t>
            </w:r>
          </w:p>
        </w:tc>
      </w:tr>
      <w:tr>
        <w:trPr>
          <w:trHeight w:val="201"/>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280" w:type="dxa"/>
            <w:vAlign w:val="bottom"/>
            <w:shd w:val="clear" w:color="auto" w:fill="D2DCE5"/>
          </w:tcPr>
          <w:p>
            <w:pPr>
              <w:spacing w:after="0"/>
              <w:rPr>
                <w:sz w:val="17"/>
                <w:szCs w:val="17"/>
                <w:color w:val="auto"/>
              </w:rPr>
            </w:pPr>
          </w:p>
        </w:tc>
        <w:tc>
          <w:tcPr>
            <w:tcW w:w="10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r>
      <w:tr>
        <w:trPr>
          <w:trHeight w:val="202"/>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677,704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518,383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317,045</w:t>
            </w: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36,776</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39,713</w:t>
            </w:r>
          </w:p>
        </w:tc>
        <w:tc>
          <w:tcPr>
            <w:tcW w:w="80" w:type="dxa"/>
            <w:vAlign w:val="bottom"/>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27,528</w:t>
            </w:r>
          </w:p>
        </w:tc>
      </w:tr>
      <w:tr>
        <w:trPr>
          <w:trHeight w:val="193"/>
        </w:trPr>
        <w:tc>
          <w:tcPr>
            <w:tcW w:w="716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cost of sales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714,480</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558,096</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344,573</w:t>
            </w:r>
          </w:p>
        </w:tc>
      </w:tr>
      <w:tr>
        <w:trPr>
          <w:trHeight w:val="201"/>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Segment contribution:</w:t>
            </w:r>
          </w:p>
        </w:tc>
        <w:tc>
          <w:tcPr>
            <w:tcW w:w="280" w:type="dxa"/>
            <w:vAlign w:val="bottom"/>
            <w:shd w:val="clear" w:color="auto" w:fill="D2DCE5"/>
          </w:tcPr>
          <w:p>
            <w:pPr>
              <w:spacing w:after="0"/>
              <w:rPr>
                <w:sz w:val="17"/>
                <w:szCs w:val="17"/>
                <w:color w:val="auto"/>
              </w:rPr>
            </w:pPr>
          </w:p>
        </w:tc>
        <w:tc>
          <w:tcPr>
            <w:tcW w:w="10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r>
      <w:tr>
        <w:trPr>
          <w:trHeight w:val="202"/>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242,323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102,992</w:t>
            </w:r>
          </w:p>
        </w:tc>
      </w:tr>
      <w:tr>
        <w:trPr>
          <w:trHeight w:val="212"/>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auto"/>
            </w:tcBorders>
            <w:shd w:val="clear" w:color="auto" w:fill="D2DCE5"/>
          </w:tcPr>
          <w:p>
            <w:pPr>
              <w:spacing w:after="0"/>
              <w:rPr>
                <w:sz w:val="18"/>
                <w:szCs w:val="18"/>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76,459</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65,295</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72,865</w:t>
            </w:r>
          </w:p>
        </w:tc>
      </w:tr>
      <w:tr>
        <w:trPr>
          <w:trHeight w:val="21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segment contribution</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318,782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222,928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175,857</w:t>
            </w:r>
          </w:p>
        </w:tc>
      </w:tr>
      <w:tr>
        <w:trPr>
          <w:trHeight w:val="20"/>
        </w:trPr>
        <w:tc>
          <w:tcPr>
            <w:tcW w:w="70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3"/>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280" w:type="dxa"/>
            <w:vAlign w:val="bottom"/>
            <w:shd w:val="clear" w:color="auto" w:fill="D2DCE5"/>
          </w:tcPr>
          <w:p>
            <w:pPr>
              <w:spacing w:after="0"/>
              <w:rPr>
                <w:sz w:val="15"/>
                <w:szCs w:val="15"/>
                <w:color w:val="auto"/>
              </w:rPr>
            </w:pPr>
          </w:p>
        </w:tc>
        <w:tc>
          <w:tcPr>
            <w:tcW w:w="10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000" w:type="dxa"/>
            <w:vAlign w:val="bottom"/>
            <w:shd w:val="clear" w:color="auto" w:fill="D2DCE5"/>
          </w:tcPr>
          <w:p>
            <w:pPr>
              <w:spacing w:after="0"/>
              <w:rPr>
                <w:sz w:val="15"/>
                <w:szCs w:val="15"/>
                <w:color w:val="auto"/>
              </w:rPr>
            </w:pPr>
          </w:p>
        </w:tc>
      </w:tr>
      <w:tr>
        <w:trPr>
          <w:trHeight w:val="202"/>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62,088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16,291</w:t>
            </w:r>
          </w:p>
        </w:tc>
      </w:tr>
      <w:tr>
        <w:trPr>
          <w:trHeight w:val="221"/>
        </w:trPr>
        <w:tc>
          <w:tcPr>
            <w:tcW w:w="71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auto"/>
            </w:tcBorders>
            <w:shd w:val="clear" w:color="auto" w:fill="D2DCE5"/>
          </w:tcPr>
          <w:p>
            <w:pPr>
              <w:spacing w:after="0"/>
              <w:rPr>
                <w:sz w:val="19"/>
                <w:szCs w:val="19"/>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5,398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5,706</w:t>
            </w:r>
          </w:p>
        </w:tc>
        <w:tc>
          <w:tcPr>
            <w:tcW w:w="80" w:type="dxa"/>
            <w:vAlign w:val="bottom"/>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spacing w:after="0"/>
              <w:rPr>
                <w:sz w:val="19"/>
                <w:szCs w:val="19"/>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6,263</w:t>
            </w:r>
          </w:p>
        </w:tc>
      </w:tr>
      <w:tr>
        <w:trPr>
          <w:trHeight w:val="192"/>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depreciation and amortization</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67,486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42,012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22,554</w:t>
            </w:r>
          </w:p>
        </w:tc>
      </w:tr>
      <w:tr>
        <w:trPr>
          <w:trHeight w:val="221"/>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(264,529)</w:t>
            </w:r>
          </w:p>
        </w:tc>
      </w:tr>
      <w:tr>
        <w:trPr>
          <w:trHeight w:val="202"/>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Interest expense, net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(7,093)</w:t>
            </w:r>
          </w:p>
        </w:tc>
      </w:tr>
      <w:tr>
        <w:trPr>
          <w:trHeight w:val="212"/>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Other income (expense), net</w:t>
            </w:r>
          </w:p>
        </w:tc>
        <w:tc>
          <w:tcPr>
            <w:tcW w:w="280" w:type="dxa"/>
            <w:vAlign w:val="bottom"/>
            <w:tcBorders>
              <w:bottom w:val="single" w:sz="8" w:color="auto"/>
            </w:tcBorders>
            <w:shd w:val="clear" w:color="auto" w:fill="D2DCE5"/>
          </w:tcPr>
          <w:p>
            <w:pPr>
              <w:spacing w:after="0"/>
              <w:rPr>
                <w:sz w:val="18"/>
                <w:szCs w:val="18"/>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(1,240)</w:t>
            </w:r>
          </w:p>
        </w:tc>
      </w:tr>
      <w:tr>
        <w:trPr>
          <w:trHeight w:val="21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Income (loss) before income taxes</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16,919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(16,654)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(119,559)</w:t>
            </w: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20 — Subsequent Events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Organization Realignment and Restructuring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On January 29, 2024, the Company’s Board of Directors approved an organizational realignment and restructuring plan to expand the Company’s support operations at its Phoenix, Arizona office. As part of this large-scale initiative, the Company will relocate certain of its support center staff from the Grants Pass, Oregon headquarters to the Arizona office, and anticipates that by January 1, 2025, approximately 40% of the Company’s total support operations staff will be located in Phoenix, Arizona. The Company expects to incur approximately $24 million to $31 million in costs related to this initiative and approximately $6 million to $10 million in capital expenditures related to the Arizona office expansion.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On February 20, 2024, the Company drew $150 million on its delayed draw term loan facility under the 2022 Credit Facility before this portion was set to expire on February 28, 2024. The remaining $50 million of the delayed draw term loan facility is available until February 2025. The Company expects to use the funds for general corporate purposes, including, but not limited to, building new shops.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4" w:name="page135"/>
    <w:bookmarkEnd w:id="1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 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9A.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Evaluation of Effectiveness of Disclosure Controls and Procedures</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Based on an evaluation of the effectiveness of the Company’s disclosure controls and procedures, as defined in Rule 13(a)-15(e) of the Securities Exchange Act of 1934, as amended (the Exchange Act), as of December 31, 2023, the Company’s Chief Executive Officer (principal executive officer) and Chief Financial Officer (principal financial officer) have concluded that, as of the end of the period covered by this Form 10-K, the Company’s disclosure controls and procedures were effective at the reasonable assurance level.</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Changes in Internal Control over Financial Reporting</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Except for the changes in connection with Company’s implementation of the remediation plans described below, there have been no changes during the quarter ended December 31, 2023 that have materially affected, or are reasonably likely to materially affect, our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Management’s Report on Internal Control over Financial Reporting</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Management, including our principal executive officer and principal financial officer,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for external reporting purposes in accordance with U.S. GAAP and those policies and procedures that (1) pertain to the maintenance of records that, in reasonable detail, accurately and fairly reflect the transactions and dispositions of our company’s assets; (2) provide reasonable assurance that transactions are recorded as necessary to permit preparation of financial statements in accordance with generally accepted accounting principles, and that our company’s receipts and expenditures are being made in accordance with appropriate authorizations; and (3) provide reasonable assurance regarding prevention or timely detection of unauthorized acquisition, use, or disposition of assets that could have a material effect on our consolidated financial statements.</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As previously described in Part II, Item 9A of the Company’s Annual Report on Form 10-K for the year ended December 31, 2022, management concluded that the Company’s internal control over financial reporting was not effective because of the effect of the material weaknesses described below.</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5" w:name="page136"/>
    <w:bookmarkEnd w:id="1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131E29"/>
        </w:rPr>
        <w:t>Management identified the following deficiencies in our internal control over financial reporting for the year ended December 31, 2022:</w:t>
      </w:r>
    </w:p>
    <w:p>
      <w:pPr>
        <w:spacing w:after="0" w:line="135" w:lineRule="exact"/>
        <w:rPr>
          <w:sz w:val="20"/>
          <w:szCs w:val="20"/>
          <w:color w:val="auto"/>
        </w:rPr>
      </w:pPr>
    </w:p>
    <w:p>
      <w:pPr>
        <w:ind w:left="260" w:hanging="255"/>
        <w:spacing w:after="0" w:line="288" w:lineRule="auto"/>
        <w:tabs>
          <w:tab w:leader="none" w:pos="256" w:val="left"/>
        </w:tabs>
        <w:numPr>
          <w:ilvl w:val="0"/>
          <w:numId w:val="76"/>
        </w:numPr>
        <w:rPr>
          <w:rFonts w:ascii="Arial" w:cs="Arial" w:eastAsia="Arial" w:hAnsi="Arial"/>
          <w:sz w:val="14"/>
          <w:szCs w:val="14"/>
          <w:color w:val="131E29"/>
        </w:rPr>
      </w:pPr>
      <w:r>
        <w:rPr>
          <w:rFonts w:ascii="Arial" w:cs="Arial" w:eastAsia="Arial" w:hAnsi="Arial"/>
          <w:sz w:val="14"/>
          <w:szCs w:val="14"/>
          <w:color w:val="131E29"/>
        </w:rPr>
        <w:t>We did not have effective controls over change management of system configurations in two IT environments. As a result, process level automated controls that are dependent on the affected IT environments were ineffective because they could have been adversely impacted.</w:t>
      </w:r>
    </w:p>
    <w:p>
      <w:pPr>
        <w:spacing w:after="0" w:line="78" w:lineRule="exact"/>
        <w:rPr>
          <w:rFonts w:ascii="Arial" w:cs="Arial" w:eastAsia="Arial" w:hAnsi="Arial"/>
          <w:sz w:val="14"/>
          <w:szCs w:val="14"/>
          <w:color w:val="131E29"/>
        </w:rPr>
      </w:pPr>
    </w:p>
    <w:p>
      <w:pPr>
        <w:ind w:left="260" w:hanging="255"/>
        <w:spacing w:after="0"/>
        <w:tabs>
          <w:tab w:leader="none" w:pos="260" w:val="left"/>
        </w:tabs>
        <w:numPr>
          <w:ilvl w:val="0"/>
          <w:numId w:val="76"/>
        </w:numPr>
        <w:rPr>
          <w:rFonts w:ascii="Arial" w:cs="Arial" w:eastAsia="Arial" w:hAnsi="Arial"/>
          <w:sz w:val="14"/>
          <w:szCs w:val="14"/>
          <w:color w:val="131E29"/>
        </w:rPr>
      </w:pPr>
      <w:r>
        <w:rPr>
          <w:rFonts w:ascii="Arial" w:cs="Arial" w:eastAsia="Arial" w:hAnsi="Arial"/>
          <w:sz w:val="14"/>
          <w:szCs w:val="14"/>
          <w:color w:val="131E29"/>
        </w:rPr>
        <w:t>We did not have effectively designed controls over the accounting for breakage estimates related to our Dutch Rewards loyalty program.</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These control deficiencies were the result of our risk assessment not identifying controls to address system changes, as well as changes in the timing of the expiration of points collected through our Dutch Rewards loyalty program.</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During 2023, we implemented our previously disclosed remediation plan that included the following:</w:t>
      </w:r>
    </w:p>
    <w:p>
      <w:pPr>
        <w:spacing w:after="0" w:line="135" w:lineRule="exact"/>
        <w:rPr>
          <w:sz w:val="20"/>
          <w:szCs w:val="20"/>
          <w:color w:val="auto"/>
        </w:rPr>
      </w:pPr>
    </w:p>
    <w:p>
      <w:pPr>
        <w:ind w:left="260" w:hanging="255"/>
        <w:spacing w:after="0"/>
        <w:tabs>
          <w:tab w:leader="none" w:pos="260" w:val="left"/>
        </w:tabs>
        <w:numPr>
          <w:ilvl w:val="0"/>
          <w:numId w:val="77"/>
        </w:numPr>
        <w:rPr>
          <w:rFonts w:ascii="Arial" w:cs="Arial" w:eastAsia="Arial" w:hAnsi="Arial"/>
          <w:sz w:val="14"/>
          <w:szCs w:val="14"/>
          <w:color w:val="131E29"/>
        </w:rPr>
      </w:pPr>
      <w:r>
        <w:rPr>
          <w:rFonts w:ascii="Arial" w:cs="Arial" w:eastAsia="Arial" w:hAnsi="Arial"/>
          <w:sz w:val="14"/>
          <w:szCs w:val="14"/>
          <w:color w:val="131E29"/>
        </w:rPr>
        <w:t>Purchased and implemented a software tool designed to facilitate the logging of system changes.</w:t>
      </w:r>
    </w:p>
    <w:p>
      <w:pPr>
        <w:spacing w:after="0" w:line="134" w:lineRule="exact"/>
        <w:rPr>
          <w:rFonts w:ascii="Arial" w:cs="Arial" w:eastAsia="Arial" w:hAnsi="Arial"/>
          <w:sz w:val="14"/>
          <w:szCs w:val="14"/>
          <w:color w:val="131E29"/>
        </w:rPr>
      </w:pPr>
    </w:p>
    <w:p>
      <w:pPr>
        <w:ind w:left="260" w:hanging="255"/>
        <w:spacing w:after="0" w:line="288" w:lineRule="auto"/>
        <w:tabs>
          <w:tab w:leader="none" w:pos="268" w:val="left"/>
        </w:tabs>
        <w:numPr>
          <w:ilvl w:val="0"/>
          <w:numId w:val="77"/>
        </w:numPr>
        <w:rPr>
          <w:rFonts w:ascii="Arial" w:cs="Arial" w:eastAsia="Arial" w:hAnsi="Arial"/>
          <w:sz w:val="14"/>
          <w:szCs w:val="14"/>
          <w:color w:val="131E29"/>
        </w:rPr>
      </w:pPr>
      <w:r>
        <w:rPr>
          <w:rFonts w:ascii="Arial" w:cs="Arial" w:eastAsia="Arial" w:hAnsi="Arial"/>
          <w:sz w:val="14"/>
          <w:szCs w:val="14"/>
          <w:color w:val="131E29"/>
        </w:rPr>
        <w:t>Reviewed the organizational structure supporting systems administration and began implementing recommendations arising from this review to help ensure that we have the necessary expertise and experience to oversee system change management protocols and controls.</w:t>
      </w:r>
    </w:p>
    <w:p>
      <w:pPr>
        <w:spacing w:after="0" w:line="78" w:lineRule="exact"/>
        <w:rPr>
          <w:rFonts w:ascii="Arial" w:cs="Arial" w:eastAsia="Arial" w:hAnsi="Arial"/>
          <w:sz w:val="14"/>
          <w:szCs w:val="14"/>
          <w:color w:val="131E29"/>
        </w:rPr>
      </w:pPr>
    </w:p>
    <w:p>
      <w:pPr>
        <w:ind w:left="260" w:hanging="255"/>
        <w:spacing w:after="0" w:line="288" w:lineRule="auto"/>
        <w:tabs>
          <w:tab w:leader="none" w:pos="268" w:val="left"/>
        </w:tabs>
        <w:numPr>
          <w:ilvl w:val="0"/>
          <w:numId w:val="77"/>
        </w:numPr>
        <w:rPr>
          <w:rFonts w:ascii="Arial" w:cs="Arial" w:eastAsia="Arial" w:hAnsi="Arial"/>
          <w:sz w:val="14"/>
          <w:szCs w:val="14"/>
          <w:color w:val="131E29"/>
        </w:rPr>
      </w:pPr>
      <w:r>
        <w:rPr>
          <w:rFonts w:ascii="Arial" w:cs="Arial" w:eastAsia="Arial" w:hAnsi="Arial"/>
          <w:sz w:val="14"/>
          <w:szCs w:val="14"/>
          <w:color w:val="131E29"/>
        </w:rPr>
        <w:t>Launched a review of system change control design with the assistance of third-party consultants and began implementing recommendations arising from this review to help ensure that all system changes to configurations within the IT environments are logged and approved.</w:t>
      </w:r>
    </w:p>
    <w:p>
      <w:pPr>
        <w:spacing w:after="0" w:line="79" w:lineRule="exact"/>
        <w:rPr>
          <w:sz w:val="20"/>
          <w:szCs w:val="20"/>
          <w:color w:val="auto"/>
        </w:rPr>
      </w:pPr>
    </w:p>
    <w:p>
      <w:pPr>
        <w:ind w:left="260" w:hanging="255"/>
        <w:spacing w:after="0"/>
        <w:tabs>
          <w:tab w:leader="none" w:pos="260" w:val="left"/>
        </w:tabs>
        <w:numPr>
          <w:ilvl w:val="0"/>
          <w:numId w:val="78"/>
        </w:numPr>
        <w:rPr>
          <w:rFonts w:ascii="Arial" w:cs="Arial" w:eastAsia="Arial" w:hAnsi="Arial"/>
          <w:sz w:val="14"/>
          <w:szCs w:val="14"/>
          <w:color w:val="131E29"/>
        </w:rPr>
      </w:pPr>
      <w:r>
        <w:rPr>
          <w:rFonts w:ascii="Arial" w:cs="Arial" w:eastAsia="Arial" w:hAnsi="Arial"/>
          <w:sz w:val="14"/>
          <w:szCs w:val="14"/>
          <w:color w:val="131E29"/>
        </w:rPr>
        <w:t>Designed and implemented reconciliation and review controls to ensure that the accounting for breakage is complete and accurate.</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During the fourth quarter of 2023, we completed our testing of the operating effectiveness of the implemented controls and found them to be effective. As a result, we have concluded that the material weaknesses have been remediated as of December 31, 2023.</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 xml:space="preserve">Management, under the supervision of our principal executive officer and principal financial officer, assessed the effectiveness of our internal control over financial reporting as of December 31, 2023, based on the framework established in </w:t>
      </w:r>
      <w:r>
        <w:rPr>
          <w:rFonts w:ascii="Arial" w:cs="Arial" w:eastAsia="Arial" w:hAnsi="Arial"/>
          <w:sz w:val="14"/>
          <w:szCs w:val="14"/>
          <w:i w:val="1"/>
          <w:iCs w:val="1"/>
          <w:color w:val="131E29"/>
        </w:rPr>
        <w:t>Internal Control — Integrated Framework (2013)</w:t>
      </w:r>
      <w:r>
        <w:rPr>
          <w:rFonts w:ascii="Arial" w:cs="Arial" w:eastAsia="Arial" w:hAnsi="Arial"/>
          <w:sz w:val="14"/>
          <w:szCs w:val="14"/>
          <w:color w:val="131E29"/>
        </w:rPr>
        <w:t xml:space="preserve"> issued by the Committee of Sponsoring Organizations of the Treadway Commission (COSO). Based upon this evaluation, our management concluded that our internal control over financial reporting was effective as of December 31, 2023.</w:t>
      </w:r>
    </w:p>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The effectiveness of our internal control over financial reporting as of December 31, 2023 has been audited by KPMG LLP, an independent registered public accounting firm, as stated in their report which is included in Item 8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9B. OTHER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Rule 10b5-1 Trading Arrangements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During our last fiscal quarter, Joth Ricci, our former Chief Executive Officer, adopted a Rule 10b5-1 trading arrangement (the Trading Plan), providing for the sale of up to 1,000,000 shares of our Class A common stock. The Trading Plan’s expiration date is November 10, 2024. The Trading Plan is intended to satisfy the affirmative defense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6" w:name="page137"/>
    <w:bookmarkEnd w:id="1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9C. DISCLOSURE REGARDING FOREIGN JURISDICTIONS THAT PREVENT INSPECTIONS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7" w:name="page138"/>
    <w:bookmarkEnd w:id="1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62165" cy="806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2165" cy="806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10. DIRECTORS, EXECUTIVE OFFICERS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Information regarding our executive officers is included in “Information about our Executive Officers” section in Part I, Item I of this Form 10-K.</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at https://investors.dutchbros.com/governance. Our Code of Business Conduct and Ethics is a “code of ethics,” as defined in Item 406(b) of Regulation S-K. We will make any legally required disclosures regarding amendments to, or waivers of, provisions for our Code of Business Conduct and Ethics on our website. The information contained on, or accessible from, our website is not part of this Form 10-K by reference or otherwise.</w:t>
      </w:r>
    </w:p>
    <w:p>
      <w:pPr>
        <w:spacing w:after="0" w:line="97"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131E29"/>
        </w:rPr>
        <w:t>The remaining information required by this item will be included in our definitive Proxy Statement relating to our 2024 Annual Meeting of Stockholders, which will be filed with the SEC within 120 days of the end of our fiscal year ended December 31, 2023 (the 2024 Proxy Statement) and is incorporated 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11. EXECUTIVE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“Executive Compensation” section of the 2024 Proxy Statement and is incorporated herein by reference.</w:t>
      </w:r>
    </w:p>
    <w:p>
      <w:pPr>
        <w:spacing w:after="0" w:line="131" w:lineRule="exact"/>
        <w:rPr>
          <w:sz w:val="20"/>
          <w:szCs w:val="20"/>
          <w:color w:val="auto"/>
        </w:rPr>
      </w:pPr>
    </w:p>
    <w:p>
      <w:pPr>
        <w:ind w:right="1300"/>
        <w:spacing w:after="0" w:line="284" w:lineRule="auto"/>
        <w:rPr>
          <w:sz w:val="20"/>
          <w:szCs w:val="20"/>
          <w:color w:val="auto"/>
        </w:rPr>
      </w:pPr>
      <w:r>
        <w:rPr>
          <w:rFonts w:ascii="Arial" w:cs="Arial" w:eastAsia="Arial" w:hAnsi="Arial"/>
          <w:sz w:val="20"/>
          <w:szCs w:val="20"/>
          <w:b w:val="1"/>
          <w:bCs w:val="1"/>
          <w:color w:val="D7282F"/>
        </w:rPr>
        <w:t>ITEM 12. SECURITY OWNERSHIP OF CERTAIN BENEFICIAL OWNERS AND MANAGEMENT AND RELATED STOCKHOLDER MATTERS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4"/>
          <w:szCs w:val="14"/>
          <w:color w:val="131E29"/>
        </w:rPr>
        <w:t>The information required by this item will be included in the “Security Ownership of Certain Beneficial Owners and Management” section of the 2024 Proxy Statement and is incorporated 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13. CERTAIN RELATIONSHIPS AND RELATED TRANSACTIONS, AND DIRECTOR INDEPENDENCE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“Transactions with Related Persons” section of the 2024 Proxy Statement and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14. PRINCIPAL ACCOUNTANT FEES AND SERVICES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Our independent registered public accounting firm is:</w:t>
      </w:r>
    </w:p>
    <w:p>
      <w:pPr>
        <w:spacing w:after="0" w:line="135" w:lineRule="exact"/>
        <w:rPr>
          <w:sz w:val="20"/>
          <w:szCs w:val="20"/>
          <w:color w:val="auto"/>
        </w:rPr>
      </w:pPr>
    </w:p>
    <w:p>
      <w:pPr>
        <w:ind w:left="260" w:hanging="255"/>
        <w:spacing w:after="0"/>
        <w:tabs>
          <w:tab w:leader="none" w:pos="260" w:val="left"/>
        </w:tabs>
        <w:numPr>
          <w:ilvl w:val="0"/>
          <w:numId w:val="79"/>
        </w:numPr>
        <w:rPr>
          <w:rFonts w:ascii="Arial" w:cs="Arial" w:eastAsia="Arial" w:hAnsi="Arial"/>
          <w:sz w:val="14"/>
          <w:szCs w:val="14"/>
          <w:color w:val="131E29"/>
        </w:rPr>
      </w:pPr>
      <w:r>
        <w:rPr>
          <w:rFonts w:ascii="Arial" w:cs="Arial" w:eastAsia="Arial" w:hAnsi="Arial"/>
          <w:sz w:val="14"/>
          <w:szCs w:val="14"/>
          <w:color w:val="131E29"/>
        </w:rPr>
        <w:t>Firm name: KPMG LLP</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79"/>
        </w:numPr>
        <w:rPr>
          <w:rFonts w:ascii="Arial" w:cs="Arial" w:eastAsia="Arial" w:hAnsi="Arial"/>
          <w:sz w:val="14"/>
          <w:szCs w:val="14"/>
          <w:color w:val="131E29"/>
        </w:rPr>
      </w:pPr>
      <w:r>
        <w:rPr>
          <w:rFonts w:ascii="Arial" w:cs="Arial" w:eastAsia="Arial" w:hAnsi="Arial"/>
          <w:sz w:val="14"/>
          <w:szCs w:val="14"/>
          <w:color w:val="131E29"/>
        </w:rPr>
        <w:t>Firm location: Portland, Oregon</w:t>
      </w:r>
    </w:p>
    <w:p>
      <w:pPr>
        <w:spacing w:after="0" w:line="134" w:lineRule="exact"/>
        <w:rPr>
          <w:rFonts w:ascii="Arial" w:cs="Arial" w:eastAsia="Arial" w:hAnsi="Arial"/>
          <w:sz w:val="14"/>
          <w:szCs w:val="14"/>
          <w:color w:val="131E29"/>
        </w:rPr>
      </w:pPr>
    </w:p>
    <w:p>
      <w:pPr>
        <w:ind w:left="260" w:hanging="255"/>
        <w:spacing w:after="0"/>
        <w:tabs>
          <w:tab w:leader="none" w:pos="260" w:val="left"/>
        </w:tabs>
        <w:numPr>
          <w:ilvl w:val="0"/>
          <w:numId w:val="79"/>
        </w:numPr>
        <w:rPr>
          <w:rFonts w:ascii="Arial" w:cs="Arial" w:eastAsia="Arial" w:hAnsi="Arial"/>
          <w:sz w:val="14"/>
          <w:szCs w:val="14"/>
          <w:color w:val="131E29"/>
        </w:rPr>
      </w:pPr>
      <w:r>
        <w:rPr>
          <w:rFonts w:ascii="Arial" w:cs="Arial" w:eastAsia="Arial" w:hAnsi="Arial"/>
          <w:sz w:val="14"/>
          <w:szCs w:val="14"/>
          <w:color w:val="131E29"/>
        </w:rPr>
        <w:t>Auditor Firm ID: 185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“Audit and Related Fees” section of the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8" w:name="page139"/>
    <w:bookmarkEnd w:id="1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62165" cy="806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2165" cy="806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15. 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(a) Exhibits.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exhibits are included herein or incorporated herein by reference: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131E29"/>
              </w:rPr>
              <w:t>Exhibit Number</w:t>
            </w:r>
          </w:p>
        </w:tc>
        <w:tc>
          <w:tcPr>
            <w:tcW w:w="80" w:type="dxa"/>
            <w:vAlign w:val="bottom"/>
            <w:tcBorders>
              <w:bottom w:val="single" w:sz="8" w:color="D2DCE5"/>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3"/>
          </w:tcPr>
          <w:p>
            <w:pPr>
              <w:spacing w:after="0"/>
              <w:rPr>
                <w:sz w:val="20"/>
                <w:szCs w:val="20"/>
                <w:color w:val="auto"/>
              </w:rPr>
            </w:pPr>
            <w:r>
              <w:rPr>
                <w:rFonts w:ascii="Arial" w:cs="Arial" w:eastAsia="Arial" w:hAnsi="Arial"/>
                <w:sz w:val="11"/>
                <w:szCs w:val="11"/>
                <w:b w:val="1"/>
                <w:bCs w:val="1"/>
                <w:color w:val="131E29"/>
              </w:rPr>
              <w:t>Description</w:t>
            </w:r>
          </w:p>
        </w:tc>
        <w:tc>
          <w:tcPr>
            <w:tcW w:w="100" w:type="dxa"/>
            <w:vAlign w:val="bottom"/>
            <w:tcBorders>
              <w:bottom w:val="single" w:sz="8" w:color="D2DCE5"/>
            </w:tcBorders>
          </w:tcPr>
          <w:p>
            <w:pPr>
              <w:spacing w:after="0"/>
              <w:rPr>
                <w:sz w:val="14"/>
                <w:szCs w:val="14"/>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131E29"/>
              </w:rPr>
              <w:t>Form</w:t>
            </w: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131E29"/>
              </w:rPr>
              <w:t>File No.</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131E29"/>
              </w:rPr>
              <w:t>Exhibit</w:t>
            </w:r>
          </w:p>
        </w:tc>
        <w:tc>
          <w:tcPr>
            <w:tcW w:w="100" w:type="dxa"/>
            <w:vAlign w:val="bottom"/>
            <w:tcBorders>
              <w:bottom w:val="single" w:sz="8" w:color="D2DCE5"/>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w w:val="99"/>
              </w:rPr>
              <w:t>Filing Date</w:t>
            </w:r>
          </w:p>
        </w:tc>
        <w:tc>
          <w:tcPr>
            <w:tcW w:w="100" w:type="dxa"/>
            <w:vAlign w:val="bottom"/>
            <w:tcBorders>
              <w:bottom w:val="single" w:sz="8" w:color="D2DCE5"/>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c>
          <w:tcPr>
            <w:tcW w:w="0" w:type="dxa"/>
            <w:vAlign w:val="bottom"/>
          </w:tcPr>
          <w:p>
            <w:pPr>
              <w:spacing w:after="0"/>
              <w:rPr>
                <w:sz w:val="1"/>
                <w:szCs w:val="1"/>
                <w:color w:val="auto"/>
              </w:rPr>
            </w:pPr>
          </w:p>
        </w:tc>
      </w:tr>
      <w:tr>
        <w:trPr>
          <w:trHeight w:val="166"/>
        </w:trPr>
        <w:tc>
          <w:tcPr>
            <w:tcW w:w="1080" w:type="dxa"/>
            <w:vAlign w:val="bottom"/>
            <w:shd w:val="clear" w:color="auto" w:fill="D2DCE5"/>
          </w:tcPr>
          <w:p>
            <w:pPr>
              <w:jc w:val="center"/>
              <w:spacing w:after="0" w:line="144" w:lineRule="exact"/>
              <w:rPr>
                <w:sz w:val="20"/>
                <w:szCs w:val="20"/>
                <w:color w:val="auto"/>
              </w:rPr>
            </w:pPr>
            <w:r>
              <w:rPr>
                <w:rFonts w:ascii="Arial" w:cs="Arial" w:eastAsia="Arial" w:hAnsi="Arial"/>
                <w:sz w:val="13"/>
                <w:szCs w:val="13"/>
                <w:color w:val="131E29"/>
                <w:w w:val="88"/>
              </w:rPr>
              <w:t>3.1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24"/>
            <w:shd w:val="clear" w:color="auto" w:fill="D2DCE5"/>
          </w:tcPr>
          <w:p>
            <w:pPr>
              <w:spacing w:after="0" w:line="144" w:lineRule="exact"/>
              <w:rPr>
                <w:rFonts w:ascii="Arial" w:cs="Arial" w:eastAsia="Arial" w:hAnsi="Arial"/>
                <w:sz w:val="13"/>
                <w:szCs w:val="13"/>
                <w:color w:val="0000FF"/>
              </w:rPr>
            </w:pPr>
            <w:hyperlink r:id="rId357">
              <w:r>
                <w:rPr>
                  <w:rFonts w:ascii="Arial" w:cs="Arial" w:eastAsia="Arial" w:hAnsi="Arial"/>
                  <w:sz w:val="13"/>
                  <w:szCs w:val="13"/>
                  <w:color w:val="0000FF"/>
                </w:rPr>
                <w:t>Amended and Restated Certificate of Incorporation of Registrant</w:t>
              </w:r>
            </w:hyperlink>
            <w:r>
              <w:rPr>
                <w:rFonts w:ascii="Arial" w:cs="Arial" w:eastAsia="Arial" w:hAnsi="Arial"/>
                <w:sz w:val="13"/>
                <w:szCs w:val="13"/>
                <w:color w:val="131E29"/>
              </w:rPr>
              <w:t>.</w:t>
            </w:r>
          </w:p>
        </w:tc>
        <w:tc>
          <w:tcPr>
            <w:tcW w:w="880" w:type="dxa"/>
            <w:vAlign w:val="bottom"/>
            <w:shd w:val="clear" w:color="auto" w:fill="D2DCE5"/>
          </w:tcPr>
          <w:p>
            <w:pPr>
              <w:jc w:val="center"/>
              <w:spacing w:after="0" w:line="144" w:lineRule="exact"/>
              <w:rPr>
                <w:sz w:val="20"/>
                <w:szCs w:val="20"/>
                <w:color w:val="auto"/>
              </w:rPr>
            </w:pPr>
            <w:r>
              <w:rPr>
                <w:rFonts w:ascii="Arial" w:cs="Arial" w:eastAsia="Arial" w:hAnsi="Arial"/>
                <w:sz w:val="13"/>
                <w:szCs w:val="13"/>
                <w:color w:val="131E29"/>
                <w:w w:val="98"/>
              </w:rPr>
              <w:t>8-K</w:t>
            </w:r>
          </w:p>
        </w:tc>
        <w:tc>
          <w:tcPr>
            <w:tcW w:w="1260" w:type="dxa"/>
            <w:vAlign w:val="bottom"/>
            <w:shd w:val="clear" w:color="auto" w:fill="D2DCE5"/>
          </w:tcPr>
          <w:p>
            <w:pPr>
              <w:jc w:val="center"/>
              <w:spacing w:after="0" w:line="144" w:lineRule="exact"/>
              <w:rPr>
                <w:sz w:val="20"/>
                <w:szCs w:val="20"/>
                <w:color w:val="auto"/>
              </w:rPr>
            </w:pPr>
            <w:r>
              <w:rPr>
                <w:rFonts w:ascii="Arial" w:cs="Arial" w:eastAsia="Arial" w:hAnsi="Arial"/>
                <w:sz w:val="13"/>
                <w:szCs w:val="13"/>
                <w:color w:val="131E29"/>
                <w:w w:val="96"/>
              </w:rPr>
              <w:t>001-40798</w:t>
            </w:r>
          </w:p>
        </w:tc>
        <w:tc>
          <w:tcPr>
            <w:tcW w:w="880" w:type="dxa"/>
            <w:vAlign w:val="bottom"/>
            <w:shd w:val="clear" w:color="auto" w:fill="D2DCE5"/>
          </w:tcPr>
          <w:p>
            <w:pPr>
              <w:jc w:val="center"/>
              <w:spacing w:after="0" w:line="144" w:lineRule="exact"/>
              <w:rPr>
                <w:sz w:val="20"/>
                <w:szCs w:val="20"/>
                <w:color w:val="auto"/>
              </w:rPr>
            </w:pPr>
            <w:r>
              <w:rPr>
                <w:rFonts w:ascii="Arial" w:cs="Arial" w:eastAsia="Arial" w:hAnsi="Arial"/>
                <w:sz w:val="13"/>
                <w:szCs w:val="13"/>
                <w:color w:val="131E29"/>
                <w:w w:val="99"/>
              </w:rPr>
              <w:t>3.1</w:t>
            </w:r>
          </w:p>
        </w:tc>
        <w:tc>
          <w:tcPr>
            <w:tcW w:w="100" w:type="dxa"/>
            <w:vAlign w:val="bottom"/>
            <w:shd w:val="clear" w:color="auto" w:fill="D2DCE5"/>
          </w:tcPr>
          <w:p>
            <w:pPr>
              <w:spacing w:after="0"/>
              <w:rPr>
                <w:sz w:val="14"/>
                <w:szCs w:val="14"/>
                <w:color w:val="auto"/>
              </w:rPr>
            </w:pPr>
          </w:p>
        </w:tc>
        <w:tc>
          <w:tcPr>
            <w:tcW w:w="1660" w:type="dxa"/>
            <w:vAlign w:val="bottom"/>
            <w:gridSpan w:val="2"/>
            <w:shd w:val="clear" w:color="auto" w:fill="D2DCE5"/>
          </w:tcPr>
          <w:p>
            <w:pPr>
              <w:jc w:val="center"/>
              <w:ind w:right="100"/>
              <w:spacing w:after="0" w:line="144" w:lineRule="exact"/>
              <w:rPr>
                <w:sz w:val="20"/>
                <w:szCs w:val="20"/>
                <w:color w:val="auto"/>
              </w:rPr>
            </w:pPr>
            <w:r>
              <w:rPr>
                <w:rFonts w:ascii="Arial" w:cs="Arial" w:eastAsia="Arial" w:hAnsi="Arial"/>
                <w:sz w:val="13"/>
                <w:szCs w:val="13"/>
                <w:color w:val="131E29"/>
                <w:w w:val="98"/>
              </w:rPr>
              <w:t>September 17, 2021</w:t>
            </w:r>
          </w:p>
        </w:tc>
        <w:tc>
          <w:tcPr>
            <w:tcW w:w="94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88"/>
              </w:rPr>
              <w:t>3.2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3600" w:type="dxa"/>
            <w:vAlign w:val="bottom"/>
            <w:tcBorders>
              <w:top w:val="single" w:sz="8" w:color="0000FF"/>
            </w:tcBorders>
            <w:gridSpan w:val="11"/>
          </w:tcPr>
          <w:p>
            <w:pPr>
              <w:spacing w:after="0" w:line="148" w:lineRule="exact"/>
              <w:rPr>
                <w:rFonts w:ascii="Arial" w:cs="Arial" w:eastAsia="Arial" w:hAnsi="Arial"/>
                <w:sz w:val="13"/>
                <w:szCs w:val="13"/>
                <w:color w:val="0000FF"/>
              </w:rPr>
            </w:pPr>
            <w:hyperlink r:id="rId358">
              <w:r>
                <w:rPr>
                  <w:rFonts w:ascii="Arial" w:cs="Arial" w:eastAsia="Arial" w:hAnsi="Arial"/>
                  <w:sz w:val="13"/>
                  <w:szCs w:val="13"/>
                  <w:color w:val="0000FF"/>
                </w:rPr>
                <w:t>Amended and Restated Bylaws of Registrant</w:t>
              </w:r>
            </w:hyperlink>
            <w:r>
              <w:rPr>
                <w:rFonts w:ascii="Arial" w:cs="Arial" w:eastAsia="Arial" w:hAnsi="Arial"/>
                <w:sz w:val="13"/>
                <w:szCs w:val="13"/>
                <w:color w:val="131E29"/>
              </w:rPr>
              <w:t>.</w:t>
            </w:r>
          </w:p>
        </w:tc>
        <w:tc>
          <w:tcPr>
            <w:tcW w:w="780" w:type="dxa"/>
            <w:vAlign w:val="bottom"/>
            <w:tcBorders>
              <w:top w:val="single" w:sz="8" w:color="D2DCE5"/>
            </w:tcBorders>
            <w:gridSpan w:val="13"/>
          </w:tcPr>
          <w:p>
            <w:pPr>
              <w:spacing w:after="0"/>
              <w:rPr>
                <w:sz w:val="12"/>
                <w:szCs w:val="12"/>
                <w:color w:val="auto"/>
              </w:rPr>
            </w:pPr>
          </w:p>
        </w:tc>
        <w:tc>
          <w:tcPr>
            <w:tcW w:w="8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9"/>
              </w:rPr>
              <w:t>3.2</w:t>
            </w:r>
          </w:p>
        </w:tc>
        <w:tc>
          <w:tcPr>
            <w:tcW w:w="100" w:type="dxa"/>
            <w:vAlign w:val="bottom"/>
            <w:tcBorders>
              <w:top w:val="single" w:sz="8" w:color="D2DCE5"/>
            </w:tcBorders>
          </w:tcPr>
          <w:p>
            <w:pPr>
              <w:spacing w:after="0"/>
              <w:rPr>
                <w:sz w:val="12"/>
                <w:szCs w:val="12"/>
                <w:color w:val="auto"/>
              </w:rPr>
            </w:pPr>
          </w:p>
        </w:tc>
        <w:tc>
          <w:tcPr>
            <w:tcW w:w="1660" w:type="dxa"/>
            <w:vAlign w:val="bottom"/>
            <w:tcBorders>
              <w:top w:val="single" w:sz="8" w:color="D2DCE5"/>
            </w:tcBorders>
            <w:gridSpan w:val="2"/>
          </w:tcPr>
          <w:p>
            <w:pPr>
              <w:jc w:val="center"/>
              <w:ind w:right="100"/>
              <w:spacing w:after="0" w:line="148" w:lineRule="exact"/>
              <w:rPr>
                <w:sz w:val="20"/>
                <w:szCs w:val="20"/>
                <w:color w:val="auto"/>
              </w:rPr>
            </w:pPr>
            <w:r>
              <w:rPr>
                <w:rFonts w:ascii="Arial" w:cs="Arial" w:eastAsia="Arial" w:hAnsi="Arial"/>
                <w:sz w:val="13"/>
                <w:szCs w:val="13"/>
                <w:color w:val="131E29"/>
                <w:w w:val="98"/>
              </w:rPr>
              <w:t>September 17, 2021</w:t>
            </w:r>
          </w:p>
        </w:tc>
        <w:tc>
          <w:tcPr>
            <w:tcW w:w="940" w:type="dxa"/>
            <w:vAlign w:val="bottom"/>
            <w:tcBorders>
              <w:top w:val="single" w:sz="8" w:color="D2DCE5"/>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8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88"/>
              </w:rPr>
              <w:t>4.1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24"/>
            <w:shd w:val="clear" w:color="auto" w:fill="D2DCE5"/>
          </w:tcPr>
          <w:p>
            <w:pPr>
              <w:spacing w:after="0" w:line="148" w:lineRule="exact"/>
              <w:rPr>
                <w:rFonts w:ascii="Arial" w:cs="Arial" w:eastAsia="Arial" w:hAnsi="Arial"/>
                <w:sz w:val="13"/>
                <w:szCs w:val="13"/>
                <w:color w:val="0000FF"/>
              </w:rPr>
            </w:pPr>
            <w:hyperlink r:id="rId359">
              <w:r>
                <w:rPr>
                  <w:rFonts w:ascii="Arial" w:cs="Arial" w:eastAsia="Arial" w:hAnsi="Arial"/>
                  <w:sz w:val="13"/>
                  <w:szCs w:val="13"/>
                  <w:color w:val="0000FF"/>
                </w:rPr>
                <w:t>Form of Common Stock Certificate</w:t>
              </w:r>
            </w:hyperlink>
            <w:r>
              <w:rPr>
                <w:rFonts w:ascii="Arial" w:cs="Arial" w:eastAsia="Arial" w:hAnsi="Arial"/>
                <w:sz w:val="13"/>
                <w:szCs w:val="13"/>
                <w:color w:val="131E29"/>
              </w:rPr>
              <w:t>.</w:t>
            </w:r>
          </w:p>
        </w:tc>
        <w:tc>
          <w:tcPr>
            <w:tcW w:w="88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98"/>
              </w:rPr>
              <w:t>S-1/A</w:t>
            </w:r>
          </w:p>
        </w:tc>
        <w:tc>
          <w:tcPr>
            <w:tcW w:w="126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97"/>
              </w:rPr>
              <w:t>333-258988</w:t>
            </w:r>
          </w:p>
        </w:tc>
        <w:tc>
          <w:tcPr>
            <w:tcW w:w="88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99"/>
              </w:rPr>
              <w:t>4.1</w:t>
            </w:r>
          </w:p>
        </w:tc>
        <w:tc>
          <w:tcPr>
            <w:tcW w:w="100" w:type="dxa"/>
            <w:vAlign w:val="bottom"/>
            <w:shd w:val="clear" w:color="auto" w:fill="D2DCE5"/>
          </w:tcPr>
          <w:p>
            <w:pPr>
              <w:spacing w:after="0"/>
              <w:rPr>
                <w:sz w:val="14"/>
                <w:szCs w:val="14"/>
                <w:color w:val="auto"/>
              </w:rPr>
            </w:pPr>
          </w:p>
        </w:tc>
        <w:tc>
          <w:tcPr>
            <w:tcW w:w="1660" w:type="dxa"/>
            <w:vAlign w:val="bottom"/>
            <w:gridSpan w:val="2"/>
            <w:shd w:val="clear" w:color="auto" w:fill="D2DCE5"/>
          </w:tcPr>
          <w:p>
            <w:pPr>
              <w:jc w:val="center"/>
              <w:ind w:right="100"/>
              <w:spacing w:after="0" w:line="148" w:lineRule="exact"/>
              <w:rPr>
                <w:sz w:val="20"/>
                <w:szCs w:val="20"/>
                <w:color w:val="auto"/>
              </w:rPr>
            </w:pPr>
            <w:r>
              <w:rPr>
                <w:rFonts w:ascii="Arial" w:cs="Arial" w:eastAsia="Arial" w:hAnsi="Arial"/>
                <w:sz w:val="13"/>
                <w:szCs w:val="13"/>
                <w:color w:val="131E29"/>
                <w:w w:val="97"/>
              </w:rPr>
              <w:t>September 7, 2021</w:t>
            </w:r>
          </w:p>
        </w:tc>
        <w:tc>
          <w:tcPr>
            <w:tcW w:w="94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88"/>
              </w:rPr>
              <w:t>4.2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1940" w:type="dxa"/>
            <w:vAlign w:val="bottom"/>
            <w:tcBorders>
              <w:top w:val="single" w:sz="8" w:color="0000FF"/>
            </w:tcBorders>
            <w:gridSpan w:val="5"/>
          </w:tcPr>
          <w:p>
            <w:pPr>
              <w:spacing w:after="0" w:line="148" w:lineRule="exact"/>
              <w:rPr>
                <w:rFonts w:ascii="Arial" w:cs="Arial" w:eastAsia="Arial" w:hAnsi="Arial"/>
                <w:sz w:val="13"/>
                <w:szCs w:val="13"/>
                <w:color w:val="0000FF"/>
              </w:rPr>
            </w:pPr>
            <w:hyperlink r:id="rId360">
              <w:r>
                <w:rPr>
                  <w:rFonts w:ascii="Arial" w:cs="Arial" w:eastAsia="Arial" w:hAnsi="Arial"/>
                  <w:sz w:val="13"/>
                  <w:szCs w:val="13"/>
                  <w:color w:val="0000FF"/>
                </w:rPr>
                <w:t>Description of Capital Stock</w:t>
              </w:r>
            </w:hyperlink>
          </w:p>
        </w:tc>
        <w:tc>
          <w:tcPr>
            <w:tcW w:w="2440" w:type="dxa"/>
            <w:vAlign w:val="bottom"/>
            <w:tcBorders>
              <w:top w:val="single" w:sz="8" w:color="D2DCE5"/>
            </w:tcBorders>
            <w:gridSpan w:val="19"/>
          </w:tcPr>
          <w:p>
            <w:pPr>
              <w:spacing w:after="0"/>
              <w:rPr>
                <w:sz w:val="12"/>
                <w:szCs w:val="12"/>
                <w:color w:val="auto"/>
              </w:rPr>
            </w:pPr>
          </w:p>
        </w:tc>
        <w:tc>
          <w:tcPr>
            <w:tcW w:w="8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4"/>
              </w:rPr>
              <w:t>10-K</w:t>
            </w:r>
          </w:p>
        </w:tc>
        <w:tc>
          <w:tcPr>
            <w:tcW w:w="126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9"/>
              </w:rPr>
              <w:t>4.2</w:t>
            </w:r>
          </w:p>
        </w:tc>
        <w:tc>
          <w:tcPr>
            <w:tcW w:w="100" w:type="dxa"/>
            <w:vAlign w:val="bottom"/>
            <w:tcBorders>
              <w:top w:val="single" w:sz="8" w:color="D2DCE5"/>
            </w:tcBorders>
          </w:tcPr>
          <w:p>
            <w:pPr>
              <w:spacing w:after="0"/>
              <w:rPr>
                <w:sz w:val="12"/>
                <w:szCs w:val="12"/>
                <w:color w:val="auto"/>
              </w:rPr>
            </w:pPr>
          </w:p>
        </w:tc>
        <w:tc>
          <w:tcPr>
            <w:tcW w:w="1660" w:type="dxa"/>
            <w:vAlign w:val="bottom"/>
            <w:tcBorders>
              <w:top w:val="single" w:sz="8" w:color="D2DCE5"/>
            </w:tcBorders>
            <w:gridSpan w:val="2"/>
          </w:tcPr>
          <w:p>
            <w:pPr>
              <w:jc w:val="center"/>
              <w:ind w:right="100"/>
              <w:spacing w:after="0" w:line="148" w:lineRule="exact"/>
              <w:rPr>
                <w:sz w:val="20"/>
                <w:szCs w:val="20"/>
                <w:color w:val="auto"/>
              </w:rPr>
            </w:pPr>
            <w:r>
              <w:rPr>
                <w:rFonts w:ascii="Arial" w:cs="Arial" w:eastAsia="Arial" w:hAnsi="Arial"/>
                <w:sz w:val="13"/>
                <w:szCs w:val="13"/>
                <w:color w:val="131E29"/>
                <w:w w:val="97"/>
              </w:rPr>
              <w:t>February 27, 2023</w:t>
            </w:r>
          </w:p>
        </w:tc>
        <w:tc>
          <w:tcPr>
            <w:tcW w:w="940" w:type="dxa"/>
            <w:vAlign w:val="bottom"/>
            <w:tcBorders>
              <w:top w:val="single" w:sz="8" w:color="D2DCE5"/>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line="148" w:lineRule="exact"/>
              <w:rPr>
                <w:rFonts w:ascii="Arial" w:cs="Arial" w:eastAsia="Arial" w:hAnsi="Arial"/>
                <w:sz w:val="13"/>
                <w:szCs w:val="13"/>
                <w:color w:val="0000FF"/>
              </w:rPr>
            </w:pPr>
            <w:hyperlink r:id="rId361">
              <w:r>
                <w:rPr>
                  <w:rFonts w:ascii="Arial" w:cs="Arial" w:eastAsia="Arial" w:hAnsi="Arial"/>
                  <w:sz w:val="13"/>
                  <w:szCs w:val="13"/>
                  <w:color w:val="0000FF"/>
                </w:rPr>
                <w:t>Third Amended and Restated Limited Liability Company Agreement of</w:t>
              </w:r>
            </w:hyperlink>
          </w:p>
        </w:tc>
        <w:tc>
          <w:tcPr>
            <w:tcW w:w="880" w:type="dxa"/>
            <w:vAlign w:val="bottom"/>
            <w:shd w:val="clear" w:color="auto" w:fill="D2DCE5"/>
          </w:tcPr>
          <w:p>
            <w:pPr>
              <w:spacing w:after="0"/>
              <w:rPr>
                <w:sz w:val="12"/>
                <w:szCs w:val="12"/>
                <w:color w:val="auto"/>
              </w:rPr>
            </w:pPr>
          </w:p>
        </w:tc>
        <w:tc>
          <w:tcPr>
            <w:tcW w:w="1260" w:type="dxa"/>
            <w:vAlign w:val="bottom"/>
            <w:shd w:val="clear" w:color="auto" w:fill="D2DCE5"/>
          </w:tcPr>
          <w:p>
            <w:pPr>
              <w:spacing w:after="0"/>
              <w:rPr>
                <w:sz w:val="12"/>
                <w:szCs w:val="12"/>
                <w:color w:val="auto"/>
              </w:rPr>
            </w:pPr>
          </w:p>
        </w:tc>
        <w:tc>
          <w:tcPr>
            <w:tcW w:w="88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940" w:type="dxa"/>
            <w:vAlign w:val="bottom"/>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80" w:type="dxa"/>
            <w:vAlign w:val="bottom"/>
            <w:tcBorders>
              <w:top w:val="single" w:sz="8" w:color="D2DCE5"/>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4"/>
              </w:rPr>
              <w:t>10.1</w:t>
            </w:r>
          </w:p>
        </w:tc>
        <w:tc>
          <w:tcPr>
            <w:tcW w:w="80" w:type="dxa"/>
            <w:vAlign w:val="bottom"/>
            <w:tcBorders>
              <w:top w:val="single" w:sz="8" w:color="D2DCE5"/>
              <w:bottom w:val="single" w:sz="8" w:color="D2DCE5"/>
            </w:tcBorders>
            <w:shd w:val="clear" w:color="auto" w:fill="D2DCE5"/>
          </w:tcPr>
          <w:p>
            <w:pPr>
              <w:spacing w:after="0"/>
              <w:rPr>
                <w:sz w:val="13"/>
                <w:szCs w:val="13"/>
                <w:color w:val="auto"/>
              </w:rPr>
            </w:pPr>
          </w:p>
        </w:tc>
        <w:tc>
          <w:tcPr>
            <w:tcW w:w="20" w:type="dxa"/>
            <w:vAlign w:val="bottom"/>
            <w:tcBorders>
              <w:top w:val="single" w:sz="8" w:color="D2DCE5"/>
              <w:bottom w:val="single" w:sz="8" w:color="D2DCE5"/>
            </w:tcBorders>
            <w:shd w:val="clear" w:color="auto" w:fill="D2DCE5"/>
          </w:tcPr>
          <w:p>
            <w:pPr>
              <w:spacing w:after="0"/>
              <w:rPr>
                <w:sz w:val="13"/>
                <w:szCs w:val="13"/>
                <w:color w:val="auto"/>
              </w:rPr>
            </w:pPr>
          </w:p>
        </w:tc>
        <w:tc>
          <w:tcPr>
            <w:tcW w:w="2580" w:type="dxa"/>
            <w:vAlign w:val="bottom"/>
            <w:tcBorders>
              <w:top w:val="single" w:sz="8" w:color="0000FF"/>
              <w:bottom w:val="single" w:sz="8" w:color="0000FF"/>
            </w:tcBorders>
            <w:gridSpan w:val="8"/>
            <w:shd w:val="clear" w:color="auto" w:fill="D2DCE5"/>
          </w:tcPr>
          <w:p>
            <w:pPr>
              <w:spacing w:after="0" w:line="118" w:lineRule="exact"/>
              <w:rPr>
                <w:rFonts w:ascii="Arial" w:cs="Arial" w:eastAsia="Arial" w:hAnsi="Arial"/>
                <w:sz w:val="13"/>
                <w:szCs w:val="13"/>
                <w:color w:val="0000FF"/>
                <w:w w:val="96"/>
              </w:rPr>
            </w:pPr>
            <w:hyperlink r:id="rId361">
              <w:r>
                <w:rPr>
                  <w:rFonts w:ascii="Arial" w:cs="Arial" w:eastAsia="Arial" w:hAnsi="Arial"/>
                  <w:sz w:val="13"/>
                  <w:szCs w:val="13"/>
                  <w:color w:val="0000FF"/>
                  <w:w w:val="96"/>
                </w:rPr>
                <w:t>Dutch Mafia, LLC, dated September 14, 2021.</w:t>
              </w:r>
            </w:hyperlink>
          </w:p>
        </w:tc>
        <w:tc>
          <w:tcPr>
            <w:tcW w:w="40" w:type="dxa"/>
            <w:vAlign w:val="bottom"/>
            <w:tcBorders>
              <w:top w:val="single" w:sz="8" w:color="0000FF"/>
              <w:bottom w:val="single" w:sz="8" w:color="D2DCE5"/>
            </w:tcBorders>
            <w:shd w:val="clear" w:color="auto" w:fill="D2DCE5"/>
          </w:tcPr>
          <w:p>
            <w:pPr>
              <w:spacing w:after="0"/>
              <w:rPr>
                <w:sz w:val="13"/>
                <w:szCs w:val="13"/>
                <w:color w:val="auto"/>
              </w:rPr>
            </w:pPr>
          </w:p>
        </w:tc>
        <w:tc>
          <w:tcPr>
            <w:tcW w:w="520" w:type="dxa"/>
            <w:vAlign w:val="bottom"/>
            <w:tcBorders>
              <w:top w:val="single" w:sz="8" w:color="0000FF"/>
              <w:bottom w:val="single" w:sz="8" w:color="D2DCE5"/>
            </w:tcBorders>
            <w:shd w:val="clear" w:color="auto" w:fill="D2DCE5"/>
          </w:tcPr>
          <w:p>
            <w:pPr>
              <w:spacing w:after="0"/>
              <w:rPr>
                <w:sz w:val="13"/>
                <w:szCs w:val="13"/>
                <w:color w:val="auto"/>
              </w:rPr>
            </w:pPr>
          </w:p>
        </w:tc>
        <w:tc>
          <w:tcPr>
            <w:tcW w:w="620" w:type="dxa"/>
            <w:vAlign w:val="bottom"/>
            <w:tcBorders>
              <w:top w:val="single" w:sz="8" w:color="0000FF"/>
              <w:bottom w:val="single" w:sz="8" w:color="D2DCE5"/>
            </w:tcBorders>
            <w:gridSpan w:val="2"/>
            <w:shd w:val="clear" w:color="auto" w:fill="D2DCE5"/>
          </w:tcPr>
          <w:p>
            <w:pPr>
              <w:spacing w:after="0"/>
              <w:rPr>
                <w:sz w:val="13"/>
                <w:szCs w:val="13"/>
                <w:color w:val="auto"/>
              </w:rPr>
            </w:pPr>
          </w:p>
        </w:tc>
        <w:tc>
          <w:tcPr>
            <w:tcW w:w="60" w:type="dxa"/>
            <w:vAlign w:val="bottom"/>
            <w:tcBorders>
              <w:top w:val="single" w:sz="8" w:color="0000FF"/>
              <w:bottom w:val="single" w:sz="8" w:color="D2DCE5"/>
            </w:tcBorders>
            <w:shd w:val="clear" w:color="auto" w:fill="D2DCE5"/>
          </w:tcPr>
          <w:p>
            <w:pPr>
              <w:spacing w:after="0"/>
              <w:rPr>
                <w:sz w:val="13"/>
                <w:szCs w:val="13"/>
                <w:color w:val="auto"/>
              </w:rPr>
            </w:pPr>
          </w:p>
        </w:tc>
        <w:tc>
          <w:tcPr>
            <w:tcW w:w="40" w:type="dxa"/>
            <w:vAlign w:val="bottom"/>
            <w:tcBorders>
              <w:top w:val="single" w:sz="8" w:color="0000FF"/>
              <w:bottom w:val="single" w:sz="8" w:color="D2DCE5"/>
            </w:tcBorders>
            <w:shd w:val="clear" w:color="auto" w:fill="D2DCE5"/>
          </w:tcPr>
          <w:p>
            <w:pPr>
              <w:spacing w:after="0"/>
              <w:rPr>
                <w:sz w:val="13"/>
                <w:szCs w:val="13"/>
                <w:color w:val="auto"/>
              </w:rPr>
            </w:pPr>
          </w:p>
        </w:tc>
        <w:tc>
          <w:tcPr>
            <w:tcW w:w="20" w:type="dxa"/>
            <w:vAlign w:val="bottom"/>
            <w:tcBorders>
              <w:top w:val="single" w:sz="8" w:color="0000FF"/>
              <w:bottom w:val="single" w:sz="8" w:color="D2DCE5"/>
            </w:tcBorders>
            <w:shd w:val="clear" w:color="auto" w:fill="D2DCE5"/>
          </w:tcPr>
          <w:p>
            <w:pPr>
              <w:spacing w:after="0"/>
              <w:rPr>
                <w:sz w:val="13"/>
                <w:szCs w:val="13"/>
                <w:color w:val="auto"/>
              </w:rPr>
            </w:pPr>
          </w:p>
        </w:tc>
        <w:tc>
          <w:tcPr>
            <w:tcW w:w="40" w:type="dxa"/>
            <w:vAlign w:val="bottom"/>
            <w:tcBorders>
              <w:top w:val="single" w:sz="8" w:color="0000FF"/>
              <w:bottom w:val="single" w:sz="8" w:color="D2DCE5"/>
            </w:tcBorders>
            <w:shd w:val="clear" w:color="auto" w:fill="D2DCE5"/>
          </w:tcPr>
          <w:p>
            <w:pPr>
              <w:spacing w:after="0"/>
              <w:rPr>
                <w:sz w:val="13"/>
                <w:szCs w:val="13"/>
                <w:color w:val="auto"/>
              </w:rPr>
            </w:pPr>
          </w:p>
        </w:tc>
        <w:tc>
          <w:tcPr>
            <w:tcW w:w="80" w:type="dxa"/>
            <w:vAlign w:val="bottom"/>
            <w:tcBorders>
              <w:top w:val="single" w:sz="8" w:color="D2DCE5"/>
              <w:bottom w:val="single" w:sz="8" w:color="D2DCE5"/>
            </w:tcBorders>
            <w:shd w:val="clear" w:color="auto" w:fill="D2DCE5"/>
          </w:tcPr>
          <w:p>
            <w:pPr>
              <w:spacing w:after="0"/>
              <w:rPr>
                <w:sz w:val="13"/>
                <w:szCs w:val="13"/>
                <w:color w:val="auto"/>
              </w:rPr>
            </w:pPr>
          </w:p>
        </w:tc>
        <w:tc>
          <w:tcPr>
            <w:tcW w:w="60" w:type="dxa"/>
            <w:vAlign w:val="bottom"/>
            <w:tcBorders>
              <w:top w:val="single" w:sz="8" w:color="D2DCE5"/>
              <w:bottom w:val="single" w:sz="8" w:color="D2DCE5"/>
            </w:tcBorders>
            <w:shd w:val="clear" w:color="auto" w:fill="D2DCE5"/>
          </w:tcPr>
          <w:p>
            <w:pPr>
              <w:spacing w:after="0"/>
              <w:rPr>
                <w:sz w:val="13"/>
                <w:szCs w:val="13"/>
                <w:color w:val="auto"/>
              </w:rPr>
            </w:pPr>
          </w:p>
        </w:tc>
        <w:tc>
          <w:tcPr>
            <w:tcW w:w="20" w:type="dxa"/>
            <w:vAlign w:val="bottom"/>
            <w:tcBorders>
              <w:top w:val="single" w:sz="8" w:color="D2DCE5"/>
              <w:bottom w:val="single" w:sz="8" w:color="D2DCE5"/>
            </w:tcBorders>
            <w:shd w:val="clear" w:color="auto" w:fill="D2DCE5"/>
          </w:tcPr>
          <w:p>
            <w:pPr>
              <w:spacing w:after="0"/>
              <w:rPr>
                <w:sz w:val="13"/>
                <w:szCs w:val="13"/>
                <w:color w:val="auto"/>
              </w:rPr>
            </w:pPr>
          </w:p>
        </w:tc>
        <w:tc>
          <w:tcPr>
            <w:tcW w:w="80" w:type="dxa"/>
            <w:vAlign w:val="bottom"/>
            <w:tcBorders>
              <w:top w:val="single" w:sz="8" w:color="D2DCE5"/>
              <w:bottom w:val="single" w:sz="8" w:color="D2DCE5"/>
            </w:tcBorders>
            <w:shd w:val="clear" w:color="auto" w:fill="D2DCE5"/>
          </w:tcPr>
          <w:p>
            <w:pPr>
              <w:spacing w:after="0"/>
              <w:rPr>
                <w:sz w:val="13"/>
                <w:szCs w:val="13"/>
                <w:color w:val="auto"/>
              </w:rPr>
            </w:pPr>
          </w:p>
        </w:tc>
        <w:tc>
          <w:tcPr>
            <w:tcW w:w="20" w:type="dxa"/>
            <w:vAlign w:val="bottom"/>
            <w:tcBorders>
              <w:top w:val="single" w:sz="8" w:color="D2DCE5"/>
              <w:bottom w:val="single" w:sz="8" w:color="D2DCE5"/>
            </w:tcBorders>
            <w:shd w:val="clear" w:color="auto" w:fill="D2DCE5"/>
          </w:tcPr>
          <w:p>
            <w:pPr>
              <w:spacing w:after="0"/>
              <w:rPr>
                <w:sz w:val="13"/>
                <w:szCs w:val="13"/>
                <w:color w:val="auto"/>
              </w:rPr>
            </w:pPr>
          </w:p>
        </w:tc>
        <w:tc>
          <w:tcPr>
            <w:tcW w:w="20" w:type="dxa"/>
            <w:vAlign w:val="bottom"/>
            <w:tcBorders>
              <w:top w:val="single" w:sz="8" w:color="D2DCE5"/>
              <w:bottom w:val="single" w:sz="8" w:color="D2DCE5"/>
            </w:tcBorders>
            <w:shd w:val="clear" w:color="auto" w:fill="D2DCE5"/>
          </w:tcPr>
          <w:p>
            <w:pPr>
              <w:spacing w:after="0"/>
              <w:rPr>
                <w:sz w:val="13"/>
                <w:szCs w:val="13"/>
                <w:color w:val="auto"/>
              </w:rPr>
            </w:pPr>
          </w:p>
        </w:tc>
        <w:tc>
          <w:tcPr>
            <w:tcW w:w="180" w:type="dxa"/>
            <w:vAlign w:val="bottom"/>
            <w:tcBorders>
              <w:top w:val="single" w:sz="8" w:color="D2DCE5"/>
              <w:bottom w:val="single" w:sz="8" w:color="D2DCE5"/>
            </w:tcBorders>
            <w:gridSpan w:val="2"/>
            <w:shd w:val="clear" w:color="auto" w:fill="D2DCE5"/>
          </w:tcPr>
          <w:p>
            <w:pPr>
              <w:spacing w:after="0"/>
              <w:rPr>
                <w:sz w:val="13"/>
                <w:szCs w:val="13"/>
                <w:color w:val="auto"/>
              </w:rPr>
            </w:pPr>
          </w:p>
        </w:tc>
        <w:tc>
          <w:tcPr>
            <w:tcW w:w="880" w:type="dxa"/>
            <w:vAlign w:val="bottom"/>
            <w:tcBorders>
              <w:top w:val="single" w:sz="8" w:color="D2DCE5"/>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4"/>
              </w:rPr>
              <w:t>10.1</w:t>
            </w:r>
          </w:p>
        </w:tc>
        <w:tc>
          <w:tcPr>
            <w:tcW w:w="100" w:type="dxa"/>
            <w:vAlign w:val="bottom"/>
            <w:tcBorders>
              <w:top w:val="single" w:sz="8" w:color="D2DCE5"/>
              <w:bottom w:val="single" w:sz="8" w:color="D2DCE5"/>
            </w:tcBorders>
            <w:shd w:val="clear" w:color="auto" w:fill="D2DCE5"/>
          </w:tcPr>
          <w:p>
            <w:pPr>
              <w:spacing w:after="0"/>
              <w:rPr>
                <w:sz w:val="13"/>
                <w:szCs w:val="13"/>
                <w:color w:val="auto"/>
              </w:rPr>
            </w:pPr>
          </w:p>
        </w:tc>
        <w:tc>
          <w:tcPr>
            <w:tcW w:w="1660" w:type="dxa"/>
            <w:vAlign w:val="bottom"/>
            <w:tcBorders>
              <w:top w:val="single" w:sz="8" w:color="D2DCE5"/>
              <w:bottom w:val="single" w:sz="8" w:color="D2DCE5"/>
            </w:tcBorders>
            <w:gridSpan w:val="2"/>
            <w:shd w:val="clear" w:color="auto" w:fill="D2DCE5"/>
          </w:tcPr>
          <w:p>
            <w:pPr>
              <w:jc w:val="center"/>
              <w:ind w:right="100"/>
              <w:spacing w:after="0" w:line="128" w:lineRule="exact"/>
              <w:rPr>
                <w:sz w:val="20"/>
                <w:szCs w:val="20"/>
                <w:color w:val="auto"/>
              </w:rPr>
            </w:pPr>
            <w:r>
              <w:rPr>
                <w:rFonts w:ascii="Arial" w:cs="Arial" w:eastAsia="Arial" w:hAnsi="Arial"/>
                <w:sz w:val="13"/>
                <w:szCs w:val="13"/>
                <w:color w:val="131E29"/>
                <w:w w:val="98"/>
              </w:rPr>
              <w:t>September 17, 2021</w:t>
            </w:r>
          </w:p>
        </w:tc>
        <w:tc>
          <w:tcPr>
            <w:tcW w:w="940" w:type="dxa"/>
            <w:vAlign w:val="bottom"/>
            <w:tcBorders>
              <w:top w:val="single" w:sz="8" w:color="D2DCE5"/>
              <w:bottom w:val="single" w:sz="8" w:color="D2DCE5"/>
            </w:tcBorders>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4"/>
              </w:rPr>
              <w:t>10.2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4380" w:type="dxa"/>
            <w:vAlign w:val="bottom"/>
            <w:tcBorders>
              <w:top w:val="single" w:sz="8" w:color="D2DCE5"/>
            </w:tcBorders>
            <w:gridSpan w:val="24"/>
          </w:tcPr>
          <w:p>
            <w:pPr>
              <w:spacing w:after="0" w:line="148" w:lineRule="exact"/>
              <w:rPr>
                <w:rFonts w:ascii="Arial" w:cs="Arial" w:eastAsia="Arial" w:hAnsi="Arial"/>
                <w:sz w:val="13"/>
                <w:szCs w:val="13"/>
                <w:color w:val="0000FF"/>
              </w:rPr>
            </w:pPr>
            <w:hyperlink r:id="rId362">
              <w:r>
                <w:rPr>
                  <w:rFonts w:ascii="Arial" w:cs="Arial" w:eastAsia="Arial" w:hAnsi="Arial"/>
                  <w:sz w:val="13"/>
                  <w:szCs w:val="13"/>
                  <w:color w:val="0000FF"/>
                </w:rPr>
                <w:t>Tax Receivable Agreement (Reorganization), dated September 14, 2021.</w:t>
              </w:r>
            </w:hyperlink>
          </w:p>
        </w:tc>
        <w:tc>
          <w:tcPr>
            <w:tcW w:w="8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line="148" w:lineRule="exact"/>
              <w:rPr>
                <w:sz w:val="20"/>
                <w:szCs w:val="20"/>
                <w:color w:val="auto"/>
              </w:rPr>
            </w:pPr>
            <w:r>
              <w:rPr>
                <w:rFonts w:ascii="Arial" w:cs="Arial" w:eastAsia="Arial" w:hAnsi="Arial"/>
                <w:sz w:val="13"/>
                <w:szCs w:val="13"/>
                <w:color w:val="131E29"/>
                <w:w w:val="94"/>
              </w:rPr>
              <w:t>10.2</w:t>
            </w:r>
          </w:p>
        </w:tc>
        <w:tc>
          <w:tcPr>
            <w:tcW w:w="100" w:type="dxa"/>
            <w:vAlign w:val="bottom"/>
            <w:tcBorders>
              <w:top w:val="single" w:sz="8" w:color="D2DCE5"/>
            </w:tcBorders>
          </w:tcPr>
          <w:p>
            <w:pPr>
              <w:spacing w:after="0"/>
              <w:rPr>
                <w:sz w:val="12"/>
                <w:szCs w:val="12"/>
                <w:color w:val="auto"/>
              </w:rPr>
            </w:pPr>
          </w:p>
        </w:tc>
        <w:tc>
          <w:tcPr>
            <w:tcW w:w="1660" w:type="dxa"/>
            <w:vAlign w:val="bottom"/>
            <w:tcBorders>
              <w:top w:val="single" w:sz="8" w:color="D2DCE5"/>
            </w:tcBorders>
            <w:gridSpan w:val="2"/>
          </w:tcPr>
          <w:p>
            <w:pPr>
              <w:jc w:val="center"/>
              <w:ind w:right="100"/>
              <w:spacing w:after="0" w:line="148" w:lineRule="exact"/>
              <w:rPr>
                <w:sz w:val="20"/>
                <w:szCs w:val="20"/>
                <w:color w:val="auto"/>
              </w:rPr>
            </w:pPr>
            <w:r>
              <w:rPr>
                <w:rFonts w:ascii="Arial" w:cs="Arial" w:eastAsia="Arial" w:hAnsi="Arial"/>
                <w:sz w:val="13"/>
                <w:szCs w:val="13"/>
                <w:color w:val="131E29"/>
                <w:w w:val="98"/>
              </w:rPr>
              <w:t>September 17, 2021</w:t>
            </w:r>
          </w:p>
        </w:tc>
        <w:tc>
          <w:tcPr>
            <w:tcW w:w="940" w:type="dxa"/>
            <w:vAlign w:val="bottom"/>
            <w:tcBorders>
              <w:top w:val="single" w:sz="8" w:color="D2DCE5"/>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80" w:type="dxa"/>
            <w:vAlign w:val="bottom"/>
            <w:tcBorders>
              <w:bottom w:val="single" w:sz="8" w:color="D2DCE5"/>
            </w:tcBorders>
            <w:shd w:val="clear" w:color="auto" w:fill="D2DCE5"/>
          </w:tcPr>
          <w:p>
            <w:pPr>
              <w:jc w:val="center"/>
              <w:spacing w:after="0" w:line="148" w:lineRule="exact"/>
              <w:rPr>
                <w:sz w:val="20"/>
                <w:szCs w:val="20"/>
                <w:color w:val="auto"/>
              </w:rPr>
            </w:pPr>
            <w:r>
              <w:rPr>
                <w:rFonts w:ascii="Arial" w:cs="Arial" w:eastAsia="Arial" w:hAnsi="Arial"/>
                <w:sz w:val="13"/>
                <w:szCs w:val="13"/>
                <w:color w:val="131E29"/>
                <w:w w:val="94"/>
              </w:rPr>
              <w:t>10.3</w:t>
            </w:r>
          </w:p>
        </w:tc>
        <w:tc>
          <w:tcPr>
            <w:tcW w:w="80" w:type="dxa"/>
            <w:vAlign w:val="bottom"/>
            <w:tcBorders>
              <w:bottom w:val="single" w:sz="8" w:color="D2DCE5"/>
            </w:tcBorders>
            <w:shd w:val="clear" w:color="auto" w:fill="D2DCE5"/>
          </w:tcPr>
          <w:p>
            <w:pPr>
              <w:spacing w:after="0"/>
              <w:rPr>
                <w:sz w:val="14"/>
                <w:szCs w:val="14"/>
                <w:color w:val="auto"/>
              </w:rPr>
            </w:pPr>
          </w:p>
        </w:tc>
        <w:tc>
          <w:tcPr>
            <w:tcW w:w="20" w:type="dxa"/>
            <w:vAlign w:val="bottom"/>
            <w:tcBorders>
              <w:bottom w:val="single" w:sz="8" w:color="D2DCE5"/>
            </w:tcBorders>
            <w:shd w:val="clear" w:color="auto" w:fill="D2DCE5"/>
          </w:tcPr>
          <w:p>
            <w:pPr>
              <w:spacing w:after="0"/>
              <w:rPr>
                <w:sz w:val="14"/>
                <w:szCs w:val="14"/>
                <w:color w:val="auto"/>
              </w:rPr>
            </w:pPr>
          </w:p>
        </w:tc>
        <w:tc>
          <w:tcPr>
            <w:tcW w:w="3880" w:type="dxa"/>
            <w:vAlign w:val="bottom"/>
            <w:tcBorders>
              <w:bottom w:val="single" w:sz="8" w:color="0000FF"/>
            </w:tcBorders>
            <w:gridSpan w:val="15"/>
            <w:shd w:val="clear" w:color="auto" w:fill="D2DCE5"/>
          </w:tcPr>
          <w:p>
            <w:pPr>
              <w:spacing w:after="0" w:line="148" w:lineRule="exact"/>
              <w:rPr>
                <w:rFonts w:ascii="Arial" w:cs="Arial" w:eastAsia="Arial" w:hAnsi="Arial"/>
                <w:sz w:val="13"/>
                <w:szCs w:val="13"/>
                <w:color w:val="0000FF"/>
                <w:w w:val="96"/>
              </w:rPr>
            </w:pPr>
            <w:hyperlink r:id="rId363">
              <w:r>
                <w:rPr>
                  <w:rFonts w:ascii="Arial" w:cs="Arial" w:eastAsia="Arial" w:hAnsi="Arial"/>
                  <w:sz w:val="13"/>
                  <w:szCs w:val="13"/>
                  <w:color w:val="0000FF"/>
                  <w:w w:val="96"/>
                </w:rPr>
                <w:t>Tax Receivable Agreement (Exchanges), dated September 14, 2021.</w:t>
              </w:r>
            </w:hyperlink>
          </w:p>
        </w:tc>
        <w:tc>
          <w:tcPr>
            <w:tcW w:w="500" w:type="dxa"/>
            <w:vAlign w:val="bottom"/>
            <w:tcBorders>
              <w:bottom w:val="single" w:sz="8" w:color="D2DCE5"/>
            </w:tcBorders>
            <w:gridSpan w:val="9"/>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line="148" w:lineRule="exact"/>
              <w:rPr>
                <w:sz w:val="20"/>
                <w:szCs w:val="20"/>
                <w:color w:val="auto"/>
              </w:rPr>
            </w:pPr>
            <w:r>
              <w:rPr>
                <w:rFonts w:ascii="Arial" w:cs="Arial" w:eastAsia="Arial" w:hAnsi="Arial"/>
                <w:sz w:val="13"/>
                <w:szCs w:val="13"/>
                <w:color w:val="131E29"/>
                <w:w w:val="98"/>
              </w:rPr>
              <w:t>8-K</w:t>
            </w:r>
          </w:p>
        </w:tc>
        <w:tc>
          <w:tcPr>
            <w:tcW w:w="1260" w:type="dxa"/>
            <w:vAlign w:val="bottom"/>
            <w:tcBorders>
              <w:bottom w:val="single" w:sz="8" w:color="D2DCE5"/>
            </w:tcBorders>
            <w:shd w:val="clear" w:color="auto" w:fill="D2DCE5"/>
          </w:tcPr>
          <w:p>
            <w:pPr>
              <w:jc w:val="center"/>
              <w:spacing w:after="0" w:line="148" w:lineRule="exact"/>
              <w:rPr>
                <w:sz w:val="20"/>
                <w:szCs w:val="20"/>
                <w:color w:val="auto"/>
              </w:rPr>
            </w:pPr>
            <w:r>
              <w:rPr>
                <w:rFonts w:ascii="Arial" w:cs="Arial" w:eastAsia="Arial" w:hAnsi="Arial"/>
                <w:sz w:val="13"/>
                <w:szCs w:val="13"/>
                <w:color w:val="131E29"/>
                <w:w w:val="96"/>
              </w:rPr>
              <w:t>001-40798</w:t>
            </w:r>
          </w:p>
        </w:tc>
        <w:tc>
          <w:tcPr>
            <w:tcW w:w="880" w:type="dxa"/>
            <w:vAlign w:val="bottom"/>
            <w:tcBorders>
              <w:bottom w:val="single" w:sz="8" w:color="D2DCE5"/>
            </w:tcBorders>
            <w:shd w:val="clear" w:color="auto" w:fill="D2DCE5"/>
          </w:tcPr>
          <w:p>
            <w:pPr>
              <w:jc w:val="center"/>
              <w:spacing w:after="0" w:line="148" w:lineRule="exact"/>
              <w:rPr>
                <w:sz w:val="20"/>
                <w:szCs w:val="20"/>
                <w:color w:val="auto"/>
              </w:rPr>
            </w:pPr>
            <w:r>
              <w:rPr>
                <w:rFonts w:ascii="Arial" w:cs="Arial" w:eastAsia="Arial" w:hAnsi="Arial"/>
                <w:sz w:val="13"/>
                <w:szCs w:val="13"/>
                <w:color w:val="131E29"/>
                <w:w w:val="94"/>
              </w:rPr>
              <w:t>10.3</w:t>
            </w:r>
          </w:p>
        </w:tc>
        <w:tc>
          <w:tcPr>
            <w:tcW w:w="100" w:type="dxa"/>
            <w:vAlign w:val="bottom"/>
            <w:tcBorders>
              <w:bottom w:val="single" w:sz="8" w:color="D2DCE5"/>
            </w:tcBorders>
            <w:shd w:val="clear" w:color="auto" w:fill="D2DCE5"/>
          </w:tcPr>
          <w:p>
            <w:pPr>
              <w:spacing w:after="0"/>
              <w:rPr>
                <w:sz w:val="14"/>
                <w:szCs w:val="14"/>
                <w:color w:val="auto"/>
              </w:rPr>
            </w:pPr>
          </w:p>
        </w:tc>
        <w:tc>
          <w:tcPr>
            <w:tcW w:w="1660" w:type="dxa"/>
            <w:vAlign w:val="bottom"/>
            <w:tcBorders>
              <w:bottom w:val="single" w:sz="8" w:color="D2DCE5"/>
            </w:tcBorders>
            <w:gridSpan w:val="2"/>
            <w:shd w:val="clear" w:color="auto" w:fill="D2DCE5"/>
          </w:tcPr>
          <w:p>
            <w:pPr>
              <w:jc w:val="center"/>
              <w:ind w:right="100"/>
              <w:spacing w:after="0" w:line="148" w:lineRule="exact"/>
              <w:rPr>
                <w:sz w:val="20"/>
                <w:szCs w:val="20"/>
                <w:color w:val="auto"/>
              </w:rPr>
            </w:pPr>
            <w:r>
              <w:rPr>
                <w:rFonts w:ascii="Arial" w:cs="Arial" w:eastAsia="Arial" w:hAnsi="Arial"/>
                <w:sz w:val="13"/>
                <w:szCs w:val="13"/>
                <w:color w:val="131E29"/>
                <w:w w:val="98"/>
              </w:rPr>
              <w:t>September 17, 2021</w:t>
            </w:r>
          </w:p>
        </w:tc>
        <w:tc>
          <w:tcPr>
            <w:tcW w:w="94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tcBorders>
              <w:bottom w:val="single" w:sz="8" w:color="0000FF"/>
            </w:tcBorders>
            <w:gridSpan w:val="22"/>
          </w:tcPr>
          <w:p>
            <w:pPr>
              <w:spacing w:after="0" w:line="128" w:lineRule="exact"/>
              <w:rPr>
                <w:sz w:val="20"/>
                <w:szCs w:val="20"/>
                <w:color w:val="auto"/>
              </w:rPr>
            </w:pPr>
            <w:r>
              <w:rPr>
                <w:rFonts w:ascii="Arial" w:cs="Arial" w:eastAsia="Arial" w:hAnsi="Arial"/>
                <w:sz w:val="13"/>
                <w:szCs w:val="13"/>
                <w:color w:val="0000FF"/>
                <w:w w:val="97"/>
              </w:rPr>
              <w:t>Amended and Restated Registration Rights Agreement, by and among the</w:t>
            </w:r>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131E29"/>
              </w:rPr>
              <w:t>X</w:t>
            </w:r>
          </w:p>
        </w:tc>
        <w:tc>
          <w:tcPr>
            <w:tcW w:w="0" w:type="dxa"/>
            <w:vAlign w:val="bottom"/>
          </w:tcPr>
          <w:p>
            <w:pPr>
              <w:spacing w:after="0"/>
              <w:rPr>
                <w:sz w:val="1"/>
                <w:szCs w:val="1"/>
                <w:color w:val="auto"/>
              </w:rPr>
            </w:pPr>
          </w:p>
        </w:tc>
      </w:tr>
      <w:tr>
        <w:trPr>
          <w:trHeight w:val="41"/>
        </w:trPr>
        <w:tc>
          <w:tcPr>
            <w:tcW w:w="1080" w:type="dxa"/>
            <w:vAlign w:val="bottom"/>
            <w:vMerge w:val="restart"/>
          </w:tcPr>
          <w:p>
            <w:pPr>
              <w:jc w:val="center"/>
              <w:spacing w:after="0" w:line="118" w:lineRule="exact"/>
              <w:rPr>
                <w:sz w:val="20"/>
                <w:szCs w:val="20"/>
                <w:color w:val="auto"/>
              </w:rPr>
            </w:pPr>
            <w:r>
              <w:rPr>
                <w:rFonts w:ascii="Arial" w:cs="Arial" w:eastAsia="Arial" w:hAnsi="Arial"/>
                <w:sz w:val="13"/>
                <w:szCs w:val="13"/>
                <w:color w:val="131E29"/>
                <w:w w:val="94"/>
              </w:rPr>
              <w:t>10.4</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380" w:type="dxa"/>
            <w:vAlign w:val="bottom"/>
            <w:gridSpan w:val="24"/>
            <w:vMerge w:val="restart"/>
          </w:tcPr>
          <w:p>
            <w:pPr>
              <w:spacing w:after="0" w:line="118" w:lineRule="exact"/>
              <w:rPr>
                <w:sz w:val="20"/>
                <w:szCs w:val="20"/>
                <w:color w:val="auto"/>
              </w:rPr>
            </w:pPr>
            <w:r>
              <w:rPr>
                <w:rFonts w:ascii="Arial" w:cs="Arial" w:eastAsia="Arial" w:hAnsi="Arial"/>
                <w:sz w:val="13"/>
                <w:szCs w:val="13"/>
                <w:color w:val="0000FF"/>
              </w:rPr>
              <w:t>Registrant and the Investors party thereto, dated October 31, 2023.</w:t>
            </w: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0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380" w:type="dxa"/>
            <w:vAlign w:val="bottom"/>
            <w:gridSpan w:val="24"/>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line="148" w:lineRule="exact"/>
              <w:rPr>
                <w:rFonts w:ascii="Arial" w:cs="Arial" w:eastAsia="Arial" w:hAnsi="Arial"/>
                <w:sz w:val="13"/>
                <w:szCs w:val="13"/>
                <w:color w:val="0000FF"/>
              </w:rPr>
            </w:pPr>
            <w:hyperlink r:id="rId364">
              <w:r>
                <w:rPr>
                  <w:rFonts w:ascii="Arial" w:cs="Arial" w:eastAsia="Arial" w:hAnsi="Arial"/>
                  <w:sz w:val="13"/>
                  <w:szCs w:val="13"/>
                  <w:color w:val="0000FF"/>
                </w:rPr>
                <w:t>Stockholders Agreement, by and between the Registrant and the Sponsor,</w:t>
              </w:r>
            </w:hyperlink>
          </w:p>
        </w:tc>
        <w:tc>
          <w:tcPr>
            <w:tcW w:w="880" w:type="dxa"/>
            <w:vAlign w:val="bottom"/>
            <w:shd w:val="clear" w:color="auto" w:fill="D2DCE5"/>
          </w:tcPr>
          <w:p>
            <w:pPr>
              <w:spacing w:after="0"/>
              <w:rPr>
                <w:sz w:val="12"/>
                <w:szCs w:val="12"/>
                <w:color w:val="auto"/>
              </w:rPr>
            </w:pPr>
          </w:p>
        </w:tc>
        <w:tc>
          <w:tcPr>
            <w:tcW w:w="1260" w:type="dxa"/>
            <w:vAlign w:val="bottom"/>
            <w:shd w:val="clear" w:color="auto" w:fill="D2DCE5"/>
          </w:tcPr>
          <w:p>
            <w:pPr>
              <w:spacing w:after="0"/>
              <w:rPr>
                <w:sz w:val="12"/>
                <w:szCs w:val="12"/>
                <w:color w:val="auto"/>
              </w:rPr>
            </w:pPr>
          </w:p>
        </w:tc>
        <w:tc>
          <w:tcPr>
            <w:tcW w:w="88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940" w:type="dxa"/>
            <w:vAlign w:val="bottom"/>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tcBorders>
              <w:top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10.5</w:t>
            </w:r>
          </w:p>
        </w:tc>
        <w:tc>
          <w:tcPr>
            <w:tcW w:w="80" w:type="dxa"/>
            <w:vAlign w:val="bottom"/>
            <w:tcBorders>
              <w:top w:val="single" w:sz="8" w:color="D2DCE5"/>
            </w:tcBorders>
            <w:shd w:val="clear" w:color="auto" w:fill="D2DCE5"/>
          </w:tcPr>
          <w:p>
            <w:pPr>
              <w:spacing w:after="0"/>
              <w:rPr>
                <w:sz w:val="11"/>
                <w:szCs w:val="11"/>
                <w:color w:val="auto"/>
              </w:rPr>
            </w:pPr>
          </w:p>
        </w:tc>
        <w:tc>
          <w:tcPr>
            <w:tcW w:w="20" w:type="dxa"/>
            <w:vAlign w:val="bottom"/>
            <w:tcBorders>
              <w:top w:val="single" w:sz="8" w:color="D2DCE5"/>
            </w:tcBorders>
            <w:shd w:val="clear" w:color="auto" w:fill="D2DCE5"/>
          </w:tcPr>
          <w:p>
            <w:pPr>
              <w:spacing w:after="0"/>
              <w:rPr>
                <w:sz w:val="11"/>
                <w:szCs w:val="11"/>
                <w:color w:val="auto"/>
              </w:rPr>
            </w:pPr>
          </w:p>
        </w:tc>
        <w:tc>
          <w:tcPr>
            <w:tcW w:w="4160" w:type="dxa"/>
            <w:vAlign w:val="bottom"/>
            <w:tcBorders>
              <w:top w:val="single" w:sz="8" w:color="0000FF"/>
            </w:tcBorders>
            <w:gridSpan w:val="20"/>
            <w:shd w:val="clear" w:color="auto" w:fill="D2DCE5"/>
          </w:tcPr>
          <w:p>
            <w:pPr>
              <w:spacing w:after="0" w:line="118" w:lineRule="exact"/>
              <w:rPr>
                <w:rFonts w:ascii="Arial" w:cs="Arial" w:eastAsia="Arial" w:hAnsi="Arial"/>
                <w:sz w:val="13"/>
                <w:szCs w:val="13"/>
                <w:color w:val="0000FF"/>
              </w:rPr>
            </w:pPr>
            <w:hyperlink r:id="rId364">
              <w:r>
                <w:rPr>
                  <w:rFonts w:ascii="Arial" w:cs="Arial" w:eastAsia="Arial" w:hAnsi="Arial"/>
                  <w:sz w:val="13"/>
                  <w:szCs w:val="13"/>
                  <w:color w:val="0000FF"/>
                </w:rPr>
                <w:t>dated September 17, 2021.</w:t>
              </w:r>
            </w:hyperlink>
          </w:p>
        </w:tc>
        <w:tc>
          <w:tcPr>
            <w:tcW w:w="220" w:type="dxa"/>
            <w:vAlign w:val="bottom"/>
            <w:tcBorders>
              <w:top w:val="single" w:sz="8" w:color="D2DCE5"/>
            </w:tcBorders>
            <w:gridSpan w:val="4"/>
            <w:shd w:val="clear" w:color="auto" w:fill="D2DCE5"/>
          </w:tcPr>
          <w:p>
            <w:pPr>
              <w:spacing w:after="0"/>
              <w:rPr>
                <w:sz w:val="11"/>
                <w:szCs w:val="11"/>
                <w:color w:val="auto"/>
              </w:rPr>
            </w:pPr>
          </w:p>
        </w:tc>
        <w:tc>
          <w:tcPr>
            <w:tcW w:w="880" w:type="dxa"/>
            <w:vAlign w:val="bottom"/>
            <w:tcBorders>
              <w:top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10.5</w:t>
            </w:r>
          </w:p>
        </w:tc>
        <w:tc>
          <w:tcPr>
            <w:tcW w:w="100" w:type="dxa"/>
            <w:vAlign w:val="bottom"/>
            <w:tcBorders>
              <w:top w:val="single" w:sz="8" w:color="D2DCE5"/>
            </w:tcBorders>
            <w:shd w:val="clear" w:color="auto" w:fill="D2DCE5"/>
          </w:tcPr>
          <w:p>
            <w:pPr>
              <w:spacing w:after="0"/>
              <w:rPr>
                <w:sz w:val="11"/>
                <w:szCs w:val="11"/>
                <w:color w:val="auto"/>
              </w:rPr>
            </w:pPr>
          </w:p>
        </w:tc>
        <w:tc>
          <w:tcPr>
            <w:tcW w:w="1660" w:type="dxa"/>
            <w:vAlign w:val="bottom"/>
            <w:tcBorders>
              <w:top w:val="single" w:sz="8" w:color="D2DCE5"/>
            </w:tcBorders>
            <w:gridSpan w:val="2"/>
            <w:shd w:val="clear" w:color="auto" w:fill="D2DCE5"/>
          </w:tcPr>
          <w:p>
            <w:pPr>
              <w:jc w:val="center"/>
              <w:ind w:right="100"/>
              <w:spacing w:after="0" w:line="118" w:lineRule="exact"/>
              <w:rPr>
                <w:sz w:val="20"/>
                <w:szCs w:val="20"/>
                <w:color w:val="auto"/>
              </w:rPr>
            </w:pPr>
            <w:r>
              <w:rPr>
                <w:rFonts w:ascii="Arial" w:cs="Arial" w:eastAsia="Arial" w:hAnsi="Arial"/>
                <w:sz w:val="13"/>
                <w:szCs w:val="13"/>
                <w:color w:val="131E29"/>
                <w:w w:val="98"/>
              </w:rPr>
              <w:t>September 17, 2021</w:t>
            </w:r>
          </w:p>
        </w:tc>
        <w:tc>
          <w:tcPr>
            <w:tcW w:w="940" w:type="dxa"/>
            <w:vAlign w:val="bottom"/>
            <w:tcBorders>
              <w:top w:val="single" w:sz="8" w:color="D2DCE5"/>
            </w:tcBorders>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8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1140" w:type="dxa"/>
            <w:vAlign w:val="bottom"/>
            <w:tcBorders>
              <w:top w:val="single" w:sz="8" w:color="0000FF"/>
            </w:tcBorders>
            <w:shd w:val="clear" w:color="auto" w:fill="D2DCE5"/>
          </w:tcPr>
          <w:p>
            <w:pPr>
              <w:spacing w:after="0"/>
              <w:rPr>
                <w:sz w:val="2"/>
                <w:szCs w:val="2"/>
                <w:color w:val="auto"/>
              </w:rPr>
            </w:pPr>
          </w:p>
        </w:tc>
        <w:tc>
          <w:tcPr>
            <w:tcW w:w="80" w:type="dxa"/>
            <w:vAlign w:val="bottom"/>
            <w:tcBorders>
              <w:top w:val="single" w:sz="8" w:color="0000FF"/>
            </w:tcBorders>
            <w:shd w:val="clear" w:color="auto" w:fill="D2DCE5"/>
          </w:tcPr>
          <w:p>
            <w:pPr>
              <w:spacing w:after="0"/>
              <w:rPr>
                <w:sz w:val="2"/>
                <w:szCs w:val="2"/>
                <w:color w:val="auto"/>
              </w:rPr>
            </w:pPr>
          </w:p>
        </w:tc>
        <w:tc>
          <w:tcPr>
            <w:tcW w:w="300" w:type="dxa"/>
            <w:vAlign w:val="bottom"/>
            <w:tcBorders>
              <w:top w:val="single" w:sz="8" w:color="0000FF"/>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0" w:type="dxa"/>
            <w:vAlign w:val="bottom"/>
            <w:tcBorders>
              <w:top w:val="single" w:sz="8" w:color="D2DCE5"/>
            </w:tcBorders>
            <w:shd w:val="clear" w:color="auto" w:fill="D2DCE5"/>
          </w:tcPr>
          <w:p>
            <w:pPr>
              <w:spacing w:after="0"/>
              <w:rPr>
                <w:sz w:val="2"/>
                <w:szCs w:val="2"/>
                <w:color w:val="auto"/>
              </w:rPr>
            </w:pPr>
          </w:p>
        </w:tc>
        <w:tc>
          <w:tcPr>
            <w:tcW w:w="160" w:type="dxa"/>
            <w:vAlign w:val="bottom"/>
            <w:tcBorders>
              <w:top w:val="single" w:sz="8" w:color="D2DCE5"/>
            </w:tcBorders>
            <w:shd w:val="clear" w:color="auto" w:fill="D2DCE5"/>
          </w:tcPr>
          <w:p>
            <w:pPr>
              <w:spacing w:after="0"/>
              <w:rPr>
                <w:sz w:val="2"/>
                <w:szCs w:val="2"/>
                <w:color w:val="auto"/>
              </w:rPr>
            </w:pPr>
          </w:p>
        </w:tc>
        <w:tc>
          <w:tcPr>
            <w:tcW w:w="42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520" w:type="dxa"/>
            <w:vAlign w:val="bottom"/>
            <w:tcBorders>
              <w:top w:val="single" w:sz="8" w:color="D2DCE5"/>
            </w:tcBorders>
            <w:shd w:val="clear" w:color="auto" w:fill="D2DCE5"/>
          </w:tcPr>
          <w:p>
            <w:pPr>
              <w:spacing w:after="0"/>
              <w:rPr>
                <w:sz w:val="2"/>
                <w:szCs w:val="2"/>
                <w:color w:val="auto"/>
              </w:rPr>
            </w:pPr>
          </w:p>
        </w:tc>
        <w:tc>
          <w:tcPr>
            <w:tcW w:w="460" w:type="dxa"/>
            <w:vAlign w:val="bottom"/>
            <w:tcBorders>
              <w:top w:val="single" w:sz="8" w:color="D2DCE5"/>
            </w:tcBorders>
            <w:shd w:val="clear" w:color="auto" w:fill="D2DCE5"/>
          </w:tcPr>
          <w:p>
            <w:pPr>
              <w:spacing w:after="0"/>
              <w:rPr>
                <w:sz w:val="2"/>
                <w:szCs w:val="2"/>
                <w:color w:val="auto"/>
              </w:rPr>
            </w:pPr>
          </w:p>
        </w:tc>
        <w:tc>
          <w:tcPr>
            <w:tcW w:w="16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880" w:type="dxa"/>
            <w:vAlign w:val="bottom"/>
            <w:tcBorders>
              <w:top w:val="single" w:sz="8" w:color="D2DCE5"/>
            </w:tcBorders>
            <w:shd w:val="clear" w:color="auto" w:fill="D2DCE5"/>
          </w:tcPr>
          <w:p>
            <w:pPr>
              <w:spacing w:after="0"/>
              <w:rPr>
                <w:sz w:val="2"/>
                <w:szCs w:val="2"/>
                <w:color w:val="auto"/>
              </w:rPr>
            </w:pPr>
          </w:p>
        </w:tc>
        <w:tc>
          <w:tcPr>
            <w:tcW w:w="1260" w:type="dxa"/>
            <w:vAlign w:val="bottom"/>
            <w:tcBorders>
              <w:top w:val="single" w:sz="8" w:color="D2DCE5"/>
            </w:tcBorders>
            <w:shd w:val="clear" w:color="auto" w:fill="D2DCE5"/>
          </w:tcPr>
          <w:p>
            <w:pPr>
              <w:spacing w:after="0"/>
              <w:rPr>
                <w:sz w:val="2"/>
                <w:szCs w:val="2"/>
                <w:color w:val="auto"/>
              </w:rPr>
            </w:pPr>
          </w:p>
        </w:tc>
        <w:tc>
          <w:tcPr>
            <w:tcW w:w="88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156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940" w:type="dxa"/>
            <w:vAlign w:val="bottom"/>
            <w:tcBorders>
              <w:top w:val="single" w:sz="8" w:color="D2DCE5"/>
            </w:tcBorders>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Pr>
          <w:p>
            <w:pPr>
              <w:jc w:val="center"/>
              <w:spacing w:after="0" w:line="148" w:lineRule="exact"/>
              <w:rPr>
                <w:sz w:val="20"/>
                <w:szCs w:val="20"/>
                <w:color w:val="auto"/>
              </w:rPr>
            </w:pPr>
            <w:r>
              <w:rPr>
                <w:rFonts w:ascii="Arial" w:cs="Arial" w:eastAsia="Arial" w:hAnsi="Arial"/>
                <w:sz w:val="13"/>
                <w:szCs w:val="13"/>
                <w:color w:val="131E29"/>
                <w:w w:val="94"/>
              </w:rPr>
              <w:t>10.6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24"/>
          </w:tcPr>
          <w:p>
            <w:pPr>
              <w:spacing w:after="0" w:line="148" w:lineRule="exact"/>
              <w:rPr>
                <w:rFonts w:ascii="Arial" w:cs="Arial" w:eastAsia="Arial" w:hAnsi="Arial"/>
                <w:sz w:val="13"/>
                <w:szCs w:val="13"/>
                <w:color w:val="0000FF"/>
              </w:rPr>
            </w:pPr>
            <w:hyperlink r:id="rId365">
              <w:r>
                <w:rPr>
                  <w:rFonts w:ascii="Arial" w:cs="Arial" w:eastAsia="Arial" w:hAnsi="Arial"/>
                  <w:sz w:val="13"/>
                  <w:szCs w:val="13"/>
                  <w:color w:val="0000FF"/>
                </w:rPr>
                <w:t>Form of Director and Officer Indemnification Agreement.</w:t>
              </w:r>
            </w:hyperlink>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131E29"/>
                <w:w w:val="98"/>
              </w:rPr>
              <w:t>S-1</w:t>
            </w: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131E29"/>
                <w:w w:val="97"/>
              </w:rPr>
              <w:t>August 20, 2021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gridSpan w:val="2"/>
            <w:shd w:val="clear" w:color="auto" w:fill="D2DCE5"/>
          </w:tcPr>
          <w:p>
            <w:pPr>
              <w:jc w:val="center"/>
              <w:ind w:right="80"/>
              <w:spacing w:after="0" w:line="148" w:lineRule="exact"/>
              <w:rPr>
                <w:sz w:val="20"/>
                <w:szCs w:val="20"/>
                <w:color w:val="auto"/>
              </w:rPr>
            </w:pPr>
            <w:r>
              <w:rPr>
                <w:rFonts w:ascii="Arial" w:cs="Arial" w:eastAsia="Arial" w:hAnsi="Arial"/>
                <w:sz w:val="13"/>
                <w:szCs w:val="13"/>
                <w:color w:val="131E29"/>
                <w:w w:val="98"/>
              </w:rPr>
              <w:t>10.7†</w:t>
            </w: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line="148" w:lineRule="exact"/>
              <w:rPr>
                <w:rFonts w:ascii="Arial" w:cs="Arial" w:eastAsia="Arial" w:hAnsi="Arial"/>
                <w:sz w:val="13"/>
                <w:szCs w:val="13"/>
                <w:color w:val="0000FF"/>
              </w:rPr>
            </w:pPr>
            <w:hyperlink r:id="rId366">
              <w:r>
                <w:rPr>
                  <w:rFonts w:ascii="Arial" w:cs="Arial" w:eastAsia="Arial" w:hAnsi="Arial"/>
                  <w:sz w:val="13"/>
                  <w:szCs w:val="13"/>
                  <w:color w:val="0000FF"/>
                </w:rPr>
                <w:t>2021 Equity Incentive Plan.</w:t>
              </w:r>
            </w:hyperlink>
          </w:p>
        </w:tc>
        <w:tc>
          <w:tcPr>
            <w:tcW w:w="88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98"/>
              </w:rPr>
              <w:t>S-8</w:t>
            </w:r>
          </w:p>
        </w:tc>
        <w:tc>
          <w:tcPr>
            <w:tcW w:w="126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97"/>
              </w:rPr>
              <w:t>333-259618</w:t>
            </w:r>
          </w:p>
        </w:tc>
        <w:tc>
          <w:tcPr>
            <w:tcW w:w="880" w:type="dxa"/>
            <w:vAlign w:val="bottom"/>
            <w:shd w:val="clear" w:color="auto" w:fill="D2DCE5"/>
          </w:tcPr>
          <w:p>
            <w:pPr>
              <w:jc w:val="center"/>
              <w:spacing w:after="0" w:line="148" w:lineRule="exact"/>
              <w:rPr>
                <w:sz w:val="20"/>
                <w:szCs w:val="20"/>
                <w:color w:val="auto"/>
              </w:rPr>
            </w:pPr>
            <w:r>
              <w:rPr>
                <w:rFonts w:ascii="Arial" w:cs="Arial" w:eastAsia="Arial" w:hAnsi="Arial"/>
                <w:sz w:val="13"/>
                <w:szCs w:val="13"/>
                <w:color w:val="131E29"/>
                <w:w w:val="94"/>
              </w:rPr>
              <w:t>99.1</w:t>
            </w:r>
          </w:p>
        </w:tc>
        <w:tc>
          <w:tcPr>
            <w:tcW w:w="100" w:type="dxa"/>
            <w:vAlign w:val="bottom"/>
            <w:shd w:val="clear" w:color="auto" w:fill="D2DCE5"/>
          </w:tcPr>
          <w:p>
            <w:pPr>
              <w:spacing w:after="0"/>
              <w:rPr>
                <w:sz w:val="12"/>
                <w:szCs w:val="12"/>
                <w:color w:val="auto"/>
              </w:rPr>
            </w:pPr>
          </w:p>
        </w:tc>
        <w:tc>
          <w:tcPr>
            <w:tcW w:w="1660" w:type="dxa"/>
            <w:vAlign w:val="bottom"/>
            <w:gridSpan w:val="2"/>
            <w:shd w:val="clear" w:color="auto" w:fill="D2DCE5"/>
          </w:tcPr>
          <w:p>
            <w:pPr>
              <w:jc w:val="center"/>
              <w:ind w:right="100"/>
              <w:spacing w:after="0" w:line="148" w:lineRule="exact"/>
              <w:rPr>
                <w:sz w:val="20"/>
                <w:szCs w:val="20"/>
                <w:color w:val="auto"/>
              </w:rPr>
            </w:pPr>
            <w:r>
              <w:rPr>
                <w:rFonts w:ascii="Arial" w:cs="Arial" w:eastAsia="Arial" w:hAnsi="Arial"/>
                <w:sz w:val="13"/>
                <w:szCs w:val="13"/>
                <w:color w:val="131E29"/>
                <w:w w:val="98"/>
              </w:rPr>
              <w:t>September 17, 2021</w:t>
            </w:r>
          </w:p>
        </w:tc>
        <w:tc>
          <w:tcPr>
            <w:tcW w:w="940" w:type="dxa"/>
            <w:vAlign w:val="bottom"/>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140" w:type="dxa"/>
            <w:vAlign w:val="bottom"/>
            <w:tcBorders>
              <w:top w:val="single" w:sz="8" w:color="0000FF"/>
            </w:tcBorders>
            <w:shd w:val="clear" w:color="auto" w:fill="D2DCE5"/>
          </w:tcPr>
          <w:p>
            <w:pPr>
              <w:spacing w:after="0" w:line="20" w:lineRule="exact"/>
              <w:rPr>
                <w:sz w:val="1"/>
                <w:szCs w:val="1"/>
                <w:color w:val="auto"/>
              </w:rPr>
            </w:pPr>
          </w:p>
        </w:tc>
        <w:tc>
          <w:tcPr>
            <w:tcW w:w="80" w:type="dxa"/>
            <w:vAlign w:val="bottom"/>
            <w:tcBorders>
              <w:top w:val="single" w:sz="8" w:color="0000FF"/>
            </w:tcBorders>
            <w:shd w:val="clear" w:color="auto" w:fill="D2DCE5"/>
          </w:tcPr>
          <w:p>
            <w:pPr>
              <w:spacing w:after="0" w:line="20" w:lineRule="exact"/>
              <w:rPr>
                <w:sz w:val="1"/>
                <w:szCs w:val="1"/>
                <w:color w:val="auto"/>
              </w:rPr>
            </w:pPr>
          </w:p>
        </w:tc>
        <w:tc>
          <w:tcPr>
            <w:tcW w:w="300" w:type="dxa"/>
            <w:vAlign w:val="bottom"/>
            <w:tcBorders>
              <w:top w:val="single" w:sz="8" w:color="0000FF"/>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400" w:type="dxa"/>
            <w:vAlign w:val="bottom"/>
            <w:tcBorders>
              <w:top w:val="single" w:sz="8" w:color="D2DCE5"/>
            </w:tcBorders>
            <w:shd w:val="clear" w:color="auto" w:fill="D2DCE5"/>
          </w:tcPr>
          <w:p>
            <w:pPr>
              <w:spacing w:after="0" w:line="20" w:lineRule="exact"/>
              <w:rPr>
                <w:sz w:val="1"/>
                <w:szCs w:val="1"/>
                <w:color w:val="auto"/>
              </w:rPr>
            </w:pPr>
          </w:p>
        </w:tc>
        <w:tc>
          <w:tcPr>
            <w:tcW w:w="160" w:type="dxa"/>
            <w:vAlign w:val="bottom"/>
            <w:tcBorders>
              <w:top w:val="single" w:sz="8" w:color="D2DCE5"/>
            </w:tcBorders>
            <w:shd w:val="clear" w:color="auto" w:fill="D2DCE5"/>
          </w:tcPr>
          <w:p>
            <w:pPr>
              <w:spacing w:after="0" w:line="20" w:lineRule="exact"/>
              <w:rPr>
                <w:sz w:val="1"/>
                <w:szCs w:val="1"/>
                <w:color w:val="auto"/>
              </w:rPr>
            </w:pPr>
          </w:p>
        </w:tc>
        <w:tc>
          <w:tcPr>
            <w:tcW w:w="420" w:type="dxa"/>
            <w:vAlign w:val="bottom"/>
            <w:tcBorders>
              <w:top w:val="single" w:sz="8" w:color="D2DCE5"/>
            </w:tcBorders>
            <w:shd w:val="clear" w:color="auto" w:fill="D2DCE5"/>
          </w:tcPr>
          <w:p>
            <w:pPr>
              <w:spacing w:after="0" w:line="20" w:lineRule="exact"/>
              <w:rPr>
                <w:sz w:val="1"/>
                <w:szCs w:val="1"/>
                <w:color w:val="auto"/>
              </w:rPr>
            </w:pPr>
          </w:p>
        </w:tc>
        <w:tc>
          <w:tcPr>
            <w:tcW w:w="6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520" w:type="dxa"/>
            <w:vAlign w:val="bottom"/>
            <w:tcBorders>
              <w:top w:val="single" w:sz="8" w:color="D2DCE5"/>
            </w:tcBorders>
            <w:shd w:val="clear" w:color="auto" w:fill="D2DCE5"/>
          </w:tcPr>
          <w:p>
            <w:pPr>
              <w:spacing w:after="0" w:line="20" w:lineRule="exact"/>
              <w:rPr>
                <w:sz w:val="1"/>
                <w:szCs w:val="1"/>
                <w:color w:val="auto"/>
              </w:rPr>
            </w:pPr>
          </w:p>
        </w:tc>
        <w:tc>
          <w:tcPr>
            <w:tcW w:w="460" w:type="dxa"/>
            <w:vAlign w:val="bottom"/>
            <w:tcBorders>
              <w:top w:val="single" w:sz="8" w:color="D2DCE5"/>
            </w:tcBorders>
            <w:shd w:val="clear" w:color="auto" w:fill="D2DCE5"/>
          </w:tcPr>
          <w:p>
            <w:pPr>
              <w:spacing w:after="0" w:line="20" w:lineRule="exact"/>
              <w:rPr>
                <w:sz w:val="1"/>
                <w:szCs w:val="1"/>
                <w:color w:val="auto"/>
              </w:rPr>
            </w:pPr>
          </w:p>
        </w:tc>
        <w:tc>
          <w:tcPr>
            <w:tcW w:w="160" w:type="dxa"/>
            <w:vAlign w:val="bottom"/>
            <w:tcBorders>
              <w:top w:val="single" w:sz="8" w:color="D2DCE5"/>
            </w:tcBorders>
            <w:shd w:val="clear" w:color="auto" w:fill="D2DCE5"/>
          </w:tcPr>
          <w:p>
            <w:pPr>
              <w:spacing w:after="0" w:line="20" w:lineRule="exact"/>
              <w:rPr>
                <w:sz w:val="1"/>
                <w:szCs w:val="1"/>
                <w:color w:val="auto"/>
              </w:rPr>
            </w:pPr>
          </w:p>
        </w:tc>
        <w:tc>
          <w:tcPr>
            <w:tcW w:w="6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6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880" w:type="dxa"/>
            <w:vAlign w:val="bottom"/>
            <w:tcBorders>
              <w:top w:val="single" w:sz="8" w:color="D2DCE5"/>
            </w:tcBorders>
            <w:shd w:val="clear" w:color="auto" w:fill="D2DCE5"/>
          </w:tcPr>
          <w:p>
            <w:pPr>
              <w:spacing w:after="0" w:line="20" w:lineRule="exact"/>
              <w:rPr>
                <w:sz w:val="1"/>
                <w:szCs w:val="1"/>
                <w:color w:val="auto"/>
              </w:rPr>
            </w:pPr>
          </w:p>
        </w:tc>
        <w:tc>
          <w:tcPr>
            <w:tcW w:w="1260" w:type="dxa"/>
            <w:vAlign w:val="bottom"/>
            <w:tcBorders>
              <w:top w:val="single" w:sz="8" w:color="D2DCE5"/>
            </w:tcBorders>
            <w:shd w:val="clear" w:color="auto" w:fill="D2DCE5"/>
          </w:tcPr>
          <w:p>
            <w:pPr>
              <w:spacing w:after="0" w:line="20" w:lineRule="exact"/>
              <w:rPr>
                <w:sz w:val="1"/>
                <w:szCs w:val="1"/>
                <w:color w:val="auto"/>
              </w:rPr>
            </w:pPr>
          </w:p>
        </w:tc>
        <w:tc>
          <w:tcPr>
            <w:tcW w:w="88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56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940" w:type="dxa"/>
            <w:vAlign w:val="bottom"/>
            <w:tcBorders>
              <w:top w:val="single" w:sz="8" w:color="D2DCE5"/>
            </w:tcBorders>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bottom w:val="single" w:sz="8" w:color="0000FF"/>
            </w:tcBorders>
            <w:gridSpan w:val="21"/>
          </w:tcPr>
          <w:p>
            <w:pPr>
              <w:spacing w:after="0" w:line="148" w:lineRule="exact"/>
              <w:rPr>
                <w:rFonts w:ascii="Arial" w:cs="Arial" w:eastAsia="Arial" w:hAnsi="Arial"/>
                <w:sz w:val="13"/>
                <w:szCs w:val="13"/>
                <w:color w:val="0000FF"/>
                <w:w w:val="97"/>
              </w:rPr>
            </w:pPr>
            <w:hyperlink r:id="rId367">
              <w:r>
                <w:rPr>
                  <w:rFonts w:ascii="Arial" w:cs="Arial" w:eastAsia="Arial" w:hAnsi="Arial"/>
                  <w:sz w:val="13"/>
                  <w:szCs w:val="13"/>
                  <w:color w:val="0000FF"/>
                  <w:w w:val="97"/>
                </w:rPr>
                <w:t>Form of Stock Option Grant Notice, Stock Option Agreement and Notice of</w:t>
              </w:r>
            </w:hyperlink>
          </w:p>
        </w:tc>
        <w:tc>
          <w:tcPr>
            <w:tcW w:w="200" w:type="dxa"/>
            <w:vAlign w:val="bottom"/>
            <w:gridSpan w:val="3"/>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8"/>
              </w:rPr>
              <w:t>10.8†</w:t>
            </w:r>
          </w:p>
        </w:tc>
        <w:tc>
          <w:tcPr>
            <w:tcW w:w="20" w:type="dxa"/>
            <w:vAlign w:val="bottom"/>
          </w:tcPr>
          <w:p>
            <w:pPr>
              <w:spacing w:after="0"/>
              <w:rPr>
                <w:sz w:val="11"/>
                <w:szCs w:val="11"/>
                <w:color w:val="auto"/>
              </w:rPr>
            </w:pPr>
          </w:p>
        </w:tc>
        <w:tc>
          <w:tcPr>
            <w:tcW w:w="4380" w:type="dxa"/>
            <w:vAlign w:val="bottom"/>
            <w:gridSpan w:val="24"/>
          </w:tcPr>
          <w:p>
            <w:pPr>
              <w:spacing w:after="0" w:line="118" w:lineRule="exact"/>
              <w:rPr>
                <w:rFonts w:ascii="Arial" w:cs="Arial" w:eastAsia="Arial" w:hAnsi="Arial"/>
                <w:sz w:val="13"/>
                <w:szCs w:val="13"/>
                <w:color w:val="0000FF"/>
              </w:rPr>
            </w:pPr>
            <w:hyperlink r:id="rId367">
              <w:r>
                <w:rPr>
                  <w:rFonts w:ascii="Arial" w:cs="Arial" w:eastAsia="Arial" w:hAnsi="Arial"/>
                  <w:sz w:val="13"/>
                  <w:szCs w:val="13"/>
                  <w:color w:val="0000FF"/>
                </w:rPr>
                <w:t>Exercise under the 2021 Equity Incentive Plan.</w:t>
              </w:r>
            </w:hyperlink>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8"/>
              </w:rPr>
              <w:t>S-1/A</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10.8</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18" w:lineRule="exact"/>
              <w:rPr>
                <w:sz w:val="20"/>
                <w:szCs w:val="20"/>
                <w:color w:val="auto"/>
              </w:rPr>
            </w:pPr>
            <w:r>
              <w:rPr>
                <w:rFonts w:ascii="Arial" w:cs="Arial" w:eastAsia="Arial" w:hAnsi="Arial"/>
                <w:sz w:val="13"/>
                <w:szCs w:val="13"/>
                <w:color w:val="131E29"/>
                <w:w w:val="97"/>
              </w:rPr>
              <w:t>September 7, 2021</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4060" w:type="dxa"/>
            <w:vAlign w:val="bottom"/>
            <w:tcBorders>
              <w:bottom w:val="single" w:sz="8" w:color="0000FF"/>
            </w:tcBorders>
            <w:gridSpan w:val="18"/>
            <w:shd w:val="clear" w:color="auto" w:fill="D2DCE5"/>
          </w:tcPr>
          <w:p>
            <w:pPr>
              <w:spacing w:after="0" w:line="148" w:lineRule="exact"/>
              <w:rPr>
                <w:rFonts w:ascii="Arial" w:cs="Arial" w:eastAsia="Arial" w:hAnsi="Arial"/>
                <w:sz w:val="13"/>
                <w:szCs w:val="13"/>
                <w:color w:val="0000FF"/>
                <w:w w:val="96"/>
              </w:rPr>
            </w:pPr>
            <w:hyperlink r:id="rId368">
              <w:r>
                <w:rPr>
                  <w:rFonts w:ascii="Arial" w:cs="Arial" w:eastAsia="Arial" w:hAnsi="Arial"/>
                  <w:sz w:val="13"/>
                  <w:szCs w:val="13"/>
                  <w:color w:val="0000FF"/>
                  <w:w w:val="96"/>
                </w:rPr>
                <w:t>Form of RSU Award Grant Notice and Award Agreement under the 2021</w:t>
              </w:r>
            </w:hyperlink>
          </w:p>
        </w:tc>
        <w:tc>
          <w:tcPr>
            <w:tcW w:w="320" w:type="dxa"/>
            <w:vAlign w:val="bottom"/>
            <w:tcBorders>
              <w:bottom w:val="single" w:sz="8" w:color="D2DCE5"/>
            </w:tcBorders>
            <w:gridSpan w:val="6"/>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940" w:type="dxa"/>
            <w:vAlign w:val="bottom"/>
            <w:tcBorders>
              <w:bottom w:val="single" w:sz="8" w:color="D2DCE5"/>
            </w:tcBorders>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Borders>
              <w:bottom w:val="single" w:sz="8" w:color="D2DCE5"/>
            </w:tcBorders>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w w:val="98"/>
              </w:rPr>
              <w:t>10.9†</w:t>
            </w:r>
          </w:p>
        </w:tc>
        <w:tc>
          <w:tcPr>
            <w:tcW w:w="20" w:type="dxa"/>
            <w:vAlign w:val="bottom"/>
            <w:tcBorders>
              <w:bottom w:val="single" w:sz="8" w:color="D2DCE5"/>
            </w:tcBorders>
            <w:shd w:val="clear" w:color="auto" w:fill="D2DCE5"/>
          </w:tcPr>
          <w:p>
            <w:pPr>
              <w:spacing w:after="0"/>
              <w:rPr>
                <w:sz w:val="13"/>
                <w:szCs w:val="13"/>
                <w:color w:val="auto"/>
              </w:rPr>
            </w:pPr>
          </w:p>
        </w:tc>
        <w:tc>
          <w:tcPr>
            <w:tcW w:w="1220" w:type="dxa"/>
            <w:vAlign w:val="bottom"/>
            <w:tcBorders>
              <w:bottom w:val="single" w:sz="8" w:color="0000FF"/>
            </w:tcBorders>
            <w:gridSpan w:val="2"/>
            <w:shd w:val="clear" w:color="auto" w:fill="D2DCE5"/>
          </w:tcPr>
          <w:p>
            <w:pPr>
              <w:spacing w:after="0" w:line="118" w:lineRule="exact"/>
              <w:rPr>
                <w:rFonts w:ascii="Arial" w:cs="Arial" w:eastAsia="Arial" w:hAnsi="Arial"/>
                <w:sz w:val="13"/>
                <w:szCs w:val="13"/>
                <w:color w:val="0000FF"/>
                <w:w w:val="95"/>
              </w:rPr>
            </w:pPr>
            <w:hyperlink r:id="rId368">
              <w:r>
                <w:rPr>
                  <w:rFonts w:ascii="Arial" w:cs="Arial" w:eastAsia="Arial" w:hAnsi="Arial"/>
                  <w:sz w:val="13"/>
                  <w:szCs w:val="13"/>
                  <w:color w:val="0000FF"/>
                  <w:w w:val="95"/>
                </w:rPr>
                <w:t>Equity Incentive Plan.</w:t>
              </w:r>
            </w:hyperlink>
          </w:p>
        </w:tc>
        <w:tc>
          <w:tcPr>
            <w:tcW w:w="3160" w:type="dxa"/>
            <w:vAlign w:val="bottom"/>
            <w:tcBorders>
              <w:bottom w:val="single" w:sz="8" w:color="D2DCE5"/>
            </w:tcBorders>
            <w:gridSpan w:val="22"/>
            <w:shd w:val="clear" w:color="auto" w:fill="D2DCE5"/>
          </w:tcPr>
          <w:p>
            <w:pPr>
              <w:spacing w:after="0"/>
              <w:rPr>
                <w:sz w:val="13"/>
                <w:szCs w:val="13"/>
                <w:color w:val="auto"/>
              </w:rPr>
            </w:pPr>
          </w:p>
        </w:tc>
        <w:tc>
          <w:tcPr>
            <w:tcW w:w="880" w:type="dxa"/>
            <w:vAlign w:val="bottom"/>
            <w:tcBorders>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8"/>
              </w:rPr>
              <w:t>S-1/A</w:t>
            </w:r>
          </w:p>
        </w:tc>
        <w:tc>
          <w:tcPr>
            <w:tcW w:w="1260" w:type="dxa"/>
            <w:vAlign w:val="bottom"/>
            <w:tcBorders>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7"/>
              </w:rPr>
              <w:t>333-258988</w:t>
            </w:r>
          </w:p>
        </w:tc>
        <w:tc>
          <w:tcPr>
            <w:tcW w:w="880" w:type="dxa"/>
            <w:vAlign w:val="bottom"/>
            <w:tcBorders>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10.9</w:t>
            </w:r>
          </w:p>
        </w:tc>
        <w:tc>
          <w:tcPr>
            <w:tcW w:w="100" w:type="dxa"/>
            <w:vAlign w:val="bottom"/>
            <w:tcBorders>
              <w:bottom w:val="single" w:sz="8" w:color="D2DCE5"/>
            </w:tcBorders>
            <w:shd w:val="clear" w:color="auto" w:fill="D2DCE5"/>
          </w:tcPr>
          <w:p>
            <w:pPr>
              <w:spacing w:after="0"/>
              <w:rPr>
                <w:sz w:val="13"/>
                <w:szCs w:val="13"/>
                <w:color w:val="auto"/>
              </w:rPr>
            </w:pPr>
          </w:p>
        </w:tc>
        <w:tc>
          <w:tcPr>
            <w:tcW w:w="1660" w:type="dxa"/>
            <w:vAlign w:val="bottom"/>
            <w:tcBorders>
              <w:bottom w:val="single" w:sz="8" w:color="D2DCE5"/>
            </w:tcBorders>
            <w:gridSpan w:val="2"/>
            <w:shd w:val="clear" w:color="auto" w:fill="D2DCE5"/>
          </w:tcPr>
          <w:p>
            <w:pPr>
              <w:jc w:val="center"/>
              <w:ind w:right="100"/>
              <w:spacing w:after="0" w:line="118" w:lineRule="exact"/>
              <w:rPr>
                <w:sz w:val="20"/>
                <w:szCs w:val="20"/>
                <w:color w:val="auto"/>
              </w:rPr>
            </w:pPr>
            <w:r>
              <w:rPr>
                <w:rFonts w:ascii="Arial" w:cs="Arial" w:eastAsia="Arial" w:hAnsi="Arial"/>
                <w:sz w:val="13"/>
                <w:szCs w:val="13"/>
                <w:color w:val="131E29"/>
                <w:w w:val="97"/>
              </w:rPr>
              <w:t>September 7, 2021</w:t>
            </w:r>
          </w:p>
        </w:tc>
        <w:tc>
          <w:tcPr>
            <w:tcW w:w="940" w:type="dxa"/>
            <w:vAlign w:val="bottom"/>
            <w:tcBorders>
              <w:bottom w:val="single" w:sz="8" w:color="D2DCE5"/>
            </w:tcBorders>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bottom w:val="single" w:sz="8" w:color="0000FF"/>
            </w:tcBorders>
            <w:gridSpan w:val="17"/>
          </w:tcPr>
          <w:p>
            <w:pPr>
              <w:spacing w:after="0" w:line="148" w:lineRule="exact"/>
              <w:rPr>
                <w:rFonts w:ascii="Arial" w:cs="Arial" w:eastAsia="Arial" w:hAnsi="Arial"/>
                <w:sz w:val="13"/>
                <w:szCs w:val="13"/>
                <w:color w:val="0000FF"/>
                <w:w w:val="96"/>
              </w:rPr>
            </w:pPr>
            <w:hyperlink r:id="rId369">
              <w:r>
                <w:rPr>
                  <w:rFonts w:ascii="Arial" w:cs="Arial" w:eastAsia="Arial" w:hAnsi="Arial"/>
                  <w:sz w:val="13"/>
                  <w:szCs w:val="13"/>
                  <w:color w:val="0000FF"/>
                  <w:w w:val="96"/>
                </w:rPr>
                <w:t>Form of Restricted Stock Grant Notice and Restricted Stock Agreement</w:t>
              </w:r>
            </w:hyperlink>
          </w:p>
        </w:tc>
        <w:tc>
          <w:tcPr>
            <w:tcW w:w="380" w:type="dxa"/>
            <w:vAlign w:val="bottom"/>
            <w:gridSpan w:val="7"/>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10.10†</w:t>
            </w:r>
          </w:p>
        </w:tc>
        <w:tc>
          <w:tcPr>
            <w:tcW w:w="20" w:type="dxa"/>
            <w:vAlign w:val="bottom"/>
          </w:tcPr>
          <w:p>
            <w:pPr>
              <w:spacing w:after="0"/>
              <w:rPr>
                <w:sz w:val="11"/>
                <w:szCs w:val="11"/>
                <w:color w:val="auto"/>
              </w:rPr>
            </w:pPr>
          </w:p>
        </w:tc>
        <w:tc>
          <w:tcPr>
            <w:tcW w:w="4380" w:type="dxa"/>
            <w:vAlign w:val="bottom"/>
            <w:gridSpan w:val="24"/>
          </w:tcPr>
          <w:p>
            <w:pPr>
              <w:spacing w:after="0" w:line="118" w:lineRule="exact"/>
              <w:rPr>
                <w:rFonts w:ascii="Arial" w:cs="Arial" w:eastAsia="Arial" w:hAnsi="Arial"/>
                <w:sz w:val="13"/>
                <w:szCs w:val="13"/>
                <w:color w:val="0000FF"/>
              </w:rPr>
            </w:pPr>
            <w:hyperlink r:id="rId369">
              <w:r>
                <w:rPr>
                  <w:rFonts w:ascii="Arial" w:cs="Arial" w:eastAsia="Arial" w:hAnsi="Arial"/>
                  <w:sz w:val="13"/>
                  <w:szCs w:val="13"/>
                  <w:color w:val="0000FF"/>
                </w:rPr>
                <w:t>under the 2021 Equity Incentive Plan.</w:t>
              </w:r>
            </w:hyperlink>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8"/>
              </w:rPr>
              <w:t>S-1/A</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18" w:lineRule="exact"/>
              <w:rPr>
                <w:sz w:val="20"/>
                <w:szCs w:val="20"/>
                <w:color w:val="auto"/>
              </w:rPr>
            </w:pPr>
            <w:r>
              <w:rPr>
                <w:rFonts w:ascii="Arial" w:cs="Arial" w:eastAsia="Arial" w:hAnsi="Arial"/>
                <w:sz w:val="13"/>
                <w:szCs w:val="13"/>
                <w:color w:val="131E29"/>
                <w:w w:val="97"/>
              </w:rPr>
              <w:t>September 7, 2021</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3820" w:type="dxa"/>
            <w:vAlign w:val="bottom"/>
            <w:tcBorders>
              <w:bottom w:val="single" w:sz="8" w:color="0000FF"/>
            </w:tcBorders>
            <w:gridSpan w:val="13"/>
            <w:shd w:val="clear" w:color="auto" w:fill="D2DCE5"/>
          </w:tcPr>
          <w:p>
            <w:pPr>
              <w:spacing w:after="0" w:line="148" w:lineRule="exact"/>
              <w:rPr>
                <w:rFonts w:ascii="Arial" w:cs="Arial" w:eastAsia="Arial" w:hAnsi="Arial"/>
                <w:sz w:val="13"/>
                <w:szCs w:val="13"/>
                <w:color w:val="0000FF"/>
                <w:w w:val="96"/>
              </w:rPr>
            </w:pPr>
            <w:hyperlink r:id="rId370">
              <w:r>
                <w:rPr>
                  <w:rFonts w:ascii="Arial" w:cs="Arial" w:eastAsia="Arial" w:hAnsi="Arial"/>
                  <w:sz w:val="13"/>
                  <w:szCs w:val="13"/>
                  <w:color w:val="0000FF"/>
                  <w:w w:val="96"/>
                </w:rPr>
                <w:t>Offer Letter by and between Jonathan Ricci and the Company dated</w:t>
              </w:r>
            </w:hyperlink>
          </w:p>
        </w:tc>
        <w:tc>
          <w:tcPr>
            <w:tcW w:w="560" w:type="dxa"/>
            <w:vAlign w:val="bottom"/>
            <w:tcBorders>
              <w:bottom w:val="single" w:sz="8" w:color="D2DCE5"/>
            </w:tcBorders>
            <w:gridSpan w:val="11"/>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940" w:type="dxa"/>
            <w:vAlign w:val="bottom"/>
            <w:tcBorders>
              <w:bottom w:val="single" w:sz="8" w:color="D2DCE5"/>
            </w:tcBorders>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60" w:type="dxa"/>
            <w:vAlign w:val="bottom"/>
            <w:tcBorders>
              <w:bottom w:val="single" w:sz="8" w:color="D2DCE5"/>
            </w:tcBorders>
            <w:gridSpan w:val="2"/>
            <w:shd w:val="clear" w:color="auto" w:fill="D2DCE5"/>
          </w:tcPr>
          <w:p>
            <w:pPr>
              <w:jc w:val="center"/>
              <w:ind w:right="100"/>
              <w:spacing w:after="0" w:line="128" w:lineRule="exact"/>
              <w:rPr>
                <w:sz w:val="20"/>
                <w:szCs w:val="20"/>
                <w:color w:val="auto"/>
              </w:rPr>
            </w:pPr>
            <w:r>
              <w:rPr>
                <w:rFonts w:ascii="Arial" w:cs="Arial" w:eastAsia="Arial" w:hAnsi="Arial"/>
                <w:sz w:val="13"/>
                <w:szCs w:val="13"/>
                <w:color w:val="131E29"/>
                <w:w w:val="95"/>
              </w:rPr>
              <w:t>10.11†</w:t>
            </w:r>
          </w:p>
        </w:tc>
        <w:tc>
          <w:tcPr>
            <w:tcW w:w="20" w:type="dxa"/>
            <w:vAlign w:val="bottom"/>
            <w:tcBorders>
              <w:bottom w:val="single" w:sz="8" w:color="D2DCE5"/>
            </w:tcBorders>
            <w:shd w:val="clear" w:color="auto" w:fill="D2DCE5"/>
          </w:tcPr>
          <w:p>
            <w:pPr>
              <w:spacing w:after="0"/>
              <w:rPr>
                <w:sz w:val="13"/>
                <w:szCs w:val="13"/>
                <w:color w:val="auto"/>
              </w:rPr>
            </w:pPr>
          </w:p>
        </w:tc>
        <w:tc>
          <w:tcPr>
            <w:tcW w:w="1140" w:type="dxa"/>
            <w:vAlign w:val="bottom"/>
            <w:tcBorders>
              <w:bottom w:val="single" w:sz="8" w:color="0000FF"/>
            </w:tcBorders>
            <w:shd w:val="clear" w:color="auto" w:fill="D2DCE5"/>
          </w:tcPr>
          <w:p>
            <w:pPr>
              <w:spacing w:after="0" w:line="118" w:lineRule="exact"/>
              <w:rPr>
                <w:rFonts w:ascii="Arial" w:cs="Arial" w:eastAsia="Arial" w:hAnsi="Arial"/>
                <w:sz w:val="13"/>
                <w:szCs w:val="13"/>
                <w:color w:val="0000FF"/>
                <w:w w:val="95"/>
              </w:rPr>
            </w:pPr>
            <w:hyperlink r:id="rId370">
              <w:r>
                <w:rPr>
                  <w:rFonts w:ascii="Arial" w:cs="Arial" w:eastAsia="Arial" w:hAnsi="Arial"/>
                  <w:sz w:val="13"/>
                  <w:szCs w:val="13"/>
                  <w:color w:val="0000FF"/>
                  <w:w w:val="95"/>
                </w:rPr>
                <w:t>November 23, 2021.</w:t>
              </w:r>
            </w:hyperlink>
          </w:p>
        </w:tc>
        <w:tc>
          <w:tcPr>
            <w:tcW w:w="2720" w:type="dxa"/>
            <w:vAlign w:val="bottom"/>
            <w:tcBorders>
              <w:bottom w:val="single" w:sz="8" w:color="D2DCE5"/>
            </w:tcBorders>
            <w:gridSpan w:val="13"/>
            <w:shd w:val="clear" w:color="auto" w:fill="D2DCE5"/>
          </w:tcPr>
          <w:p>
            <w:pPr>
              <w:spacing w:after="0"/>
              <w:rPr>
                <w:sz w:val="13"/>
                <w:szCs w:val="13"/>
                <w:color w:val="auto"/>
              </w:rPr>
            </w:pPr>
          </w:p>
        </w:tc>
        <w:tc>
          <w:tcPr>
            <w:tcW w:w="520" w:type="dxa"/>
            <w:vAlign w:val="bottom"/>
            <w:tcBorders>
              <w:bottom w:val="single" w:sz="8" w:color="D2DCE5"/>
            </w:tcBorders>
            <w:gridSpan w:val="10"/>
            <w:shd w:val="clear" w:color="auto" w:fill="D2DCE5"/>
          </w:tcPr>
          <w:p>
            <w:pPr>
              <w:spacing w:after="0"/>
              <w:rPr>
                <w:sz w:val="13"/>
                <w:szCs w:val="13"/>
                <w:color w:val="auto"/>
              </w:rPr>
            </w:pPr>
          </w:p>
        </w:tc>
        <w:tc>
          <w:tcPr>
            <w:tcW w:w="880" w:type="dxa"/>
            <w:vAlign w:val="bottom"/>
            <w:tcBorders>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8"/>
              </w:rPr>
              <w:t>8-K</w:t>
            </w:r>
          </w:p>
        </w:tc>
        <w:tc>
          <w:tcPr>
            <w:tcW w:w="1260" w:type="dxa"/>
            <w:vAlign w:val="bottom"/>
            <w:tcBorders>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6"/>
              </w:rPr>
              <w:t>001-40798</w:t>
            </w:r>
          </w:p>
        </w:tc>
        <w:tc>
          <w:tcPr>
            <w:tcW w:w="880" w:type="dxa"/>
            <w:vAlign w:val="bottom"/>
            <w:tcBorders>
              <w:bottom w:val="single" w:sz="8" w:color="D2DCE5"/>
            </w:tcBorders>
            <w:shd w:val="clear" w:color="auto" w:fill="D2DCE5"/>
          </w:tcPr>
          <w:p>
            <w:pPr>
              <w:jc w:val="center"/>
              <w:spacing w:after="0" w:line="128" w:lineRule="exact"/>
              <w:rPr>
                <w:sz w:val="20"/>
                <w:szCs w:val="20"/>
                <w:color w:val="auto"/>
              </w:rPr>
            </w:pPr>
            <w:r>
              <w:rPr>
                <w:rFonts w:ascii="Arial" w:cs="Arial" w:eastAsia="Arial" w:hAnsi="Arial"/>
                <w:sz w:val="13"/>
                <w:szCs w:val="13"/>
                <w:color w:val="131E29"/>
                <w:w w:val="94"/>
              </w:rPr>
              <w:t>10.1</w:t>
            </w:r>
          </w:p>
        </w:tc>
        <w:tc>
          <w:tcPr>
            <w:tcW w:w="100" w:type="dxa"/>
            <w:vAlign w:val="bottom"/>
            <w:tcBorders>
              <w:bottom w:val="single" w:sz="8" w:color="D2DCE5"/>
            </w:tcBorders>
            <w:shd w:val="clear" w:color="auto" w:fill="D2DCE5"/>
          </w:tcPr>
          <w:p>
            <w:pPr>
              <w:spacing w:after="0"/>
              <w:rPr>
                <w:sz w:val="13"/>
                <w:szCs w:val="13"/>
                <w:color w:val="auto"/>
              </w:rPr>
            </w:pPr>
          </w:p>
        </w:tc>
        <w:tc>
          <w:tcPr>
            <w:tcW w:w="1660" w:type="dxa"/>
            <w:vAlign w:val="bottom"/>
            <w:tcBorders>
              <w:bottom w:val="single" w:sz="8" w:color="D2DCE5"/>
            </w:tcBorders>
            <w:gridSpan w:val="2"/>
            <w:shd w:val="clear" w:color="auto" w:fill="D2DCE5"/>
          </w:tcPr>
          <w:p>
            <w:pPr>
              <w:jc w:val="center"/>
              <w:ind w:right="100"/>
              <w:spacing w:after="0" w:line="128" w:lineRule="exact"/>
              <w:rPr>
                <w:sz w:val="20"/>
                <w:szCs w:val="20"/>
                <w:color w:val="auto"/>
              </w:rPr>
            </w:pPr>
            <w:r>
              <w:rPr>
                <w:rFonts w:ascii="Arial" w:cs="Arial" w:eastAsia="Arial" w:hAnsi="Arial"/>
                <w:sz w:val="13"/>
                <w:szCs w:val="13"/>
                <w:color w:val="131E29"/>
                <w:w w:val="97"/>
              </w:rPr>
              <w:t>December 1, 2021</w:t>
            </w:r>
          </w:p>
        </w:tc>
        <w:tc>
          <w:tcPr>
            <w:tcW w:w="940" w:type="dxa"/>
            <w:vAlign w:val="bottom"/>
            <w:tcBorders>
              <w:bottom w:val="single" w:sz="8" w:color="D2DCE5"/>
            </w:tcBorders>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3860" w:type="dxa"/>
            <w:vAlign w:val="bottom"/>
            <w:tcBorders>
              <w:top w:val="single" w:sz="8" w:color="D2DCE5"/>
              <w:bottom w:val="single" w:sz="8" w:color="0000FF"/>
            </w:tcBorders>
            <w:gridSpan w:val="14"/>
          </w:tcPr>
          <w:p>
            <w:pPr>
              <w:spacing w:after="0" w:line="148" w:lineRule="exact"/>
              <w:rPr>
                <w:rFonts w:ascii="Arial" w:cs="Arial" w:eastAsia="Arial" w:hAnsi="Arial"/>
                <w:sz w:val="13"/>
                <w:szCs w:val="13"/>
                <w:color w:val="0000FF"/>
                <w:w w:val="96"/>
              </w:rPr>
            </w:pPr>
            <w:hyperlink r:id="rId371">
              <w:r>
                <w:rPr>
                  <w:rFonts w:ascii="Arial" w:cs="Arial" w:eastAsia="Arial" w:hAnsi="Arial"/>
                  <w:sz w:val="13"/>
                  <w:szCs w:val="13"/>
                  <w:color w:val="0000FF"/>
                  <w:w w:val="96"/>
                </w:rPr>
                <w:t>Offer Letter by and between Charles Jemley and the Company dated</w:t>
              </w:r>
            </w:hyperlink>
          </w:p>
        </w:tc>
        <w:tc>
          <w:tcPr>
            <w:tcW w:w="520" w:type="dxa"/>
            <w:vAlign w:val="bottom"/>
            <w:tcBorders>
              <w:top w:val="single" w:sz="8" w:color="D2DCE5"/>
            </w:tcBorders>
            <w:gridSpan w:val="10"/>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260" w:type="dxa"/>
            <w:vAlign w:val="bottom"/>
            <w:tcBorders>
              <w:top w:val="single" w:sz="8" w:color="D2DCE5"/>
            </w:tcBorders>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00" w:type="dxa"/>
            <w:vAlign w:val="bottom"/>
            <w:tcBorders>
              <w:top w:val="single" w:sz="8" w:color="D2DCE5"/>
            </w:tcBorders>
          </w:tcPr>
          <w:p>
            <w:pPr>
              <w:spacing w:after="0"/>
              <w:rPr>
                <w:sz w:val="12"/>
                <w:szCs w:val="12"/>
                <w:color w:val="auto"/>
              </w:rPr>
            </w:pPr>
          </w:p>
        </w:tc>
        <w:tc>
          <w:tcPr>
            <w:tcW w:w="1560" w:type="dxa"/>
            <w:vAlign w:val="bottom"/>
            <w:tcBorders>
              <w:top w:val="single" w:sz="8" w:color="D2DCE5"/>
            </w:tcBorders>
          </w:tcPr>
          <w:p>
            <w:pPr>
              <w:spacing w:after="0"/>
              <w:rPr>
                <w:sz w:val="12"/>
                <w:szCs w:val="12"/>
                <w:color w:val="auto"/>
              </w:rPr>
            </w:pPr>
          </w:p>
        </w:tc>
        <w:tc>
          <w:tcPr>
            <w:tcW w:w="100" w:type="dxa"/>
            <w:vAlign w:val="bottom"/>
            <w:tcBorders>
              <w:top w:val="single" w:sz="8" w:color="D2DCE5"/>
            </w:tcBorders>
          </w:tcPr>
          <w:p>
            <w:pPr>
              <w:spacing w:after="0"/>
              <w:rPr>
                <w:sz w:val="12"/>
                <w:szCs w:val="12"/>
                <w:color w:val="auto"/>
              </w:rPr>
            </w:pPr>
          </w:p>
        </w:tc>
        <w:tc>
          <w:tcPr>
            <w:tcW w:w="940" w:type="dxa"/>
            <w:vAlign w:val="bottom"/>
            <w:tcBorders>
              <w:top w:val="single" w:sz="8" w:color="D2DCE5"/>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10.12†</w:t>
            </w:r>
          </w:p>
        </w:tc>
        <w:tc>
          <w:tcPr>
            <w:tcW w:w="20" w:type="dxa"/>
            <w:vAlign w:val="bottom"/>
          </w:tcPr>
          <w:p>
            <w:pPr>
              <w:spacing w:after="0"/>
              <w:rPr>
                <w:sz w:val="11"/>
                <w:szCs w:val="11"/>
                <w:color w:val="auto"/>
              </w:rPr>
            </w:pPr>
          </w:p>
        </w:tc>
        <w:tc>
          <w:tcPr>
            <w:tcW w:w="1140" w:type="dxa"/>
            <w:vAlign w:val="bottom"/>
            <w:tcBorders>
              <w:bottom w:val="single" w:sz="8" w:color="0000FF"/>
            </w:tcBorders>
          </w:tcPr>
          <w:p>
            <w:pPr>
              <w:spacing w:after="0" w:line="118" w:lineRule="exact"/>
              <w:rPr>
                <w:rFonts w:ascii="Arial" w:cs="Arial" w:eastAsia="Arial" w:hAnsi="Arial"/>
                <w:sz w:val="13"/>
                <w:szCs w:val="13"/>
                <w:color w:val="0000FF"/>
                <w:w w:val="95"/>
              </w:rPr>
            </w:pPr>
            <w:hyperlink r:id="rId371">
              <w:r>
                <w:rPr>
                  <w:rFonts w:ascii="Arial" w:cs="Arial" w:eastAsia="Arial" w:hAnsi="Arial"/>
                  <w:sz w:val="13"/>
                  <w:szCs w:val="13"/>
                  <w:color w:val="0000FF"/>
                  <w:w w:val="95"/>
                </w:rPr>
                <w:t>November 23, 2021.</w:t>
              </w:r>
            </w:hyperlink>
          </w:p>
        </w:tc>
        <w:tc>
          <w:tcPr>
            <w:tcW w:w="3240" w:type="dxa"/>
            <w:vAlign w:val="bottom"/>
            <w:gridSpan w:val="23"/>
          </w:tcPr>
          <w:p>
            <w:pPr>
              <w:spacing w:after="0"/>
              <w:rPr>
                <w:sz w:val="11"/>
                <w:szCs w:val="11"/>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18" w:lineRule="exact"/>
              <w:rPr>
                <w:sz w:val="20"/>
                <w:szCs w:val="20"/>
                <w:color w:val="auto"/>
              </w:rPr>
            </w:pPr>
            <w:r>
              <w:rPr>
                <w:rFonts w:ascii="Arial" w:cs="Arial" w:eastAsia="Arial" w:hAnsi="Arial"/>
                <w:sz w:val="13"/>
                <w:szCs w:val="13"/>
                <w:color w:val="131E29"/>
                <w:w w:val="97"/>
              </w:rPr>
              <w:t>December 1, 2021</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75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9" w:name="page140"/>
    <w:bookmarkEnd w:id="1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131E29"/>
              </w:rPr>
              <w:t>Exhibit Number</w:t>
            </w:r>
          </w:p>
        </w:tc>
        <w:tc>
          <w:tcPr>
            <w:tcW w:w="20" w:type="dxa"/>
            <w:vAlign w:val="bottom"/>
          </w:tcPr>
          <w:p>
            <w:pPr>
              <w:spacing w:after="0"/>
              <w:rPr>
                <w:sz w:val="13"/>
                <w:szCs w:val="13"/>
                <w:color w:val="auto"/>
              </w:rPr>
            </w:pPr>
          </w:p>
        </w:tc>
        <w:tc>
          <w:tcPr>
            <w:tcW w:w="4280" w:type="dxa"/>
            <w:vAlign w:val="bottom"/>
            <w:gridSpan w:val="28"/>
          </w:tcPr>
          <w:p>
            <w:pPr>
              <w:spacing w:after="0"/>
              <w:rPr>
                <w:sz w:val="20"/>
                <w:szCs w:val="20"/>
                <w:color w:val="auto"/>
              </w:rPr>
            </w:pPr>
            <w:r>
              <w:rPr>
                <w:rFonts w:ascii="Arial" w:cs="Arial" w:eastAsia="Arial" w:hAnsi="Arial"/>
                <w:sz w:val="11"/>
                <w:szCs w:val="11"/>
                <w:b w:val="1"/>
                <w:bCs w:val="1"/>
                <w:color w:val="131E29"/>
              </w:rPr>
              <w:t>Description</w:t>
            </w:r>
          </w:p>
        </w:tc>
      </w:tr>
      <w:tr>
        <w:trPr>
          <w:trHeight w:val="144"/>
        </w:trPr>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20" w:type="dxa"/>
            <w:vAlign w:val="bottom"/>
            <w:tcBorders>
              <w:top w:val="single" w:sz="8" w:color="auto"/>
              <w:bottom w:val="single" w:sz="8" w:color="0000FF"/>
            </w:tcBorders>
            <w:gridSpan w:val="17"/>
          </w:tcPr>
          <w:p>
            <w:pPr>
              <w:spacing w:after="0" w:line="144" w:lineRule="exact"/>
              <w:rPr>
                <w:rFonts w:ascii="Arial" w:cs="Arial" w:eastAsia="Arial" w:hAnsi="Arial"/>
                <w:sz w:val="13"/>
                <w:szCs w:val="13"/>
                <w:color w:val="0000FF"/>
                <w:w w:val="96"/>
              </w:rPr>
            </w:pPr>
            <w:hyperlink r:id="rId374">
              <w:r>
                <w:rPr>
                  <w:rFonts w:ascii="Arial" w:cs="Arial" w:eastAsia="Arial" w:hAnsi="Arial"/>
                  <w:sz w:val="13"/>
                  <w:szCs w:val="13"/>
                  <w:color w:val="0000FF"/>
                  <w:w w:val="96"/>
                </w:rPr>
                <w:t>Offer Letter by and between Stephen Gillett and the Company dated</w:t>
              </w:r>
            </w:hyperlink>
          </w:p>
        </w:tc>
        <w:tc>
          <w:tcPr>
            <w:tcW w:w="460" w:type="dxa"/>
            <w:vAlign w:val="bottom"/>
            <w:tcBorders>
              <w:top w:val="single" w:sz="8" w:color="auto"/>
            </w:tcBorders>
            <w:gridSpan w:val="11"/>
          </w:tcPr>
          <w:p>
            <w:pPr>
              <w:spacing w:after="0"/>
              <w:rPr>
                <w:sz w:val="12"/>
                <w:szCs w:val="12"/>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10.13†</w:t>
            </w:r>
          </w:p>
        </w:tc>
        <w:tc>
          <w:tcPr>
            <w:tcW w:w="20" w:type="dxa"/>
            <w:vAlign w:val="bottom"/>
          </w:tcPr>
          <w:p>
            <w:pPr>
              <w:spacing w:after="0"/>
              <w:rPr>
                <w:sz w:val="11"/>
                <w:szCs w:val="11"/>
                <w:color w:val="auto"/>
              </w:rPr>
            </w:pPr>
          </w:p>
        </w:tc>
        <w:tc>
          <w:tcPr>
            <w:tcW w:w="4280" w:type="dxa"/>
            <w:vAlign w:val="bottom"/>
            <w:gridSpan w:val="28"/>
          </w:tcPr>
          <w:p>
            <w:pPr>
              <w:spacing w:after="0" w:line="118" w:lineRule="exact"/>
              <w:rPr>
                <w:rFonts w:ascii="Arial" w:cs="Arial" w:eastAsia="Arial" w:hAnsi="Arial"/>
                <w:sz w:val="13"/>
                <w:szCs w:val="13"/>
                <w:color w:val="0000FF"/>
              </w:rPr>
            </w:pPr>
            <w:hyperlink r:id="rId374">
              <w:r>
                <w:rPr>
                  <w:rFonts w:ascii="Arial" w:cs="Arial" w:eastAsia="Arial" w:hAnsi="Arial"/>
                  <w:sz w:val="13"/>
                  <w:szCs w:val="13"/>
                  <w:color w:val="0000FF"/>
                </w:rPr>
                <w:t>November 5, 2021.</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Borders>
              <w:bottom w:val="single" w:sz="8" w:color="0000FF"/>
            </w:tcBorders>
            <w:gridSpan w:val="16"/>
          </w:tcPr>
          <w:p>
            <w:pPr>
              <w:spacing w:after="0"/>
              <w:rPr>
                <w:rFonts w:ascii="Arial" w:cs="Arial" w:eastAsia="Arial" w:hAnsi="Arial"/>
                <w:sz w:val="13"/>
                <w:szCs w:val="13"/>
                <w:color w:val="0000FF"/>
                <w:w w:val="96"/>
              </w:rPr>
            </w:pPr>
            <w:hyperlink r:id="rId375">
              <w:r>
                <w:rPr>
                  <w:rFonts w:ascii="Arial" w:cs="Arial" w:eastAsia="Arial" w:hAnsi="Arial"/>
                  <w:sz w:val="13"/>
                  <w:szCs w:val="13"/>
                  <w:color w:val="0000FF"/>
                  <w:w w:val="96"/>
                </w:rPr>
                <w:t>Offer Letter by and between Brian Maxwell and the Company dated</w:t>
              </w:r>
            </w:hyperlink>
          </w:p>
        </w:tc>
        <w:tc>
          <w:tcPr>
            <w:tcW w:w="500" w:type="dxa"/>
            <w:vAlign w:val="bottom"/>
            <w:gridSpan w:val="12"/>
          </w:tcPr>
          <w:p>
            <w:pPr>
              <w:spacing w:after="0"/>
              <w:rPr>
                <w:sz w:val="15"/>
                <w:szCs w:val="15"/>
                <w:color w:val="auto"/>
              </w:rPr>
            </w:pPr>
          </w:p>
        </w:tc>
      </w:tr>
      <w:tr>
        <w:trPr>
          <w:trHeight w:val="128"/>
        </w:trPr>
        <w:tc>
          <w:tcPr>
            <w:tcW w:w="11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131E29"/>
              </w:rPr>
              <w:t>10.14†</w:t>
            </w:r>
          </w:p>
        </w:tc>
        <w:tc>
          <w:tcPr>
            <w:tcW w:w="20" w:type="dxa"/>
            <w:vAlign w:val="bottom"/>
          </w:tcPr>
          <w:p>
            <w:pPr>
              <w:spacing w:after="0"/>
              <w:rPr>
                <w:sz w:val="11"/>
                <w:szCs w:val="11"/>
                <w:color w:val="auto"/>
              </w:rPr>
            </w:pPr>
          </w:p>
        </w:tc>
        <w:tc>
          <w:tcPr>
            <w:tcW w:w="1140" w:type="dxa"/>
            <w:vAlign w:val="bottom"/>
            <w:tcBorders>
              <w:bottom w:val="single" w:sz="8" w:color="0000FF"/>
            </w:tcBorders>
            <w:gridSpan w:val="6"/>
          </w:tcPr>
          <w:p>
            <w:pPr>
              <w:spacing w:after="0" w:line="118" w:lineRule="exact"/>
              <w:rPr>
                <w:rFonts w:ascii="Arial" w:cs="Arial" w:eastAsia="Arial" w:hAnsi="Arial"/>
                <w:sz w:val="13"/>
                <w:szCs w:val="13"/>
                <w:color w:val="0000FF"/>
                <w:w w:val="95"/>
              </w:rPr>
            </w:pPr>
            <w:hyperlink r:id="rId375">
              <w:r>
                <w:rPr>
                  <w:rFonts w:ascii="Arial" w:cs="Arial" w:eastAsia="Arial" w:hAnsi="Arial"/>
                  <w:sz w:val="13"/>
                  <w:szCs w:val="13"/>
                  <w:color w:val="0000FF"/>
                  <w:w w:val="95"/>
                </w:rPr>
                <w:t>November 23, 2021.</w:t>
              </w:r>
            </w:hyperlink>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0000FF"/>
            </w:tcBorders>
            <w:gridSpan w:val="19"/>
          </w:tcPr>
          <w:p>
            <w:pPr>
              <w:spacing w:after="0"/>
              <w:rPr>
                <w:rFonts w:ascii="Arial" w:cs="Arial" w:eastAsia="Arial" w:hAnsi="Arial"/>
                <w:sz w:val="13"/>
                <w:szCs w:val="13"/>
                <w:color w:val="0000FF"/>
                <w:w w:val="96"/>
              </w:rPr>
            </w:pPr>
            <w:hyperlink r:id="rId376">
              <w:r>
                <w:rPr>
                  <w:rFonts w:ascii="Arial" w:cs="Arial" w:eastAsia="Arial" w:hAnsi="Arial"/>
                  <w:sz w:val="13"/>
                  <w:szCs w:val="13"/>
                  <w:color w:val="0000FF"/>
                  <w:w w:val="96"/>
                </w:rPr>
                <w:t>Amended and Restated Credit Agreement by and between JPMorgan</w:t>
              </w:r>
            </w:hyperlink>
          </w:p>
        </w:tc>
        <w:tc>
          <w:tcPr>
            <w:tcW w:w="380" w:type="dxa"/>
            <w:vAlign w:val="bottom"/>
            <w:gridSpan w:val="9"/>
          </w:tcPr>
          <w:p>
            <w:pPr>
              <w:spacing w:after="0"/>
              <w:rPr>
                <w:sz w:val="15"/>
                <w:szCs w:val="15"/>
                <w:color w:val="auto"/>
              </w:rPr>
            </w:pPr>
          </w:p>
        </w:tc>
      </w:tr>
      <w:tr>
        <w:trPr>
          <w:trHeight w:val="128"/>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bottom w:val="single" w:sz="8" w:color="0000FF"/>
            </w:tcBorders>
            <w:gridSpan w:val="26"/>
          </w:tcPr>
          <w:p>
            <w:pPr>
              <w:spacing w:after="0" w:line="128" w:lineRule="exact"/>
              <w:rPr>
                <w:rFonts w:ascii="Arial" w:cs="Arial" w:eastAsia="Arial" w:hAnsi="Arial"/>
                <w:sz w:val="13"/>
                <w:szCs w:val="13"/>
                <w:color w:val="0000FF"/>
                <w:w w:val="96"/>
              </w:rPr>
            </w:pPr>
            <w:hyperlink r:id="rId376">
              <w:r>
                <w:rPr>
                  <w:rFonts w:ascii="Arial" w:cs="Arial" w:eastAsia="Arial" w:hAnsi="Arial"/>
                  <w:sz w:val="13"/>
                  <w:szCs w:val="13"/>
                  <w:color w:val="0000FF"/>
                  <w:w w:val="96"/>
                </w:rPr>
                <w:t>Chase Bank, N.A., the Company, and the other parties listed therein, dated</w:t>
              </w:r>
            </w:hyperlink>
          </w:p>
        </w:tc>
        <w:tc>
          <w:tcPr>
            <w:tcW w:w="80" w:type="dxa"/>
            <w:vAlign w:val="bottom"/>
            <w:gridSpan w:val="2"/>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gridSpan w:val="28"/>
          </w:tcPr>
          <w:p>
            <w:pPr>
              <w:spacing w:after="0" w:line="139" w:lineRule="exact"/>
              <w:rPr>
                <w:rFonts w:ascii="Arial" w:cs="Arial" w:eastAsia="Arial" w:hAnsi="Arial"/>
                <w:sz w:val="13"/>
                <w:szCs w:val="13"/>
                <w:color w:val="0000FF"/>
              </w:rPr>
            </w:pPr>
            <w:hyperlink r:id="rId376">
              <w:r>
                <w:rPr>
                  <w:rFonts w:ascii="Arial" w:cs="Arial" w:eastAsia="Arial" w:hAnsi="Arial"/>
                  <w:sz w:val="13"/>
                  <w:szCs w:val="13"/>
                  <w:color w:val="0000FF"/>
                </w:rPr>
                <w:t>February 28, 2022.</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bottom w:val="single" w:sz="8" w:color="0000FF"/>
            </w:tcBorders>
            <w:gridSpan w:val="21"/>
          </w:tcPr>
          <w:p>
            <w:pPr>
              <w:spacing w:after="0"/>
              <w:rPr>
                <w:rFonts w:ascii="Arial" w:cs="Arial" w:eastAsia="Arial" w:hAnsi="Arial"/>
                <w:sz w:val="13"/>
                <w:szCs w:val="13"/>
                <w:color w:val="0000FF"/>
                <w:w w:val="97"/>
              </w:rPr>
            </w:pPr>
            <w:hyperlink r:id="rId377">
              <w:r>
                <w:rPr>
                  <w:rFonts w:ascii="Arial" w:cs="Arial" w:eastAsia="Arial" w:hAnsi="Arial"/>
                  <w:sz w:val="13"/>
                  <w:szCs w:val="13"/>
                  <w:color w:val="0000FF"/>
                  <w:w w:val="97"/>
                </w:rPr>
                <w:t>Amendment No. 1 to Credit Agreement, dated August 4, 2023, by and</w:t>
              </w:r>
            </w:hyperlink>
          </w:p>
        </w:tc>
        <w:tc>
          <w:tcPr>
            <w:tcW w:w="340" w:type="dxa"/>
            <w:vAlign w:val="bottom"/>
            <w:gridSpan w:val="7"/>
          </w:tcPr>
          <w:p>
            <w:pPr>
              <w:spacing w:after="0"/>
              <w:rPr>
                <w:sz w:val="14"/>
                <w:szCs w:val="14"/>
                <w:color w:val="auto"/>
              </w:rPr>
            </w:pPr>
          </w:p>
        </w:tc>
      </w:tr>
      <w:tr>
        <w:trPr>
          <w:trHeight w:val="128"/>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bottom w:val="single" w:sz="8" w:color="0000FF"/>
            </w:tcBorders>
            <w:gridSpan w:val="27"/>
          </w:tcPr>
          <w:p>
            <w:pPr>
              <w:spacing w:after="0" w:line="128" w:lineRule="exact"/>
              <w:rPr>
                <w:rFonts w:ascii="Arial" w:cs="Arial" w:eastAsia="Arial" w:hAnsi="Arial"/>
                <w:sz w:val="13"/>
                <w:szCs w:val="13"/>
                <w:color w:val="0000FF"/>
                <w:w w:val="97"/>
              </w:rPr>
            </w:pPr>
            <w:hyperlink r:id="rId377">
              <w:r>
                <w:rPr>
                  <w:rFonts w:ascii="Arial" w:cs="Arial" w:eastAsia="Arial" w:hAnsi="Arial"/>
                  <w:sz w:val="13"/>
                  <w:szCs w:val="13"/>
                  <w:color w:val="0000FF"/>
                  <w:w w:val="97"/>
                </w:rPr>
                <w:t>among Dutch Bros., LLC, DB Management Co., DB Franchising USA, LLC,</w:t>
              </w:r>
            </w:hyperlink>
          </w:p>
        </w:tc>
        <w:tc>
          <w:tcPr>
            <w:tcW w:w="60" w:type="dxa"/>
            <w:vAlign w:val="bottom"/>
          </w:tcPr>
          <w:p>
            <w:pPr>
              <w:spacing w:after="0"/>
              <w:rPr>
                <w:sz w:val="11"/>
                <w:szCs w:val="11"/>
                <w:color w:val="auto"/>
              </w:rPr>
            </w:pPr>
          </w:p>
        </w:tc>
      </w:tr>
      <w:tr>
        <w:trPr>
          <w:trHeight w:val="13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bottom w:val="single" w:sz="8" w:color="0000FF"/>
            </w:tcBorders>
            <w:gridSpan w:val="20"/>
          </w:tcPr>
          <w:p>
            <w:pPr>
              <w:spacing w:after="0" w:line="139" w:lineRule="exact"/>
              <w:rPr>
                <w:rFonts w:ascii="Arial" w:cs="Arial" w:eastAsia="Arial" w:hAnsi="Arial"/>
                <w:sz w:val="13"/>
                <w:szCs w:val="13"/>
                <w:color w:val="0000FF"/>
                <w:w w:val="97"/>
              </w:rPr>
            </w:pPr>
            <w:hyperlink r:id="rId377">
              <w:r>
                <w:rPr>
                  <w:rFonts w:ascii="Arial" w:cs="Arial" w:eastAsia="Arial" w:hAnsi="Arial"/>
                  <w:sz w:val="13"/>
                  <w:szCs w:val="13"/>
                  <w:color w:val="0000FF"/>
                  <w:w w:val="97"/>
                </w:rPr>
                <w:t>Boersma Bros. LLC, the other Loan Parties party thereto, the financial</w:t>
              </w:r>
            </w:hyperlink>
          </w:p>
        </w:tc>
        <w:tc>
          <w:tcPr>
            <w:tcW w:w="360" w:type="dxa"/>
            <w:vAlign w:val="bottom"/>
            <w:gridSpan w:val="8"/>
          </w:tcPr>
          <w:p>
            <w:pPr>
              <w:spacing w:after="0"/>
              <w:rPr>
                <w:sz w:val="12"/>
                <w:szCs w:val="12"/>
                <w:color w:val="auto"/>
              </w:rPr>
            </w:pPr>
          </w:p>
        </w:tc>
      </w:tr>
      <w:tr>
        <w:trPr>
          <w:trHeight w:val="128"/>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Borders>
              <w:bottom w:val="single" w:sz="8" w:color="0000FF"/>
            </w:tcBorders>
            <w:gridSpan w:val="13"/>
          </w:tcPr>
          <w:p>
            <w:pPr>
              <w:spacing w:after="0" w:line="128" w:lineRule="exact"/>
              <w:rPr>
                <w:rFonts w:ascii="Arial" w:cs="Arial" w:eastAsia="Arial" w:hAnsi="Arial"/>
                <w:sz w:val="13"/>
                <w:szCs w:val="13"/>
                <w:color w:val="0000FF"/>
                <w:w w:val="96"/>
              </w:rPr>
            </w:pPr>
            <w:hyperlink r:id="rId377">
              <w:r>
                <w:rPr>
                  <w:rFonts w:ascii="Arial" w:cs="Arial" w:eastAsia="Arial" w:hAnsi="Arial"/>
                  <w:sz w:val="13"/>
                  <w:szCs w:val="13"/>
                  <w:color w:val="0000FF"/>
                  <w:w w:val="96"/>
                </w:rPr>
                <w:t>institutions party thereto, and J.P. Morgan Chase Bank, N.A. as</w:t>
              </w:r>
            </w:hyperlink>
          </w:p>
        </w:tc>
        <w:tc>
          <w:tcPr>
            <w:tcW w:w="740" w:type="dxa"/>
            <w:vAlign w:val="bottom"/>
            <w:gridSpan w:val="15"/>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10.16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gridSpan w:val="28"/>
          </w:tcPr>
          <w:p>
            <w:pPr>
              <w:spacing w:after="0" w:line="139" w:lineRule="exact"/>
              <w:rPr>
                <w:rFonts w:ascii="Arial" w:cs="Arial" w:eastAsia="Arial" w:hAnsi="Arial"/>
                <w:sz w:val="13"/>
                <w:szCs w:val="13"/>
                <w:color w:val="0000FF"/>
              </w:rPr>
            </w:pPr>
            <w:hyperlink r:id="rId377">
              <w:r>
                <w:rPr>
                  <w:rFonts w:ascii="Arial" w:cs="Arial" w:eastAsia="Arial" w:hAnsi="Arial"/>
                  <w:sz w:val="13"/>
                  <w:szCs w:val="13"/>
                  <w:color w:val="0000FF"/>
                </w:rPr>
                <w:t>Administrative Agent.</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8"/>
          </w:tcPr>
          <w:p>
            <w:pPr>
              <w:spacing w:after="0"/>
              <w:rPr>
                <w:rFonts w:ascii="Arial" w:cs="Arial" w:eastAsia="Arial" w:hAnsi="Arial"/>
                <w:sz w:val="13"/>
                <w:szCs w:val="13"/>
                <w:color w:val="0000FF"/>
                <w:w w:val="98"/>
              </w:rPr>
            </w:pPr>
            <w:hyperlink r:id="rId378">
              <w:r>
                <w:rPr>
                  <w:rFonts w:ascii="Arial" w:cs="Arial" w:eastAsia="Arial" w:hAnsi="Arial"/>
                  <w:sz w:val="13"/>
                  <w:szCs w:val="13"/>
                  <w:color w:val="0000FF"/>
                  <w:w w:val="98"/>
                </w:rPr>
                <w:t>Offer Letter by and between Ann M. Miller and the Company, dated August</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10.17†</w:t>
            </w:r>
          </w:p>
        </w:tc>
        <w:tc>
          <w:tcPr>
            <w:tcW w:w="540" w:type="dxa"/>
            <w:vAlign w:val="bottom"/>
            <w:gridSpan w:val="2"/>
          </w:tcPr>
          <w:p>
            <w:pPr>
              <w:ind w:left="20"/>
              <w:spacing w:after="0" w:line="118" w:lineRule="exact"/>
              <w:rPr>
                <w:rFonts w:ascii="Arial" w:cs="Arial" w:eastAsia="Arial" w:hAnsi="Arial"/>
                <w:sz w:val="13"/>
                <w:szCs w:val="13"/>
                <w:color w:val="0000FF"/>
                <w:w w:val="92"/>
              </w:rPr>
            </w:pPr>
            <w:hyperlink r:id="rId378">
              <w:r>
                <w:rPr>
                  <w:rFonts w:ascii="Arial" w:cs="Arial" w:eastAsia="Arial" w:hAnsi="Arial"/>
                  <w:sz w:val="13"/>
                  <w:szCs w:val="13"/>
                  <w:color w:val="0000FF"/>
                  <w:w w:val="92"/>
                </w:rPr>
                <w:t>12, 2022.</w:t>
              </w:r>
            </w:hyperlink>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28"/>
          </w:tcPr>
          <w:p>
            <w:pPr>
              <w:spacing w:after="0"/>
              <w:rPr>
                <w:rFonts w:ascii="Arial" w:cs="Arial" w:eastAsia="Arial" w:hAnsi="Arial"/>
                <w:sz w:val="13"/>
                <w:szCs w:val="13"/>
                <w:color w:val="0000FF"/>
                <w:w w:val="98"/>
              </w:rPr>
            </w:pPr>
            <w:hyperlink r:id="rId379">
              <w:r>
                <w:rPr>
                  <w:rFonts w:ascii="Arial" w:cs="Arial" w:eastAsia="Arial" w:hAnsi="Arial"/>
                  <w:sz w:val="13"/>
                  <w:szCs w:val="13"/>
                  <w:color w:val="0000FF"/>
                  <w:w w:val="98"/>
                </w:rPr>
                <w:t>Amended Offer Letter by and between Christine Barone and the Company,</w:t>
              </w:r>
            </w:hyperlink>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10.18†</w:t>
            </w:r>
          </w:p>
        </w:tc>
        <w:tc>
          <w:tcPr>
            <w:tcW w:w="20" w:type="dxa"/>
            <w:vAlign w:val="bottom"/>
          </w:tcPr>
          <w:p>
            <w:pPr>
              <w:spacing w:after="0"/>
              <w:rPr>
                <w:sz w:val="11"/>
                <w:szCs w:val="11"/>
                <w:color w:val="auto"/>
              </w:rPr>
            </w:pPr>
          </w:p>
        </w:tc>
        <w:tc>
          <w:tcPr>
            <w:tcW w:w="150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6"/>
              </w:rPr>
            </w:pPr>
            <w:hyperlink r:id="rId379">
              <w:r>
                <w:rPr>
                  <w:rFonts w:ascii="Arial" w:cs="Arial" w:eastAsia="Arial" w:hAnsi="Arial"/>
                  <w:sz w:val="13"/>
                  <w:szCs w:val="13"/>
                  <w:color w:val="0000FF"/>
                  <w:w w:val="96"/>
                </w:rPr>
                <w:t>dated December 27, 2023.</w:t>
              </w:r>
            </w:hyperlink>
          </w:p>
        </w:tc>
        <w:tc>
          <w:tcPr>
            <w:tcW w:w="2680" w:type="dxa"/>
            <w:vAlign w:val="bottom"/>
            <w:tcBorders>
              <w:top w:val="single" w:sz="8" w:color="0000FF"/>
            </w:tcBorders>
            <w:gridSpan w:val="17"/>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Borders>
              <w:bottom w:val="single" w:sz="8" w:color="0000FF"/>
            </w:tcBorders>
            <w:gridSpan w:val="15"/>
          </w:tcPr>
          <w:p>
            <w:pPr>
              <w:spacing w:after="0"/>
              <w:rPr>
                <w:rFonts w:ascii="Arial" w:cs="Arial" w:eastAsia="Arial" w:hAnsi="Arial"/>
                <w:sz w:val="13"/>
                <w:szCs w:val="13"/>
                <w:color w:val="0000FF"/>
                <w:w w:val="96"/>
              </w:rPr>
            </w:pPr>
            <w:hyperlink r:id="rId380">
              <w:r>
                <w:rPr>
                  <w:rFonts w:ascii="Arial" w:cs="Arial" w:eastAsia="Arial" w:hAnsi="Arial"/>
                  <w:sz w:val="13"/>
                  <w:szCs w:val="13"/>
                  <w:color w:val="0000FF"/>
                  <w:w w:val="96"/>
                </w:rPr>
                <w:t>Participation Agreement by and between Christine Barone and the</w:t>
              </w:r>
            </w:hyperlink>
          </w:p>
        </w:tc>
        <w:tc>
          <w:tcPr>
            <w:tcW w:w="560" w:type="dxa"/>
            <w:vAlign w:val="bottom"/>
            <w:gridSpan w:val="13"/>
          </w:tcPr>
          <w:p>
            <w:pPr>
              <w:spacing w:after="0"/>
              <w:rPr>
                <w:sz w:val="15"/>
                <w:szCs w:val="15"/>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10.19†</w:t>
            </w:r>
          </w:p>
        </w:tc>
        <w:tc>
          <w:tcPr>
            <w:tcW w:w="20" w:type="dxa"/>
            <w:vAlign w:val="bottom"/>
          </w:tcPr>
          <w:p>
            <w:pPr>
              <w:spacing w:after="0"/>
              <w:rPr>
                <w:sz w:val="11"/>
                <w:szCs w:val="11"/>
                <w:color w:val="auto"/>
              </w:rPr>
            </w:pPr>
          </w:p>
        </w:tc>
        <w:tc>
          <w:tcPr>
            <w:tcW w:w="4280" w:type="dxa"/>
            <w:vAlign w:val="bottom"/>
            <w:gridSpan w:val="28"/>
          </w:tcPr>
          <w:p>
            <w:pPr>
              <w:spacing w:after="0" w:line="118" w:lineRule="exact"/>
              <w:rPr>
                <w:rFonts w:ascii="Arial" w:cs="Arial" w:eastAsia="Arial" w:hAnsi="Arial"/>
                <w:sz w:val="13"/>
                <w:szCs w:val="13"/>
                <w:color w:val="0000FF"/>
              </w:rPr>
            </w:pPr>
            <w:hyperlink r:id="rId380">
              <w:r>
                <w:rPr>
                  <w:rFonts w:ascii="Arial" w:cs="Arial" w:eastAsia="Arial" w:hAnsi="Arial"/>
                  <w:sz w:val="13"/>
                  <w:szCs w:val="13"/>
                  <w:color w:val="0000FF"/>
                </w:rPr>
                <w:t>Company, dated November 9, 2022.</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25"/>
          </w:tcPr>
          <w:p>
            <w:pPr>
              <w:spacing w:after="0"/>
              <w:rPr>
                <w:rFonts w:ascii="Arial" w:cs="Arial" w:eastAsia="Arial" w:hAnsi="Arial"/>
                <w:sz w:val="13"/>
                <w:szCs w:val="13"/>
                <w:color w:val="0000FF"/>
                <w:w w:val="96"/>
              </w:rPr>
            </w:pPr>
            <w:hyperlink r:id="rId381">
              <w:r>
                <w:rPr>
                  <w:rFonts w:ascii="Arial" w:cs="Arial" w:eastAsia="Arial" w:hAnsi="Arial"/>
                  <w:sz w:val="13"/>
                  <w:szCs w:val="13"/>
                  <w:color w:val="0000FF"/>
                  <w:w w:val="96"/>
                </w:rPr>
                <w:t>Offer Letter, dated as of November 2, 2023, by and between the Company</w:t>
              </w:r>
            </w:hyperlink>
          </w:p>
        </w:tc>
        <w:tc>
          <w:tcPr>
            <w:tcW w:w="100" w:type="dxa"/>
            <w:vAlign w:val="bottom"/>
            <w:gridSpan w:val="3"/>
          </w:tcPr>
          <w:p>
            <w:pPr>
              <w:spacing w:after="0"/>
              <w:rPr>
                <w:sz w:val="15"/>
                <w:szCs w:val="15"/>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10.20†</w:t>
            </w:r>
          </w:p>
        </w:tc>
        <w:tc>
          <w:tcPr>
            <w:tcW w:w="20" w:type="dxa"/>
            <w:vAlign w:val="bottom"/>
          </w:tcPr>
          <w:p>
            <w:pPr>
              <w:spacing w:after="0"/>
              <w:rPr>
                <w:sz w:val="11"/>
                <w:szCs w:val="11"/>
                <w:color w:val="auto"/>
              </w:rPr>
            </w:pPr>
          </w:p>
        </w:tc>
        <w:tc>
          <w:tcPr>
            <w:tcW w:w="1100" w:type="dxa"/>
            <w:vAlign w:val="bottom"/>
            <w:tcBorders>
              <w:bottom w:val="single" w:sz="8" w:color="0000FF"/>
            </w:tcBorders>
            <w:gridSpan w:val="5"/>
          </w:tcPr>
          <w:p>
            <w:pPr>
              <w:spacing w:after="0" w:line="118" w:lineRule="exact"/>
              <w:rPr>
                <w:rFonts w:ascii="Arial" w:cs="Arial" w:eastAsia="Arial" w:hAnsi="Arial"/>
                <w:sz w:val="13"/>
                <w:szCs w:val="13"/>
                <w:color w:val="0000FF"/>
                <w:w w:val="95"/>
              </w:rPr>
            </w:pPr>
            <w:hyperlink r:id="rId381">
              <w:r>
                <w:rPr>
                  <w:rFonts w:ascii="Arial" w:cs="Arial" w:eastAsia="Arial" w:hAnsi="Arial"/>
                  <w:sz w:val="13"/>
                  <w:szCs w:val="13"/>
                  <w:color w:val="0000FF"/>
                  <w:w w:val="95"/>
                </w:rPr>
                <w:t>and C. David Cone.</w:t>
              </w:r>
            </w:hyperlink>
          </w:p>
        </w:tc>
        <w:tc>
          <w:tcPr>
            <w:tcW w:w="3180" w:type="dxa"/>
            <w:vAlign w:val="bottom"/>
            <w:gridSpan w:val="23"/>
          </w:tcPr>
          <w:p>
            <w:pPr>
              <w:spacing w:after="0"/>
              <w:rPr>
                <w:sz w:val="11"/>
                <w:szCs w:val="1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25"/>
          </w:tcPr>
          <w:p>
            <w:pPr>
              <w:spacing w:after="0"/>
              <w:rPr>
                <w:rFonts w:ascii="Arial" w:cs="Arial" w:eastAsia="Arial" w:hAnsi="Arial"/>
                <w:sz w:val="13"/>
                <w:szCs w:val="13"/>
                <w:color w:val="0000FF"/>
                <w:w w:val="96"/>
              </w:rPr>
            </w:pPr>
            <w:hyperlink r:id="rId382">
              <w:r>
                <w:rPr>
                  <w:rFonts w:ascii="Arial" w:cs="Arial" w:eastAsia="Arial" w:hAnsi="Arial"/>
                  <w:sz w:val="13"/>
                  <w:szCs w:val="13"/>
                  <w:color w:val="0000FF"/>
                  <w:w w:val="96"/>
                </w:rPr>
                <w:t xml:space="preserve">Offer Letter, dated as of November </w:t>
              </w:r>
            </w:hyperlink>
            <w:r>
              <w:rPr>
                <w:rFonts w:ascii="Arial" w:cs="Arial" w:eastAsia="Arial" w:hAnsi="Arial"/>
                <w:sz w:val="13"/>
                <w:szCs w:val="13"/>
                <w:color w:val="0000FF"/>
                <w:w w:val="96"/>
              </w:rPr>
              <w:t xml:space="preserve">3, </w:t>
            </w:r>
            <w:hyperlink r:id="rId382">
              <w:r>
                <w:rPr>
                  <w:rFonts w:ascii="Arial" w:cs="Arial" w:eastAsia="Arial" w:hAnsi="Arial"/>
                  <w:sz w:val="13"/>
                  <w:szCs w:val="13"/>
                  <w:color w:val="0000FF"/>
                  <w:w w:val="96"/>
                </w:rPr>
                <w:t>2023, by and between the Company</w:t>
              </w:r>
            </w:hyperlink>
          </w:p>
        </w:tc>
        <w:tc>
          <w:tcPr>
            <w:tcW w:w="100" w:type="dxa"/>
            <w:vAlign w:val="bottom"/>
            <w:gridSpan w:val="3"/>
          </w:tcPr>
          <w:p>
            <w:pPr>
              <w:spacing w:after="0"/>
              <w:rPr>
                <w:sz w:val="15"/>
                <w:szCs w:val="15"/>
                <w:color w:val="auto"/>
              </w:rPr>
            </w:pPr>
          </w:p>
        </w:tc>
      </w:tr>
      <w:tr>
        <w:trPr>
          <w:trHeight w:val="128"/>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10.21†</w:t>
            </w:r>
          </w:p>
        </w:tc>
        <w:tc>
          <w:tcPr>
            <w:tcW w:w="20" w:type="dxa"/>
            <w:vAlign w:val="bottom"/>
          </w:tcPr>
          <w:p>
            <w:pPr>
              <w:spacing w:after="0"/>
              <w:rPr>
                <w:sz w:val="11"/>
                <w:szCs w:val="11"/>
                <w:color w:val="auto"/>
              </w:rPr>
            </w:pPr>
          </w:p>
        </w:tc>
        <w:tc>
          <w:tcPr>
            <w:tcW w:w="1060" w:type="dxa"/>
            <w:vAlign w:val="bottom"/>
            <w:tcBorders>
              <w:bottom w:val="single" w:sz="8" w:color="0000FF"/>
            </w:tcBorders>
            <w:gridSpan w:val="4"/>
          </w:tcPr>
          <w:p>
            <w:pPr>
              <w:spacing w:after="0" w:line="118" w:lineRule="exact"/>
              <w:rPr>
                <w:rFonts w:ascii="Arial" w:cs="Arial" w:eastAsia="Arial" w:hAnsi="Arial"/>
                <w:sz w:val="13"/>
                <w:szCs w:val="13"/>
                <w:color w:val="0000FF"/>
                <w:w w:val="94"/>
              </w:rPr>
            </w:pPr>
            <w:hyperlink r:id="rId382">
              <w:r>
                <w:rPr>
                  <w:rFonts w:ascii="Arial" w:cs="Arial" w:eastAsia="Arial" w:hAnsi="Arial"/>
                  <w:sz w:val="13"/>
                  <w:szCs w:val="13"/>
                  <w:color w:val="0000FF"/>
                  <w:w w:val="94"/>
                </w:rPr>
                <w:t>and Sean Sullivan.</w:t>
              </w:r>
            </w:hyperlink>
          </w:p>
        </w:tc>
        <w:tc>
          <w:tcPr>
            <w:tcW w:w="3220" w:type="dxa"/>
            <w:vAlign w:val="bottom"/>
            <w:gridSpan w:val="24"/>
          </w:tcPr>
          <w:p>
            <w:pPr>
              <w:spacing w:after="0"/>
              <w:rPr>
                <w:sz w:val="11"/>
                <w:szCs w:val="1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28"/>
          </w:tcPr>
          <w:p>
            <w:pPr>
              <w:spacing w:after="0"/>
              <w:rPr>
                <w:rFonts w:ascii="Arial" w:cs="Arial" w:eastAsia="Arial" w:hAnsi="Arial"/>
                <w:sz w:val="13"/>
                <w:szCs w:val="13"/>
                <w:color w:val="0000FF"/>
              </w:rPr>
            </w:pPr>
            <w:hyperlink r:id="rId383">
              <w:r>
                <w:rPr>
                  <w:rFonts w:ascii="Arial" w:cs="Arial" w:eastAsia="Arial" w:hAnsi="Arial"/>
                  <w:sz w:val="13"/>
                  <w:szCs w:val="13"/>
                  <w:color w:val="0000FF"/>
                </w:rPr>
                <w:t>Separation Letter Agreement, by and between John Graham and the</w:t>
              </w:r>
            </w:hyperlink>
          </w:p>
        </w:tc>
      </w:tr>
      <w:tr>
        <w:trPr>
          <w:trHeight w:val="128"/>
        </w:trPr>
        <w:tc>
          <w:tcPr>
            <w:tcW w:w="1080" w:type="dxa"/>
            <w:vAlign w:val="bottom"/>
          </w:tcPr>
          <w:p>
            <w:pPr>
              <w:jc w:val="center"/>
              <w:spacing w:after="0" w:line="128" w:lineRule="exact"/>
              <w:rPr>
                <w:sz w:val="20"/>
                <w:szCs w:val="20"/>
                <w:color w:val="auto"/>
              </w:rPr>
            </w:pPr>
            <w:r>
              <w:rPr>
                <w:rFonts w:ascii="Arial" w:cs="Arial" w:eastAsia="Arial" w:hAnsi="Arial"/>
                <w:sz w:val="13"/>
                <w:szCs w:val="13"/>
                <w:color w:val="131E29"/>
                <w:w w:val="98"/>
              </w:rPr>
              <w:t>10.22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8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5"/>
              </w:rPr>
            </w:pPr>
            <w:hyperlink r:id="rId383">
              <w:r>
                <w:rPr>
                  <w:rFonts w:ascii="Arial" w:cs="Arial" w:eastAsia="Arial" w:hAnsi="Arial"/>
                  <w:sz w:val="13"/>
                  <w:szCs w:val="13"/>
                  <w:color w:val="0000FF"/>
                  <w:w w:val="95"/>
                </w:rPr>
                <w:t>Company, dated November 11, 2022.</w:t>
              </w:r>
            </w:hyperlink>
          </w:p>
        </w:tc>
        <w:tc>
          <w:tcPr>
            <w:tcW w:w="56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gridSpan w:val="2"/>
          </w:tcPr>
          <w:p>
            <w:pPr>
              <w:spacing w:after="0"/>
              <w:rPr>
                <w:sz w:val="11"/>
                <w:szCs w:val="11"/>
                <w:color w:val="auto"/>
              </w:rPr>
            </w:pPr>
          </w:p>
        </w:tc>
        <w:tc>
          <w:tcPr>
            <w:tcW w:w="180" w:type="dxa"/>
            <w:vAlign w:val="bottom"/>
            <w:tcBorders>
              <w:top w:val="single" w:sz="8" w:color="0000FF"/>
            </w:tcBorders>
            <w:gridSpan w:val="4"/>
          </w:tcPr>
          <w:p>
            <w:pPr>
              <w:spacing w:after="0"/>
              <w:rPr>
                <w:sz w:val="11"/>
                <w:szCs w:val="11"/>
                <w:color w:val="auto"/>
              </w:rPr>
            </w:pPr>
          </w:p>
        </w:tc>
        <w:tc>
          <w:tcPr>
            <w:tcW w:w="16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26"/>
          </w:tcPr>
          <w:p>
            <w:pPr>
              <w:spacing w:after="0"/>
              <w:rPr>
                <w:sz w:val="20"/>
                <w:szCs w:val="20"/>
                <w:color w:val="auto"/>
              </w:rPr>
            </w:pPr>
            <w:r>
              <w:rPr>
                <w:rFonts w:ascii="Arial" w:cs="Arial" w:eastAsia="Arial" w:hAnsi="Arial"/>
                <w:sz w:val="13"/>
                <w:szCs w:val="13"/>
                <w:color w:val="0000FF"/>
                <w:w w:val="96"/>
              </w:rPr>
              <w:t>Offer Letter, dated as of September 1, 2022, by and between the Company</w:t>
            </w:r>
          </w:p>
        </w:tc>
        <w:tc>
          <w:tcPr>
            <w:tcW w:w="80" w:type="dxa"/>
            <w:vAlign w:val="bottom"/>
            <w:gridSpan w:val="2"/>
          </w:tcPr>
          <w:p>
            <w:pPr>
              <w:spacing w:after="0"/>
              <w:rPr>
                <w:sz w:val="15"/>
                <w:szCs w:val="15"/>
                <w:color w:val="auto"/>
              </w:rPr>
            </w:pPr>
          </w:p>
        </w:tc>
      </w:tr>
      <w:tr>
        <w:trPr>
          <w:trHeight w:val="128"/>
        </w:trPr>
        <w:tc>
          <w:tcPr>
            <w:tcW w:w="1080" w:type="dxa"/>
            <w:vAlign w:val="bottom"/>
          </w:tcPr>
          <w:p>
            <w:pPr>
              <w:jc w:val="center"/>
              <w:spacing w:after="0" w:line="118" w:lineRule="exact"/>
              <w:rPr>
                <w:sz w:val="20"/>
                <w:szCs w:val="20"/>
                <w:color w:val="auto"/>
              </w:rPr>
            </w:pPr>
            <w:r>
              <w:rPr>
                <w:rFonts w:ascii="Arial" w:cs="Arial" w:eastAsia="Arial" w:hAnsi="Arial"/>
                <w:sz w:val="13"/>
                <w:szCs w:val="13"/>
                <w:color w:val="131E29"/>
                <w:w w:val="98"/>
              </w:rPr>
              <w:t>10.23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bottom w:val="single" w:sz="8" w:color="0000FF"/>
            </w:tcBorders>
            <w:gridSpan w:val="3"/>
          </w:tcPr>
          <w:p>
            <w:pPr>
              <w:spacing w:after="0" w:line="118" w:lineRule="exact"/>
              <w:rPr>
                <w:sz w:val="20"/>
                <w:szCs w:val="20"/>
                <w:color w:val="auto"/>
              </w:rPr>
            </w:pPr>
            <w:r>
              <w:rPr>
                <w:rFonts w:ascii="Arial" w:cs="Arial" w:eastAsia="Arial" w:hAnsi="Arial"/>
                <w:sz w:val="13"/>
                <w:szCs w:val="13"/>
                <w:color w:val="0000FF"/>
                <w:w w:val="94"/>
              </w:rPr>
              <w:t>and Victoria Tullett</w:t>
            </w:r>
          </w:p>
        </w:tc>
        <w:tc>
          <w:tcPr>
            <w:tcW w:w="3240" w:type="dxa"/>
            <w:vAlign w:val="bottom"/>
            <w:gridSpan w:val="25"/>
          </w:tcPr>
          <w:p>
            <w:pPr>
              <w:spacing w:after="0"/>
              <w:rPr>
                <w:sz w:val="11"/>
                <w:szCs w:val="11"/>
                <w:color w:val="auto"/>
              </w:rPr>
            </w:pPr>
          </w:p>
        </w:tc>
      </w:tr>
      <w:tr>
        <w:trPr>
          <w:trHeight w:val="181"/>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24"/>
          </w:tcPr>
          <w:p>
            <w:pPr>
              <w:spacing w:after="0"/>
              <w:rPr>
                <w:sz w:val="20"/>
                <w:szCs w:val="20"/>
                <w:color w:val="auto"/>
              </w:rPr>
            </w:pPr>
            <w:r>
              <w:rPr>
                <w:rFonts w:ascii="Arial" w:cs="Arial" w:eastAsia="Arial" w:hAnsi="Arial"/>
                <w:sz w:val="13"/>
                <w:szCs w:val="13"/>
                <w:color w:val="0000FF"/>
                <w:w w:val="96"/>
              </w:rPr>
              <w:t>Offer Letter, dated as of June 7, 2023, by and between the Company and</w:t>
            </w:r>
          </w:p>
        </w:tc>
        <w:tc>
          <w:tcPr>
            <w:tcW w:w="180" w:type="dxa"/>
            <w:vAlign w:val="bottom"/>
            <w:gridSpan w:val="4"/>
          </w:tcPr>
          <w:p>
            <w:pPr>
              <w:spacing w:after="0"/>
              <w:rPr>
                <w:sz w:val="15"/>
                <w:szCs w:val="15"/>
                <w:color w:val="auto"/>
              </w:rPr>
            </w:pPr>
          </w:p>
        </w:tc>
      </w:tr>
      <w:tr>
        <w:trPr>
          <w:trHeight w:val="128"/>
        </w:trPr>
        <w:tc>
          <w:tcPr>
            <w:tcW w:w="1080" w:type="dxa"/>
            <w:vAlign w:val="bottom"/>
          </w:tcPr>
          <w:p>
            <w:pPr>
              <w:jc w:val="center"/>
              <w:spacing w:after="0" w:line="118" w:lineRule="exact"/>
              <w:rPr>
                <w:sz w:val="20"/>
                <w:szCs w:val="20"/>
                <w:color w:val="auto"/>
              </w:rPr>
            </w:pPr>
            <w:r>
              <w:rPr>
                <w:rFonts w:ascii="Arial" w:cs="Arial" w:eastAsia="Arial" w:hAnsi="Arial"/>
                <w:sz w:val="13"/>
                <w:szCs w:val="13"/>
                <w:color w:val="131E29"/>
                <w:w w:val="98"/>
              </w:rPr>
              <w:t>10.24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0000FF"/>
            </w:tcBorders>
            <w:gridSpan w:val="2"/>
          </w:tcPr>
          <w:p>
            <w:pPr>
              <w:spacing w:after="0" w:line="118" w:lineRule="exact"/>
              <w:rPr>
                <w:sz w:val="20"/>
                <w:szCs w:val="20"/>
                <w:color w:val="auto"/>
              </w:rPr>
            </w:pPr>
            <w:r>
              <w:rPr>
                <w:rFonts w:ascii="Arial" w:cs="Arial" w:eastAsia="Arial" w:hAnsi="Arial"/>
                <w:sz w:val="13"/>
                <w:szCs w:val="13"/>
                <w:color w:val="0000FF"/>
                <w:w w:val="92"/>
              </w:rPr>
              <w:t>Tana Davila</w:t>
            </w:r>
          </w:p>
        </w:tc>
        <w:tc>
          <w:tcPr>
            <w:tcW w:w="3620" w:type="dxa"/>
            <w:vAlign w:val="bottom"/>
            <w:gridSpan w:val="26"/>
          </w:tcPr>
          <w:p>
            <w:pPr>
              <w:spacing w:after="0"/>
              <w:rPr>
                <w:sz w:val="11"/>
                <w:szCs w:val="11"/>
                <w:color w:val="auto"/>
              </w:rPr>
            </w:pPr>
          </w:p>
        </w:tc>
      </w:tr>
      <w:tr>
        <w:trPr>
          <w:trHeight w:val="181"/>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28"/>
          </w:tcPr>
          <w:p>
            <w:pPr>
              <w:spacing w:after="0"/>
              <w:rPr>
                <w:sz w:val="20"/>
                <w:szCs w:val="20"/>
                <w:color w:val="auto"/>
              </w:rPr>
            </w:pPr>
            <w:r>
              <w:rPr>
                <w:rFonts w:ascii="Arial" w:cs="Arial" w:eastAsia="Arial" w:hAnsi="Arial"/>
                <w:sz w:val="13"/>
                <w:szCs w:val="13"/>
                <w:color w:val="0000FF"/>
              </w:rPr>
              <w:t>Subsidiaries of Dutch Bros Inc.</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70"/>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8"/>
          </w:tcPr>
          <w:p>
            <w:pPr>
              <w:spacing w:after="0"/>
              <w:rPr>
                <w:sz w:val="20"/>
                <w:szCs w:val="20"/>
                <w:color w:val="auto"/>
              </w:rPr>
            </w:pPr>
            <w:r>
              <w:rPr>
                <w:rFonts w:ascii="Arial" w:cs="Arial" w:eastAsia="Arial" w:hAnsi="Arial"/>
                <w:sz w:val="13"/>
                <w:szCs w:val="13"/>
                <w:color w:val="0000FF"/>
              </w:rPr>
              <w:t>Consent of KPMG LLP, Independent Registered Public Accounting Firm.</w:t>
            </w:r>
          </w:p>
        </w:tc>
      </w:tr>
      <w:tr>
        <w:trPr>
          <w:trHeight w:val="170"/>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top w:val="single" w:sz="8" w:color="0000FF"/>
            </w:tcBorders>
            <w:gridSpan w:val="23"/>
          </w:tcPr>
          <w:p>
            <w:pPr>
              <w:spacing w:after="0"/>
              <w:rPr>
                <w:sz w:val="20"/>
                <w:szCs w:val="20"/>
                <w:color w:val="auto"/>
              </w:rPr>
            </w:pPr>
            <w:r>
              <w:rPr>
                <w:rFonts w:ascii="Arial" w:cs="Arial" w:eastAsia="Arial" w:hAnsi="Arial"/>
                <w:sz w:val="13"/>
                <w:szCs w:val="13"/>
                <w:color w:val="0000FF"/>
              </w:rPr>
              <w:t>Power of Attorney (included on signature page of this Form 10-K)</w:t>
            </w:r>
            <w:r>
              <w:rPr>
                <w:rFonts w:ascii="Arial" w:cs="Arial" w:eastAsia="Arial" w:hAnsi="Arial"/>
                <w:sz w:val="13"/>
                <w:szCs w:val="13"/>
                <w:color w:val="131E29"/>
              </w:rPr>
              <w:t>.</w:t>
            </w:r>
          </w:p>
        </w:tc>
        <w:tc>
          <w:tcPr>
            <w:tcW w:w="240" w:type="dxa"/>
            <w:vAlign w:val="bottom"/>
            <w:gridSpan w:val="5"/>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1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6"/>
              </w:rPr>
              <w:t>Certification of Chief Executive Officer Pursuant to Rules 13a-14(a) and</w:t>
            </w:r>
          </w:p>
        </w:tc>
        <w:tc>
          <w:tcPr>
            <w:tcW w:w="280" w:type="dxa"/>
            <w:vAlign w:val="bottom"/>
            <w:gridSpan w:val="6"/>
          </w:tcPr>
          <w:p>
            <w:pPr>
              <w:spacing w:after="0"/>
              <w:rPr>
                <w:sz w:val="14"/>
                <w:szCs w:val="14"/>
                <w:color w:val="auto"/>
              </w:rPr>
            </w:pPr>
          </w:p>
        </w:tc>
      </w:tr>
      <w:tr>
        <w:trPr>
          <w:trHeight w:val="128"/>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Borders>
              <w:bottom w:val="single" w:sz="8" w:color="0000FF"/>
            </w:tcBorders>
            <w:gridSpan w:val="25"/>
          </w:tcPr>
          <w:p>
            <w:pPr>
              <w:spacing w:after="0" w:line="128" w:lineRule="exact"/>
              <w:rPr>
                <w:sz w:val="20"/>
                <w:szCs w:val="20"/>
                <w:color w:val="auto"/>
              </w:rPr>
            </w:pPr>
            <w:r>
              <w:rPr>
                <w:rFonts w:ascii="Arial" w:cs="Arial" w:eastAsia="Arial" w:hAnsi="Arial"/>
                <w:sz w:val="13"/>
                <w:szCs w:val="13"/>
                <w:color w:val="0000FF"/>
                <w:w w:val="96"/>
              </w:rPr>
              <w:t>15d-14(a) of the Securities Exchange Act of 1934, as Adopted Pursuant to</w:t>
            </w:r>
          </w:p>
        </w:tc>
        <w:tc>
          <w:tcPr>
            <w:tcW w:w="100" w:type="dxa"/>
            <w:vAlign w:val="bottom"/>
            <w:gridSpan w:val="3"/>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4"/>
              </w:rPr>
              <w:t>31.1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gridSpan w:val="28"/>
          </w:tcPr>
          <w:p>
            <w:pPr>
              <w:spacing w:after="0" w:line="139" w:lineRule="exact"/>
              <w:rPr>
                <w:sz w:val="20"/>
                <w:szCs w:val="20"/>
                <w:color w:val="auto"/>
              </w:rPr>
            </w:pPr>
            <w:r>
              <w:rPr>
                <w:rFonts w:ascii="Arial" w:cs="Arial" w:eastAsia="Arial" w:hAnsi="Arial"/>
                <w:sz w:val="13"/>
                <w:szCs w:val="13"/>
                <w:color w:val="0000FF"/>
              </w:rPr>
              <w:t>Section 302 of the Sarbanes-Oxley Act of 2002</w:t>
            </w:r>
            <w:r>
              <w:rPr>
                <w:rFonts w:ascii="Arial" w:cs="Arial" w:eastAsia="Arial" w:hAnsi="Arial"/>
                <w:sz w:val="13"/>
                <w:szCs w:val="13"/>
                <w:color w:val="131E29"/>
              </w:rPr>
              <w:t>.</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 No.</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131E29"/>
              </w:rPr>
              <w:t>Exhibit</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w w:val="99"/>
              </w:rPr>
              <w:t>Filing Date</w:t>
            </w:r>
          </w:p>
        </w:tc>
        <w:tc>
          <w:tcPr>
            <w:tcW w:w="100" w:type="dxa"/>
            <w:vAlign w:val="bottom"/>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131E29"/>
              </w:rPr>
              <w:t>Filed Herewith</w:t>
            </w:r>
          </w:p>
        </w:tc>
        <w:tc>
          <w:tcPr>
            <w:tcW w:w="0" w:type="dxa"/>
            <w:vAlign w:val="bottom"/>
          </w:tcPr>
          <w:p>
            <w:pPr>
              <w:spacing w:after="0"/>
              <w:rPr>
                <w:sz w:val="1"/>
                <w:szCs w:val="1"/>
                <w:color w:val="auto"/>
              </w:rPr>
            </w:pPr>
          </w:p>
        </w:tc>
      </w:tr>
      <w:tr>
        <w:trPr>
          <w:trHeight w:val="332"/>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8"/>
              </w:rPr>
              <w:t>December 15, 2021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10.15</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March 11,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10.16</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March 11,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7"/>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131E29"/>
                <w:w w:val="96"/>
              </w:rPr>
              <w:t>August 8,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August 22,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8"/>
              </w:rPr>
              <w:t>January 2, 2024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8"/>
              </w:rPr>
              <w:t>November 28,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November 7,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November 7,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10.19</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February 27,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-2595880</wp:posOffset>
            </wp:positionV>
            <wp:extent cx="7162165" cy="2279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162165" cy="22796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-2145665</wp:posOffset>
            </wp:positionV>
            <wp:extent cx="7162165" cy="315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62165" cy="31559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-1320165</wp:posOffset>
            </wp:positionV>
            <wp:extent cx="7162165" cy="2216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62165" cy="22161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-876935</wp:posOffset>
            </wp:positionV>
            <wp:extent cx="7162165" cy="2216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62165" cy="22161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-434340</wp:posOffset>
            </wp:positionV>
            <wp:extent cx="7162165" cy="2216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62165" cy="22161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8255</wp:posOffset>
            </wp:positionV>
            <wp:extent cx="7162165" cy="2216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62165" cy="221615"/>
                    </a:xfrm>
                    <a:prstGeom prst="rect">
                      <a:avLst/>
                    </a:prstGeom>
                    <a:noFill/>
                  </pic:spPr>
                </pic:pic>
              </a:graphicData>
            </a:graphic>
          </wp:anchor>
        </w:drawing>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199"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19050</wp:posOffset>
            </wp:positionV>
            <wp:extent cx="7162165" cy="1206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162165" cy="120650"/>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4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19050</wp:posOffset>
            </wp:positionV>
            <wp:extent cx="7162165" cy="1206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162165" cy="120650"/>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347"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73025</wp:posOffset>
            </wp:positionV>
            <wp:extent cx="71875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2">
            <w:col w:w="5460" w:space="0"/>
            <w:col w:w="5820"/>
          </w:cols>
          <w:pgMar w:left="300" w:top="133" w:right="319" w:bottom="1440" w:gutter="0" w:footer="0" w:header="0"/>
        </w:sectPr>
      </w:pPr>
    </w:p>
    <w:bookmarkStart w:id="140" w:name="page141"/>
    <w:bookmarkEnd w:id="1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Exhibit Number</w:t>
            </w:r>
          </w:p>
        </w:tc>
        <w:tc>
          <w:tcPr>
            <w:tcW w:w="80" w:type="dxa"/>
            <w:vAlign w:val="bottom"/>
            <w:tcBorders>
              <w:bottom w:val="single" w:sz="8" w:color="D2DCE5"/>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131E29"/>
              </w:rPr>
              <w:t>Description</w:t>
            </w:r>
          </w:p>
        </w:tc>
        <w:tc>
          <w:tcPr>
            <w:tcW w:w="100" w:type="dxa"/>
            <w:vAlign w:val="bottom"/>
            <w:tcBorders>
              <w:bottom w:val="single" w:sz="8" w:color="D2DCE5"/>
            </w:tcBorders>
          </w:tcPr>
          <w:p>
            <w:pPr>
              <w:spacing w:after="0"/>
              <w:rPr>
                <w:sz w:val="14"/>
                <w:szCs w:val="1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131E29"/>
              </w:rPr>
              <w:t>Form</w:t>
            </w: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131E29"/>
              </w:rPr>
              <w:t>File No.</w:t>
            </w: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131E29"/>
              </w:rPr>
              <w:t>Exhibit</w:t>
            </w:r>
          </w:p>
        </w:tc>
        <w:tc>
          <w:tcPr>
            <w:tcW w:w="100" w:type="dxa"/>
            <w:vAlign w:val="bottom"/>
            <w:tcBorders>
              <w:bottom w:val="single" w:sz="8" w:color="D2DCE5"/>
            </w:tcBorders>
          </w:tcPr>
          <w:p>
            <w:pPr>
              <w:spacing w:after="0"/>
              <w:rPr>
                <w:sz w:val="14"/>
                <w:szCs w:val="14"/>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131E29"/>
              </w:rPr>
              <w:t>Filing Date</w:t>
            </w:r>
          </w:p>
        </w:tc>
        <w:tc>
          <w:tcPr>
            <w:tcW w:w="100" w:type="dxa"/>
            <w:vAlign w:val="bottom"/>
            <w:tcBorders>
              <w:bottom w:val="single" w:sz="8" w:color="D2DCE5"/>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r>
      <w:tr>
        <w:trPr>
          <w:trHeight w:val="144"/>
        </w:trPr>
        <w:tc>
          <w:tcPr>
            <w:tcW w:w="108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9"/>
            <w:shd w:val="clear" w:color="auto" w:fill="D2DCE5"/>
          </w:tcPr>
          <w:p>
            <w:pPr>
              <w:spacing w:after="0" w:line="144" w:lineRule="exact"/>
              <w:rPr>
                <w:sz w:val="20"/>
                <w:szCs w:val="20"/>
                <w:color w:val="auto"/>
              </w:rPr>
            </w:pPr>
            <w:r>
              <w:rPr>
                <w:rFonts w:ascii="Arial" w:cs="Arial" w:eastAsia="Arial" w:hAnsi="Arial"/>
                <w:sz w:val="13"/>
                <w:szCs w:val="13"/>
                <w:color w:val="0000FF"/>
                <w:w w:val="99"/>
              </w:rPr>
              <w:t>Certification of Chief Financial Officer Pursuant to Rules 13a-14(a) and 15d-</w:t>
            </w:r>
          </w:p>
        </w:tc>
        <w:tc>
          <w:tcPr>
            <w:tcW w:w="940" w:type="dxa"/>
            <w:vAlign w:val="bottom"/>
            <w:shd w:val="clear" w:color="auto" w:fill="D2DCE5"/>
          </w:tcPr>
          <w:p>
            <w:pPr>
              <w:spacing w:after="0"/>
              <w:rPr>
                <w:sz w:val="12"/>
                <w:szCs w:val="12"/>
                <w:color w:val="auto"/>
              </w:rPr>
            </w:pPr>
          </w:p>
        </w:tc>
        <w:tc>
          <w:tcPr>
            <w:tcW w:w="1140" w:type="dxa"/>
            <w:vAlign w:val="bottom"/>
            <w:shd w:val="clear" w:color="auto" w:fill="D2DCE5"/>
          </w:tcPr>
          <w:p>
            <w:pPr>
              <w:spacing w:after="0"/>
              <w:rPr>
                <w:sz w:val="12"/>
                <w:szCs w:val="12"/>
                <w:color w:val="auto"/>
              </w:rPr>
            </w:pPr>
          </w:p>
        </w:tc>
        <w:tc>
          <w:tcPr>
            <w:tcW w:w="94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940" w:type="dxa"/>
            <w:vAlign w:val="bottom"/>
            <w:shd w:val="clear" w:color="auto" w:fill="D2DCE5"/>
          </w:tcPr>
          <w:p>
            <w:pPr>
              <w:spacing w:after="0"/>
              <w:rPr>
                <w:sz w:val="12"/>
                <w:szCs w:val="12"/>
                <w:color w:val="auto"/>
              </w:rPr>
            </w:pPr>
          </w:p>
        </w:tc>
      </w:tr>
      <w:tr>
        <w:trPr>
          <w:trHeight w:val="128"/>
        </w:trPr>
        <w:tc>
          <w:tcPr>
            <w:tcW w:w="1080" w:type="dxa"/>
            <w:vAlign w:val="bottom"/>
            <w:tcBorders>
              <w:top w:val="single" w:sz="8" w:color="D2DCE5"/>
            </w:tcBorders>
            <w:shd w:val="clear" w:color="auto" w:fill="D2DCE5"/>
          </w:tcPr>
          <w:p>
            <w:pPr>
              <w:spacing w:after="0"/>
              <w:rPr>
                <w:sz w:val="11"/>
                <w:szCs w:val="11"/>
                <w:color w:val="auto"/>
              </w:rPr>
            </w:pPr>
          </w:p>
        </w:tc>
        <w:tc>
          <w:tcPr>
            <w:tcW w:w="80" w:type="dxa"/>
            <w:vAlign w:val="bottom"/>
            <w:tcBorders>
              <w:top w:val="single" w:sz="8" w:color="D2DCE5"/>
            </w:tcBorders>
            <w:shd w:val="clear" w:color="auto" w:fill="D2DCE5"/>
          </w:tcPr>
          <w:p>
            <w:pPr>
              <w:spacing w:after="0"/>
              <w:rPr>
                <w:sz w:val="11"/>
                <w:szCs w:val="11"/>
                <w:color w:val="auto"/>
              </w:rPr>
            </w:pPr>
          </w:p>
        </w:tc>
        <w:tc>
          <w:tcPr>
            <w:tcW w:w="20" w:type="dxa"/>
            <w:vAlign w:val="bottom"/>
            <w:tcBorders>
              <w:top w:val="single" w:sz="8" w:color="D2DCE5"/>
            </w:tcBorders>
            <w:shd w:val="clear" w:color="auto" w:fill="D2DCE5"/>
          </w:tcPr>
          <w:p>
            <w:pPr>
              <w:spacing w:after="0"/>
              <w:rPr>
                <w:sz w:val="11"/>
                <w:szCs w:val="11"/>
                <w:color w:val="auto"/>
              </w:rPr>
            </w:pPr>
          </w:p>
        </w:tc>
        <w:tc>
          <w:tcPr>
            <w:tcW w:w="4240" w:type="dxa"/>
            <w:vAlign w:val="bottom"/>
            <w:tcBorders>
              <w:top w:val="single" w:sz="8" w:color="0000FF"/>
            </w:tcBorders>
            <w:gridSpan w:val="6"/>
            <w:shd w:val="clear" w:color="auto" w:fill="D2DCE5"/>
          </w:tcPr>
          <w:p>
            <w:pPr>
              <w:spacing w:after="0" w:line="128" w:lineRule="exact"/>
              <w:rPr>
                <w:sz w:val="20"/>
                <w:szCs w:val="20"/>
                <w:color w:val="auto"/>
              </w:rPr>
            </w:pPr>
            <w:r>
              <w:rPr>
                <w:rFonts w:ascii="Arial" w:cs="Arial" w:eastAsia="Arial" w:hAnsi="Arial"/>
                <w:sz w:val="13"/>
                <w:szCs w:val="13"/>
                <w:color w:val="0000FF"/>
              </w:rPr>
              <w:t>14(a) of the Securities Exchange Act of 1934, as Adopted Pursuant to</w:t>
            </w:r>
          </w:p>
        </w:tc>
        <w:tc>
          <w:tcPr>
            <w:tcW w:w="140" w:type="dxa"/>
            <w:vAlign w:val="bottom"/>
            <w:tcBorders>
              <w:top w:val="single" w:sz="8" w:color="D2DCE5"/>
            </w:tcBorders>
            <w:gridSpan w:val="3"/>
            <w:shd w:val="clear" w:color="auto" w:fill="D2DCE5"/>
          </w:tcPr>
          <w:p>
            <w:pPr>
              <w:spacing w:after="0"/>
              <w:rPr>
                <w:sz w:val="11"/>
                <w:szCs w:val="11"/>
                <w:color w:val="auto"/>
              </w:rPr>
            </w:pPr>
          </w:p>
        </w:tc>
        <w:tc>
          <w:tcPr>
            <w:tcW w:w="940" w:type="dxa"/>
            <w:vAlign w:val="bottom"/>
            <w:tcBorders>
              <w:top w:val="single" w:sz="8" w:color="D2DCE5"/>
            </w:tcBorders>
            <w:shd w:val="clear" w:color="auto" w:fill="D2DCE5"/>
          </w:tcPr>
          <w:p>
            <w:pPr>
              <w:spacing w:after="0"/>
              <w:rPr>
                <w:sz w:val="11"/>
                <w:szCs w:val="11"/>
                <w:color w:val="auto"/>
              </w:rPr>
            </w:pPr>
          </w:p>
        </w:tc>
        <w:tc>
          <w:tcPr>
            <w:tcW w:w="1140" w:type="dxa"/>
            <w:vAlign w:val="bottom"/>
            <w:tcBorders>
              <w:top w:val="single" w:sz="8" w:color="D2DCE5"/>
            </w:tcBorders>
            <w:shd w:val="clear" w:color="auto" w:fill="D2DCE5"/>
          </w:tcPr>
          <w:p>
            <w:pPr>
              <w:spacing w:after="0"/>
              <w:rPr>
                <w:sz w:val="11"/>
                <w:szCs w:val="11"/>
                <w:color w:val="auto"/>
              </w:rPr>
            </w:pPr>
          </w:p>
        </w:tc>
        <w:tc>
          <w:tcPr>
            <w:tcW w:w="940" w:type="dxa"/>
            <w:vAlign w:val="bottom"/>
            <w:tcBorders>
              <w:top w:val="single" w:sz="8" w:color="D2DCE5"/>
            </w:tcBorders>
            <w:shd w:val="clear" w:color="auto" w:fill="D2DCE5"/>
          </w:tcPr>
          <w:p>
            <w:pPr>
              <w:spacing w:after="0"/>
              <w:rPr>
                <w:sz w:val="11"/>
                <w:szCs w:val="11"/>
                <w:color w:val="auto"/>
              </w:rPr>
            </w:pPr>
          </w:p>
        </w:tc>
        <w:tc>
          <w:tcPr>
            <w:tcW w:w="100" w:type="dxa"/>
            <w:vAlign w:val="bottom"/>
            <w:tcBorders>
              <w:top w:val="single" w:sz="8" w:color="D2DCE5"/>
            </w:tcBorders>
            <w:shd w:val="clear" w:color="auto" w:fill="D2DCE5"/>
          </w:tcPr>
          <w:p>
            <w:pPr>
              <w:spacing w:after="0"/>
              <w:rPr>
                <w:sz w:val="11"/>
                <w:szCs w:val="11"/>
                <w:color w:val="auto"/>
              </w:rPr>
            </w:pPr>
          </w:p>
        </w:tc>
        <w:tc>
          <w:tcPr>
            <w:tcW w:w="1560" w:type="dxa"/>
            <w:vAlign w:val="bottom"/>
            <w:tcBorders>
              <w:top w:val="single" w:sz="8" w:color="D2DCE5"/>
            </w:tcBorders>
            <w:shd w:val="clear" w:color="auto" w:fill="D2DCE5"/>
          </w:tcPr>
          <w:p>
            <w:pPr>
              <w:spacing w:after="0"/>
              <w:rPr>
                <w:sz w:val="11"/>
                <w:szCs w:val="11"/>
                <w:color w:val="auto"/>
              </w:rPr>
            </w:pPr>
          </w:p>
        </w:tc>
        <w:tc>
          <w:tcPr>
            <w:tcW w:w="100" w:type="dxa"/>
            <w:vAlign w:val="bottom"/>
            <w:tcBorders>
              <w:top w:val="single" w:sz="8" w:color="D2DCE5"/>
            </w:tcBorders>
            <w:shd w:val="clear" w:color="auto" w:fill="D2DCE5"/>
          </w:tcPr>
          <w:p>
            <w:pPr>
              <w:spacing w:after="0"/>
              <w:rPr>
                <w:sz w:val="11"/>
                <w:szCs w:val="11"/>
                <w:color w:val="auto"/>
              </w:rPr>
            </w:pPr>
          </w:p>
        </w:tc>
        <w:tc>
          <w:tcPr>
            <w:tcW w:w="940" w:type="dxa"/>
            <w:vAlign w:val="bottom"/>
            <w:tcBorders>
              <w:top w:val="single" w:sz="8" w:color="D2DCE5"/>
            </w:tcBorders>
            <w:shd w:val="clear" w:color="auto" w:fill="D2DCE5"/>
          </w:tcPr>
          <w:p>
            <w:pPr>
              <w:spacing w:after="0"/>
              <w:rPr>
                <w:sz w:val="11"/>
                <w:szCs w:val="11"/>
                <w:color w:val="auto"/>
              </w:rPr>
            </w:pPr>
          </w:p>
        </w:tc>
      </w:tr>
      <w:tr>
        <w:trPr>
          <w:trHeight w:val="139"/>
        </w:trPr>
        <w:tc>
          <w:tcPr>
            <w:tcW w:w="1080" w:type="dxa"/>
            <w:vAlign w:val="bottom"/>
            <w:tcBorders>
              <w:top w:val="single" w:sz="8" w:color="D2DCE5"/>
            </w:tcBorders>
            <w:shd w:val="clear" w:color="auto" w:fill="D2DCE5"/>
          </w:tcPr>
          <w:p>
            <w:pPr>
              <w:jc w:val="center"/>
              <w:spacing w:after="0" w:line="139" w:lineRule="exact"/>
              <w:rPr>
                <w:sz w:val="20"/>
                <w:szCs w:val="20"/>
                <w:color w:val="auto"/>
              </w:rPr>
            </w:pPr>
            <w:r>
              <w:rPr>
                <w:rFonts w:ascii="Arial" w:cs="Arial" w:eastAsia="Arial" w:hAnsi="Arial"/>
                <w:sz w:val="13"/>
                <w:szCs w:val="13"/>
                <w:color w:val="131E29"/>
                <w:w w:val="94"/>
              </w:rPr>
              <w:t>31.2</w:t>
            </w:r>
          </w:p>
        </w:tc>
        <w:tc>
          <w:tcPr>
            <w:tcW w:w="80" w:type="dxa"/>
            <w:vAlign w:val="bottom"/>
            <w:tcBorders>
              <w:top w:val="single" w:sz="8" w:color="D2DCE5"/>
            </w:tcBorders>
            <w:shd w:val="clear" w:color="auto" w:fill="D2DCE5"/>
          </w:tcPr>
          <w:p>
            <w:pPr>
              <w:spacing w:after="0"/>
              <w:rPr>
                <w:sz w:val="12"/>
                <w:szCs w:val="12"/>
                <w:color w:val="auto"/>
              </w:rPr>
            </w:pPr>
          </w:p>
        </w:tc>
        <w:tc>
          <w:tcPr>
            <w:tcW w:w="20" w:type="dxa"/>
            <w:vAlign w:val="bottom"/>
            <w:tcBorders>
              <w:top w:val="single" w:sz="8" w:color="D2DCE5"/>
            </w:tcBorders>
            <w:shd w:val="clear" w:color="auto" w:fill="D2DCE5"/>
          </w:tcPr>
          <w:p>
            <w:pPr>
              <w:spacing w:after="0"/>
              <w:rPr>
                <w:sz w:val="12"/>
                <w:szCs w:val="12"/>
                <w:color w:val="auto"/>
              </w:rPr>
            </w:pPr>
          </w:p>
        </w:tc>
        <w:tc>
          <w:tcPr>
            <w:tcW w:w="3900" w:type="dxa"/>
            <w:vAlign w:val="bottom"/>
            <w:tcBorders>
              <w:top w:val="single" w:sz="8" w:color="0000FF"/>
            </w:tcBorders>
            <w:gridSpan w:val="4"/>
            <w:shd w:val="clear" w:color="auto" w:fill="D2DCE5"/>
          </w:tcPr>
          <w:p>
            <w:pPr>
              <w:spacing w:after="0" w:line="139" w:lineRule="exact"/>
              <w:rPr>
                <w:sz w:val="20"/>
                <w:szCs w:val="20"/>
                <w:color w:val="auto"/>
              </w:rPr>
            </w:pPr>
            <w:r>
              <w:rPr>
                <w:rFonts w:ascii="Arial" w:cs="Arial" w:eastAsia="Arial" w:hAnsi="Arial"/>
                <w:sz w:val="13"/>
                <w:szCs w:val="13"/>
                <w:color w:val="0000FF"/>
              </w:rPr>
              <w:t>Section 302 of the Sarbanes-Oxley Act of 2002</w:t>
            </w:r>
            <w:r>
              <w:rPr>
                <w:rFonts w:ascii="Arial" w:cs="Arial" w:eastAsia="Arial" w:hAnsi="Arial"/>
                <w:sz w:val="13"/>
                <w:szCs w:val="13"/>
                <w:color w:val="131E29"/>
              </w:rPr>
              <w:t>.</w:t>
            </w:r>
          </w:p>
        </w:tc>
        <w:tc>
          <w:tcPr>
            <w:tcW w:w="480" w:type="dxa"/>
            <w:vAlign w:val="bottom"/>
            <w:tcBorders>
              <w:top w:val="single" w:sz="8" w:color="D2DCE5"/>
            </w:tcBorders>
            <w:gridSpan w:val="5"/>
            <w:shd w:val="clear" w:color="auto" w:fill="D2DCE5"/>
          </w:tcPr>
          <w:p>
            <w:pPr>
              <w:spacing w:after="0"/>
              <w:rPr>
                <w:sz w:val="12"/>
                <w:szCs w:val="12"/>
                <w:color w:val="auto"/>
              </w:rPr>
            </w:pPr>
          </w:p>
        </w:tc>
        <w:tc>
          <w:tcPr>
            <w:tcW w:w="940" w:type="dxa"/>
            <w:vAlign w:val="bottom"/>
            <w:tcBorders>
              <w:top w:val="single" w:sz="8" w:color="D2DCE5"/>
            </w:tcBorders>
            <w:shd w:val="clear" w:color="auto" w:fill="D2DCE5"/>
          </w:tcPr>
          <w:p>
            <w:pPr>
              <w:spacing w:after="0"/>
              <w:rPr>
                <w:sz w:val="12"/>
                <w:szCs w:val="12"/>
                <w:color w:val="auto"/>
              </w:rPr>
            </w:pPr>
          </w:p>
        </w:tc>
        <w:tc>
          <w:tcPr>
            <w:tcW w:w="1140" w:type="dxa"/>
            <w:vAlign w:val="bottom"/>
            <w:tcBorders>
              <w:top w:val="single" w:sz="8" w:color="D2DCE5"/>
            </w:tcBorders>
            <w:shd w:val="clear" w:color="auto" w:fill="D2DCE5"/>
          </w:tcPr>
          <w:p>
            <w:pPr>
              <w:spacing w:after="0"/>
              <w:rPr>
                <w:sz w:val="12"/>
                <w:szCs w:val="12"/>
                <w:color w:val="auto"/>
              </w:rPr>
            </w:pPr>
          </w:p>
        </w:tc>
        <w:tc>
          <w:tcPr>
            <w:tcW w:w="940" w:type="dxa"/>
            <w:vAlign w:val="bottom"/>
            <w:tcBorders>
              <w:top w:val="single" w:sz="8" w:color="D2DCE5"/>
            </w:tcBorders>
            <w:shd w:val="clear" w:color="auto" w:fill="D2DCE5"/>
          </w:tcPr>
          <w:p>
            <w:pPr>
              <w:spacing w:after="0"/>
              <w:rPr>
                <w:sz w:val="12"/>
                <w:szCs w:val="12"/>
                <w:color w:val="auto"/>
              </w:rPr>
            </w:pPr>
          </w:p>
        </w:tc>
        <w:tc>
          <w:tcPr>
            <w:tcW w:w="100" w:type="dxa"/>
            <w:vAlign w:val="bottom"/>
            <w:tcBorders>
              <w:top w:val="single" w:sz="8" w:color="D2DCE5"/>
            </w:tcBorders>
            <w:shd w:val="clear" w:color="auto" w:fill="D2DCE5"/>
          </w:tcPr>
          <w:p>
            <w:pPr>
              <w:spacing w:after="0"/>
              <w:rPr>
                <w:sz w:val="12"/>
                <w:szCs w:val="12"/>
                <w:color w:val="auto"/>
              </w:rPr>
            </w:pPr>
          </w:p>
        </w:tc>
        <w:tc>
          <w:tcPr>
            <w:tcW w:w="1560" w:type="dxa"/>
            <w:vAlign w:val="bottom"/>
            <w:tcBorders>
              <w:top w:val="single" w:sz="8" w:color="D2DCE5"/>
            </w:tcBorders>
            <w:shd w:val="clear" w:color="auto" w:fill="D2DCE5"/>
          </w:tcPr>
          <w:p>
            <w:pPr>
              <w:spacing w:after="0"/>
              <w:rPr>
                <w:sz w:val="12"/>
                <w:szCs w:val="12"/>
                <w:color w:val="auto"/>
              </w:rPr>
            </w:pPr>
          </w:p>
        </w:tc>
        <w:tc>
          <w:tcPr>
            <w:tcW w:w="100" w:type="dxa"/>
            <w:vAlign w:val="bottom"/>
            <w:tcBorders>
              <w:top w:val="single" w:sz="8" w:color="D2DCE5"/>
            </w:tcBorders>
            <w:shd w:val="clear" w:color="auto" w:fill="D2DCE5"/>
          </w:tcPr>
          <w:p>
            <w:pPr>
              <w:spacing w:after="0"/>
              <w:rPr>
                <w:sz w:val="12"/>
                <w:szCs w:val="12"/>
                <w:color w:val="auto"/>
              </w:rPr>
            </w:pPr>
          </w:p>
        </w:tc>
        <w:tc>
          <w:tcPr>
            <w:tcW w:w="940" w:type="dxa"/>
            <w:vAlign w:val="bottom"/>
            <w:tcBorders>
              <w:top w:val="single" w:sz="8" w:color="D2DCE5"/>
            </w:tcBorders>
            <w:shd w:val="clear" w:color="auto" w:fill="D2DCE5"/>
          </w:tcPr>
          <w:p>
            <w:pPr>
              <w:jc w:val="center"/>
              <w:spacing w:after="0" w:line="139" w:lineRule="exact"/>
              <w:rPr>
                <w:sz w:val="20"/>
                <w:szCs w:val="20"/>
                <w:color w:val="auto"/>
              </w:rPr>
            </w:pPr>
            <w:r>
              <w:rPr>
                <w:rFonts w:ascii="Arial" w:cs="Arial" w:eastAsia="Arial" w:hAnsi="Arial"/>
                <w:sz w:val="13"/>
                <w:szCs w:val="13"/>
                <w:color w:val="131E29"/>
              </w:rPr>
              <w:t>X</w:t>
            </w: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580" w:type="dxa"/>
            <w:vAlign w:val="bottom"/>
            <w:tcBorders>
              <w:top w:val="single" w:sz="8" w:color="0000FF"/>
            </w:tcBorders>
            <w:shd w:val="clear" w:color="auto" w:fill="D2DCE5"/>
          </w:tcPr>
          <w:p>
            <w:pPr>
              <w:spacing w:after="0" w:line="20" w:lineRule="exact"/>
              <w:rPr>
                <w:sz w:val="1"/>
                <w:szCs w:val="1"/>
                <w:color w:val="auto"/>
              </w:rPr>
            </w:pPr>
          </w:p>
        </w:tc>
        <w:tc>
          <w:tcPr>
            <w:tcW w:w="1060" w:type="dxa"/>
            <w:vAlign w:val="bottom"/>
            <w:tcBorders>
              <w:top w:val="single" w:sz="8" w:color="0000FF"/>
            </w:tcBorders>
            <w:shd w:val="clear" w:color="auto" w:fill="D2DCE5"/>
          </w:tcPr>
          <w:p>
            <w:pPr>
              <w:spacing w:after="0" w:line="20" w:lineRule="exact"/>
              <w:rPr>
                <w:sz w:val="1"/>
                <w:szCs w:val="1"/>
                <w:color w:val="auto"/>
              </w:rPr>
            </w:pPr>
          </w:p>
        </w:tc>
        <w:tc>
          <w:tcPr>
            <w:tcW w:w="124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3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940" w:type="dxa"/>
            <w:vAlign w:val="bottom"/>
            <w:tcBorders>
              <w:top w:val="single" w:sz="8" w:color="D2DCE5"/>
            </w:tcBorders>
            <w:shd w:val="clear" w:color="auto" w:fill="D2DCE5"/>
          </w:tcPr>
          <w:p>
            <w:pPr>
              <w:spacing w:after="0" w:line="20" w:lineRule="exact"/>
              <w:rPr>
                <w:sz w:val="1"/>
                <w:szCs w:val="1"/>
                <w:color w:val="auto"/>
              </w:rPr>
            </w:pPr>
          </w:p>
        </w:tc>
        <w:tc>
          <w:tcPr>
            <w:tcW w:w="1140" w:type="dxa"/>
            <w:vAlign w:val="bottom"/>
            <w:tcBorders>
              <w:top w:val="single" w:sz="8" w:color="D2DCE5"/>
            </w:tcBorders>
            <w:shd w:val="clear" w:color="auto" w:fill="D2DCE5"/>
          </w:tcPr>
          <w:p>
            <w:pPr>
              <w:spacing w:after="0" w:line="20" w:lineRule="exact"/>
              <w:rPr>
                <w:sz w:val="1"/>
                <w:szCs w:val="1"/>
                <w:color w:val="auto"/>
              </w:rPr>
            </w:pPr>
          </w:p>
        </w:tc>
        <w:tc>
          <w:tcPr>
            <w:tcW w:w="94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56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940" w:type="dxa"/>
            <w:vAlign w:val="bottom"/>
            <w:tcBorders>
              <w:top w:val="single" w:sz="8" w:color="D2DCE5"/>
            </w:tcBorders>
            <w:shd w:val="clear" w:color="auto" w:fill="D2DCE5"/>
          </w:tcPr>
          <w:p>
            <w:pPr>
              <w:spacing w:after="0" w:line="20" w:lineRule="exact"/>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bottom w:val="single" w:sz="8" w:color="0000FF"/>
            </w:tcBorders>
            <w:gridSpan w:val="7"/>
          </w:tcPr>
          <w:p>
            <w:pPr>
              <w:spacing w:after="0" w:line="148" w:lineRule="exact"/>
              <w:rPr>
                <w:sz w:val="20"/>
                <w:szCs w:val="20"/>
                <w:color w:val="auto"/>
              </w:rPr>
            </w:pPr>
            <w:r>
              <w:rPr>
                <w:rFonts w:ascii="Arial" w:cs="Arial" w:eastAsia="Arial" w:hAnsi="Arial"/>
                <w:sz w:val="13"/>
                <w:szCs w:val="13"/>
                <w:color w:val="0000FF"/>
                <w:w w:val="96"/>
              </w:rPr>
              <w:t>Certifications of Chief Executive Officer and Chief Financial Officer Pursuant</w:t>
            </w:r>
          </w:p>
        </w:tc>
        <w:tc>
          <w:tcPr>
            <w:tcW w:w="12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28"/>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20" w:type="dxa"/>
            <w:vAlign w:val="bottom"/>
            <w:tcBorders>
              <w:bottom w:val="single" w:sz="8" w:color="0000FF"/>
            </w:tcBorders>
            <w:gridSpan w:val="5"/>
          </w:tcPr>
          <w:p>
            <w:pPr>
              <w:spacing w:after="0" w:line="128" w:lineRule="exact"/>
              <w:rPr>
                <w:sz w:val="20"/>
                <w:szCs w:val="20"/>
                <w:color w:val="auto"/>
              </w:rPr>
            </w:pPr>
            <w:r>
              <w:rPr>
                <w:rFonts w:ascii="Arial" w:cs="Arial" w:eastAsia="Arial" w:hAnsi="Arial"/>
                <w:sz w:val="13"/>
                <w:szCs w:val="13"/>
                <w:color w:val="0000FF"/>
                <w:w w:val="97"/>
              </w:rPr>
              <w:t>to 18 U.S.C. Section 1350, as Adopted Pursuant to Section 906 of the</w:t>
            </w:r>
          </w:p>
        </w:tc>
        <w:tc>
          <w:tcPr>
            <w:tcW w:w="460" w:type="dxa"/>
            <w:vAlign w:val="bottom"/>
            <w:gridSpan w:val="4"/>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2"/>
              </w:rPr>
              <w:t>32.1*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9"/>
          </w:tcPr>
          <w:p>
            <w:pPr>
              <w:spacing w:after="0" w:line="139" w:lineRule="exact"/>
              <w:rPr>
                <w:sz w:val="20"/>
                <w:szCs w:val="20"/>
                <w:color w:val="auto"/>
              </w:rPr>
            </w:pPr>
            <w:r>
              <w:rPr>
                <w:rFonts w:ascii="Arial" w:cs="Arial" w:eastAsia="Arial" w:hAnsi="Arial"/>
                <w:sz w:val="13"/>
                <w:szCs w:val="13"/>
                <w:color w:val="0000FF"/>
              </w:rPr>
              <w:t>Sarbanes-Oxley Act of 2002</w:t>
            </w:r>
            <w:r>
              <w:rPr>
                <w:rFonts w:ascii="Arial" w:cs="Arial" w:eastAsia="Arial" w:hAnsi="Arial"/>
                <w:sz w:val="13"/>
                <w:szCs w:val="13"/>
                <w:color w:val="131E29"/>
              </w:rPr>
              <w:t>.</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131E29"/>
              </w:rPr>
              <w:t>X</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0"/>
        </w:trPr>
        <w:tc>
          <w:tcPr>
            <w:tcW w:w="1160" w:type="dxa"/>
            <w:vAlign w:val="bottom"/>
            <w:tcBorders>
              <w:bottom w:val="single" w:sz="8" w:color="D2DCE5"/>
            </w:tcBorders>
            <w:gridSpan w:val="2"/>
            <w:shd w:val="clear" w:color="auto" w:fill="D2DCE5"/>
          </w:tcPr>
          <w:p>
            <w:pPr>
              <w:jc w:val="center"/>
              <w:ind w:right="80"/>
              <w:spacing w:after="0" w:line="148" w:lineRule="exact"/>
              <w:rPr>
                <w:sz w:val="20"/>
                <w:szCs w:val="20"/>
                <w:color w:val="auto"/>
              </w:rPr>
            </w:pPr>
            <w:r>
              <w:rPr>
                <w:rFonts w:ascii="Arial" w:cs="Arial" w:eastAsia="Arial" w:hAnsi="Arial"/>
                <w:sz w:val="13"/>
                <w:szCs w:val="13"/>
                <w:color w:val="131E29"/>
                <w:w w:val="98"/>
              </w:rPr>
              <w:t>97.1†</w:t>
            </w:r>
          </w:p>
        </w:tc>
        <w:tc>
          <w:tcPr>
            <w:tcW w:w="20" w:type="dxa"/>
            <w:vAlign w:val="bottom"/>
            <w:tcBorders>
              <w:bottom w:val="single" w:sz="8" w:color="D2DCE5"/>
            </w:tcBorders>
            <w:shd w:val="clear" w:color="auto" w:fill="D2DCE5"/>
          </w:tcPr>
          <w:p>
            <w:pPr>
              <w:spacing w:after="0"/>
              <w:rPr>
                <w:sz w:val="14"/>
                <w:szCs w:val="14"/>
                <w:color w:val="auto"/>
              </w:rPr>
            </w:pPr>
          </w:p>
        </w:tc>
        <w:tc>
          <w:tcPr>
            <w:tcW w:w="3880" w:type="dxa"/>
            <w:vAlign w:val="bottom"/>
            <w:tcBorders>
              <w:bottom w:val="single" w:sz="8" w:color="0000FF"/>
            </w:tcBorders>
            <w:gridSpan w:val="3"/>
            <w:shd w:val="clear" w:color="auto" w:fill="D2DCE5"/>
          </w:tcPr>
          <w:p>
            <w:pPr>
              <w:spacing w:after="0" w:line="148" w:lineRule="exact"/>
              <w:rPr>
                <w:sz w:val="20"/>
                <w:szCs w:val="20"/>
                <w:color w:val="auto"/>
              </w:rPr>
            </w:pPr>
            <w:r>
              <w:rPr>
                <w:rFonts w:ascii="Arial" w:cs="Arial" w:eastAsia="Arial" w:hAnsi="Arial"/>
                <w:sz w:val="13"/>
                <w:szCs w:val="13"/>
                <w:color w:val="0000FF"/>
                <w:w w:val="96"/>
              </w:rPr>
              <w:t>Incentive Compensation Recoupment Policy, dated October 10, 2023</w:t>
            </w:r>
          </w:p>
        </w:tc>
        <w:tc>
          <w:tcPr>
            <w:tcW w:w="500" w:type="dxa"/>
            <w:vAlign w:val="bottom"/>
            <w:tcBorders>
              <w:bottom w:val="single" w:sz="8" w:color="D2DCE5"/>
            </w:tcBorders>
            <w:gridSpan w:val="6"/>
            <w:shd w:val="clear" w:color="auto" w:fill="D2DCE5"/>
          </w:tcPr>
          <w:p>
            <w:pPr>
              <w:spacing w:after="0"/>
              <w:rPr>
                <w:sz w:val="14"/>
                <w:szCs w:val="14"/>
                <w:color w:val="auto"/>
              </w:rPr>
            </w:pPr>
          </w:p>
        </w:tc>
        <w:tc>
          <w:tcPr>
            <w:tcW w:w="940" w:type="dxa"/>
            <w:vAlign w:val="bottom"/>
            <w:tcBorders>
              <w:bottom w:val="single" w:sz="8" w:color="D2DCE5"/>
            </w:tcBorders>
            <w:shd w:val="clear" w:color="auto" w:fill="D2DCE5"/>
          </w:tcPr>
          <w:p>
            <w:pPr>
              <w:spacing w:after="0"/>
              <w:rPr>
                <w:sz w:val="14"/>
                <w:szCs w:val="14"/>
                <w:color w:val="auto"/>
              </w:rPr>
            </w:pPr>
          </w:p>
        </w:tc>
        <w:tc>
          <w:tcPr>
            <w:tcW w:w="1140" w:type="dxa"/>
            <w:vAlign w:val="bottom"/>
            <w:tcBorders>
              <w:bottom w:val="single" w:sz="8" w:color="D2DCE5"/>
            </w:tcBorders>
            <w:shd w:val="clear" w:color="auto" w:fill="D2DCE5"/>
          </w:tcPr>
          <w:p>
            <w:pPr>
              <w:spacing w:after="0"/>
              <w:rPr>
                <w:sz w:val="14"/>
                <w:szCs w:val="14"/>
                <w:color w:val="auto"/>
              </w:rPr>
            </w:pPr>
          </w:p>
        </w:tc>
        <w:tc>
          <w:tcPr>
            <w:tcW w:w="94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156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940" w:type="dxa"/>
            <w:vAlign w:val="bottom"/>
            <w:tcBorders>
              <w:bottom w:val="single" w:sz="8" w:color="D2DCE5"/>
            </w:tcBorders>
            <w:shd w:val="clear" w:color="auto" w:fill="D2DCE5"/>
          </w:tcPr>
          <w:p>
            <w:pPr>
              <w:jc w:val="center"/>
              <w:spacing w:after="0" w:line="148" w:lineRule="exact"/>
              <w:rPr>
                <w:sz w:val="20"/>
                <w:szCs w:val="20"/>
                <w:color w:val="auto"/>
              </w:rPr>
            </w:pPr>
            <w:r>
              <w:rPr>
                <w:rFonts w:ascii="Arial" w:cs="Arial" w:eastAsia="Arial" w:hAnsi="Arial"/>
                <w:sz w:val="13"/>
                <w:szCs w:val="13"/>
                <w:color w:val="131E29"/>
              </w:rPr>
              <w:t>X</w:t>
            </w:r>
          </w:p>
        </w:tc>
      </w:t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101.INS</w:t>
            </w:r>
          </w:p>
        </w:tc>
        <w:tc>
          <w:tcPr>
            <w:tcW w:w="20" w:type="dxa"/>
            <w:vAlign w:val="bottom"/>
          </w:tcPr>
          <w:p>
            <w:pPr>
              <w:spacing w:after="0"/>
              <w:rPr>
                <w:sz w:val="15"/>
                <w:szCs w:val="15"/>
                <w:color w:val="auto"/>
              </w:rPr>
            </w:pPr>
          </w:p>
        </w:tc>
        <w:tc>
          <w:tcPr>
            <w:tcW w:w="4380" w:type="dxa"/>
            <w:vAlign w:val="bottom"/>
            <w:gridSpan w:val="9"/>
          </w:tcPr>
          <w:p>
            <w:pPr>
              <w:spacing w:after="0"/>
              <w:rPr>
                <w:sz w:val="20"/>
                <w:szCs w:val="20"/>
                <w:color w:val="auto"/>
              </w:rPr>
            </w:pPr>
            <w:r>
              <w:rPr>
                <w:rFonts w:ascii="Arial" w:cs="Arial" w:eastAsia="Arial" w:hAnsi="Arial"/>
                <w:sz w:val="13"/>
                <w:szCs w:val="13"/>
                <w:color w:val="131E29"/>
              </w:rPr>
              <w:t>XBRL Instance Document.</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131E29"/>
              </w:rPr>
              <w:t>X</w:t>
            </w:r>
          </w:p>
        </w:tc>
      </w:tr>
      <w:tr>
        <w:trPr>
          <w:trHeight w:val="197"/>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8"/>
              </w:rPr>
              <w:t>101.SCH</w:t>
            </w:r>
          </w:p>
        </w:tc>
        <w:tc>
          <w:tcPr>
            <w:tcW w:w="20" w:type="dxa"/>
            <w:vAlign w:val="bottom"/>
            <w:shd w:val="clear" w:color="auto" w:fill="D2DCE5"/>
          </w:tcPr>
          <w:p>
            <w:pPr>
              <w:spacing w:after="0"/>
              <w:rPr>
                <w:sz w:val="17"/>
                <w:szCs w:val="17"/>
                <w:color w:val="auto"/>
              </w:rPr>
            </w:pPr>
          </w:p>
        </w:tc>
        <w:tc>
          <w:tcPr>
            <w:tcW w:w="4380" w:type="dxa"/>
            <w:vAlign w:val="bottom"/>
            <w:gridSpan w:val="9"/>
            <w:shd w:val="clear" w:color="auto" w:fill="D2DCE5"/>
          </w:tcPr>
          <w:p>
            <w:pPr>
              <w:spacing w:after="0"/>
              <w:rPr>
                <w:sz w:val="20"/>
                <w:szCs w:val="20"/>
                <w:color w:val="auto"/>
              </w:rPr>
            </w:pPr>
            <w:r>
              <w:rPr>
                <w:rFonts w:ascii="Arial" w:cs="Arial" w:eastAsia="Arial" w:hAnsi="Arial"/>
                <w:sz w:val="13"/>
                <w:szCs w:val="13"/>
                <w:color w:val="131E29"/>
              </w:rPr>
              <w:t>XBRL Taxonomy Extension Schema Document.</w:t>
            </w:r>
          </w:p>
        </w:tc>
        <w:tc>
          <w:tcPr>
            <w:tcW w:w="940" w:type="dxa"/>
            <w:vAlign w:val="bottom"/>
            <w:shd w:val="clear" w:color="auto" w:fill="D2DCE5"/>
          </w:tcPr>
          <w:p>
            <w:pPr>
              <w:spacing w:after="0"/>
              <w:rPr>
                <w:sz w:val="17"/>
                <w:szCs w:val="17"/>
                <w:color w:val="auto"/>
              </w:rPr>
            </w:pPr>
          </w:p>
        </w:tc>
        <w:tc>
          <w:tcPr>
            <w:tcW w:w="114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3"/>
                <w:szCs w:val="13"/>
                <w:color w:val="131E29"/>
              </w:rPr>
              <w:t>X</w:t>
            </w:r>
          </w:p>
        </w:tc>
      </w:tr>
      <w:tr>
        <w:trPr>
          <w:trHeight w:val="184"/>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4"/>
              </w:rPr>
              <w:t>101.CAL</w:t>
            </w:r>
          </w:p>
        </w:tc>
        <w:tc>
          <w:tcPr>
            <w:tcW w:w="20" w:type="dxa"/>
            <w:vAlign w:val="bottom"/>
          </w:tcPr>
          <w:p>
            <w:pPr>
              <w:spacing w:after="0"/>
              <w:rPr>
                <w:sz w:val="15"/>
                <w:szCs w:val="15"/>
                <w:color w:val="auto"/>
              </w:rPr>
            </w:pPr>
          </w:p>
        </w:tc>
        <w:tc>
          <w:tcPr>
            <w:tcW w:w="4380" w:type="dxa"/>
            <w:vAlign w:val="bottom"/>
            <w:gridSpan w:val="9"/>
          </w:tcPr>
          <w:p>
            <w:pPr>
              <w:spacing w:after="0"/>
              <w:rPr>
                <w:sz w:val="20"/>
                <w:szCs w:val="20"/>
                <w:color w:val="auto"/>
              </w:rPr>
            </w:pPr>
            <w:r>
              <w:rPr>
                <w:rFonts w:ascii="Arial" w:cs="Arial" w:eastAsia="Arial" w:hAnsi="Arial"/>
                <w:sz w:val="13"/>
                <w:szCs w:val="13"/>
                <w:color w:val="131E29"/>
              </w:rPr>
              <w:t>XBRL Taxonomy Extension Calculation Linkbase Document.</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131E29"/>
              </w:rPr>
              <w:t>X</w:t>
            </w:r>
          </w:p>
        </w:tc>
      </w:tr>
      <w:tr>
        <w:trPr>
          <w:trHeight w:val="197"/>
        </w:trPr>
        <w:tc>
          <w:tcPr>
            <w:tcW w:w="1160" w:type="dxa"/>
            <w:vAlign w:val="bottom"/>
            <w:gridSpan w:val="2"/>
            <w:shd w:val="clear" w:color="auto" w:fill="D2DCE5"/>
          </w:tcPr>
          <w:p>
            <w:pPr>
              <w:jc w:val="center"/>
              <w:ind w:right="100"/>
              <w:spacing w:after="0"/>
              <w:rPr>
                <w:sz w:val="20"/>
                <w:szCs w:val="20"/>
                <w:color w:val="auto"/>
              </w:rPr>
            </w:pPr>
            <w:r>
              <w:rPr>
                <w:rFonts w:ascii="Arial" w:cs="Arial" w:eastAsia="Arial" w:hAnsi="Arial"/>
                <w:sz w:val="13"/>
                <w:szCs w:val="13"/>
                <w:color w:val="131E29"/>
                <w:w w:val="97"/>
              </w:rPr>
              <w:t>101.DEF</w:t>
            </w:r>
          </w:p>
        </w:tc>
        <w:tc>
          <w:tcPr>
            <w:tcW w:w="20" w:type="dxa"/>
            <w:vAlign w:val="bottom"/>
            <w:shd w:val="clear" w:color="auto" w:fill="D2DCE5"/>
          </w:tcPr>
          <w:p>
            <w:pPr>
              <w:spacing w:after="0"/>
              <w:rPr>
                <w:sz w:val="17"/>
                <w:szCs w:val="17"/>
                <w:color w:val="auto"/>
              </w:rPr>
            </w:pPr>
          </w:p>
        </w:tc>
        <w:tc>
          <w:tcPr>
            <w:tcW w:w="4380" w:type="dxa"/>
            <w:vAlign w:val="bottom"/>
            <w:gridSpan w:val="9"/>
            <w:shd w:val="clear" w:color="auto" w:fill="D2DCE5"/>
          </w:tcPr>
          <w:p>
            <w:pPr>
              <w:spacing w:after="0"/>
              <w:rPr>
                <w:sz w:val="20"/>
                <w:szCs w:val="20"/>
                <w:color w:val="auto"/>
              </w:rPr>
            </w:pPr>
            <w:r>
              <w:rPr>
                <w:rFonts w:ascii="Arial" w:cs="Arial" w:eastAsia="Arial" w:hAnsi="Arial"/>
                <w:sz w:val="13"/>
                <w:szCs w:val="13"/>
                <w:color w:val="131E29"/>
              </w:rPr>
              <w:t>XBRL Taxonomy Extension Definition Linkbase Document.</w:t>
            </w:r>
          </w:p>
        </w:tc>
        <w:tc>
          <w:tcPr>
            <w:tcW w:w="940" w:type="dxa"/>
            <w:vAlign w:val="bottom"/>
            <w:shd w:val="clear" w:color="auto" w:fill="D2DCE5"/>
          </w:tcPr>
          <w:p>
            <w:pPr>
              <w:spacing w:after="0"/>
              <w:rPr>
                <w:sz w:val="17"/>
                <w:szCs w:val="17"/>
                <w:color w:val="auto"/>
              </w:rPr>
            </w:pPr>
          </w:p>
        </w:tc>
        <w:tc>
          <w:tcPr>
            <w:tcW w:w="114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3"/>
                <w:szCs w:val="13"/>
                <w:color w:val="131E29"/>
              </w:rPr>
              <w:t>X</w:t>
            </w:r>
          </w:p>
        </w:tc>
      </w:tr>
      <w:tr>
        <w:trPr>
          <w:trHeight w:val="184"/>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101.LAB</w:t>
            </w:r>
          </w:p>
        </w:tc>
        <w:tc>
          <w:tcPr>
            <w:tcW w:w="20" w:type="dxa"/>
            <w:vAlign w:val="bottom"/>
          </w:tcPr>
          <w:p>
            <w:pPr>
              <w:spacing w:after="0"/>
              <w:rPr>
                <w:sz w:val="15"/>
                <w:szCs w:val="15"/>
                <w:color w:val="auto"/>
              </w:rPr>
            </w:pPr>
          </w:p>
        </w:tc>
        <w:tc>
          <w:tcPr>
            <w:tcW w:w="4380" w:type="dxa"/>
            <w:vAlign w:val="bottom"/>
            <w:gridSpan w:val="9"/>
          </w:tcPr>
          <w:p>
            <w:pPr>
              <w:spacing w:after="0"/>
              <w:rPr>
                <w:sz w:val="20"/>
                <w:szCs w:val="20"/>
                <w:color w:val="auto"/>
              </w:rPr>
            </w:pPr>
            <w:r>
              <w:rPr>
                <w:rFonts w:ascii="Arial" w:cs="Arial" w:eastAsia="Arial" w:hAnsi="Arial"/>
                <w:sz w:val="13"/>
                <w:szCs w:val="13"/>
                <w:color w:val="131E29"/>
              </w:rPr>
              <w:t>XBRL Taxonomy Extension Label Linkbase Document.</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131E29"/>
              </w:rPr>
              <w:t>X</w:t>
            </w:r>
          </w:p>
        </w:tc>
      </w:tr>
      <w:tr>
        <w:trPr>
          <w:trHeight w:val="197"/>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9"/>
              </w:rPr>
              <w:t>101.PRE</w:t>
            </w:r>
          </w:p>
        </w:tc>
        <w:tc>
          <w:tcPr>
            <w:tcW w:w="20" w:type="dxa"/>
            <w:vAlign w:val="bottom"/>
            <w:shd w:val="clear" w:color="auto" w:fill="D2DCE5"/>
          </w:tcPr>
          <w:p>
            <w:pPr>
              <w:spacing w:after="0"/>
              <w:rPr>
                <w:sz w:val="17"/>
                <w:szCs w:val="17"/>
                <w:color w:val="auto"/>
              </w:rPr>
            </w:pPr>
          </w:p>
        </w:tc>
        <w:tc>
          <w:tcPr>
            <w:tcW w:w="4380" w:type="dxa"/>
            <w:vAlign w:val="bottom"/>
            <w:gridSpan w:val="9"/>
            <w:shd w:val="clear" w:color="auto" w:fill="D2DCE5"/>
          </w:tcPr>
          <w:p>
            <w:pPr>
              <w:spacing w:after="0"/>
              <w:rPr>
                <w:sz w:val="20"/>
                <w:szCs w:val="20"/>
                <w:color w:val="auto"/>
              </w:rPr>
            </w:pPr>
            <w:r>
              <w:rPr>
                <w:rFonts w:ascii="Arial" w:cs="Arial" w:eastAsia="Arial" w:hAnsi="Arial"/>
                <w:sz w:val="13"/>
                <w:szCs w:val="13"/>
                <w:color w:val="131E29"/>
              </w:rPr>
              <w:t>XBRL Taxonomy Extension Presentation Linkbase Document.</w:t>
            </w:r>
          </w:p>
        </w:tc>
        <w:tc>
          <w:tcPr>
            <w:tcW w:w="940" w:type="dxa"/>
            <w:vAlign w:val="bottom"/>
            <w:shd w:val="clear" w:color="auto" w:fill="D2DCE5"/>
          </w:tcPr>
          <w:p>
            <w:pPr>
              <w:spacing w:after="0"/>
              <w:rPr>
                <w:sz w:val="17"/>
                <w:szCs w:val="17"/>
                <w:color w:val="auto"/>
              </w:rPr>
            </w:pPr>
          </w:p>
        </w:tc>
        <w:tc>
          <w:tcPr>
            <w:tcW w:w="114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3"/>
                <w:szCs w:val="13"/>
                <w:color w:val="131E29"/>
              </w:rPr>
              <w:t>X</w:t>
            </w:r>
          </w:p>
        </w:tc>
      </w:t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gridSpan w:val="9"/>
          </w:tcPr>
          <w:p>
            <w:pPr>
              <w:spacing w:after="0"/>
              <w:rPr>
                <w:sz w:val="20"/>
                <w:szCs w:val="20"/>
                <w:color w:val="auto"/>
              </w:rPr>
            </w:pPr>
            <w:r>
              <w:rPr>
                <w:rFonts w:ascii="Arial" w:cs="Arial" w:eastAsia="Arial" w:hAnsi="Arial"/>
                <w:sz w:val="13"/>
                <w:szCs w:val="13"/>
                <w:color w:val="131E29"/>
              </w:rPr>
              <w:t>Cover Page with Interactive Data File (formatted as Inline XBRL with</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7"/>
        </w:trPr>
        <w:tc>
          <w:tcPr>
            <w:tcW w:w="1080" w:type="dxa"/>
            <w:vAlign w:val="bottom"/>
          </w:tcPr>
          <w:p>
            <w:pPr>
              <w:jc w:val="center"/>
              <w:spacing w:after="0"/>
              <w:rPr>
                <w:sz w:val="20"/>
                <w:szCs w:val="20"/>
                <w:color w:val="auto"/>
              </w:rPr>
            </w:pPr>
            <w:r>
              <w:rPr>
                <w:rFonts w:ascii="Arial" w:cs="Arial" w:eastAsia="Arial" w:hAnsi="Arial"/>
                <w:sz w:val="13"/>
                <w:szCs w:val="13"/>
                <w:color w:val="131E29"/>
                <w:w w:val="92"/>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gridSpan w:val="9"/>
          </w:tcPr>
          <w:p>
            <w:pPr>
              <w:spacing w:after="0"/>
              <w:rPr>
                <w:sz w:val="20"/>
                <w:szCs w:val="20"/>
                <w:color w:val="auto"/>
              </w:rPr>
            </w:pPr>
            <w:r>
              <w:rPr>
                <w:rFonts w:ascii="Arial" w:cs="Arial" w:eastAsia="Arial" w:hAnsi="Arial"/>
                <w:sz w:val="13"/>
                <w:szCs w:val="13"/>
                <w:color w:val="131E29"/>
              </w:rPr>
              <w:t>applicable taxonomy extension information contained in Exhibits 101).</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131E29"/>
              </w:rPr>
              <w:t>X</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67" w:lineRule="exact"/>
        <w:rPr>
          <w:sz w:val="20"/>
          <w:szCs w:val="20"/>
          <w:color w:val="auto"/>
        </w:rPr>
      </w:pPr>
    </w:p>
    <w:p>
      <w:pPr>
        <w:ind w:left="240" w:hanging="235"/>
        <w:spacing w:after="0"/>
        <w:tabs>
          <w:tab w:leader="none" w:pos="240" w:val="left"/>
        </w:tabs>
        <w:numPr>
          <w:ilvl w:val="0"/>
          <w:numId w:val="80"/>
        </w:numPr>
        <w:rPr>
          <w:rFonts w:ascii="Arial" w:cs="Arial" w:eastAsia="Arial" w:hAnsi="Arial"/>
          <w:sz w:val="14"/>
          <w:szCs w:val="14"/>
          <w:color w:val="131E29"/>
        </w:rPr>
      </w:pPr>
      <w:r>
        <w:rPr>
          <w:rFonts w:ascii="Arial" w:cs="Arial" w:eastAsia="Arial" w:hAnsi="Arial"/>
          <w:sz w:val="11"/>
          <w:szCs w:val="11"/>
          <w:color w:val="131E29"/>
        </w:rPr>
        <w:t>Management contract or compensatory plan or arrangement.</w:t>
      </w:r>
    </w:p>
    <w:p>
      <w:pPr>
        <w:spacing w:after="0" w:line="127" w:lineRule="exact"/>
        <w:rPr>
          <w:sz w:val="20"/>
          <w:szCs w:val="20"/>
          <w:color w:val="auto"/>
        </w:rPr>
      </w:pPr>
    </w:p>
    <w:p>
      <w:pPr>
        <w:ind w:left="140" w:hanging="135"/>
        <w:spacing w:after="0" w:line="281" w:lineRule="auto"/>
        <w:tabs>
          <w:tab w:leader="none" w:pos="189" w:val="left"/>
        </w:tabs>
        <w:numPr>
          <w:ilvl w:val="0"/>
          <w:numId w:val="81"/>
        </w:numPr>
        <w:rPr>
          <w:rFonts w:ascii="Arial" w:cs="Arial" w:eastAsia="Arial" w:hAnsi="Arial"/>
          <w:sz w:val="11"/>
          <w:szCs w:val="11"/>
          <w:color w:val="131E29"/>
        </w:rPr>
      </w:pPr>
      <w:r>
        <w:rPr>
          <w:rFonts w:ascii="Arial" w:cs="Arial" w:eastAsia="Arial" w:hAnsi="Arial"/>
          <w:sz w:val="11"/>
          <w:szCs w:val="11"/>
          <w:color w:val="131E29"/>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16. 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875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3"/>
          <w:szCs w:val="23"/>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2165" cy="806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62165" cy="8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Pursuant to the requirements of Section 13 or 15(d)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406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240" w:type="dxa"/>
            <w:vAlign w:val="bottom"/>
            <w:gridSpan w:val="2"/>
          </w:tcPr>
          <w:p>
            <w:pPr>
              <w:ind w:left="2100"/>
              <w:spacing w:after="0"/>
              <w:rPr>
                <w:sz w:val="20"/>
                <w:szCs w:val="20"/>
                <w:color w:val="auto"/>
              </w:rPr>
            </w:pPr>
            <w:r>
              <w:rPr>
                <w:rFonts w:ascii="Arial" w:cs="Arial" w:eastAsia="Arial" w:hAnsi="Arial"/>
                <w:sz w:val="13"/>
                <w:szCs w:val="13"/>
                <w:b w:val="1"/>
                <w:bCs w:val="1"/>
                <w:color w:val="131E29"/>
                <w:w w:val="96"/>
              </w:rPr>
              <w:t>DUTCH BROS INC.</w:t>
            </w:r>
          </w:p>
        </w:tc>
        <w:tc>
          <w:tcPr>
            <w:tcW w:w="2260" w:type="dxa"/>
            <w:vAlign w:val="bottom"/>
          </w:tcPr>
          <w:p>
            <w:pPr>
              <w:spacing w:after="0"/>
              <w:rPr>
                <w:sz w:val="15"/>
                <w:szCs w:val="15"/>
                <w:color w:val="auto"/>
              </w:rPr>
            </w:pPr>
          </w:p>
        </w:tc>
      </w:tr>
      <w:tr>
        <w:trPr>
          <w:trHeight w:val="363"/>
        </w:trPr>
        <w:tc>
          <w:tcPr>
            <w:tcW w:w="1720" w:type="dxa"/>
            <w:vAlign w:val="bottom"/>
          </w:tcPr>
          <w:p>
            <w:pPr>
              <w:ind w:left="20"/>
              <w:spacing w:after="0"/>
              <w:rPr>
                <w:sz w:val="20"/>
                <w:szCs w:val="20"/>
                <w:color w:val="auto"/>
              </w:rPr>
            </w:pPr>
            <w:r>
              <w:rPr>
                <w:rFonts w:ascii="Arial" w:cs="Arial" w:eastAsia="Arial" w:hAnsi="Arial"/>
                <w:sz w:val="13"/>
                <w:szCs w:val="13"/>
                <w:color w:val="131E29"/>
              </w:rPr>
              <w:t>February 23, 2024</w:t>
            </w:r>
          </w:p>
        </w:tc>
        <w:tc>
          <w:tcPr>
            <w:tcW w:w="3240" w:type="dxa"/>
            <w:vAlign w:val="bottom"/>
            <w:gridSpan w:val="2"/>
          </w:tcPr>
          <w:p>
            <w:pPr>
              <w:ind w:left="2100"/>
              <w:spacing w:after="0"/>
              <w:rPr>
                <w:sz w:val="20"/>
                <w:szCs w:val="20"/>
                <w:color w:val="auto"/>
              </w:rPr>
            </w:pPr>
            <w:r>
              <w:rPr>
                <w:rFonts w:ascii="Arial" w:cs="Arial" w:eastAsia="Arial" w:hAnsi="Arial"/>
                <w:sz w:val="13"/>
                <w:szCs w:val="13"/>
                <w:color w:val="131E29"/>
              </w:rPr>
              <w:t>By:</w:t>
            </w:r>
          </w:p>
        </w:tc>
        <w:tc>
          <w:tcPr>
            <w:tcW w:w="2260" w:type="dxa"/>
            <w:vAlign w:val="bottom"/>
          </w:tcPr>
          <w:p>
            <w:pPr>
              <w:jc w:val="center"/>
              <w:ind w:right="737"/>
              <w:spacing w:after="0"/>
              <w:rPr>
                <w:sz w:val="20"/>
                <w:szCs w:val="20"/>
                <w:color w:val="auto"/>
              </w:rPr>
            </w:pPr>
            <w:r>
              <w:rPr>
                <w:rFonts w:ascii="Arial" w:cs="Arial" w:eastAsia="Arial" w:hAnsi="Arial"/>
                <w:sz w:val="13"/>
                <w:szCs w:val="13"/>
                <w:b w:val="1"/>
                <w:bCs w:val="1"/>
                <w:color w:val="131E29"/>
                <w:w w:val="98"/>
              </w:rPr>
              <w:t>/s/ CHRISTINE BARONE</w:t>
            </w:r>
          </w:p>
        </w:tc>
      </w:tr>
      <w:tr>
        <w:trPr>
          <w:trHeight w:val="171"/>
        </w:trPr>
        <w:tc>
          <w:tcPr>
            <w:tcW w:w="17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131E29"/>
              </w:rPr>
              <w:t>Date</w:t>
            </w:r>
          </w:p>
        </w:tc>
        <w:tc>
          <w:tcPr>
            <w:tcW w:w="24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jc w:val="center"/>
              <w:ind w:right="737"/>
              <w:spacing w:after="0"/>
              <w:rPr>
                <w:sz w:val="20"/>
                <w:szCs w:val="20"/>
                <w:color w:val="auto"/>
              </w:rPr>
            </w:pPr>
            <w:r>
              <w:rPr>
                <w:rFonts w:ascii="Arial" w:cs="Arial" w:eastAsia="Arial" w:hAnsi="Arial"/>
                <w:sz w:val="13"/>
                <w:szCs w:val="13"/>
                <w:color w:val="131E29"/>
                <w:w w:val="97"/>
              </w:rPr>
              <w:t>Christine Barone</w:t>
            </w:r>
          </w:p>
        </w:tc>
      </w:tr>
    </w:tbl>
    <w:p>
      <w:pPr>
        <w:spacing w:after="0" w:line="150" w:lineRule="exact"/>
        <w:rPr>
          <w:sz w:val="20"/>
          <w:szCs w:val="20"/>
          <w:color w:val="auto"/>
        </w:rPr>
      </w:pPr>
    </w:p>
    <w:p>
      <w:pPr>
        <w:ind w:left="8700"/>
        <w:spacing w:after="0"/>
        <w:rPr>
          <w:sz w:val="20"/>
          <w:szCs w:val="20"/>
          <w:color w:val="auto"/>
        </w:rPr>
      </w:pPr>
      <w:r>
        <w:rPr>
          <w:rFonts w:ascii="Arial" w:cs="Arial" w:eastAsia="Arial" w:hAnsi="Arial"/>
          <w:sz w:val="13"/>
          <w:szCs w:val="13"/>
          <w:color w:val="131E29"/>
        </w:rPr>
        <w:t>Chief Executive Officer and President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POWER OF ATTORNEY</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131E29"/>
        </w:rPr>
        <w:t>KNOW ALL PERSONS BY THESE PRESENTS</w:t>
      </w:r>
      <w:r>
        <w:rPr>
          <w:rFonts w:ascii="Arial" w:cs="Arial" w:eastAsia="Arial" w:hAnsi="Arial"/>
          <w:sz w:val="14"/>
          <w:szCs w:val="14"/>
          <w:color w:val="131E29"/>
        </w:rPr>
        <w:t>, that each person whose signature appears below constitutes and appoints Christine Barone and Charles L. Jemley, and each one</w:t>
      </w:r>
      <w:r>
        <w:rPr>
          <w:rFonts w:ascii="Arial" w:cs="Arial" w:eastAsia="Arial" w:hAnsi="Arial"/>
          <w:sz w:val="14"/>
          <w:szCs w:val="14"/>
          <w:b w:val="1"/>
          <w:bCs w:val="1"/>
          <w:color w:val="131E29"/>
        </w:rPr>
        <w:t xml:space="preserve"> </w:t>
      </w:r>
      <w:r>
        <w:rPr>
          <w:rFonts w:ascii="Arial" w:cs="Arial" w:eastAsia="Arial" w:hAnsi="Arial"/>
          <w:sz w:val="14"/>
          <w:szCs w:val="14"/>
          <w:color w:val="131E29"/>
        </w:rPr>
        <w:t>of them, as his or her true and lawful attorneys-in-fact and agents, with full power of substitution and resubstitution, for him or her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131E29"/>
        </w:rPr>
        <w:t>Pursuant to the requirements of the Securities Exchange Act of 1934, this report has been signed by the following persons on behalf of the registrant and in the capacities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jc w:val="center"/>
              <w:spacing w:after="0"/>
              <w:rPr>
                <w:sz w:val="20"/>
                <w:szCs w:val="20"/>
                <w:color w:val="auto"/>
              </w:rPr>
            </w:pPr>
            <w:r>
              <w:rPr>
                <w:rFonts w:ascii="Arial" w:cs="Arial" w:eastAsia="Arial" w:hAnsi="Arial"/>
                <w:sz w:val="13"/>
                <w:szCs w:val="13"/>
                <w:b w:val="1"/>
                <w:bCs w:val="1"/>
                <w:color w:val="131E29"/>
                <w:w w:val="96"/>
              </w:rPr>
              <w:t>Signature</w:t>
            </w:r>
          </w:p>
        </w:tc>
        <w:tc>
          <w:tcPr>
            <w:tcW w:w="80" w:type="dxa"/>
            <w:vAlign w:val="bottom"/>
          </w:tcPr>
          <w:p>
            <w:pPr>
              <w:spacing w:after="0"/>
              <w:rPr>
                <w:sz w:val="15"/>
                <w:szCs w:val="15"/>
                <w:color w:val="auto"/>
              </w:rPr>
            </w:pPr>
          </w:p>
        </w:tc>
        <w:tc>
          <w:tcPr>
            <w:tcW w:w="5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131E29"/>
                <w:w w:val="97"/>
              </w:rPr>
              <w:t>Title</w:t>
            </w:r>
          </w:p>
        </w:tc>
        <w:tc>
          <w:tcPr>
            <w:tcW w:w="2300" w:type="dxa"/>
            <w:vAlign w:val="bottom"/>
          </w:tcPr>
          <w:p>
            <w:pPr>
              <w:jc w:val="center"/>
              <w:spacing w:after="0"/>
              <w:rPr>
                <w:sz w:val="20"/>
                <w:szCs w:val="20"/>
                <w:color w:val="auto"/>
              </w:rPr>
            </w:pPr>
            <w:r>
              <w:rPr>
                <w:rFonts w:ascii="Arial" w:cs="Arial" w:eastAsia="Arial" w:hAnsi="Arial"/>
                <w:sz w:val="13"/>
                <w:szCs w:val="13"/>
                <w:b w:val="1"/>
                <w:bCs w:val="1"/>
                <w:color w:val="131E29"/>
                <w:w w:val="99"/>
              </w:rPr>
              <w:t>Date</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131E29"/>
                <w:w w:val="97"/>
              </w:rPr>
              <w:t>/s/ CHRISTINE BARONE</w:t>
            </w:r>
          </w:p>
        </w:tc>
        <w:tc>
          <w:tcPr>
            <w:tcW w:w="80" w:type="dxa"/>
            <w:vAlign w:val="bottom"/>
          </w:tcPr>
          <w:p>
            <w:pPr>
              <w:spacing w:after="0"/>
              <w:rPr>
                <w:sz w:val="19"/>
                <w:szCs w:val="19"/>
                <w:color w:val="auto"/>
              </w:rPr>
            </w:pPr>
          </w:p>
        </w:tc>
        <w:tc>
          <w:tcPr>
            <w:tcW w:w="5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180" w:type="dxa"/>
            <w:vAlign w:val="bottom"/>
          </w:tcPr>
          <w:p>
            <w:pPr>
              <w:jc w:val="center"/>
              <w:spacing w:after="0" w:line="138" w:lineRule="exact"/>
              <w:rPr>
                <w:sz w:val="20"/>
                <w:szCs w:val="20"/>
                <w:color w:val="auto"/>
              </w:rPr>
            </w:pPr>
            <w:r>
              <w:rPr>
                <w:rFonts w:ascii="Arial" w:cs="Arial" w:eastAsia="Arial" w:hAnsi="Arial"/>
                <w:sz w:val="13"/>
                <w:szCs w:val="13"/>
                <w:color w:val="131E29"/>
                <w:w w:val="97"/>
              </w:rPr>
              <w:t>Christine Barone</w:t>
            </w:r>
          </w:p>
        </w:tc>
        <w:tc>
          <w:tcPr>
            <w:tcW w:w="80" w:type="dxa"/>
            <w:vAlign w:val="bottom"/>
          </w:tcPr>
          <w:p>
            <w:pPr>
              <w:spacing w:after="0"/>
              <w:rPr>
                <w:sz w:val="11"/>
                <w:szCs w:val="11"/>
                <w:color w:val="auto"/>
              </w:rPr>
            </w:pPr>
          </w:p>
        </w:tc>
        <w:tc>
          <w:tcPr>
            <w:tcW w:w="572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131E29"/>
                <w:w w:val="97"/>
              </w:rPr>
              <w:t>Chief Executive Officer and President and Director</w:t>
            </w:r>
          </w:p>
        </w:tc>
        <w:tc>
          <w:tcPr>
            <w:tcW w:w="2300" w:type="dxa"/>
            <w:vAlign w:val="bottom"/>
            <w:vMerge w:val="restart"/>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(Principal Executive Officer)</w:t>
            </w: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TRAVIS BOERSMA</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Travis Boersma</w:t>
            </w:r>
          </w:p>
        </w:tc>
        <w:tc>
          <w:tcPr>
            <w:tcW w:w="80" w:type="dxa"/>
            <w:vAlign w:val="bottom"/>
          </w:tcPr>
          <w:p>
            <w:pPr>
              <w:spacing w:after="0"/>
              <w:rPr>
                <w:sz w:val="15"/>
                <w:szCs w:val="15"/>
                <w:color w:val="auto"/>
              </w:rPr>
            </w:pPr>
          </w:p>
        </w:tc>
        <w:tc>
          <w:tcPr>
            <w:tcW w:w="5720" w:type="dxa"/>
            <w:vAlign w:val="bottom"/>
            <w:gridSpan w:val="2"/>
          </w:tcPr>
          <w:p>
            <w:pPr>
              <w:jc w:val="center"/>
              <w:ind w:right="60"/>
              <w:spacing w:after="0"/>
              <w:rPr>
                <w:sz w:val="20"/>
                <w:szCs w:val="20"/>
                <w:color w:val="auto"/>
              </w:rPr>
            </w:pPr>
            <w:r>
              <w:rPr>
                <w:rFonts w:ascii="Arial" w:cs="Arial" w:eastAsia="Arial" w:hAnsi="Arial"/>
                <w:sz w:val="13"/>
                <w:szCs w:val="13"/>
                <w:color w:val="131E29"/>
                <w:w w:val="97"/>
              </w:rPr>
              <w:t>Executive Chairman</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67"/>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6"/>
              </w:rPr>
              <w:t>/s/ CHARLES L. JEMLEY</w:t>
            </w:r>
          </w:p>
        </w:tc>
        <w:tc>
          <w:tcPr>
            <w:tcW w:w="80" w:type="dxa"/>
            <w:vAlign w:val="bottom"/>
          </w:tcPr>
          <w:p>
            <w:pPr>
              <w:spacing w:after="0"/>
              <w:rPr>
                <w:sz w:val="23"/>
                <w:szCs w:val="23"/>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Chief Financial Officer</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Charles L. Jemley</w:t>
            </w:r>
          </w:p>
        </w:tc>
        <w:tc>
          <w:tcPr>
            <w:tcW w:w="80" w:type="dxa"/>
            <w:vAlign w:val="bottom"/>
          </w:tcPr>
          <w:p>
            <w:pPr>
              <w:spacing w:after="0"/>
              <w:rPr>
                <w:sz w:val="14"/>
                <w:szCs w:val="14"/>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(Principal Financial and Accounting Officer)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5"/>
              </w:rPr>
              <w:t>/s/ C. DAVID CONE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C. David Cone</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5"/>
              </w:rPr>
              <w:t>/s/ THOMAS DAVIS</w:t>
            </w:r>
          </w:p>
        </w:tc>
        <w:tc>
          <w:tcPr>
            <w:tcW w:w="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Thomas Davis</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5"/>
              </w:rPr>
              <w:t>/s/ KATHRYN GEORGE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Kathryn George</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6"/>
              </w:rPr>
              <w:t>/s/ STEPHEN GILLETT</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Stephen Gillett</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BLYTHE JACK</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9"/>
              </w:rPr>
              <w:t>Blythe Jack</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8"/>
              </w:rPr>
              <w:t>/s/ ANN MILLER</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rPr>
              <w:t>Ann Miller</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5"/>
              </w:rPr>
              <w:t>/s/ SEAN SULLIVAN</w:t>
            </w:r>
          </w:p>
        </w:tc>
        <w:tc>
          <w:tcPr>
            <w:tcW w:w="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Sean Sullivan</w:t>
            </w:r>
          </w:p>
        </w:tc>
        <w:tc>
          <w:tcPr>
            <w:tcW w:w="80" w:type="dxa"/>
            <w:vAlign w:val="bottom"/>
          </w:tcPr>
          <w:p>
            <w:pPr>
              <w:spacing w:after="0"/>
              <w:rPr>
                <w:sz w:val="15"/>
                <w:szCs w:val="15"/>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Director</w:t>
            </w:r>
          </w:p>
        </w:tc>
        <w:tc>
          <w:tcPr>
            <w:tcW w:w="2300" w:type="dxa"/>
            <w:vAlign w:val="bottom"/>
          </w:tcPr>
          <w:p>
            <w:pPr>
              <w:jc w:val="center"/>
              <w:spacing w:after="0"/>
              <w:rPr>
                <w:sz w:val="20"/>
                <w:szCs w:val="20"/>
                <w:color w:val="auto"/>
              </w:rPr>
            </w:pPr>
            <w:r>
              <w:rPr>
                <w:rFonts w:ascii="Arial" w:cs="Arial" w:eastAsia="Arial" w:hAnsi="Arial"/>
                <w:sz w:val="13"/>
                <w:szCs w:val="13"/>
                <w:color w:val="131E29"/>
                <w:w w:val="97"/>
              </w:rPr>
              <w:t>February 23,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3985" cy="1879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138</w:t>
      </w:r>
    </w:p>
    <w:p>
      <w:pPr>
        <w:sectPr>
          <w:pgSz w:w="11900" w:h="16838" w:orient="portrait"/>
          <w:cols w:equalWidth="0" w:num="1">
            <w:col w:w="11280"/>
          </w:cols>
          <w:pgMar w:left="300" w:top="114" w:right="319" w:bottom="1440"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087235" cy="92995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95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2995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9711690</wp:posOffset>
            </wp:positionV>
            <wp:extent cx="7087235" cy="196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087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306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305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087235" cy="9305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312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087235" cy="931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12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087235" cy="931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95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306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3059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087235" cy="9305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9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2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087235"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2932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087235" cy="9293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2932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087235" cy="9293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2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087235"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106285" cy="92995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10628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087235" cy="92995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9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9704705</wp:posOffset>
            </wp:positionV>
            <wp:extent cx="7087235" cy="196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7087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2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087235"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jc w:val="right"/>
        <w:spacing w:after="0"/>
        <w:rPr>
          <w:sz w:val="20"/>
          <w:szCs w:val="20"/>
          <w:color w:val="auto"/>
        </w:rPr>
      </w:pPr>
      <w:r>
        <w:rPr>
          <w:rFonts w:ascii="Arial" w:cs="Arial" w:eastAsia="Arial" w:hAnsi="Arial"/>
          <w:sz w:val="13"/>
          <w:szCs w:val="13"/>
          <w:b w:val="1"/>
          <w:bCs w:val="1"/>
          <w:color w:val="131E29"/>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00" w:type="dxa"/>
            <w:vAlign w:val="bottom"/>
          </w:tcPr>
          <w:p>
            <w:pPr>
              <w:spacing w:after="0"/>
              <w:rPr>
                <w:sz w:val="23"/>
                <w:szCs w:val="23"/>
                <w:color w:val="auto"/>
              </w:rPr>
            </w:pPr>
          </w:p>
        </w:tc>
        <w:tc>
          <w:tcPr>
            <w:tcW w:w="8280" w:type="dxa"/>
            <w:vAlign w:val="bottom"/>
            <w:gridSpan w:val="3"/>
          </w:tcPr>
          <w:p>
            <w:pPr>
              <w:jc w:val="center"/>
              <w:ind w:right="2930"/>
              <w:spacing w:after="0"/>
              <w:rPr>
                <w:sz w:val="20"/>
                <w:szCs w:val="20"/>
                <w:color w:val="auto"/>
              </w:rPr>
            </w:pPr>
            <w:r>
              <w:rPr>
                <w:rFonts w:ascii="Arial" w:cs="Arial" w:eastAsia="Arial" w:hAnsi="Arial"/>
                <w:sz w:val="20"/>
                <w:szCs w:val="20"/>
                <w:b w:val="1"/>
                <w:bCs w:val="1"/>
                <w:color w:val="00416B"/>
                <w:w w:val="98"/>
              </w:rPr>
              <w:t>Subsidiaries of Dutch Bros Inc.</w:t>
            </w:r>
          </w:p>
        </w:tc>
      </w:tr>
      <w:tr>
        <w:trPr>
          <w:trHeight w:val="194"/>
        </w:trPr>
        <w:tc>
          <w:tcPr>
            <w:tcW w:w="3000" w:type="dxa"/>
            <w:vAlign w:val="bottom"/>
          </w:tcPr>
          <w:p>
            <w:pPr>
              <w:spacing w:after="0"/>
              <w:rPr>
                <w:sz w:val="16"/>
                <w:szCs w:val="16"/>
                <w:color w:val="auto"/>
              </w:rPr>
            </w:pPr>
          </w:p>
        </w:tc>
        <w:tc>
          <w:tcPr>
            <w:tcW w:w="8280" w:type="dxa"/>
            <w:vAlign w:val="bottom"/>
            <w:gridSpan w:val="3"/>
          </w:tcPr>
          <w:p>
            <w:pPr>
              <w:jc w:val="center"/>
              <w:ind w:right="2930"/>
              <w:spacing w:after="0"/>
              <w:rPr>
                <w:sz w:val="20"/>
                <w:szCs w:val="20"/>
                <w:color w:val="auto"/>
              </w:rPr>
            </w:pPr>
            <w:r>
              <w:rPr>
                <w:rFonts w:ascii="Arial" w:cs="Arial" w:eastAsia="Arial" w:hAnsi="Arial"/>
                <w:sz w:val="14"/>
                <w:szCs w:val="14"/>
                <w:color w:val="131E29"/>
              </w:rPr>
              <w:t>As of December 31, 2023</w:t>
            </w:r>
          </w:p>
        </w:tc>
      </w:tr>
      <w:tr>
        <w:trPr>
          <w:trHeight w:val="326"/>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7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Dutch Mafia, LLC</w:t>
            </w:r>
          </w:p>
        </w:tc>
        <w:tc>
          <w:tcPr>
            <w:tcW w:w="19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Delaware</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Boersma Bros.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DB Franchising USA,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DB Management Co.</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Dutch Bros.,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Dutchwear,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AL,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AR,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AZ,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CA,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Colorado,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FL,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ID,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KS,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KY,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MO,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NM,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NV,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OK Group,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OR,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TN,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TX,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UT,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BB Holdings WA, LLC</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300"/>
        <w:spacing w:after="0"/>
        <w:rPr>
          <w:sz w:val="20"/>
          <w:szCs w:val="20"/>
          <w:color w:val="auto"/>
        </w:rPr>
      </w:pPr>
      <w:r>
        <w:rPr>
          <w:sz w:val="1"/>
          <w:szCs w:val="1"/>
          <w:color w:val="auto"/>
        </w:rPr>
        <w:drawing>
          <wp:inline distT="0" distB="0" distL="0" distR="0">
            <wp:extent cx="133985" cy="18796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3"/>
          <w:szCs w:val="13"/>
          <w:color w:val="131E29"/>
        </w:rPr>
        <w:t>Dutch Bros Inc.</w:t>
      </w:r>
      <w:r>
        <w:rPr>
          <w:rFonts w:ascii="Arial" w:cs="Arial" w:eastAsia="Arial" w:hAnsi="Arial"/>
          <w:sz w:val="13"/>
          <w:szCs w:val="13"/>
          <w:b w:val="1"/>
          <w:bCs w:val="1"/>
          <w:color w:val="006098"/>
        </w:rPr>
        <w:t>|</w:t>
      </w:r>
      <w:r>
        <w:rPr>
          <w:rFonts w:ascii="Arial" w:cs="Arial" w:eastAsia="Arial" w:hAnsi="Arial"/>
          <w:sz w:val="13"/>
          <w:szCs w:val="13"/>
          <w:color w:val="131E29"/>
        </w:rPr>
        <w:t xml:space="preserve"> Exhibit 21.1</w:t>
      </w:r>
    </w:p>
    <w:p>
      <w:pPr>
        <w:sectPr>
          <w:pgSz w:w="11900" w:h="16838" w:orient="portrait"/>
          <w:cols w:equalWidth="0" w:num="1">
            <w:col w:w="11280"/>
          </w:cols>
          <w:pgMar w:left="300" w:top="129"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b w:val="1"/>
          <w:bCs w:val="1"/>
          <w:color w:val="131E29"/>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We consent to the incorporation by reference in the registration statements (Nos. 333-270044, 333-263493 and 333-259618) on Form S-8 and the registration statement (No. 333-274368) on Form S-3ASR of our report dated February 23, 2024, with respect to the consolidated financial statements of Dutch Bros Inc. and the effectiveness of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Portland, Oregon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300"/>
        <w:spacing w:after="0"/>
        <w:rPr>
          <w:sz w:val="20"/>
          <w:szCs w:val="20"/>
          <w:color w:val="auto"/>
        </w:rPr>
      </w:pPr>
      <w:r>
        <w:rPr>
          <w:sz w:val="1"/>
          <w:szCs w:val="1"/>
          <w:color w:val="auto"/>
        </w:rPr>
        <w:drawing>
          <wp:inline distT="0" distB="0" distL="0" distR="0">
            <wp:extent cx="133985" cy="1879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3"/>
          <w:szCs w:val="13"/>
          <w:color w:val="131E29"/>
        </w:rPr>
        <w:t>Dutch Bros Inc.</w:t>
      </w:r>
      <w:r>
        <w:rPr>
          <w:rFonts w:ascii="Arial" w:cs="Arial" w:eastAsia="Arial" w:hAnsi="Arial"/>
          <w:sz w:val="13"/>
          <w:szCs w:val="13"/>
          <w:b w:val="1"/>
          <w:bCs w:val="1"/>
          <w:color w:val="006098"/>
        </w:rPr>
        <w:t>|</w:t>
      </w:r>
      <w:r>
        <w:rPr>
          <w:rFonts w:ascii="Arial" w:cs="Arial" w:eastAsia="Arial" w:hAnsi="Arial"/>
          <w:sz w:val="13"/>
          <w:szCs w:val="13"/>
          <w:color w:val="131E29"/>
        </w:rPr>
        <w:t xml:space="preserve"> Exhibit 23.1</w:t>
      </w:r>
    </w:p>
    <w:p>
      <w:pPr>
        <w:sectPr>
          <w:pgSz w:w="11900" w:h="16838" w:orient="portrait"/>
          <w:cols w:equalWidth="0" w:num="1">
            <w:col w:w="11280"/>
          </w:cols>
          <w:pgMar w:left="300" w:top="129"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131E29"/>
        </w:rPr>
        <w:t>Exhibit 31.1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131E29"/>
        </w:rPr>
        <w:t>I, Christine Barone, certify that:</w:t>
      </w:r>
    </w:p>
    <w:p>
      <w:pPr>
        <w:spacing w:after="0" w:line="135" w:lineRule="exact"/>
        <w:rPr>
          <w:sz w:val="20"/>
          <w:szCs w:val="20"/>
          <w:color w:val="auto"/>
        </w:rPr>
      </w:pPr>
    </w:p>
    <w:p>
      <w:pPr>
        <w:ind w:left="500" w:hanging="242"/>
        <w:spacing w:after="0"/>
        <w:tabs>
          <w:tab w:leader="none" w:pos="500"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I have reviewed this Annual Report on Form 10-K for the period ended December 31, 2023 of Dutch Bros Inc.;</w:t>
      </w:r>
    </w:p>
    <w:p>
      <w:pPr>
        <w:spacing w:after="0" w:line="92"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4"/>
          <w:szCs w:val="14"/>
          <w:color w:val="131E29"/>
        </w:rPr>
      </w:pPr>
    </w:p>
    <w:p>
      <w:pPr>
        <w:jc w:val="both"/>
        <w:ind w:left="760" w:hanging="248"/>
        <w:spacing w:after="0" w:line="270" w:lineRule="auto"/>
        <w:tabs>
          <w:tab w:leader="none" w:pos="752" w:val="left"/>
        </w:tabs>
        <w:numPr>
          <w:ilvl w:val="1"/>
          <w:numId w:val="82"/>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131E29"/>
        </w:rPr>
      </w:pPr>
    </w:p>
    <w:p>
      <w:pPr>
        <w:jc w:val="both"/>
        <w:ind w:left="760" w:hanging="248"/>
        <w:spacing w:after="0" w:line="270" w:lineRule="auto"/>
        <w:tabs>
          <w:tab w:leader="none" w:pos="752" w:val="left"/>
        </w:tabs>
        <w:numPr>
          <w:ilvl w:val="1"/>
          <w:numId w:val="82"/>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131E29"/>
        </w:rPr>
      </w:pPr>
    </w:p>
    <w:p>
      <w:pPr>
        <w:ind w:left="760" w:hanging="248"/>
        <w:spacing w:after="0" w:line="288" w:lineRule="auto"/>
        <w:tabs>
          <w:tab w:leader="none" w:pos="755" w:val="left"/>
        </w:tabs>
        <w:numPr>
          <w:ilvl w:val="1"/>
          <w:numId w:val="82"/>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4"/>
          <w:szCs w:val="14"/>
          <w:color w:val="131E29"/>
        </w:rPr>
      </w:pPr>
    </w:p>
    <w:p>
      <w:pPr>
        <w:jc w:val="both"/>
        <w:ind w:left="760" w:hanging="248"/>
        <w:spacing w:after="0" w:line="270" w:lineRule="auto"/>
        <w:tabs>
          <w:tab w:leader="none" w:pos="752" w:val="left"/>
        </w:tabs>
        <w:numPr>
          <w:ilvl w:val="1"/>
          <w:numId w:val="82"/>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131E29"/>
        </w:rPr>
      </w:pPr>
    </w:p>
    <w:p>
      <w:pPr>
        <w:ind w:left="760" w:hanging="248"/>
        <w:spacing w:after="0" w:line="288" w:lineRule="auto"/>
        <w:tabs>
          <w:tab w:leader="none" w:pos="752" w:val="left"/>
        </w:tabs>
        <w:numPr>
          <w:ilvl w:val="1"/>
          <w:numId w:val="82"/>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131E29"/>
        </w:rPr>
      </w:pPr>
    </w:p>
    <w:p>
      <w:pPr>
        <w:ind w:left="760" w:hanging="248"/>
        <w:spacing w:after="0"/>
        <w:tabs>
          <w:tab w:leader="none" w:pos="760" w:val="left"/>
        </w:tabs>
        <w:numPr>
          <w:ilvl w:val="1"/>
          <w:numId w:val="82"/>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February 23, 2024</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rPr>
              <w:t>/s/ Christine Barone</w:t>
            </w:r>
          </w:p>
        </w:tc>
      </w:tr>
      <w:tr>
        <w:trPr>
          <w:trHeight w:val="166"/>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3460" w:type="dxa"/>
            <w:vAlign w:val="bottom"/>
          </w:tcPr>
          <w:p>
            <w:pPr>
              <w:spacing w:after="0"/>
              <w:rPr>
                <w:sz w:val="14"/>
                <w:szCs w:val="14"/>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Christine Barone</w:t>
            </w:r>
          </w:p>
        </w:tc>
      </w:tr>
      <w:tr>
        <w:trPr>
          <w:trHeight w:val="182"/>
        </w:trPr>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940" w:type="dxa"/>
            <w:vAlign w:val="bottom"/>
          </w:tcPr>
          <w:p>
            <w:pPr>
              <w:jc w:val="cente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940" w:type="dxa"/>
            <w:vAlign w:val="bottom"/>
          </w:tcPr>
          <w:p>
            <w:pPr>
              <w:jc w:val="center"/>
              <w:spacing w:after="0"/>
              <w:rPr>
                <w:sz w:val="20"/>
                <w:szCs w:val="20"/>
                <w:color w:val="auto"/>
              </w:rPr>
            </w:pPr>
            <w:r>
              <w:rPr>
                <w:rFonts w:ascii="Arial" w:cs="Arial" w:eastAsia="Arial" w:hAnsi="Arial"/>
                <w:sz w:val="14"/>
                <w:szCs w:val="14"/>
                <w:i w:val="1"/>
                <w:iCs w:val="1"/>
                <w:color w:val="auto"/>
              </w:rPr>
              <w:t>(Principal Executive Officer)</w:t>
            </w:r>
          </w:p>
        </w:tc>
      </w:tr>
      <w:tr>
        <w:trPr>
          <w:trHeight w:val="843"/>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40" w:type="dxa"/>
            <w:vAlign w:val="bottom"/>
          </w:tcPr>
          <w:p>
            <w:pPr>
              <w:ind w:left="3160"/>
              <w:spacing w:after="0"/>
              <w:rPr>
                <w:sz w:val="20"/>
                <w:szCs w:val="20"/>
                <w:color w:val="auto"/>
              </w:rPr>
            </w:pPr>
            <w:r>
              <w:rPr>
                <w:rFonts w:ascii="Arial" w:cs="Arial" w:eastAsia="Arial" w:hAnsi="Arial"/>
                <w:sz w:val="14"/>
                <w:szCs w:val="14"/>
                <w:color w:val="131E29"/>
                <w:w w:val="99"/>
              </w:rPr>
              <w:t>Dutch Bros Inc.</w:t>
            </w:r>
            <w:r>
              <w:rPr>
                <w:rFonts w:ascii="Arial" w:cs="Arial" w:eastAsia="Arial" w:hAnsi="Arial"/>
                <w:sz w:val="14"/>
                <w:szCs w:val="14"/>
                <w:b w:val="1"/>
                <w:bCs w:val="1"/>
                <w:color w:val="006098"/>
                <w:w w:val="99"/>
              </w:rPr>
              <w:t>|</w:t>
            </w:r>
            <w:r>
              <w:rPr>
                <w:rFonts w:ascii="Arial" w:cs="Arial" w:eastAsia="Arial" w:hAnsi="Arial"/>
                <w:sz w:val="14"/>
                <w:szCs w:val="14"/>
                <w:color w:val="131E29"/>
                <w:w w:val="9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-247015</wp:posOffset>
            </wp:positionV>
            <wp:extent cx="133985" cy="1879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133985" cy="18796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3"/>
          <w:szCs w:val="13"/>
          <w:b w:val="1"/>
          <w:bCs w:val="1"/>
          <w:color w:val="131E29"/>
        </w:rPr>
        <w:t>Exhibit 31.2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131E29"/>
        </w:rPr>
        <w:t>I, Charles L. Jemley, certify that:</w:t>
      </w:r>
    </w:p>
    <w:p>
      <w:pPr>
        <w:spacing w:after="0" w:line="198" w:lineRule="exact"/>
        <w:rPr>
          <w:sz w:val="20"/>
          <w:szCs w:val="20"/>
          <w:color w:val="auto"/>
        </w:rPr>
      </w:pPr>
    </w:p>
    <w:p>
      <w:pPr>
        <w:ind w:left="500" w:hanging="242"/>
        <w:spacing w:after="0"/>
        <w:tabs>
          <w:tab w:leader="none" w:pos="500" w:val="left"/>
        </w:tabs>
        <w:numPr>
          <w:ilvl w:val="0"/>
          <w:numId w:val="83"/>
        </w:numPr>
        <w:rPr>
          <w:rFonts w:ascii="Arial" w:cs="Arial" w:eastAsia="Arial" w:hAnsi="Arial"/>
          <w:sz w:val="14"/>
          <w:szCs w:val="14"/>
          <w:color w:val="131E29"/>
        </w:rPr>
      </w:pPr>
      <w:r>
        <w:rPr>
          <w:rFonts w:ascii="Arial" w:cs="Arial" w:eastAsia="Arial" w:hAnsi="Arial"/>
          <w:sz w:val="14"/>
          <w:szCs w:val="14"/>
          <w:color w:val="131E29"/>
        </w:rPr>
        <w:t>I have reviewed this Annual Report on Form 10-K for the period ended December 31, 2023 of Dutch Bros Inc.;</w:t>
      </w:r>
    </w:p>
    <w:p>
      <w:pPr>
        <w:spacing w:after="0" w:line="92"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3"/>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3"/>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131E29"/>
        </w:rPr>
      </w:pPr>
    </w:p>
    <w:p>
      <w:pPr>
        <w:ind w:left="520" w:hanging="262"/>
        <w:spacing w:after="0" w:line="335" w:lineRule="auto"/>
        <w:tabs>
          <w:tab w:leader="none" w:pos="511" w:val="left"/>
        </w:tabs>
        <w:numPr>
          <w:ilvl w:val="0"/>
          <w:numId w:val="83"/>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4"/>
          <w:szCs w:val="14"/>
          <w:color w:val="131E29"/>
        </w:rPr>
      </w:pPr>
    </w:p>
    <w:p>
      <w:pPr>
        <w:jc w:val="both"/>
        <w:ind w:left="760" w:hanging="248"/>
        <w:spacing w:after="0" w:line="270" w:lineRule="auto"/>
        <w:tabs>
          <w:tab w:leader="none" w:pos="752" w:val="left"/>
        </w:tabs>
        <w:numPr>
          <w:ilvl w:val="1"/>
          <w:numId w:val="83"/>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131E29"/>
        </w:rPr>
      </w:pPr>
    </w:p>
    <w:p>
      <w:pPr>
        <w:jc w:val="both"/>
        <w:ind w:left="760" w:hanging="248"/>
        <w:spacing w:after="0" w:line="270" w:lineRule="auto"/>
        <w:tabs>
          <w:tab w:leader="none" w:pos="752" w:val="left"/>
        </w:tabs>
        <w:numPr>
          <w:ilvl w:val="1"/>
          <w:numId w:val="83"/>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131E29"/>
        </w:rPr>
      </w:pPr>
    </w:p>
    <w:p>
      <w:pPr>
        <w:ind w:left="760" w:hanging="248"/>
        <w:spacing w:after="0" w:line="288" w:lineRule="auto"/>
        <w:tabs>
          <w:tab w:leader="none" w:pos="755" w:val="left"/>
        </w:tabs>
        <w:numPr>
          <w:ilvl w:val="1"/>
          <w:numId w:val="83"/>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131E29"/>
        </w:rPr>
      </w:pPr>
    </w:p>
    <w:p>
      <w:pPr>
        <w:jc w:val="both"/>
        <w:ind w:left="760" w:hanging="248"/>
        <w:spacing w:after="0" w:line="270" w:lineRule="auto"/>
        <w:tabs>
          <w:tab w:leader="none" w:pos="752" w:val="left"/>
        </w:tabs>
        <w:numPr>
          <w:ilvl w:val="1"/>
          <w:numId w:val="83"/>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131E29"/>
        </w:rPr>
      </w:pPr>
    </w:p>
    <w:p>
      <w:pPr>
        <w:ind w:left="520" w:hanging="262"/>
        <w:spacing w:after="0" w:line="288" w:lineRule="auto"/>
        <w:tabs>
          <w:tab w:leader="none" w:pos="511" w:val="left"/>
        </w:tabs>
        <w:numPr>
          <w:ilvl w:val="0"/>
          <w:numId w:val="83"/>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131E29"/>
        </w:rPr>
      </w:pPr>
    </w:p>
    <w:p>
      <w:pPr>
        <w:ind w:left="760" w:hanging="248"/>
        <w:spacing w:after="0" w:line="288" w:lineRule="auto"/>
        <w:tabs>
          <w:tab w:leader="none" w:pos="752" w:val="left"/>
        </w:tabs>
        <w:numPr>
          <w:ilvl w:val="1"/>
          <w:numId w:val="83"/>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131E29"/>
        </w:rPr>
      </w:pPr>
    </w:p>
    <w:p>
      <w:pPr>
        <w:ind w:left="760" w:hanging="248"/>
        <w:spacing w:after="0"/>
        <w:tabs>
          <w:tab w:leader="none" w:pos="760" w:val="left"/>
        </w:tabs>
        <w:numPr>
          <w:ilvl w:val="1"/>
          <w:numId w:val="83"/>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February 23, 2024</w:t>
            </w:r>
          </w:p>
        </w:tc>
        <w:tc>
          <w:tcPr>
            <w:tcW w:w="5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 Charles L. Jemley</w:t>
            </w:r>
          </w:p>
        </w:tc>
      </w:tr>
      <w:tr>
        <w:trPr>
          <w:trHeight w:val="166"/>
        </w:trPr>
        <w:tc>
          <w:tcPr>
            <w:tcW w:w="2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740" w:type="dxa"/>
            <w:vAlign w:val="bottom"/>
          </w:tcPr>
          <w:p>
            <w:pPr>
              <w:spacing w:after="0"/>
              <w:rPr>
                <w:sz w:val="14"/>
                <w:szCs w:val="14"/>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Charles L. Jemley</w:t>
            </w:r>
          </w:p>
        </w:tc>
        <w:tc>
          <w:tcPr>
            <w:tcW w:w="60" w:type="dxa"/>
            <w:vAlign w:val="bottom"/>
          </w:tcPr>
          <w:p>
            <w:pPr>
              <w:spacing w:after="0"/>
              <w:rPr>
                <w:sz w:val="14"/>
                <w:szCs w:val="14"/>
                <w:color w:val="auto"/>
              </w:rPr>
            </w:pPr>
          </w:p>
        </w:tc>
      </w:tr>
      <w:tr>
        <w:trPr>
          <w:trHeight w:val="182"/>
        </w:trPr>
        <w:tc>
          <w:tcPr>
            <w:tcW w:w="2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740" w:type="dxa"/>
            <w:vAlign w:val="bottom"/>
            <w:gridSpan w:val="2"/>
          </w:tcPr>
          <w:p>
            <w:pPr>
              <w:jc w:val="center"/>
              <w:ind w:right="80"/>
              <w:spacing w:after="0"/>
              <w:rPr>
                <w:sz w:val="20"/>
                <w:szCs w:val="20"/>
                <w:color w:val="auto"/>
              </w:rPr>
            </w:pPr>
            <w:r>
              <w:rPr>
                <w:rFonts w:ascii="Arial" w:cs="Arial" w:eastAsia="Arial" w:hAnsi="Arial"/>
                <w:sz w:val="14"/>
                <w:szCs w:val="14"/>
                <w:color w:val="auto"/>
              </w:rPr>
              <w:t>Chief Financial Officer</w:t>
            </w:r>
          </w:p>
        </w:tc>
      </w:tr>
      <w:tr>
        <w:trPr>
          <w:trHeight w:val="184"/>
        </w:trPr>
        <w:tc>
          <w:tcPr>
            <w:tcW w:w="2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74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(Principal Financial and Accounting Officer)</w:t>
            </w:r>
          </w:p>
        </w:tc>
      </w:tr>
      <w:tr>
        <w:trPr>
          <w:trHeight w:val="833"/>
        </w:trPr>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40" w:type="dxa"/>
            <w:vAlign w:val="bottom"/>
            <w:gridSpan w:val="2"/>
          </w:tcPr>
          <w:p>
            <w:pPr>
              <w:ind w:left="3960"/>
              <w:spacing w:after="0"/>
              <w:rPr>
                <w:sz w:val="20"/>
                <w:szCs w:val="20"/>
                <w:color w:val="auto"/>
              </w:rPr>
            </w:pPr>
            <w:r>
              <w:rPr>
                <w:rFonts w:ascii="Arial" w:cs="Arial" w:eastAsia="Arial" w:hAnsi="Arial"/>
                <w:sz w:val="14"/>
                <w:szCs w:val="14"/>
                <w:color w:val="131E29"/>
                <w:w w:val="99"/>
              </w:rPr>
              <w:t>Dutch Bros Inc.</w:t>
            </w:r>
            <w:r>
              <w:rPr>
                <w:rFonts w:ascii="Arial" w:cs="Arial" w:eastAsia="Arial" w:hAnsi="Arial"/>
                <w:sz w:val="14"/>
                <w:szCs w:val="14"/>
                <w:b w:val="1"/>
                <w:bCs w:val="1"/>
                <w:color w:val="006098"/>
                <w:w w:val="99"/>
              </w:rPr>
              <w:t>|</w:t>
            </w:r>
            <w:r>
              <w:rPr>
                <w:rFonts w:ascii="Arial" w:cs="Arial" w:eastAsia="Arial" w:hAnsi="Arial"/>
                <w:sz w:val="14"/>
                <w:szCs w:val="14"/>
                <w:color w:val="131E29"/>
                <w:w w:val="9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-240665</wp:posOffset>
            </wp:positionV>
            <wp:extent cx="133985" cy="1879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133985" cy="18796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3"/>
          <w:szCs w:val="13"/>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CHIEF EXECUTIVE OFFICER AND 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906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131E29"/>
        </w:rPr>
        <w:t>In connection with the Annual Report of Dutch Bros Inc. (the Company) on Form 10-K for the period ended December 31, 2023, as filed with the Securities and Exchange Commission on the date of the signatures below (the Report), Christine Barone, Chief Executive Officer and President of the Company, and Charles L. Jemley, Chief Financial Officer of the Company, each hereby certifies, pursuant to 18 U.S.C. Section 1350, as adopted pursuant to Section 906 of the Sarbanes-Oxley Act of 2002, that, to the best of their respective knowledge:</w:t>
      </w:r>
    </w:p>
    <w:p>
      <w:pPr>
        <w:spacing w:after="0" w:line="158" w:lineRule="exact"/>
        <w:rPr>
          <w:sz w:val="20"/>
          <w:szCs w:val="20"/>
          <w:color w:val="auto"/>
        </w:rPr>
      </w:pPr>
    </w:p>
    <w:p>
      <w:pPr>
        <w:ind w:left="500" w:hanging="242"/>
        <w:spacing w:after="0"/>
        <w:tabs>
          <w:tab w:leader="none" w:pos="500" w:val="left"/>
        </w:tabs>
        <w:numPr>
          <w:ilvl w:val="0"/>
          <w:numId w:val="84"/>
        </w:numPr>
        <w:rPr>
          <w:rFonts w:ascii="Arial" w:cs="Arial" w:eastAsia="Arial" w:hAnsi="Arial"/>
          <w:sz w:val="14"/>
          <w:szCs w:val="14"/>
          <w:color w:val="131E29"/>
        </w:rPr>
      </w:pPr>
      <w:r>
        <w:rPr>
          <w:rFonts w:ascii="Arial" w:cs="Arial" w:eastAsia="Arial" w:hAnsi="Arial"/>
          <w:sz w:val="14"/>
          <w:szCs w:val="14"/>
          <w:color w:val="131E29"/>
        </w:rPr>
        <w:t>the Report fully complies with the requirements of Section 13(a) or Section 15(d) of the Securities Exchange Act of 1934; and</w:t>
      </w:r>
    </w:p>
    <w:p>
      <w:pPr>
        <w:spacing w:after="0" w:line="22" w:lineRule="exact"/>
        <w:rPr>
          <w:rFonts w:ascii="Arial" w:cs="Arial" w:eastAsia="Arial" w:hAnsi="Arial"/>
          <w:sz w:val="14"/>
          <w:szCs w:val="14"/>
          <w:color w:val="131E29"/>
        </w:rPr>
      </w:pPr>
    </w:p>
    <w:p>
      <w:pPr>
        <w:ind w:left="500" w:hanging="242"/>
        <w:spacing w:after="0"/>
        <w:tabs>
          <w:tab w:leader="none" w:pos="500" w:val="left"/>
        </w:tabs>
        <w:numPr>
          <w:ilvl w:val="0"/>
          <w:numId w:val="84"/>
        </w:numPr>
        <w:rPr>
          <w:rFonts w:ascii="Arial" w:cs="Arial" w:eastAsia="Arial" w:hAnsi="Arial"/>
          <w:sz w:val="14"/>
          <w:szCs w:val="14"/>
          <w:color w:val="131E29"/>
        </w:rPr>
      </w:pPr>
      <w:r>
        <w:rPr>
          <w:rFonts w:ascii="Arial" w:cs="Arial" w:eastAsia="Arial" w:hAnsi="Arial"/>
          <w:sz w:val="14"/>
          <w:szCs w:val="14"/>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February 23, 2024</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rPr>
              <w:t>/s/ Christine Barone</w:t>
            </w:r>
          </w:p>
        </w:tc>
      </w:tr>
      <w:tr>
        <w:trPr>
          <w:trHeight w:val="166"/>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680" w:type="dxa"/>
            <w:vAlign w:val="bottom"/>
          </w:tcPr>
          <w:p>
            <w:pPr>
              <w:spacing w:after="0"/>
              <w:rPr>
                <w:sz w:val="14"/>
                <w:szCs w:val="14"/>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Christine Barone</w:t>
            </w:r>
          </w:p>
        </w:tc>
      </w:tr>
      <w:tr>
        <w:trPr>
          <w:trHeight w:val="182"/>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Executive Officer)</w:t>
            </w: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February 23, 2024</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rPr>
              <w:t>/s/ Charles L. Jemley</w:t>
            </w:r>
          </w:p>
        </w:tc>
      </w:tr>
      <w:tr>
        <w:trPr>
          <w:trHeight w:val="166"/>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680" w:type="dxa"/>
            <w:vAlign w:val="bottom"/>
          </w:tcPr>
          <w:p>
            <w:pPr>
              <w:spacing w:after="0"/>
              <w:rPr>
                <w:sz w:val="14"/>
                <w:szCs w:val="14"/>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Charles L. Jemley</w:t>
            </w:r>
          </w:p>
        </w:tc>
      </w:tr>
      <w:tr>
        <w:trPr>
          <w:trHeight w:val="182"/>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r>
      <w:tr>
        <w:trPr>
          <w:trHeight w:val="184"/>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Financial and Accounting Officer)</w:t>
            </w:r>
          </w:p>
        </w:tc>
      </w:tr>
    </w:tbl>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300"/>
        <w:spacing w:after="0"/>
        <w:rPr>
          <w:sz w:val="20"/>
          <w:szCs w:val="20"/>
          <w:color w:val="auto"/>
        </w:rPr>
      </w:pPr>
      <w:r>
        <w:rPr>
          <w:sz w:val="1"/>
          <w:szCs w:val="1"/>
          <w:color w:val="auto"/>
        </w:rPr>
        <w:drawing>
          <wp:inline distT="0" distB="0" distL="0" distR="0">
            <wp:extent cx="133985" cy="18796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133985" cy="187960"/>
                    </a:xfrm>
                    <a:prstGeom prst="rect">
                      <a:avLst/>
                    </a:prstGeom>
                    <a:noFill/>
                    <a:ln>
                      <a:noFill/>
                    </a:ln>
                  </pic:spPr>
                </pic:pic>
              </a:graphicData>
            </a:graphic>
          </wp:inline>
        </w:drawing>
      </w:r>
      <w:r>
        <w:rPr>
          <w:rFonts w:ascii="Arial" w:cs="Arial" w:eastAsia="Arial" w:hAnsi="Arial"/>
          <w:sz w:val="13"/>
          <w:szCs w:val="13"/>
          <w:color w:val="131E29"/>
        </w:rPr>
        <w:t>Dutch Bros Inc.</w:t>
      </w:r>
      <w:r>
        <w:rPr>
          <w:rFonts w:ascii="Arial" w:cs="Arial" w:eastAsia="Arial" w:hAnsi="Arial"/>
          <w:sz w:val="13"/>
          <w:szCs w:val="13"/>
          <w:b w:val="1"/>
          <w:bCs w:val="1"/>
          <w:color w:val="006098"/>
        </w:rPr>
        <w:t>|</w:t>
      </w:r>
      <w:r>
        <w:rPr>
          <w:rFonts w:ascii="Arial" w:cs="Arial" w:eastAsia="Arial" w:hAnsi="Arial"/>
          <w:sz w:val="13"/>
          <w:szCs w:val="13"/>
          <w:color w:val="131E29"/>
        </w:rPr>
        <w:t xml:space="preserve"> Exhibit 32.1</w:t>
      </w:r>
    </w:p>
    <w:p>
      <w:pPr>
        <w:sectPr>
          <w:pgSz w:w="11900" w:h="16838" w:orient="portrait"/>
          <w:cols w:equalWidth="0" w:num="1">
            <w:col w:w="11280"/>
          </w:cols>
          <w:pgMar w:left="300" w:top="129" w:right="319" w:bottom="1440"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087235" cy="92995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2995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95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087235" cy="929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3065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087235" cy="930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87235" cy="9292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7087235"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7235" cy="92932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7087235" cy="9293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amp;"/>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bullet"/>
      <w:start w:val="1"/>
    </w:lvl>
  </w:abstractNum>
  <w:abstractNum w:abstractNumId="36">
    <w:nsid w:val="D34B6A8"/>
    <w:multiLevelType w:val="hybridMultilevel"/>
    <w:lvl w:ilvl="0">
      <w:lvlJc w:val="left"/>
      <w:lvlText w:val="1"/>
      <w:numFmt w:val="bullet"/>
      <w:start w:val="1"/>
    </w:lvl>
  </w:abstractNum>
  <w:abstractNum w:abstractNumId="37">
    <w:nsid w:val="10233C99"/>
    <w:multiLevelType w:val="hybridMultilevel"/>
    <w:lvl w:ilvl="0">
      <w:lvlJc w:val="left"/>
      <w:lvlText w:val="2"/>
      <w:numFmt w:val="bullet"/>
      <w:start w:val="1"/>
    </w:lvl>
  </w:abstractNum>
  <w:abstractNum w:abstractNumId="38">
    <w:nsid w:val="3F6AB60F"/>
    <w:multiLevelType w:val="hybridMultilevel"/>
    <w:lvl w:ilvl="0">
      <w:lvlJc w:val="left"/>
      <w:lvlText w:val="3"/>
      <w:numFmt w:val="bullet"/>
      <w:start w:val="1"/>
    </w:lvl>
  </w:abstractNum>
  <w:abstractNum w:abstractNumId="39">
    <w:nsid w:val="61574095"/>
    <w:multiLevelType w:val="hybridMultilevel"/>
    <w:lvl w:ilvl="0">
      <w:lvlJc w:val="left"/>
      <w:lvlText w:val="4"/>
      <w:numFmt w:val="bullet"/>
      <w:start w:val="1"/>
    </w:lvl>
  </w:abstractNum>
  <w:abstractNum w:abstractNumId="40">
    <w:nsid w:val="7E0C57B1"/>
    <w:multiLevelType w:val="hybridMultilevel"/>
    <w:lvl w:ilvl="0">
      <w:lvlJc w:val="left"/>
      <w:lvlText w:val="5"/>
      <w:numFmt w:val="bullet"/>
      <w:start w:val="1"/>
    </w:lvl>
  </w:abstractNum>
  <w:abstractNum w:abstractNumId="41">
    <w:nsid w:val="77AE35EB"/>
    <w:multiLevelType w:val="hybridMultilevel"/>
    <w:lvl w:ilvl="0">
      <w:lvlJc w:val="left"/>
      <w:lvlText w:val="6"/>
      <w:numFmt w:val="bullet"/>
      <w:start w:val="1"/>
    </w:lvl>
  </w:abstractNum>
  <w:abstractNum w:abstractNumId="42">
    <w:nsid w:val="579BE4F1"/>
    <w:multiLevelType w:val="hybridMultilevel"/>
    <w:lvl w:ilvl="0">
      <w:lvlJc w:val="left"/>
      <w:lvlText w:val="7"/>
      <w:numFmt w:val="bullet"/>
      <w:start w:val="1"/>
    </w:lvl>
  </w:abstractNum>
  <w:abstractNum w:abstractNumId="43">
    <w:nsid w:val="310C50B3"/>
    <w:multiLevelType w:val="hybridMultilevel"/>
    <w:lvl w:ilvl="0">
      <w:lvlJc w:val="left"/>
      <w:lvlText w:val="1"/>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bullet"/>
      <w:start w:val="1"/>
    </w:lvl>
  </w:abstractNum>
  <w:abstractNum w:abstractNumId="46">
    <w:nsid w:val="25A70BF7"/>
    <w:multiLevelType w:val="hybridMultilevel"/>
    <w:lvl w:ilvl="0">
      <w:lvlJc w:val="left"/>
      <w:lvlText w:val="1"/>
      <w:numFmt w:val="bullet"/>
      <w:start w:val="1"/>
    </w:lvl>
  </w:abstractNum>
  <w:abstractNum w:abstractNumId="47">
    <w:nsid w:val="1DBABF00"/>
    <w:multiLevelType w:val="hybridMultilevel"/>
    <w:lvl w:ilvl="0">
      <w:lvlJc w:val="left"/>
      <w:lvlText w:val="1"/>
      <w:numFmt w:val="bullet"/>
      <w:start w:val="1"/>
    </w:lvl>
  </w:abstractNum>
  <w:abstractNum w:abstractNumId="48">
    <w:nsid w:val="4AD084E9"/>
    <w:multiLevelType w:val="hybridMultilevel"/>
    <w:lvl w:ilvl="0">
      <w:lvlJc w:val="left"/>
      <w:lvlText w:val="1"/>
      <w:numFmt w:val="bullet"/>
      <w:start w:val="1"/>
    </w:lvl>
  </w:abstractNum>
  <w:abstractNum w:abstractNumId="49">
    <w:nsid w:val="1F48EAA1"/>
    <w:multiLevelType w:val="hybridMultilevel"/>
    <w:lvl w:ilvl="0">
      <w:lvlJc w:val="left"/>
      <w:lvlText w:val="2"/>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bullet"/>
      <w:start w:val="1"/>
    </w:lvl>
  </w:abstractNum>
  <w:abstractNum w:abstractNumId="61">
    <w:nsid w:val="1EBA5D23"/>
    <w:multiLevelType w:val="hybridMultilevel"/>
    <w:lvl w:ilvl="0">
      <w:lvlJc w:val="left"/>
      <w:lvlText w:val="(%1)"/>
      <w:numFmt w:val="decimal"/>
      <w:start w:val="2"/>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1"/>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bullet"/>
      <w:start w:val="1"/>
    </w:lvl>
  </w:abstractNum>
  <w:abstractNum w:abstractNumId="70">
    <w:nsid w:val="42963E5A"/>
    <w:multiLevelType w:val="hybridMultilevel"/>
    <w:lvl w:ilvl="0">
      <w:lvlJc w:val="left"/>
      <w:lvlText w:val="2"/>
      <w:numFmt w:val="bullet"/>
      <w:start w:val="1"/>
    </w:lvl>
  </w:abstractNum>
  <w:abstractNum w:abstractNumId="71">
    <w:nsid w:val="A0382C5"/>
    <w:multiLevelType w:val="hybridMultilevel"/>
    <w:lvl w:ilvl="0">
      <w:lvlJc w:val="left"/>
      <w:lvlText w:val="1"/>
      <w:numFmt w:val="bullet"/>
      <w:start w:val="1"/>
    </w:lvl>
  </w:abstractNum>
  <w:abstractNum w:abstractNumId="72">
    <w:nsid w:val="8F2B15E"/>
    <w:multiLevelType w:val="hybridMultilevel"/>
    <w:lvl w:ilvl="0">
      <w:lvlJc w:val="left"/>
      <w:lvlText w:val="1"/>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72" Type="http://schemas.openxmlformats.org/officeDocument/2006/relationships/image" Target="media/image350.jpeg"/><Relationship Id="rId37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jpeg"/><Relationship Id="rId393" Type="http://schemas.openxmlformats.org/officeDocument/2006/relationships/image" Target="media/image361.png"/><Relationship Id="rId394" Type="http://schemas.openxmlformats.org/officeDocument/2006/relationships/image" Target="media/image362.jpe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jpe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jpeg"/><Relationship Id="rId428" Type="http://schemas.openxmlformats.org/officeDocument/2006/relationships/image" Target="media/image396.jpeg"/><Relationship Id="rId429" Type="http://schemas.openxmlformats.org/officeDocument/2006/relationships/image" Target="media/image397.jpeg"/><Relationship Id="rId430" Type="http://schemas.openxmlformats.org/officeDocument/2006/relationships/image" Target="media/image398.jpeg"/><Relationship Id="rId431" Type="http://schemas.openxmlformats.org/officeDocument/2006/relationships/image" Target="media/image399.jpe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357" Type="http://schemas.openxmlformats.org/officeDocument/2006/relationships/hyperlink" Target="https://www.sec.gov/Archives/edgar/data/0001866581/000162828021018861/exhibit31-8xk.htm" TargetMode="External"/><Relationship Id="rId358" Type="http://schemas.openxmlformats.org/officeDocument/2006/relationships/hyperlink" Target="https://www.sec.gov/Archives/edgar/data/1866581/000162828021017441/exhibit34-sx1.htm" TargetMode="External"/><Relationship Id="rId359" Type="http://schemas.openxmlformats.org/officeDocument/2006/relationships/hyperlink" Target="http://www.sec.gov/Archives/edgar/data/0001866581/000162828021018116/exhibit41.htm" TargetMode="External"/><Relationship Id="rId360" Type="http://schemas.openxmlformats.org/officeDocument/2006/relationships/hyperlink" Target="https://www.sec.gov/Archives/edgar/data/1866581/000186658123000038/ex42-2022q4descriptionof.htm" TargetMode="External"/><Relationship Id="rId361" Type="http://schemas.openxmlformats.org/officeDocument/2006/relationships/hyperlink" Target="http://www.sec.gov/Archives/edgar/data/0001866581/000162828021018861/exhibit101-8xk.htm" TargetMode="External"/><Relationship Id="rId362" Type="http://schemas.openxmlformats.org/officeDocument/2006/relationships/hyperlink" Target="http://www.sec.gov/Archives/edgar/data/0001866581/000162828021018861/exhibit102-8xk.htm" TargetMode="External"/><Relationship Id="rId363" Type="http://schemas.openxmlformats.org/officeDocument/2006/relationships/hyperlink" Target="http://www.sec.gov/Archives/edgar/data/0001866581/000162828021018861/exhibit103-8xk.htm" TargetMode="External"/><Relationship Id="rId364" Type="http://schemas.openxmlformats.org/officeDocument/2006/relationships/hyperlink" Target="http://www.sec.gov/Archives/edgar/data/0001866581/000162828021018861/exhibit105-8xk.htm" TargetMode="External"/><Relationship Id="rId365" Type="http://schemas.openxmlformats.org/officeDocument/2006/relationships/hyperlink" Target="http://www.sec.gov/Archives/edgar/data/0001866581/000162828021017441/exhibit102-sx1.htm" TargetMode="External"/><Relationship Id="rId366" Type="http://schemas.openxmlformats.org/officeDocument/2006/relationships/hyperlink" Target="https://www.sec.gov/Archives/edgar/data/0001866581/000162828021018852/exhibit991-sx8.htm" TargetMode="External"/><Relationship Id="rId367" Type="http://schemas.openxmlformats.org/officeDocument/2006/relationships/hyperlink" Target="http://www.sec.gov/Archives/edgar/data/0001866581/000162828021018116/exhibit108-sx1a1.htm" TargetMode="External"/><Relationship Id="rId368" Type="http://schemas.openxmlformats.org/officeDocument/2006/relationships/hyperlink" Target="https://www.sec.gov/Archives/edgar/data/0001866581/000162828021018116/exhibit109-sx1a1.htm" TargetMode="External"/><Relationship Id="rId369" Type="http://schemas.openxmlformats.org/officeDocument/2006/relationships/hyperlink" Target="http://www.sec.gov/Archives/edgar/data/0001866581/000162828021018116/exhibit1010-sx1a1.htm" TargetMode="External"/><Relationship Id="rId370" Type="http://schemas.openxmlformats.org/officeDocument/2006/relationships/hyperlink" Target="https://www.sec.gov/Archives/edgar/data/1866581/000186658121000015/exhibit101-8k.htm" TargetMode="External"/><Relationship Id="rId371" Type="http://schemas.openxmlformats.org/officeDocument/2006/relationships/hyperlink" Target="https://www.sec.gov/Archives/edgar/data/1866581/000186658121000015/exhibit102-8k.htm" TargetMode="External"/><Relationship Id="rId374" Type="http://schemas.openxmlformats.org/officeDocument/2006/relationships/hyperlink" Target="https://www.sec.gov/Archives/edgar/data/1866581/000186658121000017/exh101-20211105_sgillett.htm" TargetMode="External"/><Relationship Id="rId375" Type="http://schemas.openxmlformats.org/officeDocument/2006/relationships/hyperlink" Target="https://www.sec.gov/Archives/edgar/data/1866581/000186658122000020/maxwell_brian-dbol.htm" TargetMode="External"/><Relationship Id="rId376" Type="http://schemas.openxmlformats.org/officeDocument/2006/relationships/hyperlink" Target="https://www.sec.gov/Archives/edgar/data/1866581/000186658122000020/final2022dmljpmarcredita.htm" TargetMode="External"/><Relationship Id="rId377" Type="http://schemas.openxmlformats.org/officeDocument/2006/relationships/hyperlink" Target="https://www.sec.gov/Archives/edgar/data/1866581/000186658123000108/a2023-08x04amendmentno1t.htm" TargetMode="External"/><Relationship Id="rId378" Type="http://schemas.openxmlformats.org/officeDocument/2006/relationships/hyperlink" Target="https://www.sec.gov/Archives/edgar/data/1866581/000186658122000103/a2022-08x12serviceonboar.htm" TargetMode="External"/><Relationship Id="rId379" Type="http://schemas.openxmlformats.org/officeDocument/2006/relationships/hyperlink" Target="https://www.sec.gov/Archives/edgar/data/1866581/000186658124000011/filingversion2023-12x27e.htm" TargetMode="External"/><Relationship Id="rId380" Type="http://schemas.openxmlformats.org/officeDocument/2006/relationships/hyperlink" Target="https://www.sec.gov/Archives/edgar/data/1866581/000186658122000132/a2022-11x09participation.htm" TargetMode="External"/><Relationship Id="rId381" Type="http://schemas.openxmlformats.org/officeDocument/2006/relationships/hyperlink" Target="https://www.sec.gov/Archives/edgar/data/1866581/000186658123000128/filingcopy-serviceonboar.htm" TargetMode="External"/><Relationship Id="rId382" Type="http://schemas.openxmlformats.org/officeDocument/2006/relationships/hyperlink" Target="https://www.sec.gov/Archives/edgar/data/1866581/000186658123000128/a2023-11x03xsullivanoffe.htm" TargetMode="External"/><Relationship Id="rId383" Type="http://schemas.openxmlformats.org/officeDocument/2006/relationships/hyperlink" Target="https://www.sec.gov/Archives/edgar/data/1866581/000186658123000038/ex1019-2022q4johngraha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2024-02-23T16:56:30Z</dcterms:created>
  <dcterms:modified xsi:type="dcterms:W3CDTF">2024-02-23T16:56:30Z</dcterms:modified>
</cp:coreProperties>
</file>